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mnst-20250930x10q.htm"/>
        <w:bookmarkStart w:id="1" w:name="ksmnst2025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0"/>
        <w:ind w:left="0" w:right="0" w:hanging="0"/>
        <w:jc w:val="left"/>
        <w:rPr/>
      </w:pPr>
      <w:r>
        <w:rPr/>
        <w:t>​</w:t>
      </w:r>
    </w:p>
    <w:p>
      <w:pPr>
        <w:pStyle w:val="TextBody"/>
        <w:bidi w:val="0"/>
        <w:spacing w:before="0" w:after="0"/>
        <w:ind w:left="0" w:right="0" w:hanging="0"/>
        <w:jc w:val="left"/>
        <w:rPr/>
      </w:pPr>
      <w:bookmarkStart w:id="2" w:name="_e632d6fd_1c3f_4e40_a9be_7f906502075c"/>
      <w:bookmarkEnd w:id="2"/>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10-Q</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b/>
          <w:sz w:val="24"/>
        </w:rPr>
        <w:t>Quarterly</w:t>
      </w:r>
      <w:r>
        <w:rPr>
          <w:rFonts w:ascii="Times New Roman;Times;serif" w:hAnsi="Times New Roman;Times;serif"/>
          <w:sz w:val="24"/>
        </w:rPr>
        <w:t xml:space="preserve"> </w:t>
      </w:r>
      <w:r>
        <w:rPr>
          <w:rFonts w:ascii="Times New Roman;Times;serif" w:hAnsi="Times New Roman;Times;serif"/>
          <w:b/>
          <w:sz w:val="24"/>
        </w:rPr>
        <w:t>Report</w:t>
      </w:r>
      <w:r>
        <w:rPr>
          <w:rFonts w:ascii="Times New Roman;Times;serif" w:hAnsi="Times New Roman;Times;serif"/>
          <w:sz w:val="24"/>
        </w:rPr>
        <w:t xml:space="preserve"> </w:t>
      </w:r>
      <w:r>
        <w:rPr>
          <w:rFonts w:ascii="Times New Roman;Times;serif" w:hAnsi="Times New Roman;Times;serif"/>
          <w:b/>
          <w:sz w:val="24"/>
        </w:rPr>
        <w:t>Pursuant to Section 13 or 15(d)</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of the Securities Exchange Act of 1934</w:t>
      </w:r>
    </w:p>
    <w:p>
      <w:pPr>
        <w:pStyle w:val="TextBody"/>
        <w:bidi w:val="0"/>
        <w:spacing w:before="0" w:after="0"/>
        <w:ind w:left="0" w:right="0" w:hanging="0"/>
        <w:jc w:val="center"/>
        <w:rPr/>
      </w:pPr>
      <w:r>
        <w:rPr/>
        <w:t>​</w:t>
      </w:r>
    </w:p>
    <w:tbl>
      <w:tblPr>
        <w:tblW w:w="7521" w:type="dxa"/>
        <w:jc w:val="left"/>
        <w:tblInd w:w="0" w:type="dxa"/>
        <w:tblLayout w:type="fixed"/>
        <w:tblCellMar>
          <w:top w:w="0" w:type="dxa"/>
          <w:left w:w="0" w:type="dxa"/>
          <w:bottom w:w="0" w:type="dxa"/>
          <w:right w:w="0" w:type="dxa"/>
        </w:tblCellMar>
      </w:tblPr>
      <w:tblGrid>
        <w:gridCol w:w="4246"/>
        <w:gridCol w:w="3121"/>
        <w:gridCol w:w="154"/>
      </w:tblGrid>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quarterly period ended September 30, 2025</w:t>
            </w:r>
          </w:p>
        </w:tc>
        <w:tc>
          <w:tcPr>
            <w:tcW w:w="31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Commission File Number 001-18761</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MONSTER BEVERAGE CORPORATION</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xNkQU4Uebky6GU_Ncah1Kw_3_2"/>
      <w:bookmarkStart w:id="4" w:name="Tc_AxVFgTEQtEOSF7LGyw42tw_3_0"/>
      <w:bookmarkStart w:id="5" w:name="Tc_cyODA4W8sU6my5bXfhj20A_2_2"/>
      <w:bookmarkStart w:id="6" w:name="Tc_vVKl3omQ7USzHUavzmaNbg_2_0"/>
      <w:bookmarkStart w:id="7" w:name="_7c34c122_80de_42ce_bdc9_cb651d4bdee5"/>
      <w:bookmarkStart w:id="8" w:name="Tc_xNkQU4Uebky6GU_Ncah1Kw_3_2"/>
      <w:bookmarkStart w:id="9" w:name="Tc_AxVFgTEQtEOSF7LGyw42tw_3_0"/>
      <w:bookmarkStart w:id="10" w:name="Tc_cyODA4W8sU6my5bXfhj20A_2_2"/>
      <w:bookmarkStart w:id="11" w:name="Tc_vVKl3omQ7USzHUavzmaNbg_2_0"/>
      <w:bookmarkStart w:id="12" w:name="_7c34c122_80de_42ce_bdc9_cb651d4bdee5"/>
      <w:bookmarkEnd w:id="8"/>
      <w:bookmarkEnd w:id="9"/>
      <w:bookmarkEnd w:id="10"/>
      <w:bookmarkEnd w:id="11"/>
      <w:bookmarkEnd w:id="12"/>
    </w:p>
    <w:tbl>
      <w:tblPr>
        <w:tblW w:w="4003" w:type="dxa"/>
        <w:jc w:val="left"/>
        <w:tblInd w:w="0" w:type="dxa"/>
        <w:tblLayout w:type="fixed"/>
        <w:tblCellMar>
          <w:top w:w="0" w:type="dxa"/>
          <w:left w:w="0" w:type="dxa"/>
          <w:bottom w:w="0" w:type="dxa"/>
          <w:right w:w="0" w:type="dxa"/>
        </w:tblCellMar>
      </w:tblPr>
      <w:tblGrid>
        <w:gridCol w:w="2236"/>
        <w:gridCol w:w="326"/>
        <w:gridCol w:w="1441"/>
      </w:tblGrid>
      <w:tr>
        <w:trPr/>
        <w:tc>
          <w:tcPr>
            <w:tcW w:w="2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441" w:type="dxa"/>
            <w:tcBorders/>
            <w:vAlign w:val="center"/>
          </w:tcPr>
          <w:p>
            <w:pPr>
              <w:pStyle w:val="TableContents"/>
              <w:bidi w:val="0"/>
              <w:spacing w:before="0" w:after="283"/>
              <w:ind w:left="0" w:right="0" w:hanging="0"/>
              <w:jc w:val="left"/>
              <w:rPr>
                <w:sz w:val="4"/>
                <w:szCs w:val="4"/>
              </w:rPr>
            </w:pPr>
            <w:r>
              <w:rPr>
                <w:sz w:val="4"/>
                <w:szCs w:val="4"/>
              </w:rPr>
            </w:r>
          </w:p>
        </w:tc>
      </w:tr>
      <w:tr>
        <w:trPr/>
        <w:tc>
          <w:tcPr>
            <w:tcW w:w="223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c>
          <w:tcPr>
            <w:tcW w:w="32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47-1809393</w:t>
            </w:r>
          </w:p>
        </w:tc>
      </w:tr>
      <w:tr>
        <w:trPr/>
        <w:tc>
          <w:tcPr>
            <w:tcW w:w="2236" w:type="dxa"/>
            <w:tcBorders/>
            <w:vAlign w:val="center"/>
          </w:tcPr>
          <w:p>
            <w:pPr>
              <w:pStyle w:val="TableContents"/>
              <w:pBdr/>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w:t>
            </w:r>
          </w:p>
        </w:tc>
      </w:tr>
      <w:tr>
        <w:trPr/>
        <w:tc>
          <w:tcPr>
            <w:tcW w:w="2236" w:type="dxa"/>
            <w:tcBorders/>
            <w:vAlign w:val="center"/>
          </w:tcPr>
          <w:p>
            <w:pPr>
              <w:pStyle w:val="TableContents"/>
              <w:pBdr/>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incorporation or organization)</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 Monster Way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Corona, California 92879</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 (Zip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(951) 739 - 6200</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3" w:name="Tc_pQu4HbHSqkmvcA6tfqhKcg_1_2"/>
      <w:bookmarkStart w:id="14" w:name="Tc_3dag-l0A1U6dAY-NiIeGAg_1_1"/>
      <w:bookmarkStart w:id="15" w:name="Tc_1jhnlLcKQECO8QlFdzUOvw_1_0"/>
      <w:bookmarkStart w:id="16" w:name="_fa178305_9a1f_42a6_93c4_acbfe5acb49e"/>
      <w:bookmarkStart w:id="17" w:name="Tc_pQu4HbHSqkmvcA6tfqhKcg_1_2"/>
      <w:bookmarkStart w:id="18" w:name="Tc_3dag-l0A1U6dAY-NiIeGAg_1_1"/>
      <w:bookmarkStart w:id="19" w:name="Tc_1jhnlLcKQECO8QlFdzUOvw_1_0"/>
      <w:bookmarkStart w:id="20" w:name="_fa178305_9a1f_42a6_93c4_acbfe5acb49e"/>
      <w:bookmarkEnd w:id="17"/>
      <w:bookmarkEnd w:id="18"/>
      <w:bookmarkEnd w:id="19"/>
      <w:bookmarkEnd w:id="20"/>
    </w:p>
    <w:tbl>
      <w:tblPr>
        <w:tblW w:w="5718" w:type="dxa"/>
        <w:jc w:val="left"/>
        <w:tblInd w:w="0" w:type="dxa"/>
        <w:tblLayout w:type="fixed"/>
        <w:tblCellMar>
          <w:top w:w="0" w:type="dxa"/>
          <w:left w:w="0" w:type="dxa"/>
          <w:bottom w:w="0" w:type="dxa"/>
          <w:right w:w="0" w:type="dxa"/>
        </w:tblCellMar>
      </w:tblPr>
      <w:tblGrid>
        <w:gridCol w:w="1576"/>
        <w:gridCol w:w="1621"/>
        <w:gridCol w:w="2521"/>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p>
        </w:tc>
        <w:tc>
          <w:tcPr>
            <w:tcW w:w="1621" w:type="dxa"/>
            <w:tcBorders/>
            <w:vAlign w:val="center"/>
          </w:tcPr>
          <w:p>
            <w:pPr>
              <w:pStyle w:val="TableContents"/>
              <w:bidi w:val="0"/>
              <w:spacing w:before="0" w:after="283"/>
              <w:ind w:left="0" w:right="0" w:hanging="0"/>
              <w:jc w:val="left"/>
              <w:rPr>
                <w:sz w:val="4"/>
                <w:szCs w:val="4"/>
              </w:rPr>
            </w:pPr>
            <w:r>
              <w:rPr>
                <w:sz w:val="4"/>
                <w:szCs w:val="4"/>
              </w:rPr>
            </w:r>
          </w:p>
        </w:tc>
        <w:tc>
          <w:tcPr>
            <w:tcW w:w="2521" w:type="dxa"/>
            <w:tcBorders/>
            <w:vAlign w:val="center"/>
          </w:tcPr>
          <w:p>
            <w:pPr>
              <w:pStyle w:val="TableContents"/>
              <w:bidi w:val="0"/>
              <w:spacing w:before="0" w:after="283"/>
              <w:ind w:left="0" w:right="0" w:hanging="0"/>
              <w:jc w:val="left"/>
              <w:rPr>
                <w:sz w:val="4"/>
                <w:szCs w:val="4"/>
              </w:rPr>
            </w:pPr>
            <w:r>
              <w:rPr>
                <w:sz w:val="4"/>
                <w:szCs w:val="4"/>
              </w:rPr>
            </w:r>
          </w:p>
        </w:tc>
      </w:tr>
      <w:tr>
        <w:trPr/>
        <w:tc>
          <w:tcPr>
            <w:tcW w:w="15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621"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2521"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w:t>
              <w:br/>
              <w:t>which registered</w:t>
            </w:r>
          </w:p>
        </w:tc>
      </w:tr>
      <w:tr>
        <w:trPr/>
        <w:tc>
          <w:tcPr>
            <w:tcW w:w="15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w:t>
            </w:r>
          </w:p>
        </w:tc>
        <w:tc>
          <w:tcPr>
            <w:tcW w:w="1621"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MNST</w:t>
            </w:r>
          </w:p>
        </w:tc>
        <w:tc>
          <w:tcPr>
            <w:tcW w:w="2521"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Yes  X    No __</w:t>
      </w:r>
    </w:p>
    <w:p>
      <w:pPr>
        <w:pStyle w:val="TextBody"/>
        <w:bidi w:val="0"/>
        <w:spacing w:before="0" w:after="0"/>
        <w:ind w:left="0" w:right="0" w:hanging="0"/>
        <w:jc w:val="center"/>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Yes  X    No __</w:t>
      </w:r>
    </w:p>
    <w:p>
      <w:pPr>
        <w:pStyle w:val="TextBody"/>
        <w:bidi w:val="0"/>
        <w:spacing w:before="0" w:after="0"/>
        <w:ind w:left="0" w:right="0" w:hanging="0"/>
        <w:jc w:val="center"/>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720"/>
        <w:jc w:val="both"/>
        <w:rPr/>
      </w:pPr>
      <w:r>
        <w:rPr/>
        <w:t>​</w:t>
      </w:r>
    </w:p>
    <w:tbl>
      <w:tblPr>
        <w:tblW w:w="4725" w:type="dxa"/>
        <w:jc w:val="left"/>
        <w:tblInd w:w="0" w:type="dxa"/>
        <w:tblLayout w:type="fixed"/>
        <w:tblCellMar>
          <w:top w:w="0" w:type="dxa"/>
          <w:left w:w="0" w:type="dxa"/>
          <w:bottom w:w="0" w:type="dxa"/>
          <w:right w:w="0" w:type="dxa"/>
        </w:tblCellMar>
      </w:tblPr>
      <w:tblGrid>
        <w:gridCol w:w="1141"/>
        <w:gridCol w:w="1004"/>
        <w:gridCol w:w="1068"/>
        <w:gridCol w:w="1512"/>
      </w:tblGrid>
      <w:tr>
        <w:trPr/>
        <w:tc>
          <w:tcPr>
            <w:tcW w:w="1141" w:type="dxa"/>
            <w:tcBorders/>
            <w:vAlign w:val="center"/>
          </w:tcPr>
          <w:p>
            <w:pPr>
              <w:pStyle w:val="TableContents"/>
              <w:bidi w:val="0"/>
              <w:spacing w:before="0" w:after="0"/>
              <w:ind w:left="0" w:right="0" w:hanging="0"/>
              <w:jc w:val="left"/>
              <w:rPr/>
            </w:pPr>
            <w:r>
              <w:rPr/>
              <w:t>​</w:t>
            </w:r>
          </w:p>
        </w:tc>
        <w:tc>
          <w:tcPr>
            <w:tcW w:w="1004" w:type="dxa"/>
            <w:tcBorders/>
            <w:vAlign w:val="center"/>
          </w:tcPr>
          <w:p>
            <w:pPr>
              <w:pStyle w:val="TableContents"/>
              <w:bidi w:val="0"/>
              <w:spacing w:before="0" w:after="0"/>
              <w:ind w:left="0" w:right="0" w:hanging="0"/>
              <w:jc w:val="left"/>
              <w:rPr/>
            </w:pPr>
            <w:r>
              <w:rPr/>
              <w:t>​</w:t>
            </w:r>
          </w:p>
        </w:tc>
        <w:tc>
          <w:tcPr>
            <w:tcW w:w="1068" w:type="dxa"/>
            <w:tcBorders/>
            <w:vAlign w:val="center"/>
          </w:tcPr>
          <w:p>
            <w:pPr>
              <w:pStyle w:val="TableContents"/>
              <w:bidi w:val="0"/>
              <w:spacing w:before="0" w:after="0"/>
              <w:ind w:left="0" w:right="0" w:hanging="0"/>
              <w:jc w:val="left"/>
              <w:rPr/>
            </w:pPr>
            <w:r>
              <w:rPr/>
              <w:t>​</w:t>
            </w:r>
          </w:p>
        </w:tc>
        <w:tc>
          <w:tcPr>
            <w:tcW w:w="1512" w:type="dxa"/>
            <w:tcBorders/>
            <w:vAlign w:val="center"/>
          </w:tcPr>
          <w:p>
            <w:pPr>
              <w:pStyle w:val="TableContents"/>
              <w:bidi w:val="0"/>
              <w:spacing w:before="0" w:after="0"/>
              <w:ind w:left="0" w:right="0" w:hanging="0"/>
              <w:jc w:val="left"/>
              <w:rPr/>
            </w:pPr>
            <w:r>
              <w:rPr/>
              <w:t>​</w:t>
            </w:r>
          </w:p>
        </w:tc>
      </w:tr>
      <w:tr>
        <w:trPr/>
        <w:tc>
          <w:tcPr>
            <w:tcW w:w="214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258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 ☐</w:t>
            </w:r>
          </w:p>
        </w:tc>
      </w:tr>
      <w:tr>
        <w:trPr/>
        <w:tc>
          <w:tcPr>
            <w:tcW w:w="214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 ☐</w:t>
            </w:r>
          </w:p>
        </w:tc>
        <w:tc>
          <w:tcPr>
            <w:tcW w:w="258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 ☐</w:t>
            </w:r>
          </w:p>
        </w:tc>
      </w:tr>
      <w:tr>
        <w:trPr/>
        <w:tc>
          <w:tcPr>
            <w:tcW w:w="2145" w:type="dxa"/>
            <w:gridSpan w:val="2"/>
            <w:tcBorders/>
            <w:vAlign w:val="center"/>
          </w:tcPr>
          <w:p>
            <w:pPr>
              <w:pStyle w:val="TableContents"/>
              <w:bidi w:val="0"/>
              <w:spacing w:before="0" w:after="0"/>
              <w:ind w:left="0" w:right="0" w:hanging="0"/>
              <w:jc w:val="left"/>
              <w:rPr/>
            </w:pPr>
            <w:r>
              <w:rPr/>
              <w:t>​</w:t>
            </w:r>
          </w:p>
        </w:tc>
        <w:tc>
          <w:tcPr>
            <w:tcW w:w="258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Yes __    No X</w:t>
      </w:r>
    </w:p>
    <w:p>
      <w:pPr>
        <w:pStyle w:val="TextBody"/>
        <w:bidi w:val="0"/>
        <w:spacing w:before="0" w:after="0"/>
        <w:ind w:left="0" w:right="0" w:hanging="0"/>
        <w:jc w:val="center"/>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registrant had 977,021,216 shares of common stock, par value $0.005 per share, outstanding as of October 31, 2025.</w:t>
      </w:r>
    </w:p>
    <w:p>
      <w:pPr>
        <w:pStyle w:val="TextBody"/>
        <w:bidi w:val="0"/>
        <w:spacing w:before="0" w:after="0"/>
        <w:ind w:left="0" w:right="0" w:hanging="0"/>
        <w:jc w:val="both"/>
        <w:rPr/>
      </w:pPr>
      <w:r>
        <w:rPr/>
        <w:t>​</w:t>
      </w:r>
    </w:p>
    <w:p>
      <w:pPr>
        <w:pStyle w:val="TextBody"/>
        <w:pBdr>
          <w:top w:val="single" w:sz="2" w:space="1" w:color="000000"/>
          <w:bottom w:val="single" w:sz="24" w:space="1" w:color="000000"/>
        </w:pBdr>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1" w:name="_d014635c_0130_44cc_b483_fa96d641ad81"/>
      <w:bookmarkEnd w:id="21"/>
      <w:r>
        <w:rPr>
          <w:rFonts w:ascii="Times New Roman;Times;serif" w:hAnsi="Times New Roman;Times;serif"/>
          <w:b/>
          <w:sz w:val="20"/>
        </w:rPr>
        <w:t>MONSTER BEVERAGE CORPORATION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2" w:name="TOC"/>
      <w:bookmarkEnd w:id="22"/>
      <w:r>
        <w:rPr>
          <w:rFonts w:ascii="Times New Roman;Times;serif" w:hAnsi="Times New Roman;Times;serif"/>
          <w:b/>
          <w:sz w:val="20"/>
        </w:rPr>
        <w:t>INDEX</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24"/>
        <w:gridCol w:w="8344"/>
        <w:gridCol w:w="326"/>
        <w:gridCol w:w="811"/>
      </w:tblGrid>
      <w:tr>
        <w:trPr/>
        <w:tc>
          <w:tcPr>
            <w:tcW w:w="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59740" cy="175260"/>
                      <wp:effectExtent l="0" t="0" r="0" b="0"/>
                      <wp:wrapNone/>
                      <wp:docPr id="1" name="Frame1"/>
                      <a:graphic xmlns:a="http://schemas.openxmlformats.org/drawingml/2006/main">
                        <a:graphicData uri="http://schemas.microsoft.com/office/word/2010/wordprocessingShape">
                          <wps:wsp>
                            <wps:cNvSpPr txBox="1"/>
                            <wps:spPr>
                              <a:xfrm>
                                <a:off x="0" y="0"/>
                                <a:ext cx="459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5298440" cy="175260"/>
                      <wp:effectExtent l="0" t="0" r="0" b="0"/>
                      <wp:wrapNone/>
                      <wp:docPr id="2" name="Frame2"/>
                      <a:graphic xmlns:a="http://schemas.openxmlformats.org/drawingml/2006/main">
                        <a:graphicData uri="http://schemas.microsoft.com/office/word/2010/wordprocessingShape">
                          <wps:wsp>
                            <wps:cNvSpPr txBox="1"/>
                            <wps:spPr>
                              <a:xfrm>
                                <a:off x="0" y="0"/>
                                <a:ext cx="5298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514985" cy="175260"/>
                      <wp:effectExtent l="0" t="0" r="0" b="0"/>
                      <wp:wrapNone/>
                      <wp:docPr id="3" name="Frame3"/>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4" w:type="dxa"/>
            <w:tcBorders/>
            <w:vAlign w:val="center"/>
          </w:tcPr>
          <w:p>
            <w:pPr>
              <w:pStyle w:val="TableContents"/>
              <w:pBdr/>
              <w:bidi w:val="0"/>
              <w:spacing w:before="0" w:after="0"/>
              <w:ind w:left="0" w:right="0" w:hanging="0"/>
              <w:jc w:val="left"/>
              <w:rPr/>
            </w:pPr>
            <w:hyperlink w:anchor="PARTIFINANCIALINFORMATION_555950">
              <w:r>
                <w:rPr>
                  <w:rStyle w:val="InternetLink"/>
                  <w:rFonts w:ascii="Times New Roman;Times;serif" w:hAnsi="Times New Roman;Times;serif"/>
                  <w:b/>
                  <w:i w:val="false"/>
                  <w:caps w:val="false"/>
                  <w:smallCaps w:val="false"/>
                  <w:sz w:val="20"/>
                </w:rPr>
                <w:t>Part I.</w:t>
              </w:r>
            </w:hyperlink>
          </w:p>
        </w:tc>
        <w:tc>
          <w:tcPr>
            <w:tcW w:w="8344" w:type="dxa"/>
            <w:tcBorders/>
            <w:vAlign w:val="center"/>
          </w:tcPr>
          <w:p>
            <w:pPr>
              <w:pStyle w:val="TableContents"/>
              <w:bidi w:val="0"/>
              <w:spacing w:before="0" w:after="0"/>
              <w:ind w:left="0" w:right="0" w:hanging="0"/>
              <w:jc w:val="both"/>
              <w:rPr/>
            </w:pPr>
            <w:hyperlink w:anchor="PARTIFINANCIALINFORMATION_555950">
              <w:r>
                <w:rPr>
                  <w:rStyle w:val="InternetLink"/>
                  <w:rFonts w:ascii="Times New Roman;Times;serif" w:hAnsi="Times New Roman;Times;serif"/>
                  <w:b/>
                  <w:i w:val="false"/>
                  <w:caps w:val="false"/>
                  <w:smallCaps w:val="false"/>
                  <w:sz w:val="20"/>
                </w:rPr>
                <w:t>FINANCIAL INFORMATION</w:t>
              </w:r>
            </w:hyperlink>
          </w:p>
        </w:tc>
        <w:tc>
          <w:tcPr>
            <w:tcW w:w="326" w:type="dxa"/>
            <w:tcBorders/>
            <w:vAlign w:val="center"/>
          </w:tcPr>
          <w:p>
            <w:pPr>
              <w:pStyle w:val="TableContents"/>
              <w:bidi w:val="0"/>
              <w:spacing w:before="0" w:after="0"/>
              <w:ind w:left="0" w:right="0" w:hanging="0"/>
              <w:jc w:val="center"/>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 No.</w:t>
            </w:r>
          </w:p>
        </w:tc>
      </w:tr>
      <w:tr>
        <w:trPr/>
        <w:tc>
          <w:tcPr>
            <w:tcW w:w="724" w:type="dxa"/>
            <w:tcBorders/>
            <w:vAlign w:val="center"/>
          </w:tcPr>
          <w:p>
            <w:pPr>
              <w:pStyle w:val="TableContents"/>
              <w:bidi w:val="0"/>
              <w:spacing w:before="0" w:after="0"/>
              <w:ind w:left="0" w:right="0" w:hanging="0"/>
              <w:jc w:val="left"/>
              <w:rPr/>
            </w:pPr>
            <w:r>
              <w:rPr/>
              <w:t>​</w:t>
            </w:r>
          </w:p>
        </w:tc>
        <w:tc>
          <w:tcPr>
            <w:tcW w:w="834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11"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724" w:type="dxa"/>
            <w:tcBorders/>
            <w:vAlign w:val="center"/>
          </w:tcPr>
          <w:p>
            <w:pPr>
              <w:pStyle w:val="TableContents"/>
              <w:pBdr/>
              <w:bidi w:val="0"/>
              <w:spacing w:before="0" w:after="0"/>
              <w:ind w:left="0" w:right="0" w:hanging="0"/>
              <w:jc w:val="left"/>
              <w:rPr/>
            </w:pPr>
            <w:hyperlink w:anchor="ITEM1CONDENSEDCONSOLIDATEDFINANCIALSTATE">
              <w:r>
                <w:rPr>
                  <w:rStyle w:val="InternetLink"/>
                  <w:rFonts w:ascii="Times New Roman;Times;serif" w:hAnsi="Times New Roman;Times;serif"/>
                  <w:b w:val="false"/>
                  <w:i w:val="false"/>
                  <w:caps w:val="false"/>
                  <w:smallCaps w:val="false"/>
                  <w:sz w:val="20"/>
                </w:rPr>
                <w:t>Item 1.</w:t>
              </w:r>
            </w:hyperlink>
          </w:p>
        </w:tc>
        <w:tc>
          <w:tcPr>
            <w:tcW w:w="8344" w:type="dxa"/>
            <w:tcBorders/>
            <w:vAlign w:val="center"/>
          </w:tcPr>
          <w:p>
            <w:pPr>
              <w:pStyle w:val="TableContents"/>
              <w:pBdr/>
              <w:bidi w:val="0"/>
              <w:spacing w:before="0" w:after="0"/>
              <w:ind w:left="0" w:right="0" w:hanging="0"/>
              <w:jc w:val="both"/>
              <w:rPr/>
            </w:pPr>
            <w:hyperlink w:anchor="ITEM1CONDENSEDCONSOLIDATEDFINANCIALSTATE">
              <w:r>
                <w:rPr>
                  <w:rStyle w:val="InternetLink"/>
                  <w:rFonts w:ascii="Times New Roman;Times;serif" w:hAnsi="Times New Roman;Times;serif"/>
                  <w:b w:val="false"/>
                  <w:i w:val="false"/>
                  <w:caps w:val="false"/>
                  <w:smallCaps w:val="false"/>
                  <w:sz w:val="20"/>
                </w:rPr>
                <w:t>Condensed Consolidated Financial Statements (Unaudited)</w:t>
              </w:r>
            </w:hyperlink>
          </w:p>
        </w:tc>
        <w:tc>
          <w:tcPr>
            <w:tcW w:w="32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24" w:type="dxa"/>
            <w:tcBorders/>
            <w:vAlign w:val="center"/>
          </w:tcPr>
          <w:p>
            <w:pPr>
              <w:pStyle w:val="TableContents"/>
              <w:bidi w:val="0"/>
              <w:spacing w:before="0" w:after="0"/>
              <w:ind w:left="0" w:right="0" w:hanging="0"/>
              <w:jc w:val="left"/>
              <w:rPr/>
            </w:pPr>
            <w:r>
              <w:rPr/>
              <w:t>​</w:t>
            </w:r>
          </w:p>
        </w:tc>
        <w:tc>
          <w:tcPr>
            <w:tcW w:w="834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24" w:type="dxa"/>
            <w:tcBorders/>
            <w:vAlign w:val="center"/>
          </w:tcPr>
          <w:p>
            <w:pPr>
              <w:pStyle w:val="TableContents"/>
              <w:bidi w:val="0"/>
              <w:spacing w:before="0" w:after="0"/>
              <w:ind w:left="0" w:right="0" w:hanging="0"/>
              <w:jc w:val="left"/>
              <w:rPr/>
            </w:pPr>
            <w:r>
              <w:rPr/>
              <w:t>​</w:t>
            </w:r>
          </w:p>
        </w:tc>
        <w:tc>
          <w:tcPr>
            <w:tcW w:w="8344" w:type="dxa"/>
            <w:tcBorders/>
            <w:vAlign w:val="center"/>
          </w:tcPr>
          <w:p>
            <w:pPr>
              <w:pStyle w:val="TableContents"/>
              <w:pBdr/>
              <w:bidi w:val="0"/>
              <w:spacing w:before="0" w:after="0"/>
              <w:ind w:left="0" w:right="0" w:hanging="0"/>
              <w:jc w:val="both"/>
              <w:rPr/>
            </w:pPr>
            <w:hyperlink w:anchor="CONDENSEDCONSOLIDATEDBALANCESHEETS_69653">
              <w:r>
                <w:rPr>
                  <w:rStyle w:val="InternetLink"/>
                  <w:rFonts w:ascii="Times New Roman;Times;serif" w:hAnsi="Times New Roman;Times;serif"/>
                  <w:b w:val="false"/>
                  <w:i w:val="false"/>
                  <w:caps w:val="false"/>
                  <w:smallCaps w:val="false"/>
                  <w:sz w:val="20"/>
                </w:rPr>
                <w:t>Condensed Consolidated Balance Sheets as of September 30, 2025 and December 31, 2024</w:t>
              </w:r>
            </w:hyperlink>
          </w:p>
        </w:tc>
        <w:tc>
          <w:tcPr>
            <w:tcW w:w="32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24" w:type="dxa"/>
            <w:tcBorders/>
            <w:vAlign w:val="center"/>
          </w:tcPr>
          <w:p>
            <w:pPr>
              <w:pStyle w:val="TableContents"/>
              <w:bidi w:val="0"/>
              <w:spacing w:before="0" w:after="0"/>
              <w:ind w:left="0" w:right="0" w:hanging="0"/>
              <w:jc w:val="left"/>
              <w:rPr/>
            </w:pPr>
            <w:r>
              <w:rPr/>
              <w:t>​</w:t>
            </w:r>
          </w:p>
        </w:tc>
        <w:tc>
          <w:tcPr>
            <w:tcW w:w="834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24" w:type="dxa"/>
            <w:tcBorders/>
            <w:vAlign w:val="center"/>
          </w:tcPr>
          <w:p>
            <w:pPr>
              <w:pStyle w:val="TableContents"/>
              <w:bidi w:val="0"/>
              <w:spacing w:before="0" w:after="0"/>
              <w:ind w:left="0" w:right="0" w:hanging="0"/>
              <w:jc w:val="left"/>
              <w:rPr/>
            </w:pPr>
            <w:r>
              <w:rPr/>
              <w:t>​</w:t>
            </w:r>
          </w:p>
        </w:tc>
        <w:tc>
          <w:tcPr>
            <w:tcW w:w="8344" w:type="dxa"/>
            <w:tcBorders/>
            <w:vAlign w:val="center"/>
          </w:tcPr>
          <w:p>
            <w:pPr>
              <w:pStyle w:val="TableContents"/>
              <w:bidi w:val="0"/>
              <w:spacing w:before="0" w:after="0"/>
              <w:ind w:left="0" w:right="0" w:hanging="0"/>
              <w:jc w:val="both"/>
              <w:rPr/>
            </w:pPr>
            <w:hyperlink w:anchor="STATEMENTSOFINCOME_393941">
              <w:r>
                <w:rPr>
                  <w:rStyle w:val="InternetLink"/>
                  <w:rFonts w:ascii="Times New Roman;Times;serif" w:hAnsi="Times New Roman;Times;serif"/>
                  <w:b w:val="false"/>
                  <w:i w:val="false"/>
                  <w:caps w:val="false"/>
                  <w:smallCaps w:val="false"/>
                  <w:sz w:val="20"/>
                </w:rPr>
                <w:t>Condensed Consolidated Statements of Income for the Three- and Nine-Months Ended September 30, 2025 and 2024</w:t>
              </w:r>
            </w:hyperlink>
          </w:p>
        </w:tc>
        <w:tc>
          <w:tcPr>
            <w:tcW w:w="32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24" w:type="dxa"/>
            <w:tcBorders/>
            <w:vAlign w:val="center"/>
          </w:tcPr>
          <w:p>
            <w:pPr>
              <w:pStyle w:val="TableContents"/>
              <w:bidi w:val="0"/>
              <w:spacing w:before="0" w:after="0"/>
              <w:ind w:left="0" w:right="0" w:hanging="0"/>
              <w:jc w:val="left"/>
              <w:rPr/>
            </w:pPr>
            <w:r>
              <w:rPr/>
              <w:t>​</w:t>
            </w:r>
          </w:p>
        </w:tc>
        <w:tc>
          <w:tcPr>
            <w:tcW w:w="834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24" w:type="dxa"/>
            <w:tcBorders/>
            <w:vAlign w:val="center"/>
          </w:tcPr>
          <w:p>
            <w:pPr>
              <w:pStyle w:val="TableContents"/>
              <w:bidi w:val="0"/>
              <w:spacing w:before="0" w:after="0"/>
              <w:ind w:left="0" w:right="0" w:hanging="0"/>
              <w:jc w:val="left"/>
              <w:rPr/>
            </w:pPr>
            <w:r>
              <w:rPr/>
              <w:t>​</w:t>
            </w:r>
          </w:p>
        </w:tc>
        <w:tc>
          <w:tcPr>
            <w:tcW w:w="8344" w:type="dxa"/>
            <w:tcBorders/>
            <w:vAlign w:val="center"/>
          </w:tcPr>
          <w:p>
            <w:pPr>
              <w:pStyle w:val="TableContents"/>
              <w:bidi w:val="0"/>
              <w:spacing w:before="0" w:after="0"/>
              <w:ind w:left="0" w:right="0" w:hanging="0"/>
              <w:jc w:val="both"/>
              <w:rPr/>
            </w:pPr>
            <w:hyperlink w:anchor="STATEMENTSOFCOMPREHENSIVEINCOME_19420">
              <w:r>
                <w:rPr>
                  <w:rStyle w:val="InternetLink"/>
                  <w:rFonts w:ascii="Times New Roman;Times;serif" w:hAnsi="Times New Roman;Times;serif"/>
                  <w:b w:val="false"/>
                  <w:i w:val="false"/>
                  <w:caps w:val="false"/>
                  <w:smallCaps w:val="false"/>
                  <w:sz w:val="20"/>
                </w:rPr>
                <w:t>Condensed Consolidated Statements of Comprehensive Income for the Three- and Nine-Months Ended September 30, 2025 and 2024</w:t>
              </w:r>
            </w:hyperlink>
          </w:p>
        </w:tc>
        <w:tc>
          <w:tcPr>
            <w:tcW w:w="32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24" w:type="dxa"/>
            <w:tcBorders/>
            <w:vAlign w:val="center"/>
          </w:tcPr>
          <w:p>
            <w:pPr>
              <w:pStyle w:val="TableContents"/>
              <w:bidi w:val="0"/>
              <w:spacing w:before="0" w:after="0"/>
              <w:ind w:left="0" w:right="0" w:hanging="0"/>
              <w:jc w:val="left"/>
              <w:rPr/>
            </w:pPr>
            <w:r>
              <w:rPr/>
              <w:t>​</w:t>
            </w:r>
          </w:p>
        </w:tc>
        <w:tc>
          <w:tcPr>
            <w:tcW w:w="834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24" w:type="dxa"/>
            <w:tcBorders/>
            <w:vAlign w:val="center"/>
          </w:tcPr>
          <w:p>
            <w:pPr>
              <w:pStyle w:val="TableContents"/>
              <w:bidi w:val="0"/>
              <w:spacing w:before="0" w:after="0"/>
              <w:ind w:left="0" w:right="0" w:hanging="0"/>
              <w:jc w:val="left"/>
              <w:rPr/>
            </w:pPr>
            <w:r>
              <w:rPr/>
              <w:t>​</w:t>
            </w:r>
          </w:p>
        </w:tc>
        <w:tc>
          <w:tcPr>
            <w:tcW w:w="8344" w:type="dxa"/>
            <w:tcBorders/>
            <w:vAlign w:val="center"/>
          </w:tcPr>
          <w:p>
            <w:pPr>
              <w:pStyle w:val="TableContents"/>
              <w:bidi w:val="0"/>
              <w:spacing w:before="0" w:after="0"/>
              <w:ind w:left="0" w:right="0" w:hanging="0"/>
              <w:jc w:val="both"/>
              <w:rPr/>
            </w:pPr>
            <w:hyperlink w:anchor="STATEMENTSOFSTOCKHOLDERSEQUITY_603690">
              <w:r>
                <w:rPr>
                  <w:rStyle w:val="InternetLink"/>
                  <w:rFonts w:ascii="Times New Roman;Times;serif" w:hAnsi="Times New Roman;Times;serif"/>
                  <w:b w:val="false"/>
                  <w:i w:val="false"/>
                  <w:caps w:val="false"/>
                  <w:smallCaps w:val="false"/>
                  <w:sz w:val="20"/>
                </w:rPr>
                <w:t>Condensed Consolidated Statements of Stockholders’ Equity for the Three- and Nine-Months Ended September 30, 2025 and 2024</w:t>
              </w:r>
            </w:hyperlink>
          </w:p>
        </w:tc>
        <w:tc>
          <w:tcPr>
            <w:tcW w:w="32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24" w:type="dxa"/>
            <w:tcBorders/>
            <w:vAlign w:val="center"/>
          </w:tcPr>
          <w:p>
            <w:pPr>
              <w:pStyle w:val="TableContents"/>
              <w:bidi w:val="0"/>
              <w:spacing w:before="0" w:after="0"/>
              <w:ind w:left="0" w:right="0" w:hanging="0"/>
              <w:jc w:val="left"/>
              <w:rPr/>
            </w:pPr>
            <w:r>
              <w:rPr/>
              <w:t>​</w:t>
            </w:r>
          </w:p>
        </w:tc>
        <w:tc>
          <w:tcPr>
            <w:tcW w:w="834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24" w:type="dxa"/>
            <w:tcBorders/>
            <w:vAlign w:val="center"/>
          </w:tcPr>
          <w:p>
            <w:pPr>
              <w:pStyle w:val="TableContents"/>
              <w:bidi w:val="0"/>
              <w:spacing w:before="0" w:after="0"/>
              <w:ind w:left="0" w:right="0" w:hanging="0"/>
              <w:jc w:val="left"/>
              <w:rPr/>
            </w:pPr>
            <w:r>
              <w:rPr/>
              <w:t>​</w:t>
            </w:r>
          </w:p>
        </w:tc>
        <w:tc>
          <w:tcPr>
            <w:tcW w:w="8344" w:type="dxa"/>
            <w:tcBorders/>
            <w:vAlign w:val="center"/>
          </w:tcPr>
          <w:p>
            <w:pPr>
              <w:pStyle w:val="TableContents"/>
              <w:pBdr/>
              <w:bidi w:val="0"/>
              <w:spacing w:before="0" w:after="0"/>
              <w:ind w:left="0" w:right="0" w:hanging="0"/>
              <w:jc w:val="both"/>
              <w:rPr/>
            </w:pPr>
            <w:hyperlink w:anchor="STATEMENTSOFCASHFLOWS_392736">
              <w:r>
                <w:rPr>
                  <w:rStyle w:val="InternetLink"/>
                  <w:rFonts w:ascii="Times New Roman;Times;serif" w:hAnsi="Times New Roman;Times;serif"/>
                  <w:b w:val="false"/>
                  <w:i w:val="false"/>
                  <w:caps w:val="false"/>
                  <w:smallCaps w:val="false"/>
                  <w:sz w:val="20"/>
                </w:rPr>
                <w:t>Condensed Consolidated Statements of Cash Flows for the Nine-Months Ended September 30, 2025 and 2024</w:t>
              </w:r>
            </w:hyperlink>
          </w:p>
        </w:tc>
        <w:tc>
          <w:tcPr>
            <w:tcW w:w="32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724" w:type="dxa"/>
            <w:tcBorders/>
            <w:vAlign w:val="center"/>
          </w:tcPr>
          <w:p>
            <w:pPr>
              <w:pStyle w:val="TableContents"/>
              <w:bidi w:val="0"/>
              <w:spacing w:before="0" w:after="0"/>
              <w:ind w:left="0" w:right="0" w:hanging="0"/>
              <w:jc w:val="left"/>
              <w:rPr/>
            </w:pPr>
            <w:r>
              <w:rPr/>
              <w:t>​</w:t>
            </w:r>
          </w:p>
        </w:tc>
        <w:tc>
          <w:tcPr>
            <w:tcW w:w="834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24" w:type="dxa"/>
            <w:tcBorders/>
            <w:vAlign w:val="center"/>
          </w:tcPr>
          <w:p>
            <w:pPr>
              <w:pStyle w:val="TableContents"/>
              <w:bidi w:val="0"/>
              <w:spacing w:before="0" w:after="0"/>
              <w:ind w:left="0" w:right="0" w:hanging="0"/>
              <w:jc w:val="left"/>
              <w:rPr/>
            </w:pPr>
            <w:r>
              <w:rPr/>
              <w:t>​</w:t>
            </w:r>
          </w:p>
        </w:tc>
        <w:tc>
          <w:tcPr>
            <w:tcW w:w="8344" w:type="dxa"/>
            <w:tcBorders/>
            <w:vAlign w:val="center"/>
          </w:tcPr>
          <w:p>
            <w:pPr>
              <w:pStyle w:val="TableContents"/>
              <w:pBdr/>
              <w:bidi w:val="0"/>
              <w:spacing w:before="0" w:after="0"/>
              <w:ind w:left="0" w:right="0" w:hanging="0"/>
              <w:jc w:val="both"/>
              <w:rPr/>
            </w:pPr>
            <w:hyperlink w:anchor="a1BASISOFPRESENTATION_156061">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32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724" w:type="dxa"/>
            <w:tcBorders/>
            <w:vAlign w:val="center"/>
          </w:tcPr>
          <w:p>
            <w:pPr>
              <w:pStyle w:val="TableContents"/>
              <w:bidi w:val="0"/>
              <w:spacing w:before="0" w:after="0"/>
              <w:ind w:left="0" w:right="0" w:hanging="0"/>
              <w:jc w:val="left"/>
              <w:rPr/>
            </w:pPr>
            <w:r>
              <w:rPr/>
              <w:t>​</w:t>
            </w:r>
          </w:p>
        </w:tc>
        <w:tc>
          <w:tcPr>
            <w:tcW w:w="834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24" w:type="dxa"/>
            <w:tcBorders/>
            <w:vAlign w:val="center"/>
          </w:tcPr>
          <w:p>
            <w:pPr>
              <w:pStyle w:val="TableContents"/>
              <w:pBdr/>
              <w:bidi w:val="0"/>
              <w:spacing w:before="0" w:after="0"/>
              <w:ind w:left="0" w:right="0" w:hanging="0"/>
              <w:jc w:val="left"/>
              <w:rPr/>
            </w:pPr>
            <w:hyperlink w:anchor="ITEM2MANAGEMENTSDISCUSSIONANDANALYSIS_40">
              <w:r>
                <w:rPr>
                  <w:rStyle w:val="InternetLink"/>
                  <w:rFonts w:ascii="Times New Roman;Times;serif" w:hAnsi="Times New Roman;Times;serif"/>
                  <w:b w:val="false"/>
                  <w:i w:val="false"/>
                  <w:caps w:val="false"/>
                  <w:smallCaps w:val="false"/>
                  <w:sz w:val="20"/>
                </w:rPr>
                <w:t>Item 2.</w:t>
              </w:r>
            </w:hyperlink>
          </w:p>
        </w:tc>
        <w:tc>
          <w:tcPr>
            <w:tcW w:w="8344" w:type="dxa"/>
            <w:tcBorders/>
            <w:vAlign w:val="center"/>
          </w:tcPr>
          <w:p>
            <w:pPr>
              <w:pStyle w:val="TableContents"/>
              <w:pBdr/>
              <w:bidi w:val="0"/>
              <w:spacing w:before="0" w:after="0"/>
              <w:ind w:left="0" w:right="0" w:hanging="0"/>
              <w:jc w:val="both"/>
              <w:rPr/>
            </w:pPr>
            <w:hyperlink w:anchor="ITEM2MANAGEMENTSDISCUSSIONANDANALYSIS_40">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2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724" w:type="dxa"/>
            <w:tcBorders/>
            <w:vAlign w:val="center"/>
          </w:tcPr>
          <w:p>
            <w:pPr>
              <w:pStyle w:val="TableContents"/>
              <w:bidi w:val="0"/>
              <w:spacing w:before="0" w:after="0"/>
              <w:ind w:left="0" w:right="0" w:hanging="0"/>
              <w:jc w:val="left"/>
              <w:rPr/>
            </w:pPr>
            <w:r>
              <w:rPr/>
              <w:t>​</w:t>
            </w:r>
          </w:p>
        </w:tc>
        <w:tc>
          <w:tcPr>
            <w:tcW w:w="834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24" w:type="dxa"/>
            <w:tcBorders/>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344" w:type="dxa"/>
            <w:tcBorders/>
            <w:vAlign w:val="center"/>
          </w:tcPr>
          <w:p>
            <w:pPr>
              <w:pStyle w:val="TableContents"/>
              <w:pBdr/>
              <w:bidi w:val="0"/>
              <w:spacing w:before="0" w:after="0"/>
              <w:ind w:left="0" w:right="0" w:hanging="0"/>
              <w:jc w:val="both"/>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2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724" w:type="dxa"/>
            <w:tcBorders/>
            <w:vAlign w:val="center"/>
          </w:tcPr>
          <w:p>
            <w:pPr>
              <w:pStyle w:val="TableContents"/>
              <w:bidi w:val="0"/>
              <w:spacing w:before="0" w:after="0"/>
              <w:ind w:left="0" w:right="0" w:hanging="0"/>
              <w:jc w:val="left"/>
              <w:rPr/>
            </w:pPr>
            <w:r>
              <w:rPr/>
              <w:t>​</w:t>
            </w:r>
          </w:p>
        </w:tc>
        <w:tc>
          <w:tcPr>
            <w:tcW w:w="834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24" w:type="dxa"/>
            <w:tcBorders/>
            <w:vAlign w:val="center"/>
          </w:tcPr>
          <w:p>
            <w:pPr>
              <w:pStyle w:val="TableContents"/>
              <w:pBdr/>
              <w:bidi w:val="0"/>
              <w:spacing w:before="0" w:after="0"/>
              <w:ind w:left="0" w:right="0" w:hanging="0"/>
              <w:jc w:val="left"/>
              <w:rPr/>
            </w:pPr>
            <w:hyperlink w:anchor="ITEM4CONTROLSANDPROCEDURES_270637">
              <w:r>
                <w:rPr>
                  <w:rStyle w:val="InternetLink"/>
                  <w:rFonts w:ascii="Times New Roman;Times;serif" w:hAnsi="Times New Roman;Times;serif"/>
                  <w:b w:val="false"/>
                  <w:i w:val="false"/>
                  <w:caps w:val="false"/>
                  <w:smallCaps w:val="false"/>
                  <w:sz w:val="20"/>
                </w:rPr>
                <w:t>Item 4.</w:t>
              </w:r>
            </w:hyperlink>
          </w:p>
        </w:tc>
        <w:tc>
          <w:tcPr>
            <w:tcW w:w="8344" w:type="dxa"/>
            <w:tcBorders/>
            <w:vAlign w:val="center"/>
          </w:tcPr>
          <w:p>
            <w:pPr>
              <w:pStyle w:val="TableContents"/>
              <w:pBdr/>
              <w:bidi w:val="0"/>
              <w:spacing w:before="0" w:after="0"/>
              <w:ind w:left="0" w:right="0" w:hanging="0"/>
              <w:jc w:val="both"/>
              <w:rPr/>
            </w:pPr>
            <w:hyperlink w:anchor="ITEM4CONTROLSANDPROCEDURES_270637">
              <w:r>
                <w:rPr>
                  <w:rStyle w:val="InternetLink"/>
                  <w:rFonts w:ascii="Times New Roman;Times;serif" w:hAnsi="Times New Roman;Times;serif"/>
                  <w:b w:val="false"/>
                  <w:i w:val="false"/>
                  <w:caps w:val="false"/>
                  <w:smallCaps w:val="false"/>
                  <w:sz w:val="20"/>
                </w:rPr>
                <w:t>Controls and Procedures</w:t>
              </w:r>
            </w:hyperlink>
          </w:p>
        </w:tc>
        <w:tc>
          <w:tcPr>
            <w:tcW w:w="32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724" w:type="dxa"/>
            <w:tcBorders/>
            <w:vAlign w:val="center"/>
          </w:tcPr>
          <w:p>
            <w:pPr>
              <w:pStyle w:val="TableContents"/>
              <w:bidi w:val="0"/>
              <w:spacing w:before="0" w:after="0"/>
              <w:ind w:left="0" w:right="0" w:hanging="0"/>
              <w:jc w:val="left"/>
              <w:rPr/>
            </w:pPr>
            <w:r>
              <w:rPr/>
              <w:t>​</w:t>
            </w:r>
          </w:p>
        </w:tc>
        <w:tc>
          <w:tcPr>
            <w:tcW w:w="834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24" w:type="dxa"/>
            <w:tcBorders/>
            <w:vAlign w:val="center"/>
          </w:tcPr>
          <w:p>
            <w:pPr>
              <w:pStyle w:val="TableContents"/>
              <w:pBdr/>
              <w:bidi w:val="0"/>
              <w:spacing w:before="0" w:after="0"/>
              <w:ind w:left="0" w:right="0" w:hanging="0"/>
              <w:jc w:val="left"/>
              <w:rPr/>
            </w:pPr>
            <w:hyperlink w:anchor="PARTIIOTHERINFORMATION_669833">
              <w:r>
                <w:rPr>
                  <w:rStyle w:val="InternetLink"/>
                  <w:rFonts w:ascii="Times New Roman;Times;serif" w:hAnsi="Times New Roman;Times;serif"/>
                  <w:b/>
                  <w:i w:val="false"/>
                  <w:caps w:val="false"/>
                  <w:smallCaps w:val="false"/>
                  <w:sz w:val="20"/>
                </w:rPr>
                <w:t>Part II.</w:t>
              </w:r>
            </w:hyperlink>
          </w:p>
        </w:tc>
        <w:tc>
          <w:tcPr>
            <w:tcW w:w="8344" w:type="dxa"/>
            <w:tcBorders/>
            <w:vAlign w:val="center"/>
          </w:tcPr>
          <w:p>
            <w:pPr>
              <w:pStyle w:val="TableContents"/>
              <w:bidi w:val="0"/>
              <w:spacing w:before="0" w:after="0"/>
              <w:ind w:left="0" w:right="0" w:hanging="0"/>
              <w:jc w:val="both"/>
              <w:rPr/>
            </w:pPr>
            <w:hyperlink w:anchor="PARTIIOTHERINFORMATION_669833">
              <w:r>
                <w:rPr>
                  <w:rStyle w:val="InternetLink"/>
                  <w:rFonts w:ascii="Times New Roman;Times;serif" w:hAnsi="Times New Roman;Times;serif"/>
                  <w:b/>
                  <w:i w:val="false"/>
                  <w:caps w:val="false"/>
                  <w:smallCaps w:val="false"/>
                  <w:sz w:val="20"/>
                </w:rPr>
                <w:t>OTHER INFORMATION</w:t>
              </w:r>
            </w:hyperlink>
          </w:p>
        </w:tc>
        <w:tc>
          <w:tcPr>
            <w:tcW w:w="32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24" w:type="dxa"/>
            <w:tcBorders/>
            <w:vAlign w:val="center"/>
          </w:tcPr>
          <w:p>
            <w:pPr>
              <w:pStyle w:val="TableContents"/>
              <w:bidi w:val="0"/>
              <w:spacing w:before="0" w:after="0"/>
              <w:ind w:left="0" w:right="0" w:hanging="0"/>
              <w:jc w:val="left"/>
              <w:rPr/>
            </w:pPr>
            <w:r>
              <w:rPr/>
              <w:t>​</w:t>
            </w:r>
          </w:p>
        </w:tc>
        <w:tc>
          <w:tcPr>
            <w:tcW w:w="834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24" w:type="dxa"/>
            <w:tcBorders/>
            <w:vAlign w:val="center"/>
          </w:tcPr>
          <w:p>
            <w:pPr>
              <w:pStyle w:val="TableContents"/>
              <w:pBdr/>
              <w:bidi w:val="0"/>
              <w:spacing w:before="0" w:after="0"/>
              <w:ind w:left="0" w:right="0" w:hanging="0"/>
              <w:jc w:val="left"/>
              <w:rPr/>
            </w:pPr>
            <w:hyperlink w:anchor="ITEM1LEGALPROCEEDINGS_448899">
              <w:r>
                <w:rPr>
                  <w:rStyle w:val="InternetLink"/>
                  <w:rFonts w:ascii="Times New Roman;Times;serif" w:hAnsi="Times New Roman;Times;serif"/>
                  <w:b w:val="false"/>
                  <w:i w:val="false"/>
                  <w:caps w:val="false"/>
                  <w:smallCaps w:val="false"/>
                  <w:sz w:val="20"/>
                </w:rPr>
                <w:t>Item 1.</w:t>
              </w:r>
            </w:hyperlink>
          </w:p>
        </w:tc>
        <w:tc>
          <w:tcPr>
            <w:tcW w:w="8344" w:type="dxa"/>
            <w:tcBorders/>
            <w:vAlign w:val="center"/>
          </w:tcPr>
          <w:p>
            <w:pPr>
              <w:pStyle w:val="TableContents"/>
              <w:pBdr/>
              <w:bidi w:val="0"/>
              <w:spacing w:before="0" w:after="0"/>
              <w:ind w:left="0" w:right="0" w:hanging="0"/>
              <w:jc w:val="both"/>
              <w:rPr/>
            </w:pPr>
            <w:hyperlink w:anchor="ITEM1LEGALPROCEEDINGS_448899">
              <w:r>
                <w:rPr>
                  <w:rStyle w:val="InternetLink"/>
                  <w:rFonts w:ascii="Times New Roman;Times;serif" w:hAnsi="Times New Roman;Times;serif"/>
                  <w:b w:val="false"/>
                  <w:i w:val="false"/>
                  <w:caps w:val="false"/>
                  <w:smallCaps w:val="false"/>
                  <w:sz w:val="20"/>
                </w:rPr>
                <w:t>Legal Proceedings</w:t>
              </w:r>
            </w:hyperlink>
          </w:p>
        </w:tc>
        <w:tc>
          <w:tcPr>
            <w:tcW w:w="32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724" w:type="dxa"/>
            <w:tcBorders/>
            <w:vAlign w:val="center"/>
          </w:tcPr>
          <w:p>
            <w:pPr>
              <w:pStyle w:val="TableContents"/>
              <w:bidi w:val="0"/>
              <w:spacing w:before="0" w:after="0"/>
              <w:ind w:left="0" w:right="0" w:hanging="0"/>
              <w:jc w:val="left"/>
              <w:rPr/>
            </w:pPr>
            <w:r>
              <w:rPr/>
              <w:t>​</w:t>
            </w:r>
          </w:p>
        </w:tc>
        <w:tc>
          <w:tcPr>
            <w:tcW w:w="834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24" w:type="dxa"/>
            <w:tcBorders/>
            <w:vAlign w:val="center"/>
          </w:tcPr>
          <w:p>
            <w:pPr>
              <w:pStyle w:val="TableContents"/>
              <w:pBdr/>
              <w:bidi w:val="0"/>
              <w:spacing w:before="0" w:after="0"/>
              <w:ind w:left="0" w:right="0" w:hanging="0"/>
              <w:jc w:val="left"/>
              <w:rPr/>
            </w:pPr>
            <w:hyperlink w:anchor="ITEM1ARISKFACTORS_609704">
              <w:r>
                <w:rPr>
                  <w:rStyle w:val="InternetLink"/>
                  <w:rFonts w:ascii="Times New Roman;Times;serif" w:hAnsi="Times New Roman;Times;serif"/>
                  <w:b w:val="false"/>
                  <w:i w:val="false"/>
                  <w:caps w:val="false"/>
                  <w:smallCaps w:val="false"/>
                  <w:sz w:val="20"/>
                </w:rPr>
                <w:t>Item 1A.</w:t>
              </w:r>
            </w:hyperlink>
          </w:p>
        </w:tc>
        <w:tc>
          <w:tcPr>
            <w:tcW w:w="8344" w:type="dxa"/>
            <w:tcBorders/>
            <w:vAlign w:val="center"/>
          </w:tcPr>
          <w:p>
            <w:pPr>
              <w:pStyle w:val="TableContents"/>
              <w:pBdr/>
              <w:bidi w:val="0"/>
              <w:spacing w:before="0" w:after="0"/>
              <w:ind w:left="0" w:right="0" w:hanging="0"/>
              <w:jc w:val="both"/>
              <w:rPr/>
            </w:pPr>
            <w:hyperlink w:anchor="ITEM1ARISKFACTORS_609704">
              <w:r>
                <w:rPr>
                  <w:rStyle w:val="InternetLink"/>
                  <w:rFonts w:ascii="Times New Roman;Times;serif" w:hAnsi="Times New Roman;Times;serif"/>
                  <w:b w:val="false"/>
                  <w:i w:val="false"/>
                  <w:caps w:val="false"/>
                  <w:smallCaps w:val="false"/>
                  <w:sz w:val="20"/>
                </w:rPr>
                <w:t>Risk Factors</w:t>
              </w:r>
            </w:hyperlink>
          </w:p>
        </w:tc>
        <w:tc>
          <w:tcPr>
            <w:tcW w:w="32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724" w:type="dxa"/>
            <w:tcBorders/>
            <w:vAlign w:val="center"/>
          </w:tcPr>
          <w:p>
            <w:pPr>
              <w:pStyle w:val="TableContents"/>
              <w:bidi w:val="0"/>
              <w:spacing w:before="0" w:after="0"/>
              <w:ind w:left="0" w:right="0" w:hanging="0"/>
              <w:jc w:val="left"/>
              <w:rPr/>
            </w:pPr>
            <w:r>
              <w:rPr/>
              <w:t>​</w:t>
            </w:r>
          </w:p>
        </w:tc>
        <w:tc>
          <w:tcPr>
            <w:tcW w:w="834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24" w:type="dxa"/>
            <w:tcBorders/>
            <w:vAlign w:val="center"/>
          </w:tcPr>
          <w:p>
            <w:pPr>
              <w:pStyle w:val="TableContents"/>
              <w:pBdr/>
              <w:bidi w:val="0"/>
              <w:spacing w:before="0" w:after="0"/>
              <w:ind w:left="0" w:right="0" w:hanging="0"/>
              <w:jc w:val="left"/>
              <w:rPr/>
            </w:pPr>
            <w:hyperlink w:anchor="ITEM2UNREGISTEREDSALESOFEQUITY_417570">
              <w:r>
                <w:rPr>
                  <w:rStyle w:val="InternetLink"/>
                  <w:rFonts w:ascii="Times New Roman;Times;serif" w:hAnsi="Times New Roman;Times;serif"/>
                  <w:b w:val="false"/>
                  <w:i w:val="false"/>
                  <w:caps w:val="false"/>
                  <w:smallCaps w:val="false"/>
                  <w:sz w:val="20"/>
                </w:rPr>
                <w:t>Item 2.</w:t>
              </w:r>
            </w:hyperlink>
          </w:p>
        </w:tc>
        <w:tc>
          <w:tcPr>
            <w:tcW w:w="8344" w:type="dxa"/>
            <w:tcBorders/>
            <w:vAlign w:val="center"/>
          </w:tcPr>
          <w:p>
            <w:pPr>
              <w:pStyle w:val="TableContents"/>
              <w:pBdr/>
              <w:bidi w:val="0"/>
              <w:spacing w:before="0" w:after="0"/>
              <w:ind w:left="0" w:right="0" w:hanging="0"/>
              <w:jc w:val="both"/>
              <w:rPr/>
            </w:pPr>
            <w:hyperlink w:anchor="ITEM2UNREGISTEREDSALESOFEQUITY_417570">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2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724" w:type="dxa"/>
            <w:tcBorders/>
            <w:vAlign w:val="center"/>
          </w:tcPr>
          <w:p>
            <w:pPr>
              <w:pStyle w:val="TableContents"/>
              <w:bidi w:val="0"/>
              <w:spacing w:before="0" w:after="0"/>
              <w:ind w:left="0" w:right="0" w:hanging="0"/>
              <w:jc w:val="left"/>
              <w:rPr/>
            </w:pPr>
            <w:r>
              <w:rPr/>
              <w:t>​</w:t>
            </w:r>
          </w:p>
        </w:tc>
        <w:tc>
          <w:tcPr>
            <w:tcW w:w="834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24" w:type="dxa"/>
            <w:tcBorders/>
            <w:vAlign w:val="center"/>
          </w:tcPr>
          <w:p>
            <w:pPr>
              <w:pStyle w:val="TableContents"/>
              <w:pBdr/>
              <w:bidi w:val="0"/>
              <w:spacing w:before="0" w:after="0"/>
              <w:ind w:left="0" w:right="0" w:hanging="0"/>
              <w:jc w:val="left"/>
              <w:rPr/>
            </w:pPr>
            <w:hyperlink w:anchor="ITEM3DEFAULTSUPONSENIORSECURITIES_753663">
              <w:r>
                <w:rPr>
                  <w:rStyle w:val="InternetLink"/>
                  <w:rFonts w:ascii="Times New Roman;Times;serif" w:hAnsi="Times New Roman;Times;serif"/>
                  <w:b w:val="false"/>
                  <w:i w:val="false"/>
                  <w:caps w:val="false"/>
                  <w:smallCaps w:val="false"/>
                  <w:sz w:val="20"/>
                </w:rPr>
                <w:t>Item 3.</w:t>
              </w:r>
            </w:hyperlink>
          </w:p>
        </w:tc>
        <w:tc>
          <w:tcPr>
            <w:tcW w:w="8344" w:type="dxa"/>
            <w:tcBorders/>
            <w:vAlign w:val="center"/>
          </w:tcPr>
          <w:p>
            <w:pPr>
              <w:pStyle w:val="TableContents"/>
              <w:pBdr/>
              <w:bidi w:val="0"/>
              <w:spacing w:before="0" w:after="0"/>
              <w:ind w:left="0" w:right="0" w:hanging="0"/>
              <w:jc w:val="both"/>
              <w:rPr/>
            </w:pPr>
            <w:hyperlink w:anchor="ITEM3DEFAULTSUPONSENIORSECURITIES_753663">
              <w:r>
                <w:rPr>
                  <w:rStyle w:val="InternetLink"/>
                  <w:rFonts w:ascii="Times New Roman;Times;serif" w:hAnsi="Times New Roman;Times;serif"/>
                  <w:b w:val="false"/>
                  <w:i w:val="false"/>
                  <w:caps w:val="false"/>
                  <w:smallCaps w:val="false"/>
                  <w:sz w:val="20"/>
                </w:rPr>
                <w:t>Defaults Upon Senior Securities</w:t>
              </w:r>
            </w:hyperlink>
          </w:p>
        </w:tc>
        <w:tc>
          <w:tcPr>
            <w:tcW w:w="32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724" w:type="dxa"/>
            <w:tcBorders/>
            <w:vAlign w:val="center"/>
          </w:tcPr>
          <w:p>
            <w:pPr>
              <w:pStyle w:val="TableContents"/>
              <w:bidi w:val="0"/>
              <w:spacing w:before="0" w:after="0"/>
              <w:ind w:left="0" w:right="0" w:hanging="0"/>
              <w:jc w:val="left"/>
              <w:rPr/>
            </w:pPr>
            <w:r>
              <w:rPr/>
              <w:t>​</w:t>
            </w:r>
          </w:p>
        </w:tc>
        <w:tc>
          <w:tcPr>
            <w:tcW w:w="834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24" w:type="dxa"/>
            <w:tcBorders/>
            <w:vAlign w:val="center"/>
          </w:tcPr>
          <w:p>
            <w:pPr>
              <w:pStyle w:val="TableContents"/>
              <w:pBdr/>
              <w:bidi w:val="0"/>
              <w:spacing w:before="0" w:after="0"/>
              <w:ind w:left="0" w:right="0" w:hanging="0"/>
              <w:jc w:val="left"/>
              <w:rPr/>
            </w:pPr>
            <w:hyperlink w:anchor="ITEM4MINESAFETYDISCLOSURES_417702">
              <w:r>
                <w:rPr>
                  <w:rStyle w:val="InternetLink"/>
                  <w:rFonts w:ascii="Times New Roman;Times;serif" w:hAnsi="Times New Roman;Times;serif"/>
                  <w:b w:val="false"/>
                  <w:i w:val="false"/>
                  <w:caps w:val="false"/>
                  <w:smallCaps w:val="false"/>
                  <w:sz w:val="20"/>
                </w:rPr>
                <w:t>Item 4.</w:t>
              </w:r>
            </w:hyperlink>
          </w:p>
        </w:tc>
        <w:tc>
          <w:tcPr>
            <w:tcW w:w="8344" w:type="dxa"/>
            <w:tcBorders/>
            <w:vAlign w:val="center"/>
          </w:tcPr>
          <w:p>
            <w:pPr>
              <w:pStyle w:val="TableContents"/>
              <w:pBdr/>
              <w:bidi w:val="0"/>
              <w:spacing w:before="0" w:after="0"/>
              <w:ind w:left="0" w:right="0" w:hanging="0"/>
              <w:jc w:val="both"/>
              <w:rPr/>
            </w:pPr>
            <w:hyperlink w:anchor="ITEM4MINESAFETYDISCLOSURES_417702">
              <w:r>
                <w:rPr>
                  <w:rStyle w:val="InternetLink"/>
                  <w:rFonts w:ascii="Times New Roman;Times;serif" w:hAnsi="Times New Roman;Times;serif"/>
                  <w:b w:val="false"/>
                  <w:i w:val="false"/>
                  <w:caps w:val="false"/>
                  <w:smallCaps w:val="false"/>
                  <w:sz w:val="20"/>
                </w:rPr>
                <w:t>Mine Safety Disclosures</w:t>
              </w:r>
            </w:hyperlink>
          </w:p>
        </w:tc>
        <w:tc>
          <w:tcPr>
            <w:tcW w:w="32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724" w:type="dxa"/>
            <w:tcBorders/>
            <w:vAlign w:val="center"/>
          </w:tcPr>
          <w:p>
            <w:pPr>
              <w:pStyle w:val="TableContents"/>
              <w:bidi w:val="0"/>
              <w:spacing w:before="0" w:after="0"/>
              <w:ind w:left="0" w:right="0" w:hanging="0"/>
              <w:jc w:val="left"/>
              <w:rPr/>
            </w:pPr>
            <w:r>
              <w:rPr/>
              <w:t>​</w:t>
            </w:r>
          </w:p>
        </w:tc>
        <w:tc>
          <w:tcPr>
            <w:tcW w:w="834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24" w:type="dxa"/>
            <w:tcBorders/>
            <w:vAlign w:val="center"/>
          </w:tcPr>
          <w:p>
            <w:pPr>
              <w:pStyle w:val="TableContents"/>
              <w:pBdr/>
              <w:bidi w:val="0"/>
              <w:spacing w:before="0" w:after="0"/>
              <w:ind w:left="0" w:right="0" w:hanging="0"/>
              <w:jc w:val="left"/>
              <w:rPr/>
            </w:pPr>
            <w:hyperlink w:anchor="ITEM5OTHERINFORMATION_353440">
              <w:r>
                <w:rPr>
                  <w:rStyle w:val="InternetLink"/>
                  <w:rFonts w:ascii="Times New Roman;Times;serif" w:hAnsi="Times New Roman;Times;serif"/>
                  <w:b w:val="false"/>
                  <w:i w:val="false"/>
                  <w:caps w:val="false"/>
                  <w:smallCaps w:val="false"/>
                  <w:sz w:val="20"/>
                </w:rPr>
                <w:t>Item 5.</w:t>
              </w:r>
            </w:hyperlink>
          </w:p>
        </w:tc>
        <w:tc>
          <w:tcPr>
            <w:tcW w:w="8344" w:type="dxa"/>
            <w:tcBorders/>
            <w:vAlign w:val="center"/>
          </w:tcPr>
          <w:p>
            <w:pPr>
              <w:pStyle w:val="TableContents"/>
              <w:pBdr/>
              <w:bidi w:val="0"/>
              <w:spacing w:before="0" w:after="0"/>
              <w:ind w:left="0" w:right="0" w:hanging="0"/>
              <w:jc w:val="both"/>
              <w:rPr/>
            </w:pPr>
            <w:hyperlink w:anchor="ITEM5OTHERINFORMATION_353440">
              <w:r>
                <w:rPr>
                  <w:rStyle w:val="InternetLink"/>
                  <w:rFonts w:ascii="Times New Roman;Times;serif" w:hAnsi="Times New Roman;Times;serif"/>
                  <w:b w:val="false"/>
                  <w:i w:val="false"/>
                  <w:caps w:val="false"/>
                  <w:smallCaps w:val="false"/>
                  <w:sz w:val="20"/>
                </w:rPr>
                <w:t>Other Information</w:t>
              </w:r>
            </w:hyperlink>
          </w:p>
        </w:tc>
        <w:tc>
          <w:tcPr>
            <w:tcW w:w="32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724" w:type="dxa"/>
            <w:tcBorders/>
            <w:vAlign w:val="center"/>
          </w:tcPr>
          <w:p>
            <w:pPr>
              <w:pStyle w:val="TableContents"/>
              <w:bidi w:val="0"/>
              <w:spacing w:before="0" w:after="0"/>
              <w:ind w:left="0" w:right="0" w:hanging="0"/>
              <w:jc w:val="left"/>
              <w:rPr/>
            </w:pPr>
            <w:r>
              <w:rPr/>
              <w:t>​</w:t>
            </w:r>
          </w:p>
        </w:tc>
        <w:tc>
          <w:tcPr>
            <w:tcW w:w="834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24" w:type="dxa"/>
            <w:tcBorders/>
            <w:vAlign w:val="center"/>
          </w:tcPr>
          <w:p>
            <w:pPr>
              <w:pStyle w:val="TableContents"/>
              <w:pBdr/>
              <w:bidi w:val="0"/>
              <w:spacing w:before="0" w:after="0"/>
              <w:ind w:left="0" w:right="0" w:hanging="0"/>
              <w:jc w:val="left"/>
              <w:rPr/>
            </w:pPr>
            <w:hyperlink w:anchor="ITEM6EXHIBITS_20622">
              <w:r>
                <w:rPr>
                  <w:rStyle w:val="InternetLink"/>
                  <w:rFonts w:ascii="Times New Roman;Times;serif" w:hAnsi="Times New Roman;Times;serif"/>
                  <w:b w:val="false"/>
                  <w:i w:val="false"/>
                  <w:caps w:val="false"/>
                  <w:smallCaps w:val="false"/>
                  <w:sz w:val="20"/>
                </w:rPr>
                <w:t>Item 6.</w:t>
              </w:r>
            </w:hyperlink>
          </w:p>
        </w:tc>
        <w:tc>
          <w:tcPr>
            <w:tcW w:w="8344" w:type="dxa"/>
            <w:tcBorders/>
            <w:vAlign w:val="center"/>
          </w:tcPr>
          <w:p>
            <w:pPr>
              <w:pStyle w:val="TableContents"/>
              <w:pBdr/>
              <w:bidi w:val="0"/>
              <w:spacing w:before="0" w:after="0"/>
              <w:ind w:left="0" w:right="0" w:hanging="0"/>
              <w:jc w:val="both"/>
              <w:rPr/>
            </w:pPr>
            <w:hyperlink w:anchor="ITEM6EXHIBITS_20622">
              <w:r>
                <w:rPr>
                  <w:rStyle w:val="InternetLink"/>
                  <w:rFonts w:ascii="Times New Roman;Times;serif" w:hAnsi="Times New Roman;Times;serif"/>
                  <w:b w:val="false"/>
                  <w:i w:val="false"/>
                  <w:caps w:val="false"/>
                  <w:smallCaps w:val="false"/>
                  <w:sz w:val="20"/>
                </w:rPr>
                <w:t>Exhibits</w:t>
              </w:r>
            </w:hyperlink>
          </w:p>
        </w:tc>
        <w:tc>
          <w:tcPr>
            <w:tcW w:w="32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724" w:type="dxa"/>
            <w:tcBorders/>
            <w:vAlign w:val="center"/>
          </w:tcPr>
          <w:p>
            <w:pPr>
              <w:pStyle w:val="TableContents"/>
              <w:bidi w:val="0"/>
              <w:spacing w:before="0" w:after="0"/>
              <w:ind w:left="0" w:right="0" w:hanging="0"/>
              <w:jc w:val="left"/>
              <w:rPr/>
            </w:pPr>
            <w:r>
              <w:rPr/>
              <w:t>​</w:t>
            </w:r>
          </w:p>
        </w:tc>
        <w:tc>
          <w:tcPr>
            <w:tcW w:w="834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24" w:type="dxa"/>
            <w:tcBorders/>
            <w:vAlign w:val="center"/>
          </w:tcPr>
          <w:p>
            <w:pPr>
              <w:pStyle w:val="TableContents"/>
              <w:bidi w:val="0"/>
              <w:spacing w:before="0" w:after="0"/>
              <w:ind w:left="0" w:right="0" w:hanging="0"/>
              <w:jc w:val="left"/>
              <w:rPr/>
            </w:pPr>
            <w:r>
              <w:rPr/>
              <w:t>​</w:t>
            </w:r>
          </w:p>
        </w:tc>
        <w:tc>
          <w:tcPr>
            <w:tcW w:w="8344" w:type="dxa"/>
            <w:tcBorders/>
            <w:vAlign w:val="center"/>
          </w:tcPr>
          <w:p>
            <w:pPr>
              <w:pStyle w:val="TableContents"/>
              <w:pBdr/>
              <w:bidi w:val="0"/>
              <w:spacing w:before="0" w:after="0"/>
              <w:ind w:left="0" w:right="0" w:hanging="0"/>
              <w:jc w:val="both"/>
              <w:rPr/>
            </w:pPr>
            <w:hyperlink w:anchor="SIGNATURES_652864">
              <w:r>
                <w:rPr>
                  <w:rStyle w:val="InternetLink"/>
                  <w:rFonts w:ascii="Times New Roman;Times;serif" w:hAnsi="Times New Roman;Times;serif"/>
                  <w:b w:val="false"/>
                  <w:i w:val="false"/>
                  <w:caps w:val="false"/>
                  <w:smallCaps w:val="false"/>
                  <w:sz w:val="20"/>
                </w:rPr>
                <w:t>Signatures</w:t>
              </w:r>
            </w:hyperlink>
          </w:p>
        </w:tc>
        <w:tc>
          <w:tcPr>
            <w:tcW w:w="32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23" w:name="PARTIFINANCIALINFORMATION_555950"/>
      <w:bookmarkStart w:id="24" w:name="_b400d78d_75b3_4018_8fa7_492f4f31cfa6"/>
      <w:bookmarkEnd w:id="23"/>
      <w:bookmarkEnd w:id="24"/>
      <w:r>
        <w:rPr>
          <w:rFonts w:ascii="Times New Roman;Times;serif" w:hAnsi="Times New Roman;Times;serif"/>
          <w:b/>
          <w:sz w:val="20"/>
        </w:rPr>
        <w:t>PART I – FINANCIAL INFORMATION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bookmarkStart w:id="25" w:name="ITEM1CONDENSEDCONSOLIDATEDFINANCIALSTATE"/>
      <w:bookmarkEnd w:id="25"/>
      <w:r>
        <w:rPr>
          <w:rFonts w:ascii="Times New Roman;Times;serif" w:hAnsi="Times New Roman;Times;serif"/>
          <w:b/>
          <w:sz w:val="20"/>
        </w:rPr>
        <w:t>ITEM 1. CONDENSED CONSOLIDATED FINANCIAL STATEMENTS (UNAUDITED)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both"/>
        <w:rPr>
          <w:rFonts w:ascii="Times New Roman;Times;serif" w:hAnsi="Times New Roman;Times;serif"/>
          <w:b/>
          <w:sz w:val="20"/>
        </w:rPr>
      </w:pPr>
      <w:bookmarkStart w:id="26" w:name="CONDENSEDCONSOLIDATEDBALANCESHEETS_69653"/>
      <w:bookmarkEnd w:id="26"/>
      <w:r>
        <w:rPr>
          <w:rFonts w:ascii="Times New Roman;Times;serif" w:hAnsi="Times New Roman;Times;serif"/>
          <w:b/>
          <w:sz w:val="20"/>
        </w:rPr>
        <w:t>CONDENSED CONSOLIDATED BALANCE SHEETS</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AS OF SEPTEMBER 30, 2025 AND DECEMBER 31, 2024</w:t>
      </w:r>
    </w:p>
    <w:p>
      <w:pPr>
        <w:pStyle w:val="TextBody"/>
        <w:pBdr>
          <w:bottom w:val="single" w:sz="12" w:space="1" w:color="000000"/>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(In Thousands, Except Par Value) (Unaudited) </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7" w:name="Tc_Qs5TlfrhLkq1sPbYvo0BtQ_44_5"/>
      <w:bookmarkStart w:id="28" w:name="Tc_awiGy6GeI0OpYBlgo4YeYQ_44_2"/>
      <w:bookmarkStart w:id="29" w:name="Tc_eEUjJloWkk-PFDvl8jVMIw_44_0"/>
      <w:bookmarkStart w:id="30" w:name="Tc_Ems6B4L8i0i7K34hsVkSCg_43_0"/>
      <w:bookmarkStart w:id="31" w:name="Tc_UExc7S77EUGqJIyVPPPd9g_42_0"/>
      <w:bookmarkStart w:id="32" w:name="Tc_bio7ZgTZzUeyry1FB65TOQ_41_0"/>
      <w:bookmarkStart w:id="33" w:name="Tc_9b4gFYA1N0CCjF1gamTG3A_40_0"/>
      <w:bookmarkStart w:id="34" w:name="Tc_THQuiY2sx0eqH5Y6A0EVIQ_39_0"/>
      <w:bookmarkStart w:id="35" w:name="Tc_XwgGUIcqUEqEgzXn_-Oruw_38_0"/>
      <w:bookmarkStart w:id="36" w:name="Tc_VMg6Hrad4Eu9JRdX-R16eQ_37_0"/>
      <w:bookmarkStart w:id="37" w:name="Tc_DD6Pxo-gUU2nqz8uI4KoCw_35_0"/>
      <w:bookmarkStart w:id="38" w:name="Tc_D1lyK_FXTU6TSnbLzR2EFw_33_0"/>
      <w:bookmarkStart w:id="39" w:name="Tc_-Gim89W_z0eAvthGf33UBw_32_0"/>
      <w:bookmarkStart w:id="40" w:name="Tc__vpPhqUKfkO5BbZhXZGBnA_31_0"/>
      <w:bookmarkStart w:id="41" w:name="Tc_OHh7TKxzEUy4krSRvS_F7A_29_0"/>
      <w:bookmarkStart w:id="42" w:name="Tc_cx4K83DyUkSpXQa-qX2E4Q_28_0"/>
      <w:bookmarkStart w:id="43" w:name="Tc_x4Kqr1Vm1UOg9ebOUBUjsw_27_0"/>
      <w:bookmarkStart w:id="44" w:name="Tc_LJEIiRPtXEiw9YMq8ip4wg_26_0"/>
      <w:bookmarkStart w:id="45" w:name="Tc_r7xNM8719kyzs-OSuIlM8w_25_0"/>
      <w:bookmarkStart w:id="46" w:name="Tc_fRuCrDqEWEyKlPbddhxBpg_24_0"/>
      <w:bookmarkStart w:id="47" w:name="Tc_fxRBeG9Y6k-gVDB-oNwbxw_23_5"/>
      <w:bookmarkStart w:id="48" w:name="Tc_a9F5CbL6PUCCtRGGwcX-OA_23_2"/>
      <w:bookmarkStart w:id="49" w:name="Tc_XvPVbBKZL0mWa8Ov-bXjGw_23_0"/>
      <w:bookmarkStart w:id="50" w:name="Tc_7W3qypEt90CIHgN094iujQ_22_0"/>
      <w:bookmarkStart w:id="51" w:name="Tc_8HHGUhYY3k262SvNAbE0HA_21_0"/>
      <w:bookmarkStart w:id="52" w:name="Tc_WfoHGnLu9EaaFT6qe9GvGg_19_5"/>
      <w:bookmarkStart w:id="53" w:name="Tc_3mbLqVD2DEK3vurnRpobbg_19_2"/>
      <w:bookmarkStart w:id="54" w:name="Tc_2CDPexCzBEyoBtf8kneoOQ_19_0"/>
      <w:bookmarkStart w:id="55" w:name="Tc_nqE-wszqPkyx01hQ3cY3vw_18_0"/>
      <w:bookmarkStart w:id="56" w:name="Tc_knVuxeRQUU6KsxQ7RFSPNg_17_0"/>
      <w:bookmarkStart w:id="57" w:name="Tc_p8Ji6hGDc0GMB9ULL_OLtg_16_0"/>
      <w:bookmarkStart w:id="58" w:name="Tc_QAFiILA57UCxsXZZnFuVLg_15_0"/>
      <w:bookmarkStart w:id="59" w:name="Tc_T3-1mlOf8kOz6FIuu0vPsA_14_0"/>
      <w:bookmarkStart w:id="60" w:name="Tc_flTWOAE8y0y06HVBUgH4aQ_13_0"/>
      <w:bookmarkStart w:id="61" w:name="Tc_JdHD3JnieUqrOHQEpfvZiQ_11_0"/>
      <w:bookmarkStart w:id="62" w:name="Tc_hbWg689040O_7Oi09CaQtQ_10_0"/>
      <w:bookmarkStart w:id="63" w:name="Tc_BFUuqrrWz0iby6LEJCyivg_9_0"/>
      <w:bookmarkStart w:id="64" w:name="Tc_PC00v3x9akK01gG992aFwg_8_0"/>
      <w:bookmarkStart w:id="65" w:name="Tc_T8lTcEdPZEmIov1Q5Xreuw_7_0"/>
      <w:bookmarkStart w:id="66" w:name="Tc_yyf2MHfdjk-dtmeKvAtwRw_6_0"/>
      <w:bookmarkStart w:id="67" w:name="Tc_Hv57vI3vL06A3nQB-Vqt3Q_5_5"/>
      <w:bookmarkStart w:id="68" w:name="Tc_z3K1CMzgB06IXYKg1SPUBg_5_2"/>
      <w:bookmarkStart w:id="69" w:name="Tc_IZyAhTV3rkuMjKYM-rMgYA_5_0"/>
      <w:bookmarkStart w:id="70" w:name="Tc_1pD8DugSEUC_0h9TBLnaMg_4_0"/>
      <w:bookmarkStart w:id="71" w:name="Tc_Vv1IoFwx7UKNagpBLrCnJg_3_0"/>
      <w:bookmarkStart w:id="72" w:name="Tc_5EQ3MSkxkUmI3mvpsg_N1g_2_5"/>
      <w:bookmarkStart w:id="73" w:name="Tc_tUQfzjPyb0q3VBVPZNQzCg_2_2"/>
      <w:bookmarkStart w:id="74" w:name="Tc_zwMOFlp6DkOHgrHIHsKroQ_1_5"/>
      <w:bookmarkStart w:id="75" w:name="Tc_WzhqhUGq4ESiGHqMu3zPfw_1_2"/>
      <w:bookmarkStart w:id="76" w:name="_aa78ee75_a14b_4317_a4f4_2660b50578dd"/>
      <w:bookmarkStart w:id="77" w:name="Tc_Qs5TlfrhLkq1sPbYvo0BtQ_44_5"/>
      <w:bookmarkStart w:id="78" w:name="Tc_awiGy6GeI0OpYBlgo4YeYQ_44_2"/>
      <w:bookmarkStart w:id="79" w:name="Tc_eEUjJloWkk-PFDvl8jVMIw_44_0"/>
      <w:bookmarkStart w:id="80" w:name="Tc_Ems6B4L8i0i7K34hsVkSCg_43_0"/>
      <w:bookmarkStart w:id="81" w:name="Tc_UExc7S77EUGqJIyVPPPd9g_42_0"/>
      <w:bookmarkStart w:id="82" w:name="Tc_bio7ZgTZzUeyry1FB65TOQ_41_0"/>
      <w:bookmarkStart w:id="83" w:name="Tc_9b4gFYA1N0CCjF1gamTG3A_40_0"/>
      <w:bookmarkStart w:id="84" w:name="Tc_THQuiY2sx0eqH5Y6A0EVIQ_39_0"/>
      <w:bookmarkStart w:id="85" w:name="Tc_XwgGUIcqUEqEgzXn_-Oruw_38_0"/>
      <w:bookmarkStart w:id="86" w:name="Tc_VMg6Hrad4Eu9JRdX-R16eQ_37_0"/>
      <w:bookmarkStart w:id="87" w:name="Tc_DD6Pxo-gUU2nqz8uI4KoCw_35_0"/>
      <w:bookmarkStart w:id="88" w:name="Tc_D1lyK_FXTU6TSnbLzR2EFw_33_0"/>
      <w:bookmarkStart w:id="89" w:name="Tc_-Gim89W_z0eAvthGf33UBw_32_0"/>
      <w:bookmarkStart w:id="90" w:name="Tc__vpPhqUKfkO5BbZhXZGBnA_31_0"/>
      <w:bookmarkStart w:id="91" w:name="Tc_OHh7TKxzEUy4krSRvS_F7A_29_0"/>
      <w:bookmarkStart w:id="92" w:name="Tc_cx4K83DyUkSpXQa-qX2E4Q_28_0"/>
      <w:bookmarkStart w:id="93" w:name="Tc_x4Kqr1Vm1UOg9ebOUBUjsw_27_0"/>
      <w:bookmarkStart w:id="94" w:name="Tc_LJEIiRPtXEiw9YMq8ip4wg_26_0"/>
      <w:bookmarkStart w:id="95" w:name="Tc_r7xNM8719kyzs-OSuIlM8w_25_0"/>
      <w:bookmarkStart w:id="96" w:name="Tc_fRuCrDqEWEyKlPbddhxBpg_24_0"/>
      <w:bookmarkStart w:id="97" w:name="Tc_fxRBeG9Y6k-gVDB-oNwbxw_23_5"/>
      <w:bookmarkStart w:id="98" w:name="Tc_a9F5CbL6PUCCtRGGwcX-OA_23_2"/>
      <w:bookmarkStart w:id="99" w:name="Tc_XvPVbBKZL0mWa8Ov-bXjGw_23_0"/>
      <w:bookmarkStart w:id="100" w:name="Tc_7W3qypEt90CIHgN094iujQ_22_0"/>
      <w:bookmarkStart w:id="101" w:name="Tc_8HHGUhYY3k262SvNAbE0HA_21_0"/>
      <w:bookmarkStart w:id="102" w:name="Tc_WfoHGnLu9EaaFT6qe9GvGg_19_5"/>
      <w:bookmarkStart w:id="103" w:name="Tc_3mbLqVD2DEK3vurnRpobbg_19_2"/>
      <w:bookmarkStart w:id="104" w:name="Tc_2CDPexCzBEyoBtf8kneoOQ_19_0"/>
      <w:bookmarkStart w:id="105" w:name="Tc_nqE-wszqPkyx01hQ3cY3vw_18_0"/>
      <w:bookmarkStart w:id="106" w:name="Tc_knVuxeRQUU6KsxQ7RFSPNg_17_0"/>
      <w:bookmarkStart w:id="107" w:name="Tc_p8Ji6hGDc0GMB9ULL_OLtg_16_0"/>
      <w:bookmarkStart w:id="108" w:name="Tc_QAFiILA57UCxsXZZnFuVLg_15_0"/>
      <w:bookmarkStart w:id="109" w:name="Tc_T3-1mlOf8kOz6FIuu0vPsA_14_0"/>
      <w:bookmarkStart w:id="110" w:name="Tc_flTWOAE8y0y06HVBUgH4aQ_13_0"/>
      <w:bookmarkStart w:id="111" w:name="Tc_JdHD3JnieUqrOHQEpfvZiQ_11_0"/>
      <w:bookmarkStart w:id="112" w:name="Tc_hbWg689040O_7Oi09CaQtQ_10_0"/>
      <w:bookmarkStart w:id="113" w:name="Tc_BFUuqrrWz0iby6LEJCyivg_9_0"/>
      <w:bookmarkStart w:id="114" w:name="Tc_PC00v3x9akK01gG992aFwg_8_0"/>
      <w:bookmarkStart w:id="115" w:name="Tc_T8lTcEdPZEmIov1Q5Xreuw_7_0"/>
      <w:bookmarkStart w:id="116" w:name="Tc_yyf2MHfdjk-dtmeKvAtwRw_6_0"/>
      <w:bookmarkStart w:id="117" w:name="Tc_Hv57vI3vL06A3nQB-Vqt3Q_5_5"/>
      <w:bookmarkStart w:id="118" w:name="Tc_z3K1CMzgB06IXYKg1SPUBg_5_2"/>
      <w:bookmarkStart w:id="119" w:name="Tc_IZyAhTV3rkuMjKYM-rMgYA_5_0"/>
      <w:bookmarkStart w:id="120" w:name="Tc_1pD8DugSEUC_0h9TBLnaMg_4_0"/>
      <w:bookmarkStart w:id="121" w:name="Tc_Vv1IoFwx7UKNagpBLrCnJg_3_0"/>
      <w:bookmarkStart w:id="122" w:name="Tc_5EQ3MSkxkUmI3mvpsg_N1g_2_5"/>
      <w:bookmarkStart w:id="123" w:name="Tc_tUQfzjPyb0q3VBVPZNQzCg_2_2"/>
      <w:bookmarkStart w:id="124" w:name="Tc_zwMOFlp6DkOHgrHIHsKroQ_1_5"/>
      <w:bookmarkStart w:id="125" w:name="Tc_WzhqhUGq4ESiGHqMu3zPfw_1_2"/>
      <w:bookmarkStart w:id="126" w:name="_aa78ee75_a14b_4317_a4f4_2660b50578dd"/>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tbl>
      <w:tblPr>
        <w:tblW w:w="10205" w:type="dxa"/>
        <w:jc w:val="left"/>
        <w:tblInd w:w="0" w:type="dxa"/>
        <w:tblLayout w:type="fixed"/>
        <w:tblCellMar>
          <w:top w:w="0" w:type="dxa"/>
          <w:left w:w="0" w:type="dxa"/>
          <w:bottom w:w="0" w:type="dxa"/>
          <w:right w:w="0" w:type="dxa"/>
        </w:tblCellMar>
      </w:tblPr>
      <w:tblGrid>
        <w:gridCol w:w="7189"/>
        <w:gridCol w:w="326"/>
        <w:gridCol w:w="214"/>
        <w:gridCol w:w="974"/>
        <w:gridCol w:w="326"/>
        <w:gridCol w:w="198"/>
        <w:gridCol w:w="978"/>
      </w:tblGrid>
      <w:tr>
        <w:trPr/>
        <w:tc>
          <w:tcPr>
            <w:tcW w:w="71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565015" cy="175260"/>
                      <wp:effectExtent l="0" t="0" r="0" b="0"/>
                      <wp:wrapNone/>
                      <wp:docPr id="4" name="Frame4"/>
                      <a:graphic xmlns:a="http://schemas.openxmlformats.org/drawingml/2006/main">
                        <a:graphicData uri="http://schemas.microsoft.com/office/word/2010/wordprocessingShape">
                          <wps:wsp>
                            <wps:cNvSpPr txBox="1"/>
                            <wps:spPr>
                              <a:xfrm>
                                <a:off x="0" y="0"/>
                                <a:ext cx="4565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5890" cy="175260"/>
                      <wp:effectExtent l="0" t="0" r="0" b="0"/>
                      <wp:wrapNone/>
                      <wp:docPr id="6" name="Frame6"/>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18490" cy="175260"/>
                      <wp:effectExtent l="0" t="0" r="0" b="0"/>
                      <wp:wrapNone/>
                      <wp:docPr id="7" name="Frame7"/>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8"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25730" cy="175260"/>
                      <wp:effectExtent l="0" t="0" r="0" b="0"/>
                      <wp:wrapNone/>
                      <wp:docPr id="9" name="Frame9"/>
                      <a:graphic xmlns:a="http://schemas.openxmlformats.org/drawingml/2006/main">
                        <a:graphicData uri="http://schemas.microsoft.com/office/word/2010/wordprocessingShape">
                          <wps:wsp>
                            <wps:cNvSpPr txBox="1"/>
                            <wps:spPr>
                              <a:xfrm>
                                <a:off x="0" y="0"/>
                                <a:ext cx="125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21030" cy="175260"/>
                      <wp:effectExtent l="0" t="0" r="0" b="0"/>
                      <wp:wrapNone/>
                      <wp:docPr id="10" name="Frame10"/>
                      <a:graphic xmlns:a="http://schemas.openxmlformats.org/drawingml/2006/main">
                        <a:graphicData uri="http://schemas.microsoft.com/office/word/2010/wordprocessingShape">
                          <wps:wsp>
                            <wps:cNvSpPr txBox="1"/>
                            <wps:spPr>
                              <a:xfrm>
                                <a:off x="0" y="0"/>
                                <a:ext cx="621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88"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September 30, </w:t>
            </w:r>
          </w:p>
        </w:tc>
        <w:tc>
          <w:tcPr>
            <w:tcW w:w="326" w:type="dxa"/>
            <w:tcBorders/>
            <w:vAlign w:val="center"/>
          </w:tcPr>
          <w:p>
            <w:pPr>
              <w:pStyle w:val="TableContents"/>
              <w:bidi w:val="0"/>
              <w:spacing w:before="0" w:after="0"/>
              <w:ind w:left="0" w:right="0" w:hanging="0"/>
              <w:jc w:val="left"/>
              <w:rPr/>
            </w:pPr>
            <w:r>
              <w:rPr/>
              <w:t>​</w:t>
            </w:r>
          </w:p>
        </w:tc>
        <w:tc>
          <w:tcPr>
            <w:tcW w:w="1176"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w:t>
            </w:r>
          </w:p>
        </w:tc>
      </w:tr>
      <w:tr>
        <w:trPr/>
        <w:tc>
          <w:tcPr>
            <w:tcW w:w="71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26" w:type="dxa"/>
            <w:tcBorders/>
            <w:vAlign w:val="center"/>
          </w:tcPr>
          <w:p>
            <w:pPr>
              <w:pStyle w:val="TableContents"/>
              <w:bidi w:val="0"/>
              <w:spacing w:before="0" w:after="0"/>
              <w:ind w:left="0" w:right="0" w:hanging="0"/>
              <w:jc w:val="left"/>
              <w:rPr/>
            </w:pPr>
            <w:r>
              <w:rPr/>
              <w:t>    </w:t>
            </w:r>
          </w:p>
        </w:tc>
        <w:tc>
          <w:tcPr>
            <w:tcW w:w="11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7189" w:type="dxa"/>
            <w:tcBorders/>
            <w:shd w:fill="CCEEFF" w:val="clear"/>
            <w:vAlign w:val="center"/>
          </w:tcPr>
          <w:p>
            <w:pPr>
              <w:pStyle w:val="TableContents"/>
              <w:pBdr/>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pPr>
            <w:r>
              <w:rPr/>
              <w:t>​</w:t>
            </w:r>
          </w:p>
        </w:tc>
      </w:tr>
      <w:tr>
        <w:trPr/>
        <w:tc>
          <w:tcPr>
            <w:tcW w:w="7189"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pPr>
            <w:r>
              <w:rPr/>
              <w:t>​</w:t>
            </w:r>
          </w:p>
        </w:tc>
      </w:tr>
      <w:tr>
        <w:trPr/>
        <w:tc>
          <w:tcPr>
            <w:tcW w:w="71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2,292,939</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1,533,287</w:t>
            </w:r>
          </w:p>
        </w:tc>
      </w:tr>
      <w:tr>
        <w:trPr/>
        <w:tc>
          <w:tcPr>
            <w:tcW w:w="7189"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Short-term investments</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286,391</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pPr>
            <w:r>
              <w:rPr/>
              <w:t>—</w:t>
            </w:r>
          </w:p>
        </w:tc>
      </w:tr>
      <w:tr>
        <w:trPr/>
        <w:tc>
          <w:tcPr>
            <w:tcW w:w="71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 net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1,601,216</w:t>
            </w:r>
          </w:p>
        </w:tc>
        <w:tc>
          <w:tcPr>
            <w:tcW w:w="326" w:type="dxa"/>
            <w:tcBorders/>
            <w:shd w:fill="CCEEFF" w:val="clear"/>
            <w:vAlign w:val="center"/>
          </w:tcPr>
          <w:p>
            <w:pPr>
              <w:pStyle w:val="TableContents"/>
              <w:bidi w:val="0"/>
              <w:spacing w:before="0" w:after="0"/>
              <w:ind w:left="0" w:right="0" w:hanging="0"/>
              <w:jc w:val="left"/>
              <w:rPr/>
            </w:pPr>
            <w:r>
              <w:rPr/>
              <w:t> </w:t>
            </w:r>
          </w:p>
        </w:tc>
        <w:tc>
          <w:tcPr>
            <w:tcW w:w="198"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1,221,646</w:t>
            </w:r>
          </w:p>
        </w:tc>
      </w:tr>
      <w:tr>
        <w:trPr/>
        <w:tc>
          <w:tcPr>
            <w:tcW w:w="7189"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Inventories</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704,586</w:t>
            </w:r>
          </w:p>
        </w:tc>
        <w:tc>
          <w:tcPr>
            <w:tcW w:w="32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737,107</w:t>
            </w:r>
          </w:p>
        </w:tc>
      </w:tr>
      <w:tr>
        <w:trPr/>
        <w:tc>
          <w:tcPr>
            <w:tcW w:w="71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142,713</w:t>
            </w:r>
          </w:p>
        </w:tc>
        <w:tc>
          <w:tcPr>
            <w:tcW w:w="326" w:type="dxa"/>
            <w:tcBorders/>
            <w:shd w:fill="CCEEFF" w:val="clear"/>
            <w:vAlign w:val="center"/>
          </w:tcPr>
          <w:p>
            <w:pPr>
              <w:pStyle w:val="TableContents"/>
              <w:bidi w:val="0"/>
              <w:spacing w:before="0" w:after="0"/>
              <w:ind w:left="0" w:right="0" w:hanging="0"/>
              <w:jc w:val="left"/>
              <w:rPr/>
            </w:pPr>
            <w:r>
              <w:rPr/>
              <w:t> </w:t>
            </w:r>
          </w:p>
        </w:tc>
        <w:tc>
          <w:tcPr>
            <w:tcW w:w="198"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107,262</w:t>
            </w:r>
          </w:p>
        </w:tc>
      </w:tr>
      <w:tr>
        <w:trPr/>
        <w:tc>
          <w:tcPr>
            <w:tcW w:w="7189"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income taxes</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38,372</w:t>
            </w:r>
          </w:p>
        </w:tc>
        <w:tc>
          <w:tcPr>
            <w:tcW w:w="326" w:type="dxa"/>
            <w:tcBorders/>
            <w:vAlign w:val="center"/>
          </w:tcPr>
          <w:p>
            <w:pPr>
              <w:pStyle w:val="TableContents"/>
              <w:bidi w:val="0"/>
              <w:spacing w:before="0" w:after="0"/>
              <w:ind w:left="0" w:right="0" w:hanging="0"/>
              <w:jc w:val="left"/>
              <w:rPr/>
            </w:pPr>
            <w:r>
              <w:rPr/>
              <w:t> </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42,202</w:t>
            </w:r>
          </w:p>
        </w:tc>
      </w:tr>
      <w:tr>
        <w:trPr/>
        <w:tc>
          <w:tcPr>
            <w:tcW w:w="71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5,066,217</w:t>
            </w:r>
          </w:p>
        </w:tc>
        <w:tc>
          <w:tcPr>
            <w:tcW w:w="326" w:type="dxa"/>
            <w:tcBorders/>
            <w:shd w:fill="CCEEFF" w:val="clear"/>
            <w:vAlign w:val="center"/>
          </w:tcPr>
          <w:p>
            <w:pPr>
              <w:pStyle w:val="TableContents"/>
              <w:bidi w:val="0"/>
              <w:spacing w:before="0" w:after="0"/>
              <w:ind w:left="0" w:right="0" w:hanging="0"/>
              <w:jc w:val="left"/>
              <w:rPr/>
            </w:pPr>
            <w:r>
              <w:rPr/>
              <w:t> </w:t>
            </w:r>
          </w:p>
        </w:tc>
        <w:tc>
          <w:tcPr>
            <w:tcW w:w="198"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3,641,504</w:t>
            </w:r>
          </w:p>
        </w:tc>
      </w:tr>
      <w:tr>
        <w:trPr/>
        <w:tc>
          <w:tcPr>
            <w:tcW w:w="71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pPr>
            <w:r>
              <w:rPr/>
              <w:t>​</w:t>
            </w:r>
          </w:p>
        </w:tc>
      </w:tr>
      <w:tr>
        <w:trPr/>
        <w:tc>
          <w:tcPr>
            <w:tcW w:w="71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359,174</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pPr>
            <w:r>
              <w:rPr/>
              <w:t>—</w:t>
            </w:r>
          </w:p>
        </w:tc>
      </w:tr>
      <w:tr>
        <w:trPr/>
        <w:tc>
          <w:tcPr>
            <w:tcW w:w="7189"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AND EQUIPMENT, net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1,110,705</w:t>
            </w:r>
          </w:p>
        </w:tc>
        <w:tc>
          <w:tcPr>
            <w:tcW w:w="32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1,047,024</w:t>
            </w:r>
          </w:p>
        </w:tc>
      </w:tr>
      <w:tr>
        <w:trPr/>
        <w:tc>
          <w:tcPr>
            <w:tcW w:w="71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 net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185,321</w:t>
            </w:r>
          </w:p>
        </w:tc>
        <w:tc>
          <w:tcPr>
            <w:tcW w:w="326" w:type="dxa"/>
            <w:tcBorders/>
            <w:shd w:fill="CCEEFF" w:val="clear"/>
            <w:vAlign w:val="center"/>
          </w:tcPr>
          <w:p>
            <w:pPr>
              <w:pStyle w:val="TableContents"/>
              <w:bidi w:val="0"/>
              <w:spacing w:before="0" w:after="0"/>
              <w:ind w:left="0" w:right="0" w:hanging="0"/>
              <w:jc w:val="left"/>
              <w:rPr/>
            </w:pPr>
            <w:r>
              <w:rPr/>
              <w:t> </w:t>
            </w:r>
          </w:p>
        </w:tc>
        <w:tc>
          <w:tcPr>
            <w:tcW w:w="198"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184,260</w:t>
            </w:r>
          </w:p>
        </w:tc>
      </w:tr>
      <w:tr>
        <w:trPr/>
        <w:tc>
          <w:tcPr>
            <w:tcW w:w="7189"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GOODWILL</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1,331,643</w:t>
            </w:r>
          </w:p>
        </w:tc>
        <w:tc>
          <w:tcPr>
            <w:tcW w:w="32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1,331,643</w:t>
            </w:r>
          </w:p>
        </w:tc>
      </w:tr>
      <w:tr>
        <w:trPr/>
        <w:tc>
          <w:tcPr>
            <w:tcW w:w="71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INTANGIBLE ASSETS, net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1,419,306</w:t>
            </w:r>
          </w:p>
        </w:tc>
        <w:tc>
          <w:tcPr>
            <w:tcW w:w="326" w:type="dxa"/>
            <w:tcBorders/>
            <w:shd w:fill="CCEEFF" w:val="clear"/>
            <w:vAlign w:val="center"/>
          </w:tcPr>
          <w:p>
            <w:pPr>
              <w:pStyle w:val="TableContents"/>
              <w:bidi w:val="0"/>
              <w:spacing w:before="0" w:after="0"/>
              <w:ind w:left="0" w:right="0" w:hanging="0"/>
              <w:jc w:val="left"/>
              <w:rPr/>
            </w:pPr>
            <w:r>
              <w:rPr/>
              <w:t> </w:t>
            </w:r>
          </w:p>
        </w:tc>
        <w:tc>
          <w:tcPr>
            <w:tcW w:w="198"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1,414,252</w:t>
            </w:r>
          </w:p>
        </w:tc>
      </w:tr>
      <w:tr>
        <w:trPr/>
        <w:tc>
          <w:tcPr>
            <w:tcW w:w="7189"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138,907</w:t>
            </w:r>
          </w:p>
        </w:tc>
        <w:tc>
          <w:tcPr>
            <w:tcW w:w="326" w:type="dxa"/>
            <w:tcBorders/>
            <w:vAlign w:val="center"/>
          </w:tcPr>
          <w:p>
            <w:pPr>
              <w:pStyle w:val="TableContents"/>
              <w:bidi w:val="0"/>
              <w:spacing w:before="0" w:after="0"/>
              <w:ind w:left="0" w:right="0" w:hanging="0"/>
              <w:jc w:val="left"/>
              <w:rPr/>
            </w:pPr>
            <w:r>
              <w:rPr/>
              <w:t> </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100,406</w:t>
            </w:r>
          </w:p>
        </w:tc>
      </w:tr>
      <w:tr>
        <w:trPr/>
        <w:tc>
          <w:tcPr>
            <w:tcW w:w="7189" w:type="dxa"/>
            <w:tcBorders/>
            <w:shd w:fill="CCEEFF" w:val="clear"/>
            <w:vAlign w:val="center"/>
          </w:tcPr>
          <w:p>
            <w:pPr>
              <w:pStyle w:val="TableContents"/>
              <w:pBdr/>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9,611,273</w:t>
            </w:r>
          </w:p>
        </w:tc>
        <w:tc>
          <w:tcPr>
            <w:tcW w:w="326" w:type="dxa"/>
            <w:tcBorders/>
            <w:shd w:fill="CCEEFF" w:val="clear"/>
            <w:vAlign w:val="center"/>
          </w:tcPr>
          <w:p>
            <w:pPr>
              <w:pStyle w:val="TableContents"/>
              <w:bidi w:val="0"/>
              <w:spacing w:before="0" w:after="0"/>
              <w:ind w:left="0" w:right="0" w:hanging="0"/>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7,719,089</w:t>
            </w:r>
          </w:p>
        </w:tc>
      </w:tr>
      <w:tr>
        <w:trPr/>
        <w:tc>
          <w:tcPr>
            <w:tcW w:w="718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pPr>
            <w:r>
              <w:rPr/>
              <w:t>​</w:t>
            </w:r>
          </w:p>
        </w:tc>
      </w:tr>
      <w:tr>
        <w:trPr/>
        <w:tc>
          <w:tcPr>
            <w:tcW w:w="7189" w:type="dxa"/>
            <w:tcBorders/>
            <w:shd w:fill="CCEEFF" w:val="clear"/>
            <w:vAlign w:val="center"/>
          </w:tcPr>
          <w:p>
            <w:pPr>
              <w:pStyle w:val="TableContents"/>
              <w:pBdr/>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pPr>
            <w:r>
              <w:rPr/>
              <w:t>​</w:t>
            </w:r>
          </w:p>
        </w:tc>
      </w:tr>
      <w:tr>
        <w:trPr/>
        <w:tc>
          <w:tcPr>
            <w:tcW w:w="7189"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pPr>
            <w:r>
              <w:rPr/>
              <w:t>​</w:t>
            </w:r>
          </w:p>
        </w:tc>
      </w:tr>
      <w:tr>
        <w:trPr/>
        <w:tc>
          <w:tcPr>
            <w:tcW w:w="71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683,030</w:t>
            </w:r>
          </w:p>
        </w:tc>
        <w:tc>
          <w:tcPr>
            <w:tcW w:w="326" w:type="dxa"/>
            <w:tcBorders/>
            <w:shd w:fill="CCEEFF" w:val="clear"/>
            <w:vAlign w:val="center"/>
          </w:tcPr>
          <w:p>
            <w:pPr>
              <w:pStyle w:val="TableContents"/>
              <w:bidi w:val="0"/>
              <w:spacing w:before="0" w:after="0"/>
              <w:ind w:left="0" w:right="0" w:hanging="0"/>
              <w:jc w:val="left"/>
              <w:rPr/>
            </w:pPr>
            <w:r>
              <w:rPr/>
              <w:t> </w:t>
            </w:r>
          </w:p>
        </w:tc>
        <w:tc>
          <w:tcPr>
            <w:tcW w:w="19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466,775</w:t>
            </w:r>
          </w:p>
        </w:tc>
      </w:tr>
      <w:tr>
        <w:trPr/>
        <w:tc>
          <w:tcPr>
            <w:tcW w:w="7189"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liabilities</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325,450</w:t>
            </w:r>
          </w:p>
        </w:tc>
        <w:tc>
          <w:tcPr>
            <w:tcW w:w="32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220,764</w:t>
            </w:r>
          </w:p>
        </w:tc>
      </w:tr>
      <w:tr>
        <w:trPr/>
        <w:tc>
          <w:tcPr>
            <w:tcW w:w="71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promotional allowances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392,628</w:t>
            </w:r>
          </w:p>
        </w:tc>
        <w:tc>
          <w:tcPr>
            <w:tcW w:w="326" w:type="dxa"/>
            <w:tcBorders/>
            <w:shd w:fill="CCEEFF" w:val="clear"/>
            <w:vAlign w:val="center"/>
          </w:tcPr>
          <w:p>
            <w:pPr>
              <w:pStyle w:val="TableContents"/>
              <w:bidi w:val="0"/>
              <w:spacing w:before="0" w:after="0"/>
              <w:ind w:left="0" w:right="0" w:hanging="0"/>
              <w:jc w:val="left"/>
              <w:rPr/>
            </w:pPr>
            <w:r>
              <w:rPr/>
              <w:t> </w:t>
            </w:r>
          </w:p>
        </w:tc>
        <w:tc>
          <w:tcPr>
            <w:tcW w:w="198"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267,711</w:t>
            </w:r>
          </w:p>
        </w:tc>
      </w:tr>
      <w:tr>
        <w:trPr/>
        <w:tc>
          <w:tcPr>
            <w:tcW w:w="7189"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47,158</w:t>
            </w:r>
          </w:p>
        </w:tc>
        <w:tc>
          <w:tcPr>
            <w:tcW w:w="32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45,809</w:t>
            </w:r>
          </w:p>
        </w:tc>
      </w:tr>
      <w:tr>
        <w:trPr/>
        <w:tc>
          <w:tcPr>
            <w:tcW w:w="71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102,131</w:t>
            </w:r>
          </w:p>
        </w:tc>
        <w:tc>
          <w:tcPr>
            <w:tcW w:w="326" w:type="dxa"/>
            <w:tcBorders/>
            <w:shd w:fill="CCEEFF" w:val="clear"/>
            <w:vAlign w:val="center"/>
          </w:tcPr>
          <w:p>
            <w:pPr>
              <w:pStyle w:val="TableContents"/>
              <w:bidi w:val="0"/>
              <w:spacing w:before="0" w:after="0"/>
              <w:ind w:left="0" w:right="0" w:hanging="0"/>
              <w:jc w:val="left"/>
              <w:rPr/>
            </w:pPr>
            <w:r>
              <w:rPr/>
              <w:t> </w:t>
            </w:r>
          </w:p>
        </w:tc>
        <w:tc>
          <w:tcPr>
            <w:tcW w:w="198"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92,454</w:t>
            </w:r>
          </w:p>
        </w:tc>
      </w:tr>
      <w:tr>
        <w:trPr/>
        <w:tc>
          <w:tcPr>
            <w:tcW w:w="7189"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taxes payable</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40,023</w:t>
            </w:r>
          </w:p>
        </w:tc>
        <w:tc>
          <w:tcPr>
            <w:tcW w:w="326" w:type="dxa"/>
            <w:tcBorders/>
            <w:vAlign w:val="center"/>
          </w:tcPr>
          <w:p>
            <w:pPr>
              <w:pStyle w:val="TableContents"/>
              <w:bidi w:val="0"/>
              <w:spacing w:before="0" w:after="0"/>
              <w:ind w:left="0" w:right="0" w:hanging="0"/>
              <w:jc w:val="left"/>
              <w:rPr/>
            </w:pPr>
            <w:r>
              <w:rPr/>
              <w:t> </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4,006</w:t>
            </w:r>
          </w:p>
        </w:tc>
      </w:tr>
      <w:tr>
        <w:trPr/>
        <w:tc>
          <w:tcPr>
            <w:tcW w:w="71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1,590,420</w:t>
            </w:r>
          </w:p>
        </w:tc>
        <w:tc>
          <w:tcPr>
            <w:tcW w:w="326" w:type="dxa"/>
            <w:tcBorders/>
            <w:shd w:fill="CCEEFF" w:val="clear"/>
            <w:vAlign w:val="center"/>
          </w:tcPr>
          <w:p>
            <w:pPr>
              <w:pStyle w:val="TableContents"/>
              <w:bidi w:val="0"/>
              <w:spacing w:before="0" w:after="0"/>
              <w:ind w:left="0" w:right="0" w:hanging="0"/>
              <w:jc w:val="left"/>
              <w:rPr/>
            </w:pPr>
            <w:r>
              <w:rPr/>
              <w:t> </w:t>
            </w:r>
          </w:p>
        </w:tc>
        <w:tc>
          <w:tcPr>
            <w:tcW w:w="198"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1,097,519</w:t>
            </w:r>
          </w:p>
        </w:tc>
      </w:tr>
      <w:tr>
        <w:trPr/>
        <w:tc>
          <w:tcPr>
            <w:tcW w:w="71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left"/>
              <w:rPr/>
            </w:pPr>
            <w:r>
              <w:rPr/>
              <w:t>​</w:t>
            </w:r>
          </w:p>
        </w:tc>
      </w:tr>
      <w:tr>
        <w:trPr/>
        <w:tc>
          <w:tcPr>
            <w:tcW w:w="71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164,701</w:t>
            </w:r>
          </w:p>
        </w:tc>
        <w:tc>
          <w:tcPr>
            <w:tcW w:w="326" w:type="dxa"/>
            <w:tcBorders/>
            <w:shd w:fill="CCEEFF" w:val="clear"/>
            <w:vAlign w:val="center"/>
          </w:tcPr>
          <w:p>
            <w:pPr>
              <w:pStyle w:val="TableContents"/>
              <w:bidi w:val="0"/>
              <w:spacing w:before="0" w:after="0"/>
              <w:ind w:left="0" w:right="0" w:hanging="0"/>
              <w:jc w:val="left"/>
              <w:rPr/>
            </w:pPr>
            <w:r>
              <w:rPr/>
              <w:t> </w:t>
            </w:r>
          </w:p>
        </w:tc>
        <w:tc>
          <w:tcPr>
            <w:tcW w:w="198"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179,008</w:t>
            </w:r>
          </w:p>
        </w:tc>
      </w:tr>
      <w:tr>
        <w:trPr/>
        <w:tc>
          <w:tcPr>
            <w:tcW w:w="7189"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LIABILITIES</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110,992</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110,893</w:t>
            </w:r>
          </w:p>
        </w:tc>
      </w:tr>
      <w:tr>
        <w:trPr/>
        <w:tc>
          <w:tcPr>
            <w:tcW w:w="71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LONG-TERM DEBT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373,951</w:t>
            </w:r>
          </w:p>
        </w:tc>
      </w:tr>
      <w:tr>
        <w:trPr/>
        <w:tc>
          <w:tcPr>
            <w:tcW w:w="71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pPr>
            <w:r>
              <w:rPr/>
              <w:t>​</w:t>
            </w:r>
          </w:p>
        </w:tc>
      </w:tr>
      <w:tr>
        <w:trPr/>
        <w:tc>
          <w:tcPr>
            <w:tcW w:w="71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COMMITMENTS AND CONTINGENCIES (Note 10)</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pPr>
            <w:r>
              <w:rPr/>
              <w:t>​</w:t>
            </w:r>
          </w:p>
        </w:tc>
      </w:tr>
      <w:tr>
        <w:trPr/>
        <w:tc>
          <w:tcPr>
            <w:tcW w:w="71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pPr>
            <w:r>
              <w:rPr/>
              <w:t>​</w:t>
            </w:r>
          </w:p>
        </w:tc>
      </w:tr>
      <w:tr>
        <w:trPr/>
        <w:tc>
          <w:tcPr>
            <w:tcW w:w="71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pPr>
            <w:r>
              <w:rPr/>
              <w:t>​</w:t>
            </w:r>
          </w:p>
        </w:tc>
      </w:tr>
      <w:tr>
        <w:trPr/>
        <w:tc>
          <w:tcPr>
            <w:tcW w:w="7189"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 $0.005 par value; 5,000,000 shares authorized; 1,130,977 shares issued and 976,997 shares outstanding as of September 30, 2025; 1,126,329 shares issued and 973,079 shares outstanding as of December 31, 2024</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5,655</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5,632</w:t>
            </w:r>
          </w:p>
        </w:tc>
      </w:tr>
      <w:tr>
        <w:trPr/>
        <w:tc>
          <w:tcPr>
            <w:tcW w:w="71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5,343,915</w:t>
            </w:r>
          </w:p>
        </w:tc>
        <w:tc>
          <w:tcPr>
            <w:tcW w:w="326" w:type="dxa"/>
            <w:tcBorders/>
            <w:shd w:fill="CCEEFF" w:val="clear"/>
            <w:vAlign w:val="center"/>
          </w:tcPr>
          <w:p>
            <w:pPr>
              <w:pStyle w:val="TableContents"/>
              <w:bidi w:val="0"/>
              <w:spacing w:before="0" w:after="0"/>
              <w:ind w:left="0" w:right="0" w:hanging="0"/>
              <w:jc w:val="left"/>
              <w:rPr/>
            </w:pPr>
            <w:r>
              <w:rPr/>
              <w:t> </w:t>
            </w:r>
          </w:p>
        </w:tc>
        <w:tc>
          <w:tcPr>
            <w:tcW w:w="198"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5,144,922</w:t>
            </w:r>
          </w:p>
        </w:tc>
      </w:tr>
      <w:tr>
        <w:trPr/>
        <w:tc>
          <w:tcPr>
            <w:tcW w:w="7189"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Retained earnings</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8,905,026</w:t>
            </w:r>
          </w:p>
        </w:tc>
        <w:tc>
          <w:tcPr>
            <w:tcW w:w="32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7,448,784</w:t>
            </w:r>
          </w:p>
        </w:tc>
      </w:tr>
      <w:tr>
        <w:trPr/>
        <w:tc>
          <w:tcPr>
            <w:tcW w:w="71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other comprehensive loss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(93,382)</w:t>
            </w:r>
          </w:p>
        </w:tc>
        <w:tc>
          <w:tcPr>
            <w:tcW w:w="326" w:type="dxa"/>
            <w:tcBorders/>
            <w:shd w:fill="CCEEFF" w:val="clear"/>
            <w:vAlign w:val="center"/>
          </w:tcPr>
          <w:p>
            <w:pPr>
              <w:pStyle w:val="TableContents"/>
              <w:bidi w:val="0"/>
              <w:spacing w:before="0" w:after="0"/>
              <w:ind w:left="0" w:right="0" w:hanging="0"/>
              <w:jc w:val="left"/>
              <w:rPr/>
            </w:pPr>
            <w:r>
              <w:rPr/>
              <w:t> </w:t>
            </w:r>
          </w:p>
        </w:tc>
        <w:tc>
          <w:tcPr>
            <w:tcW w:w="198"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(269,487)</w:t>
            </w:r>
          </w:p>
        </w:tc>
      </w:tr>
      <w:tr>
        <w:trPr/>
        <w:tc>
          <w:tcPr>
            <w:tcW w:w="7189"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in treasury, at cost; 153,980 shares and 153,250 shares as of September 30, 2025 and December 31, 2024, respectively</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(6,416,054)</w:t>
            </w:r>
          </w:p>
        </w:tc>
        <w:tc>
          <w:tcPr>
            <w:tcW w:w="326" w:type="dxa"/>
            <w:tcBorders/>
            <w:vAlign w:val="center"/>
          </w:tcPr>
          <w:p>
            <w:pPr>
              <w:pStyle w:val="TableContents"/>
              <w:bidi w:val="0"/>
              <w:spacing w:before="0" w:after="0"/>
              <w:ind w:left="0" w:right="0" w:hanging="0"/>
              <w:jc w:val="left"/>
              <w:rPr/>
            </w:pPr>
            <w:r>
              <w:rPr/>
              <w:t> </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(6,372,133)</w:t>
            </w:r>
          </w:p>
        </w:tc>
      </w:tr>
      <w:tr>
        <w:trPr/>
        <w:tc>
          <w:tcPr>
            <w:tcW w:w="71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7,745,160</w:t>
            </w:r>
          </w:p>
        </w:tc>
        <w:tc>
          <w:tcPr>
            <w:tcW w:w="326" w:type="dxa"/>
            <w:tcBorders/>
            <w:shd w:fill="CCEEFF" w:val="clear"/>
            <w:vAlign w:val="center"/>
          </w:tcPr>
          <w:p>
            <w:pPr>
              <w:pStyle w:val="TableContents"/>
              <w:bidi w:val="0"/>
              <w:spacing w:before="0" w:after="0"/>
              <w:ind w:left="0" w:right="0" w:hanging="0"/>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5,957,718</w:t>
            </w:r>
          </w:p>
        </w:tc>
      </w:tr>
      <w:tr>
        <w:trPr/>
        <w:tc>
          <w:tcPr>
            <w:tcW w:w="7189" w:type="dxa"/>
            <w:tcBorders/>
            <w:vAlign w:val="center"/>
          </w:tcPr>
          <w:p>
            <w:pPr>
              <w:pStyle w:val="TableContents"/>
              <w:pBdr/>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 Liabilities and Stockholders’ Equity</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9,611,273</w:t>
            </w:r>
          </w:p>
        </w:tc>
        <w:tc>
          <w:tcPr>
            <w:tcW w:w="326" w:type="dxa"/>
            <w:tcBorders/>
            <w:vAlign w:val="center"/>
          </w:tcPr>
          <w:p>
            <w:pPr>
              <w:pStyle w:val="TableContents"/>
              <w:bidi w:val="0"/>
              <w:spacing w:before="0" w:after="0"/>
              <w:ind w:left="0" w:right="0" w:hanging="0"/>
              <w:jc w:val="left"/>
              <w:rPr/>
            </w:pPr>
            <w:r>
              <w:rPr/>
              <w:t> </w:t>
            </w:r>
          </w:p>
        </w:tc>
        <w:tc>
          <w:tcPr>
            <w:tcW w:w="19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7,719,089</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127" w:name="_922c6e30_ab6d_4ce9_9cad_f2629390ec2b"/>
      <w:bookmarkEnd w:id="127"/>
      <w:r>
        <w:rPr>
          <w:rFonts w:ascii="Times New Roman;Times;serif" w:hAnsi="Times New Roman;Times;serif"/>
          <w:b/>
          <w:sz w:val="20"/>
        </w:rPr>
        <w:t>MONSTER BEVERAGE CORPORATION AND SUBSIDIARIES</w:t>
      </w:r>
    </w:p>
    <w:p>
      <w:pPr>
        <w:pStyle w:val="TextBody"/>
        <w:bidi w:val="0"/>
        <w:spacing w:before="0" w:after="0"/>
        <w:ind w:left="0" w:right="0" w:hanging="0"/>
        <w:jc w:val="both"/>
        <w:rPr>
          <w:rFonts w:ascii="Times New Roman;Times;serif" w:hAnsi="Times New Roman;Times;serif"/>
          <w:b/>
          <w:sz w:val="20"/>
        </w:rPr>
      </w:pPr>
      <w:bookmarkStart w:id="128" w:name="STATEMENTSOFINCOME_393941"/>
      <w:bookmarkEnd w:id="128"/>
      <w:r>
        <w:rPr>
          <w:rFonts w:ascii="Times New Roman;Times;serif" w:hAnsi="Times New Roman;Times;serif"/>
          <w:b/>
          <w:sz w:val="20"/>
        </w:rPr>
        <w:t>CONDENSED CONSOLIDATED STATEMENTS OF INCOME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 xml:space="preserve">FOR THE </w:t>
      </w:r>
      <w:r>
        <w:rPr>
          <w:rFonts w:ascii="Times New Roman;Times;serif" w:hAnsi="Times New Roman;Times;serif"/>
          <w:b/>
          <w:color w:val="212529"/>
          <w:sz w:val="20"/>
          <w:shd w:fill="FFFFFF" w:val="clear"/>
        </w:rPr>
        <w:t>THREE- AND NINE-MONTHS ENDED SEPTEMBER 30</w:t>
      </w:r>
      <w:r>
        <w:rPr>
          <w:rFonts w:ascii="Times New Roman;Times;serif" w:hAnsi="Times New Roman;Times;serif"/>
          <w:b/>
          <w:sz w:val="20"/>
        </w:rPr>
        <w:t>, 2025 AND 2024</w:t>
      </w:r>
    </w:p>
    <w:p>
      <w:pPr>
        <w:pStyle w:val="TextBody"/>
        <w:pBdr>
          <w:bottom w:val="single" w:sz="12" w:space="1" w:color="000000"/>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(In Thousands, Except Per Share Amounts) (Unaudited) </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29" w:name="Tc_Ztiu8jAne06rVuoRG8tNaw_28_0"/>
      <w:bookmarkStart w:id="130" w:name="Tc_Xq-qm4Hmk0yebxYmJjAmUQ_27_0"/>
      <w:bookmarkStart w:id="131" w:name="Tc_OEgZ0E5gUkCGqOip_Tg7ng_26_0"/>
      <w:bookmarkStart w:id="132" w:name="Tc_szD6jMZD9EavI0YfMF3_1Q_24_11"/>
      <w:bookmarkStart w:id="133" w:name="Tc_5RCvXz72wEOgbx42rFEeNg_24_8"/>
      <w:bookmarkStart w:id="134" w:name="Tc_FAb5Im4MkU2IvC2u97B8qg_24_5"/>
      <w:bookmarkStart w:id="135" w:name="Tc_puVz38jS30qCe5h3LnDm7Q_24_2"/>
      <w:bookmarkStart w:id="136" w:name="Tc_eQIZj7mZskOBFTuYstGXSg_24_0"/>
      <w:bookmarkStart w:id="137" w:name="Tc_0j_QcjKMZUakRJ8Bt4Bkyg_23_11"/>
      <w:bookmarkStart w:id="138" w:name="Tc_Srd5wi-1sUuAtL_yvnZ2XA_23_8"/>
      <w:bookmarkStart w:id="139" w:name="Tc_R1BWkJrRaEKnAV9c89Nx6g_23_5"/>
      <w:bookmarkStart w:id="140" w:name="Tc_MwvvBcRT4EOd20x_wzWW4w_23_2"/>
      <w:bookmarkStart w:id="141" w:name="Tc_JIgwnB45MkmEGjfslltTCQ_23_0"/>
      <w:bookmarkStart w:id="142" w:name="Tc_S0xwlobC5UuvXMlgUXUWbg_22_0"/>
      <w:bookmarkStart w:id="143" w:name="Tc_vp4BD044bkupWYGV_oSLsg_20_11"/>
      <w:bookmarkStart w:id="144" w:name="Tc_FVD1ZkuJt0iPoKUmsFwbRw_20_8"/>
      <w:bookmarkStart w:id="145" w:name="Tc_uDgK7tV6ekqE2decHJ5yMw_20_5"/>
      <w:bookmarkStart w:id="146" w:name="Tc_JG2M9qD2R0CTpFmgyXzK9w_20_2"/>
      <w:bookmarkStart w:id="147" w:name="Tc_z-6lILfcy0uGtN5pdSiVNA_20_0"/>
      <w:bookmarkStart w:id="148" w:name="Tc_F1H3qQnMPU6mlbqa33R5jg_18_0"/>
      <w:bookmarkStart w:id="149" w:name="Tc_mx3dyNCM1kGDqlYBdW5NDA_16_0"/>
      <w:bookmarkStart w:id="150" w:name="Tc_zM3AnQMSFEKATJJbITM6xg_14_0"/>
      <w:bookmarkStart w:id="151" w:name="Tc_rpAEOlAAgUSUf2TN9E8New_12_0"/>
      <w:bookmarkStart w:id="152" w:name="Tc_Csf1jA608EexrZvXT4kXeg_10_0"/>
      <w:bookmarkStart w:id="153" w:name="Tc_MAksveLmVUOKZ3TU1cIM4A_8_0"/>
      <w:bookmarkStart w:id="154" w:name="Tc_57Z8haMA2keAQ2o4pVnB_Q_6_0"/>
      <w:bookmarkStart w:id="155" w:name="Tc_b2RXrBp-PkSe3vTEW4PM5Q_4_11"/>
      <w:bookmarkStart w:id="156" w:name="Tc_KI5lr0WPl0OozXErH8HP6Q_4_8"/>
      <w:bookmarkStart w:id="157" w:name="Tc_I-dEtBd-GE2Ar3T2D6jEEw_4_5"/>
      <w:bookmarkStart w:id="158" w:name="Tc_OZ7AUlEdOUqQkxMxYFceuA_4_2"/>
      <w:bookmarkStart w:id="159" w:name="Tc_PvISNNXi9Uah-3N8KvL3cg_4_0"/>
      <w:bookmarkStart w:id="160" w:name="Tc_VgP2UMuEyEiyVMy-joMRMQ_3_11"/>
      <w:bookmarkStart w:id="161" w:name="Tc_v8da_LDHskKWWWZgPdt9lg_3_8"/>
      <w:bookmarkStart w:id="162" w:name="Tc_lF0SgRl71UiqX3OLdqovqw_3_5"/>
      <w:bookmarkStart w:id="163" w:name="Tc_nu7rXC2Lh0SwWj_FAMy0zQ_3_2"/>
      <w:bookmarkStart w:id="164" w:name="Tc_RpEkB_rXMkqQ4h5T2zhwoQ_2_8"/>
      <w:bookmarkStart w:id="165" w:name="Tc__YGSS1d5rEatts1FySvISA_2_2"/>
      <w:bookmarkStart w:id="166" w:name="Tc__33J8d71u02_NaiietHDmQ_1_8"/>
      <w:bookmarkStart w:id="167" w:name="Tc_TaTuLZ0HzEe-FYK0zzt3ew_1_2"/>
      <w:bookmarkStart w:id="168" w:name="_e41ed53e_8063_4a6b_97b7_63b0959abaf8"/>
      <w:bookmarkStart w:id="169" w:name="Tc_Ztiu8jAne06rVuoRG8tNaw_28_0"/>
      <w:bookmarkStart w:id="170" w:name="Tc_Xq-qm4Hmk0yebxYmJjAmUQ_27_0"/>
      <w:bookmarkStart w:id="171" w:name="Tc_OEgZ0E5gUkCGqOip_Tg7ng_26_0"/>
      <w:bookmarkStart w:id="172" w:name="Tc_szD6jMZD9EavI0YfMF3_1Q_24_11"/>
      <w:bookmarkStart w:id="173" w:name="Tc_5RCvXz72wEOgbx42rFEeNg_24_8"/>
      <w:bookmarkStart w:id="174" w:name="Tc_FAb5Im4MkU2IvC2u97B8qg_24_5"/>
      <w:bookmarkStart w:id="175" w:name="Tc_puVz38jS30qCe5h3LnDm7Q_24_2"/>
      <w:bookmarkStart w:id="176" w:name="Tc_eQIZj7mZskOBFTuYstGXSg_24_0"/>
      <w:bookmarkStart w:id="177" w:name="Tc_0j_QcjKMZUakRJ8Bt4Bkyg_23_11"/>
      <w:bookmarkStart w:id="178" w:name="Tc_Srd5wi-1sUuAtL_yvnZ2XA_23_8"/>
      <w:bookmarkStart w:id="179" w:name="Tc_R1BWkJrRaEKnAV9c89Nx6g_23_5"/>
      <w:bookmarkStart w:id="180" w:name="Tc_MwvvBcRT4EOd20x_wzWW4w_23_2"/>
      <w:bookmarkStart w:id="181" w:name="Tc_JIgwnB45MkmEGjfslltTCQ_23_0"/>
      <w:bookmarkStart w:id="182" w:name="Tc_S0xwlobC5UuvXMlgUXUWbg_22_0"/>
      <w:bookmarkStart w:id="183" w:name="Tc_vp4BD044bkupWYGV_oSLsg_20_11"/>
      <w:bookmarkStart w:id="184" w:name="Tc_FVD1ZkuJt0iPoKUmsFwbRw_20_8"/>
      <w:bookmarkStart w:id="185" w:name="Tc_uDgK7tV6ekqE2decHJ5yMw_20_5"/>
      <w:bookmarkStart w:id="186" w:name="Tc_JG2M9qD2R0CTpFmgyXzK9w_20_2"/>
      <w:bookmarkStart w:id="187" w:name="Tc_z-6lILfcy0uGtN5pdSiVNA_20_0"/>
      <w:bookmarkStart w:id="188" w:name="Tc_F1H3qQnMPU6mlbqa33R5jg_18_0"/>
      <w:bookmarkStart w:id="189" w:name="Tc_mx3dyNCM1kGDqlYBdW5NDA_16_0"/>
      <w:bookmarkStart w:id="190" w:name="Tc_zM3AnQMSFEKATJJbITM6xg_14_0"/>
      <w:bookmarkStart w:id="191" w:name="Tc_rpAEOlAAgUSUf2TN9E8New_12_0"/>
      <w:bookmarkStart w:id="192" w:name="Tc_Csf1jA608EexrZvXT4kXeg_10_0"/>
      <w:bookmarkStart w:id="193" w:name="Tc_MAksveLmVUOKZ3TU1cIM4A_8_0"/>
      <w:bookmarkStart w:id="194" w:name="Tc_57Z8haMA2keAQ2o4pVnB_Q_6_0"/>
      <w:bookmarkStart w:id="195" w:name="Tc_b2RXrBp-PkSe3vTEW4PM5Q_4_11"/>
      <w:bookmarkStart w:id="196" w:name="Tc_KI5lr0WPl0OozXErH8HP6Q_4_8"/>
      <w:bookmarkStart w:id="197" w:name="Tc_I-dEtBd-GE2Ar3T2D6jEEw_4_5"/>
      <w:bookmarkStart w:id="198" w:name="Tc_OZ7AUlEdOUqQkxMxYFceuA_4_2"/>
      <w:bookmarkStart w:id="199" w:name="Tc_PvISNNXi9Uah-3N8KvL3cg_4_0"/>
      <w:bookmarkStart w:id="200" w:name="Tc_VgP2UMuEyEiyVMy-joMRMQ_3_11"/>
      <w:bookmarkStart w:id="201" w:name="Tc_v8da_LDHskKWWWZgPdt9lg_3_8"/>
      <w:bookmarkStart w:id="202" w:name="Tc_lF0SgRl71UiqX3OLdqovqw_3_5"/>
      <w:bookmarkStart w:id="203" w:name="Tc_nu7rXC2Lh0SwWj_FAMy0zQ_3_2"/>
      <w:bookmarkStart w:id="204" w:name="Tc_RpEkB_rXMkqQ4h5T2zhwoQ_2_8"/>
      <w:bookmarkStart w:id="205" w:name="Tc__YGSS1d5rEatts1FySvISA_2_2"/>
      <w:bookmarkStart w:id="206" w:name="Tc__33J8d71u02_NaiietHDmQ_1_8"/>
      <w:bookmarkStart w:id="207" w:name="Tc_TaTuLZ0HzEe-FYK0zzt3ew_1_2"/>
      <w:bookmarkStart w:id="208" w:name="_e41ed53e_8063_4a6b_97b7_63b0959abaf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tbl>
      <w:tblPr>
        <w:tblW w:w="10205" w:type="dxa"/>
        <w:jc w:val="left"/>
        <w:tblInd w:w="0" w:type="dxa"/>
        <w:tblLayout w:type="fixed"/>
        <w:tblCellMar>
          <w:top w:w="0" w:type="dxa"/>
          <w:left w:w="0" w:type="dxa"/>
          <w:bottom w:w="0" w:type="dxa"/>
          <w:right w:w="0" w:type="dxa"/>
        </w:tblCellMar>
      </w:tblPr>
      <w:tblGrid>
        <w:gridCol w:w="4688"/>
        <w:gridCol w:w="326"/>
        <w:gridCol w:w="196"/>
        <w:gridCol w:w="826"/>
        <w:gridCol w:w="326"/>
        <w:gridCol w:w="196"/>
        <w:gridCol w:w="826"/>
        <w:gridCol w:w="326"/>
        <w:gridCol w:w="196"/>
        <w:gridCol w:w="826"/>
        <w:gridCol w:w="326"/>
        <w:gridCol w:w="196"/>
        <w:gridCol w:w="951"/>
      </w:tblGrid>
      <w:tr>
        <w:trPr/>
        <w:tc>
          <w:tcPr>
            <w:tcW w:w="4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976880" cy="175260"/>
                      <wp:effectExtent l="0" t="0" r="0" b="0"/>
                      <wp:wrapNone/>
                      <wp:docPr id="11" name="Frame11"/>
                      <a:graphic xmlns:a="http://schemas.openxmlformats.org/drawingml/2006/main">
                        <a:graphicData uri="http://schemas.microsoft.com/office/word/2010/wordprocessingShape">
                          <wps:wsp>
                            <wps:cNvSpPr txBox="1"/>
                            <wps:spPr>
                              <a:xfrm>
                                <a:off x="0" y="0"/>
                                <a:ext cx="297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24460" cy="175260"/>
                      <wp:effectExtent l="0" t="0" r="0" b="0"/>
                      <wp:wrapNone/>
                      <wp:docPr id="12" name="Frame1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524510" cy="175260"/>
                      <wp:effectExtent l="0" t="0" r="0" b="0"/>
                      <wp:wrapNone/>
                      <wp:docPr id="13" name="Frame1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175260"/>
                      <wp:effectExtent l="0" t="0" r="0" b="0"/>
                      <wp:wrapNone/>
                      <wp:docPr id="14" name="Frame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24460" cy="175260"/>
                      <wp:effectExtent l="0" t="0" r="0" b="0"/>
                      <wp:wrapNone/>
                      <wp:docPr id="15" name="Frame1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524510" cy="175260"/>
                      <wp:effectExtent l="0" t="0" r="0" b="0"/>
                      <wp:wrapNone/>
                      <wp:docPr id="16" name="Frame1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7"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24460" cy="175260"/>
                      <wp:effectExtent l="0" t="0" r="0" b="0"/>
                      <wp:wrapNone/>
                      <wp:docPr id="18" name="Frame1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524510" cy="175260"/>
                      <wp:effectExtent l="0" t="0" r="0" b="0"/>
                      <wp:wrapNone/>
                      <wp:docPr id="19" name="Frame1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20" name="Frame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24460" cy="175260"/>
                      <wp:effectExtent l="0" t="0" r="0" b="0"/>
                      <wp:wrapNone/>
                      <wp:docPr id="21" name="Frame2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03885" cy="175260"/>
                      <wp:effectExtent l="0" t="0" r="0" b="0"/>
                      <wp:wrapNone/>
                      <wp:docPr id="22" name="Frame22"/>
                      <a:graphic xmlns:a="http://schemas.openxmlformats.org/drawingml/2006/main">
                        <a:graphicData uri="http://schemas.microsoft.com/office/word/2010/wordprocessingShape">
                          <wps:wsp>
                            <wps:cNvSpPr txBox="1"/>
                            <wps:spPr>
                              <a:xfrm>
                                <a:off x="0" y="0"/>
                                <a:ext cx="603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70"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Three-Months Ended </w:t>
            </w:r>
          </w:p>
        </w:tc>
        <w:tc>
          <w:tcPr>
            <w:tcW w:w="326" w:type="dxa"/>
            <w:tcBorders/>
            <w:vAlign w:val="center"/>
          </w:tcPr>
          <w:p>
            <w:pPr>
              <w:pStyle w:val="TableContents"/>
              <w:bidi w:val="0"/>
              <w:spacing w:before="0" w:after="0"/>
              <w:ind w:left="0" w:right="0" w:hanging="0"/>
              <w:jc w:val="left"/>
              <w:rPr/>
            </w:pPr>
            <w:r>
              <w:rPr/>
              <w:t>​</w:t>
            </w:r>
          </w:p>
        </w:tc>
        <w:tc>
          <w:tcPr>
            <w:tcW w:w="2495"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Nine-Months Ended </w:t>
            </w:r>
          </w:p>
        </w:tc>
      </w:tr>
      <w:tr>
        <w:trPr/>
        <w:tc>
          <w:tcPr>
            <w:tcW w:w="4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September 30, </w:t>
            </w:r>
          </w:p>
        </w:tc>
        <w:tc>
          <w:tcPr>
            <w:tcW w:w="326" w:type="dxa"/>
            <w:tcBorders/>
            <w:vAlign w:val="center"/>
          </w:tcPr>
          <w:p>
            <w:pPr>
              <w:pStyle w:val="TableContents"/>
              <w:bidi w:val="0"/>
              <w:spacing w:before="0" w:after="0"/>
              <w:ind w:left="0" w:right="0" w:hanging="0"/>
              <w:jc w:val="left"/>
              <w:rPr/>
            </w:pPr>
            <w:r>
              <w:rPr/>
              <w:t>​</w:t>
            </w:r>
          </w:p>
        </w:tc>
        <w:tc>
          <w:tcPr>
            <w:tcW w:w="24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September 30, </w:t>
            </w:r>
          </w:p>
        </w:tc>
      </w:tr>
      <w:tr>
        <w:trPr/>
        <w:tc>
          <w:tcPr>
            <w:tcW w:w="4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26" w:type="dxa"/>
            <w:tcBorders/>
            <w:vAlign w:val="center"/>
          </w:tcPr>
          <w:p>
            <w:pPr>
              <w:pStyle w:val="TableContents"/>
              <w:bidi w:val="0"/>
              <w:spacing w:before="0" w:after="0"/>
              <w:ind w:left="0" w:right="0" w:hanging="0"/>
              <w:jc w:val="left"/>
              <w:rPr/>
            </w:pPr>
            <w:r>
              <w:rPr/>
              <w:t>    </w:t>
            </w:r>
          </w:p>
        </w:tc>
        <w:tc>
          <w:tcPr>
            <w:tcW w:w="11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468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2,197,139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1,880,973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6,163,290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5,680,668</w:t>
            </w:r>
          </w:p>
        </w:tc>
      </w:tr>
      <w:tr>
        <w:trPr/>
        <w:tc>
          <w:tcPr>
            <w:tcW w:w="4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pPr>
            <w:r>
              <w:rPr/>
              <w:t>​</w:t>
            </w:r>
          </w:p>
        </w:tc>
      </w:tr>
      <w:tr>
        <w:trPr/>
        <w:tc>
          <w:tcPr>
            <w:tcW w:w="468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COST OF SALES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972,653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881,174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2,714,428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2,634,235 </w:t>
            </w:r>
          </w:p>
        </w:tc>
      </w:tr>
      <w:tr>
        <w:trPr/>
        <w:tc>
          <w:tcPr>
            <w:tcW w:w="4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left"/>
              <w:rPr/>
            </w:pPr>
            <w:r>
              <w:rPr/>
              <w:t>​</w:t>
            </w:r>
          </w:p>
        </w:tc>
      </w:tr>
      <w:tr>
        <w:trPr/>
        <w:tc>
          <w:tcPr>
            <w:tcW w:w="468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1,224,486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999,799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3,448,862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3,046,433 </w:t>
            </w:r>
          </w:p>
        </w:tc>
      </w:tr>
      <w:tr>
        <w:trPr/>
        <w:tc>
          <w:tcPr>
            <w:tcW w:w="4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left"/>
              <w:rPr/>
            </w:pPr>
            <w:r>
              <w:rPr/>
              <w:t>​</w:t>
            </w:r>
          </w:p>
        </w:tc>
      </w:tr>
      <w:tr>
        <w:trPr/>
        <w:tc>
          <w:tcPr>
            <w:tcW w:w="468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549,134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519,883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1,572,142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1,497,363 </w:t>
            </w:r>
          </w:p>
        </w:tc>
      </w:tr>
      <w:tr>
        <w:trPr/>
        <w:tc>
          <w:tcPr>
            <w:tcW w:w="4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left"/>
              <w:rPr/>
            </w:pPr>
            <w:r>
              <w:rPr/>
              <w:t>​</w:t>
            </w:r>
          </w:p>
        </w:tc>
      </w:tr>
      <w:tr>
        <w:trPr/>
        <w:tc>
          <w:tcPr>
            <w:tcW w:w="468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675,352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479,916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1,876,720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1,549,070 </w:t>
            </w:r>
          </w:p>
        </w:tc>
      </w:tr>
      <w:tr>
        <w:trPr/>
        <w:tc>
          <w:tcPr>
            <w:tcW w:w="4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left"/>
              <w:rPr/>
            </w:pPr>
            <w:r>
              <w:rPr/>
              <w:t>​</w:t>
            </w:r>
          </w:p>
        </w:tc>
      </w:tr>
      <w:tr>
        <w:trPr/>
        <w:tc>
          <w:tcPr>
            <w:tcW w:w="468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and OTHER INCOME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14,185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(5,820)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37,522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54,311 </w:t>
            </w:r>
          </w:p>
        </w:tc>
      </w:tr>
      <w:tr>
        <w:trPr/>
        <w:tc>
          <w:tcPr>
            <w:tcW w:w="4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left"/>
              <w:rPr/>
            </w:pPr>
            <w:r>
              <w:rPr/>
              <w:t>​</w:t>
            </w:r>
          </w:p>
        </w:tc>
      </w:tr>
      <w:tr>
        <w:trPr/>
        <w:tc>
          <w:tcPr>
            <w:tcW w:w="468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BEFORE 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689,537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474,096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1,914,242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1,603,381 </w:t>
            </w:r>
          </w:p>
        </w:tc>
      </w:tr>
      <w:tr>
        <w:trPr/>
        <w:tc>
          <w:tcPr>
            <w:tcW w:w="4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left"/>
              <w:rPr/>
            </w:pPr>
            <w:r>
              <w:rPr/>
              <w:t>​</w:t>
            </w:r>
          </w:p>
        </w:tc>
      </w:tr>
      <w:tr>
        <w:trPr/>
        <w:tc>
          <w:tcPr>
            <w:tcW w:w="468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165,082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103,177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458,000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365,044 </w:t>
            </w:r>
          </w:p>
        </w:tc>
      </w:tr>
      <w:tr>
        <w:trPr/>
        <w:tc>
          <w:tcPr>
            <w:tcW w:w="4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pPr>
            <w:r>
              <w:rPr/>
              <w:t>​</w:t>
            </w:r>
          </w:p>
        </w:tc>
      </w:tr>
      <w:tr>
        <w:trPr/>
        <w:tc>
          <w:tcPr>
            <w:tcW w:w="468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524,455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370,919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1,456,242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1,238,337</w:t>
            </w:r>
          </w:p>
        </w:tc>
      </w:tr>
      <w:tr>
        <w:trPr/>
        <w:tc>
          <w:tcPr>
            <w:tcW w:w="4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pPr>
            <w:r>
              <w:rPr/>
              <w:t>​</w:t>
            </w:r>
          </w:p>
        </w:tc>
      </w:tr>
      <w:tr>
        <w:trPr/>
        <w:tc>
          <w:tcPr>
            <w:tcW w:w="468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PER COMMON SHARE: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right"/>
              <w:rPr/>
            </w:pPr>
            <w:r>
              <w:rPr/>
              <w:t>​</w:t>
            </w:r>
          </w:p>
        </w:tc>
      </w:tr>
      <w:tr>
        <w:trPr/>
        <w:tc>
          <w:tcPr>
            <w:tcW w:w="4688"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0.38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w:t>
            </w:r>
          </w:p>
        </w:tc>
      </w:tr>
      <w:tr>
        <w:trPr/>
        <w:tc>
          <w:tcPr>
            <w:tcW w:w="468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0.38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w:t>
            </w:r>
          </w:p>
        </w:tc>
      </w:tr>
      <w:tr>
        <w:trPr/>
        <w:tc>
          <w:tcPr>
            <w:tcW w:w="4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pPr>
            <w:r>
              <w:rPr/>
              <w:t>​</w:t>
            </w:r>
          </w:p>
        </w:tc>
      </w:tr>
      <w:tr>
        <w:trPr/>
        <w:tc>
          <w:tcPr>
            <w:tcW w:w="468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WEIGHTED AVERAGE NUMBER OF SHARES OF COMMON STOCK AND COMMON STOCK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right"/>
              <w:rPr/>
            </w:pPr>
            <w:r>
              <w:rPr/>
              <w:t>​</w:t>
            </w:r>
          </w:p>
        </w:tc>
      </w:tr>
      <w:tr>
        <w:trPr/>
        <w:tc>
          <w:tcPr>
            <w:tcW w:w="4688"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976,608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975,841 </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975,337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1,015,252 </w:t>
            </w:r>
          </w:p>
        </w:tc>
      </w:tr>
      <w:tr>
        <w:trPr/>
        <w:tc>
          <w:tcPr>
            <w:tcW w:w="468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984,966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983,171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983,532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 xml:space="preserve">1,023,912 </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209" w:name="_ccd230fc_43db_4f97_965c_68075b989993"/>
      <w:bookmarkEnd w:id="209"/>
      <w:r>
        <w:rPr>
          <w:rFonts w:ascii="Times New Roman;Times;serif" w:hAnsi="Times New Roman;Times;serif"/>
          <w:b/>
          <w:sz w:val="20"/>
        </w:rPr>
        <w:t>MONSTER BEVERAGE CORPORATION AND SUBSIDIARIES</w:t>
      </w:r>
    </w:p>
    <w:p>
      <w:pPr>
        <w:pStyle w:val="TextBody"/>
        <w:bidi w:val="0"/>
        <w:spacing w:before="0" w:after="0"/>
        <w:ind w:left="0" w:right="0" w:hanging="0"/>
        <w:jc w:val="both"/>
        <w:rPr>
          <w:rFonts w:ascii="Times New Roman;Times;serif" w:hAnsi="Times New Roman;Times;serif"/>
          <w:b/>
          <w:sz w:val="20"/>
        </w:rPr>
      </w:pPr>
      <w:bookmarkStart w:id="210" w:name="STATEMENTSOFCOMPREHENSIVEINCOME_19420"/>
      <w:bookmarkEnd w:id="210"/>
      <w:r>
        <w:rPr>
          <w:rFonts w:ascii="Times New Roman;Times;serif" w:hAnsi="Times New Roman;Times;serif"/>
          <w:b/>
          <w:sz w:val="20"/>
        </w:rPr>
        <w:t>CONDENSED CONSOLIDATED STATEMENTS OF COMPREHENSIVE INCOME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 xml:space="preserve">FOR THE </w:t>
      </w:r>
      <w:r>
        <w:rPr>
          <w:rFonts w:ascii="Times New Roman;Times;serif" w:hAnsi="Times New Roman;Times;serif"/>
          <w:b/>
          <w:color w:val="212529"/>
          <w:sz w:val="20"/>
          <w:shd w:fill="FFFFFF" w:val="clear"/>
        </w:rPr>
        <w:t>THREE- AND NINE-MONTHS ENDED SEPTEMBER 30</w:t>
      </w:r>
      <w:r>
        <w:rPr>
          <w:rFonts w:ascii="Times New Roman;Times;serif" w:hAnsi="Times New Roman;Times;serif"/>
          <w:b/>
          <w:sz w:val="20"/>
        </w:rPr>
        <w:t>, 2025 AND 2024</w:t>
      </w:r>
    </w:p>
    <w:p>
      <w:pPr>
        <w:pStyle w:val="TextBody"/>
        <w:pBdr>
          <w:bottom w:val="single" w:sz="12" w:space="1" w:color="000000"/>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(In Thousands) (Unaudited) </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11" w:name="Tc_-IWfPJlTq0Ceck26wA_uWw_10_11"/>
      <w:bookmarkStart w:id="212" w:name="Tc_uvsEPb14RUOm80NhWVB3uw_10_8"/>
      <w:bookmarkStart w:id="213" w:name="Tc_WCRXQ0UFiEyAF5Xp5ktHrg_10_5"/>
      <w:bookmarkStart w:id="214" w:name="Tc_pHE9L_CiJE2dU8KVu9MoFw_10_2"/>
      <w:bookmarkStart w:id="215" w:name="Tc_qO2JV6GfnECMK7RMYDalFQ_10_0"/>
      <w:bookmarkStart w:id="216" w:name="Tc_TcBPYdg_YkWd9gDD1QuK9Q_9_0"/>
      <w:bookmarkStart w:id="217" w:name="Tc_EmWSi6aENUKWV5S-gAr5uQ_8_0"/>
      <w:bookmarkStart w:id="218" w:name="Tc_867cpmbMxkaLaB5ci_ZTLA_7_0"/>
      <w:bookmarkStart w:id="219" w:name="Tc_s5OrIsdLE02byiyUAwkBTQ_6_0"/>
      <w:bookmarkStart w:id="220" w:name="Tc_z-q6Bl2doUCoWCvKxNKr_w_5_0"/>
      <w:bookmarkStart w:id="221" w:name="Tc_LqlOccaQ8EWy0NIC86feaQ_4_11"/>
      <w:bookmarkStart w:id="222" w:name="Tc_XoXrjkL300y3RwQamysIFg_4_8"/>
      <w:bookmarkStart w:id="223" w:name="Tc_bvCKApyYSkeOiel80U3H1A_4_5"/>
      <w:bookmarkStart w:id="224" w:name="Tc_ZyhUY07qsEa2gc0rfb4lqw_4_2"/>
      <w:bookmarkStart w:id="225" w:name="Tc_6xDGYIY4FEm0WsnyKeuwUQ_4_0"/>
      <w:bookmarkStart w:id="226" w:name="Tc_G7-at7mUV0qYBFxgMaVDcw_3_11"/>
      <w:bookmarkStart w:id="227" w:name="Tc_d8Hb07Mc70W3Dg23k6LKXg_3_8"/>
      <w:bookmarkStart w:id="228" w:name="Tc_onDSl9l-gk-RIRUbRmA7ZQ_3_5"/>
      <w:bookmarkStart w:id="229" w:name="Tc_b0A8GqGnnE2NG1LmQbKF_g_3_2"/>
      <w:bookmarkStart w:id="230" w:name="Tc_AB41kj7zmEGiZ7YDGrC2EA_2_8"/>
      <w:bookmarkStart w:id="231" w:name="Tc_-6spjUMdCEaVL2ooTmS27g_2_2"/>
      <w:bookmarkStart w:id="232" w:name="Tc_6XGqT8WMpEW5a4qzyFvXCQ_1_8"/>
      <w:bookmarkStart w:id="233" w:name="Tc_Xq91FzO_HE6crJRmEGoEJQ_1_2"/>
      <w:bookmarkStart w:id="234" w:name="_573ee5ac_a9bc_4816_916d_45e1e2716977"/>
      <w:bookmarkStart w:id="235" w:name="Tc_-IWfPJlTq0Ceck26wA_uWw_10_11"/>
      <w:bookmarkStart w:id="236" w:name="Tc_uvsEPb14RUOm80NhWVB3uw_10_8"/>
      <w:bookmarkStart w:id="237" w:name="Tc_WCRXQ0UFiEyAF5Xp5ktHrg_10_5"/>
      <w:bookmarkStart w:id="238" w:name="Tc_pHE9L_CiJE2dU8KVu9MoFw_10_2"/>
      <w:bookmarkStart w:id="239" w:name="Tc_qO2JV6GfnECMK7RMYDalFQ_10_0"/>
      <w:bookmarkStart w:id="240" w:name="Tc_TcBPYdg_YkWd9gDD1QuK9Q_9_0"/>
      <w:bookmarkStart w:id="241" w:name="Tc_EmWSi6aENUKWV5S-gAr5uQ_8_0"/>
      <w:bookmarkStart w:id="242" w:name="Tc_867cpmbMxkaLaB5ci_ZTLA_7_0"/>
      <w:bookmarkStart w:id="243" w:name="Tc_s5OrIsdLE02byiyUAwkBTQ_6_0"/>
      <w:bookmarkStart w:id="244" w:name="Tc_z-q6Bl2doUCoWCvKxNKr_w_5_0"/>
      <w:bookmarkStart w:id="245" w:name="Tc_LqlOccaQ8EWy0NIC86feaQ_4_11"/>
      <w:bookmarkStart w:id="246" w:name="Tc_XoXrjkL300y3RwQamysIFg_4_8"/>
      <w:bookmarkStart w:id="247" w:name="Tc_bvCKApyYSkeOiel80U3H1A_4_5"/>
      <w:bookmarkStart w:id="248" w:name="Tc_ZyhUY07qsEa2gc0rfb4lqw_4_2"/>
      <w:bookmarkStart w:id="249" w:name="Tc_6xDGYIY4FEm0WsnyKeuwUQ_4_0"/>
      <w:bookmarkStart w:id="250" w:name="Tc_G7-at7mUV0qYBFxgMaVDcw_3_11"/>
      <w:bookmarkStart w:id="251" w:name="Tc_d8Hb07Mc70W3Dg23k6LKXg_3_8"/>
      <w:bookmarkStart w:id="252" w:name="Tc_onDSl9l-gk-RIRUbRmA7ZQ_3_5"/>
      <w:bookmarkStart w:id="253" w:name="Tc_b0A8GqGnnE2NG1LmQbKF_g_3_2"/>
      <w:bookmarkStart w:id="254" w:name="Tc_AB41kj7zmEGiZ7YDGrC2EA_2_8"/>
      <w:bookmarkStart w:id="255" w:name="Tc_-6spjUMdCEaVL2ooTmS27g_2_2"/>
      <w:bookmarkStart w:id="256" w:name="Tc_6XGqT8WMpEW5a4qzyFvXCQ_1_8"/>
      <w:bookmarkStart w:id="257" w:name="Tc_Xq91FzO_HE6crJRmEGoEJQ_1_2"/>
      <w:bookmarkStart w:id="258" w:name="_573ee5ac_a9bc_4816_916d_45e1e2716977"/>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tbl>
      <w:tblPr>
        <w:tblW w:w="10205" w:type="dxa"/>
        <w:jc w:val="left"/>
        <w:tblInd w:w="0" w:type="dxa"/>
        <w:tblLayout w:type="fixed"/>
        <w:tblCellMar>
          <w:top w:w="0" w:type="dxa"/>
          <w:left w:w="0" w:type="dxa"/>
          <w:bottom w:w="0" w:type="dxa"/>
          <w:right w:w="0" w:type="dxa"/>
        </w:tblCellMar>
      </w:tblPr>
      <w:tblGrid>
        <w:gridCol w:w="4948"/>
        <w:gridCol w:w="326"/>
        <w:gridCol w:w="196"/>
        <w:gridCol w:w="720"/>
        <w:gridCol w:w="326"/>
        <w:gridCol w:w="196"/>
        <w:gridCol w:w="691"/>
        <w:gridCol w:w="326"/>
        <w:gridCol w:w="196"/>
        <w:gridCol w:w="826"/>
        <w:gridCol w:w="326"/>
        <w:gridCol w:w="196"/>
        <w:gridCol w:w="932"/>
      </w:tblGrid>
      <w:tr>
        <w:trPr/>
        <w:tc>
          <w:tcPr>
            <w:tcW w:w="49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3141980" cy="175260"/>
                      <wp:effectExtent l="0" t="0" r="0" b="0"/>
                      <wp:wrapNone/>
                      <wp:docPr id="23" name="Frame23"/>
                      <a:graphic xmlns:a="http://schemas.openxmlformats.org/drawingml/2006/main">
                        <a:graphicData uri="http://schemas.microsoft.com/office/word/2010/wordprocessingShape">
                          <wps:wsp>
                            <wps:cNvSpPr txBox="1"/>
                            <wps:spPr>
                              <a:xfrm>
                                <a:off x="0" y="0"/>
                                <a:ext cx="3141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24460" cy="175260"/>
                      <wp:effectExtent l="0" t="0" r="0" b="0"/>
                      <wp:wrapNone/>
                      <wp:docPr id="24" name="Frame2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457200" cy="175260"/>
                      <wp:effectExtent l="0" t="0" r="0" b="0"/>
                      <wp:wrapNone/>
                      <wp:docPr id="25" name="Frame2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6" name="Frame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24460" cy="175260"/>
                      <wp:effectExtent l="0" t="0" r="0" b="0"/>
                      <wp:wrapNone/>
                      <wp:docPr id="27" name="Frame2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438785" cy="175260"/>
                      <wp:effectExtent l="0" t="0" r="0" b="0"/>
                      <wp:wrapNone/>
                      <wp:docPr id="28" name="Frame2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9" name="Frame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24460" cy="175260"/>
                      <wp:effectExtent l="0" t="0" r="0" b="0"/>
                      <wp:wrapNone/>
                      <wp:docPr id="30" name="Frame3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24510" cy="175260"/>
                      <wp:effectExtent l="0" t="0" r="0" b="0"/>
                      <wp:wrapNone/>
                      <wp:docPr id="31" name="Frame3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2"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24460" cy="175260"/>
                      <wp:effectExtent l="0" t="0" r="0" b="0"/>
                      <wp:wrapNone/>
                      <wp:docPr id="33" name="Frame3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91820" cy="175260"/>
                      <wp:effectExtent l="0" t="0" r="0" b="0"/>
                      <wp:wrapNone/>
                      <wp:docPr id="34" name="Frame34"/>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29"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Three-Months Ended </w:t>
            </w:r>
          </w:p>
        </w:tc>
        <w:tc>
          <w:tcPr>
            <w:tcW w:w="326" w:type="dxa"/>
            <w:tcBorders/>
            <w:vAlign w:val="center"/>
          </w:tcPr>
          <w:p>
            <w:pPr>
              <w:pStyle w:val="TableContents"/>
              <w:bidi w:val="0"/>
              <w:spacing w:before="0" w:after="0"/>
              <w:ind w:left="0" w:right="0" w:hanging="0"/>
              <w:jc w:val="center"/>
              <w:rPr/>
            </w:pPr>
            <w:r>
              <w:rPr/>
              <w:t>    </w:t>
            </w:r>
          </w:p>
        </w:tc>
        <w:tc>
          <w:tcPr>
            <w:tcW w:w="2476"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Nine-Months Ended </w:t>
            </w:r>
          </w:p>
        </w:tc>
      </w:tr>
      <w:tr>
        <w:trPr/>
        <w:tc>
          <w:tcPr>
            <w:tcW w:w="49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2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September 30, </w:t>
            </w:r>
          </w:p>
        </w:tc>
        <w:tc>
          <w:tcPr>
            <w:tcW w:w="326" w:type="dxa"/>
            <w:tcBorders/>
            <w:vAlign w:val="center"/>
          </w:tcPr>
          <w:p>
            <w:pPr>
              <w:pStyle w:val="TableContents"/>
              <w:bidi w:val="0"/>
              <w:spacing w:before="0" w:after="0"/>
              <w:ind w:left="0" w:right="0" w:hanging="0"/>
              <w:jc w:val="left"/>
              <w:rPr/>
            </w:pPr>
            <w:r>
              <w:rPr/>
              <w:t>​</w:t>
            </w:r>
          </w:p>
        </w:tc>
        <w:tc>
          <w:tcPr>
            <w:tcW w:w="247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September 30, </w:t>
            </w:r>
          </w:p>
        </w:tc>
      </w:tr>
      <w:tr>
        <w:trPr/>
        <w:tc>
          <w:tcPr>
            <w:tcW w:w="49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26" w:type="dxa"/>
            <w:tcBorders/>
            <w:vAlign w:val="center"/>
          </w:tcPr>
          <w:p>
            <w:pPr>
              <w:pStyle w:val="TableContents"/>
              <w:bidi w:val="0"/>
              <w:spacing w:before="0" w:after="0"/>
              <w:ind w:left="0" w:right="0" w:hanging="0"/>
              <w:jc w:val="left"/>
              <w:rPr/>
            </w:pPr>
            <w:r>
              <w:rPr/>
              <w:t>    </w:t>
            </w:r>
          </w:p>
        </w:tc>
        <w:tc>
          <w:tcPr>
            <w:tcW w:w="11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494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as reported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524,455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370,919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1,456,242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1,238,337</w:t>
            </w:r>
          </w:p>
        </w:tc>
      </w:tr>
      <w:tr>
        <w:trPr/>
        <w:tc>
          <w:tcPr>
            <w:tcW w:w="494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income (loss), net of tax:</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right"/>
              <w:rPr/>
            </w:pPr>
            <w:r>
              <w:rPr/>
              <w:t>​</w:t>
            </w:r>
          </w:p>
        </w:tc>
      </w:tr>
      <w:tr>
        <w:trPr/>
        <w:tc>
          <w:tcPr>
            <w:tcW w:w="494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foreign currency translation adjustment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(17,353)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47,846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147,377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(13,953)</w:t>
            </w:r>
          </w:p>
        </w:tc>
      </w:tr>
      <w:tr>
        <w:trPr/>
        <w:tc>
          <w:tcPr>
            <w:tcW w:w="494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net unrealized gain (loss) on available-for-sale investments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758</w:t>
            </w:r>
          </w:p>
        </w:tc>
      </w:tr>
      <w:tr>
        <w:trPr/>
        <w:tc>
          <w:tcPr>
            <w:tcW w:w="494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net gain (loss) on commodity derivatives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15,058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(3,384)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28,294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690</w:t>
            </w:r>
          </w:p>
        </w:tc>
      </w:tr>
      <w:tr>
        <w:trPr/>
        <w:tc>
          <w:tcPr>
            <w:tcW w:w="494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income (loss)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(2,074)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44,462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176,105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(12,505)</w:t>
            </w:r>
          </w:p>
        </w:tc>
      </w:tr>
      <w:tr>
        <w:trPr/>
        <w:tc>
          <w:tcPr>
            <w:tcW w:w="494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Comprehensive income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522,381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415,381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1,632,347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1,225,832</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r>
        <w:rPr>
          <w:rFonts w:ascii="Times New Roman;Times;serif" w:hAnsi="Times New Roman;Times;serif"/>
          <w:sz w:val="22"/>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20" w:before="0" w:after="0"/>
        <w:ind w:left="0" w:right="0" w:hanging="0"/>
        <w:jc w:val="both"/>
        <w:rPr>
          <w:rFonts w:ascii="Times New Roman;Times;serif" w:hAnsi="Times New Roman;Times;serif"/>
          <w:b/>
          <w:sz w:val="20"/>
        </w:rPr>
      </w:pPr>
      <w:bookmarkStart w:id="259" w:name="_40264ba4_749b_48cb_8053_2948c1fddadc"/>
      <w:bookmarkEnd w:id="259"/>
      <w:r>
        <w:rPr>
          <w:rFonts w:ascii="Times New Roman;Times;serif" w:hAnsi="Times New Roman;Times;serif"/>
          <w:b/>
          <w:sz w:val="20"/>
        </w:rPr>
        <w:t>MONSTER BEVERAGE CORPORATION AND SUBSIDIARIES</w:t>
      </w:r>
    </w:p>
    <w:p>
      <w:pPr>
        <w:pStyle w:val="TextBody"/>
        <w:bidi w:val="0"/>
        <w:spacing w:lineRule="atLeast" w:line="220" w:before="0" w:after="0"/>
        <w:ind w:left="0" w:right="0" w:hanging="0"/>
        <w:jc w:val="both"/>
        <w:rPr>
          <w:rFonts w:ascii="Times New Roman;Times;serif" w:hAnsi="Times New Roman;Times;serif"/>
          <w:b/>
          <w:sz w:val="20"/>
        </w:rPr>
      </w:pPr>
      <w:bookmarkStart w:id="260" w:name="STATEMENTSOFSTOCKHOLDERSEQUITY_603690"/>
      <w:bookmarkEnd w:id="260"/>
      <w:r>
        <w:rPr>
          <w:rFonts w:ascii="Times New Roman;Times;serif" w:hAnsi="Times New Roman;Times;serif"/>
          <w:b/>
          <w:sz w:val="20"/>
        </w:rPr>
        <w:t xml:space="preserve">CONDENSED CONSOLIDATED STATEMENTS OF STOCKHOLDERS’ EQUITY </w:t>
      </w:r>
    </w:p>
    <w:p>
      <w:pPr>
        <w:pStyle w:val="TextBody"/>
        <w:pBdr/>
        <w:bidi w:val="0"/>
        <w:spacing w:lineRule="atLeast" w:line="220" w:before="0" w:after="0"/>
        <w:ind w:left="0" w:right="0" w:hanging="0"/>
        <w:jc w:val="both"/>
        <w:rPr>
          <w:rFonts w:ascii="Times New Roman;Times;serif" w:hAnsi="Times New Roman;Times;serif"/>
          <w:sz w:val="20"/>
        </w:rPr>
      </w:pPr>
      <w:r>
        <w:rPr>
          <w:rFonts w:ascii="Times New Roman;Times;serif" w:hAnsi="Times New Roman;Times;serif"/>
          <w:b/>
          <w:sz w:val="20"/>
        </w:rPr>
        <w:t xml:space="preserve">FOR THE </w:t>
      </w:r>
      <w:r>
        <w:rPr>
          <w:rFonts w:ascii="Times New Roman;Times;serif" w:hAnsi="Times New Roman;Times;serif"/>
          <w:b/>
          <w:color w:val="212529"/>
          <w:sz w:val="20"/>
          <w:shd w:fill="FFFFFF" w:val="clear"/>
        </w:rPr>
        <w:t>THREE- AND NINE-MONTHS ENDED SEPTEMBER 30</w:t>
      </w:r>
      <w:r>
        <w:rPr>
          <w:rFonts w:ascii="Times New Roman;Times;serif" w:hAnsi="Times New Roman;Times;serif"/>
          <w:b/>
          <w:sz w:val="20"/>
        </w:rPr>
        <w:t>, 2025 AND 2024</w:t>
      </w:r>
    </w:p>
    <w:p>
      <w:pPr>
        <w:pStyle w:val="TextBody"/>
        <w:pBdr>
          <w:bottom w:val="single" w:sz="12" w:space="1" w:color="000000"/>
        </w:pBdr>
        <w:bidi w:val="0"/>
        <w:spacing w:lineRule="atLeast" w:line="220" w:before="0" w:after="0"/>
        <w:ind w:left="0" w:right="0" w:hanging="0"/>
        <w:jc w:val="both"/>
        <w:rPr>
          <w:rFonts w:ascii="Times New Roman;Times;serif" w:hAnsi="Times New Roman;Times;serif"/>
          <w:b/>
          <w:sz w:val="20"/>
        </w:rPr>
      </w:pPr>
      <w:r>
        <w:rPr>
          <w:rFonts w:ascii="Times New Roman;Times;serif" w:hAnsi="Times New Roman;Times;serif"/>
          <w:b/>
          <w:sz w:val="20"/>
        </w:rPr>
        <w:t>(In Thousands) (Unaudited)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61" w:name="Tc_GUs5icbYCkingxS8EDhFWg_30_21"/>
      <w:bookmarkStart w:id="262" w:name="Tc_EOE1q2G3_kyAKXiP8MPzZg_30_18"/>
      <w:bookmarkStart w:id="263" w:name="Tc_CAeytGuc60eaKrdvYhJp0A_30_13"/>
      <w:bookmarkStart w:id="264" w:name="Tc_K4QyebHSkkCnMhTwv8tULQ_30_10"/>
      <w:bookmarkStart w:id="265" w:name="Tc_Da1rvHF4Xk-z7kUeRfyQCg_30_7"/>
      <w:bookmarkStart w:id="266" w:name="Tc_xjoo5LXsIkuUdLPwPXSE3Q_30_4"/>
      <w:bookmarkStart w:id="267" w:name="Tc_sO0l68W4xE2fUlUO2FjkTg_30_0"/>
      <w:bookmarkStart w:id="268" w:name="Tc_KP4OeEC6i0OyeHjp23ov4g_29_19"/>
      <w:bookmarkStart w:id="269" w:name="Tc_E-C-J9-gTkucd9NFETL9kQ_29_16"/>
      <w:bookmarkStart w:id="270" w:name="Tc_wAdBsu5-T0CpA9q_Wl1rmA_29_14"/>
      <w:bookmarkStart w:id="271" w:name="Tc_DLWi1R-MWUWehn2dgHL5Jg_29_8"/>
      <w:bookmarkStart w:id="272" w:name="Tc_2CVizEHYnEykxnKcidzuPw_29_5"/>
      <w:bookmarkStart w:id="273" w:name="Tc_kF5JImwMvUmLMy97ivqbow_29_2"/>
      <w:bookmarkStart w:id="274" w:name="Tc_Z5hkIgjdWkK_x_4fz2Yn7w_29_0"/>
      <w:bookmarkStart w:id="275" w:name="Tc_KD2h73GdiEmqPqpJhRAU9w_28_19"/>
      <w:bookmarkStart w:id="276" w:name="Tc_L-Jt4hgnH06D4nSNYoefXg_28_16"/>
      <w:bookmarkStart w:id="277" w:name="Tc_E85HB6K7QUmtoc7g6k6nQg_28_11"/>
      <w:bookmarkStart w:id="278" w:name="Tc_O2Fz87CdDkuUbZW7l0TpPA_28_8"/>
      <w:bookmarkStart w:id="279" w:name="Tc_BCWcw6MNrUy3fL62oTxEgw_28_5"/>
      <w:bookmarkStart w:id="280" w:name="Tc_JqyyThj-SE-qK6ZlmkwGuQ_28_2"/>
      <w:bookmarkStart w:id="281" w:name="Tc_CN32KNnNtUuy_oesyFvSCw_28_0"/>
      <w:bookmarkStart w:id="282" w:name="Tc_CeQhacSD1EyDxX-YAEQ1OQ_27_19"/>
      <w:bookmarkStart w:id="283" w:name="Tc_aGCGlaiG30CZoUXVrpqD7Q_27_16"/>
      <w:bookmarkStart w:id="284" w:name="Tc_FVd8wkSo90eRBNB8HK5pXw_27_11"/>
      <w:bookmarkStart w:id="285" w:name="Tc_CCGEOmykkEu4DZbSA5jUZQ_27_8"/>
      <w:bookmarkStart w:id="286" w:name="Tc_LDDwfxjI9Eqzb2MFTzL9KQ_27_5"/>
      <w:bookmarkStart w:id="287" w:name="Tc__7LITRiMb0ehDhwuXwXSnA_27_2"/>
      <w:bookmarkStart w:id="288" w:name="Tc_UQSlxCMrK0axqjyOFnkexg_27_0"/>
      <w:bookmarkStart w:id="289" w:name="Tc_BBjQ8xHmVEusKlS4_lntbg_26_14"/>
      <w:bookmarkStart w:id="290" w:name="Tc_3PG54akymUyA5-b_jO2pzg_26_11"/>
      <w:bookmarkStart w:id="291" w:name="Tc_Dd0Ku3tToUqi5c7UpkTDLA_26_8"/>
      <w:bookmarkStart w:id="292" w:name="Tc_lksbiR4jLESm1ckI0_IQTw_26_5"/>
      <w:bookmarkStart w:id="293" w:name="Tc_bxFLom9S30K4gCcxfxJPyA_26_2"/>
      <w:bookmarkStart w:id="294" w:name="Tc_TRsIMeutTUKJm8xxEp91nw_26_0"/>
      <w:bookmarkStart w:id="295" w:name="Tc_4_FUkoLlzkScJ7z7lDUyyw_25_19"/>
      <w:bookmarkStart w:id="296" w:name="Tc_JyuyGaX7jEq_nOBRCAiKjA_25_16"/>
      <w:bookmarkStart w:id="297" w:name="Tc_IMPPzh9s-UuMDbt2W73T7w_25_11"/>
      <w:bookmarkStart w:id="298" w:name="Tc_ffOG3npN70eGw62Wh_jz0w_25_8"/>
      <w:bookmarkStart w:id="299" w:name="Tc_d0YVmwrJAkCKTgWLU5Mf9w_25_5"/>
      <w:bookmarkStart w:id="300" w:name="Tc_SI0X14BT8km6j69OcsUeQQ_25_2"/>
      <w:bookmarkStart w:id="301" w:name="Tc_bIcEJbDAf0WuubmBtiOTfA_25_0"/>
      <w:bookmarkStart w:id="302" w:name="Tc_FfmSuLy0dU6iur9Jp2dwYg_24_19"/>
      <w:bookmarkStart w:id="303" w:name="Tc_IywCF4nj9UmeSVYUR0e5DQ_24_16"/>
      <w:bookmarkStart w:id="304" w:name="Tc_oK0ZMHSiVEm3np2BrAwRTg_24_14"/>
      <w:bookmarkStart w:id="305" w:name="Tc_kZbmoWn0gESvU0UDJwQI7Q_24_11"/>
      <w:bookmarkStart w:id="306" w:name="Tc_Ytj5A0TL1Ei6j9azYSZPmw_24_0"/>
      <w:bookmarkStart w:id="307" w:name="Tc_dB_gpLvo3kG5xB_92zNVAQ_23_19"/>
      <w:bookmarkStart w:id="308" w:name="Tc_J-FTN56sXki6LMYMMzzKgg_23_16"/>
      <w:bookmarkStart w:id="309" w:name="Tc_PthbR8wO80-Wc90F-zdb-g_23_14"/>
      <w:bookmarkStart w:id="310" w:name="Tc_7Kucu4_zA067Rtitci5SZA_23_11"/>
      <w:bookmarkStart w:id="311" w:name="Tc_lRlZ9llpVUGy3mNdzuA_gA_23_5"/>
      <w:bookmarkStart w:id="312" w:name="Tc_9a1RjNUOL0ycw5Wk53NMqw_23_2"/>
      <w:bookmarkStart w:id="313" w:name="Tc_8YAp5FF0AkG6D0k_9OfMPw_23_0"/>
      <w:bookmarkStart w:id="314" w:name="Tc_OC8saU45okaW2gZrmzYCWA_21_21"/>
      <w:bookmarkStart w:id="315" w:name="Tc_A1mBtFkW_Uu4nNxzuR2EZA_21_18"/>
      <w:bookmarkStart w:id="316" w:name="Tc_mfMcqY3LWUuzzA15bUT-Fg_21_13"/>
      <w:bookmarkStart w:id="317" w:name="Tc_kl9gH9K81EK7MjjwWsrQSQ_21_10"/>
      <w:bookmarkStart w:id="318" w:name="Tc_Vh1qVU1ctU2FJLYCLscY-w_21_7"/>
      <w:bookmarkStart w:id="319" w:name="Tc_kmJp5JVLpEy0IzWYW7pOhw_21_4"/>
      <w:bookmarkStart w:id="320" w:name="Tc_fCFwylRnJEmXLCJQ20yHJg_21_0"/>
      <w:bookmarkStart w:id="321" w:name="Tc_29gNmt7r9UWV0Nrkr6DKRQ_20_19"/>
      <w:bookmarkStart w:id="322" w:name="Tc_EzUCvQHPb026OtHIQwP7jQ_20_16"/>
      <w:bookmarkStart w:id="323" w:name="Tc_7twPce4oPE2gxCMrLhRP5g_20_14"/>
      <w:bookmarkStart w:id="324" w:name="Tc_w4uRr_DOI0OhxQHhfNS4Qw_20_8"/>
      <w:bookmarkStart w:id="325" w:name="Tc_dCvP1-oySEGItk72bEJ1jg_20_5"/>
      <w:bookmarkStart w:id="326" w:name="Tc_V_QWU-NF6EWCdgifkM-MEw_20_2"/>
      <w:bookmarkStart w:id="327" w:name="Tc_8nTWZPbtdkShvfRalCVLlA_20_0"/>
      <w:bookmarkStart w:id="328" w:name="Tc_foDI5J1W9EOkJ-MgyuQx6w_19_19"/>
      <w:bookmarkStart w:id="329" w:name="Tc_KHqKUVbVOEOYCktlOSrJqw_19_16"/>
      <w:bookmarkStart w:id="330" w:name="Tc_ybqGCAYgaEa1LyzaVz6kbg_19_11"/>
      <w:bookmarkStart w:id="331" w:name="Tc_lRCZ3VZFX0yYzcrb5p1tlA_19_8"/>
      <w:bookmarkStart w:id="332" w:name="Tc_m5LXAOK380i_7tL8FQ_QFw_19_5"/>
      <w:bookmarkStart w:id="333" w:name="Tc_BqcCRcJebUqIhkp7G1wmuA_19_2"/>
      <w:bookmarkStart w:id="334" w:name="Tc_Uqhv-qw5nUy3gf5Fm5_MmA_19_0"/>
      <w:bookmarkStart w:id="335" w:name="Tc_Jc1cay4XsUKz49mbP2i6WQ_18_19"/>
      <w:bookmarkStart w:id="336" w:name="Tc_xyttboU2Ikee9BCPamQxvA_18_16"/>
      <w:bookmarkStart w:id="337" w:name="Tc_wvf_ylbzFkGYKPvsjbneFA_18_11"/>
      <w:bookmarkStart w:id="338" w:name="Tc_AjnpD58igUK4zHbAPw8y2A_18_8"/>
      <w:bookmarkStart w:id="339" w:name="Tc_yh4Vw3w5dEWWmw0-GUFoFQ_18_5"/>
      <w:bookmarkStart w:id="340" w:name="Tc_qGt7H8efpk2Nz870s6yAtg_18_2"/>
      <w:bookmarkStart w:id="341" w:name="Tc_cTKnuwU5tUyD135Y8kubSw_18_0"/>
      <w:bookmarkStart w:id="342" w:name="Tc_j3hvRrT7L0SPI07hAVizbg_17_19"/>
      <w:bookmarkStart w:id="343" w:name="Tc_f-yJPbFxO0eMIC_36nDh6w_17_16"/>
      <w:bookmarkStart w:id="344" w:name="Tc_vXThfm5f9U6Dvpgb2a-URA_17_11"/>
      <w:bookmarkStart w:id="345" w:name="Tc_gfKWB9B3dEq4TOhEEdkjdw_17_8"/>
      <w:bookmarkStart w:id="346" w:name="Tc_fvJLzLRMj0OZ0WUTI97rSA_17_5"/>
      <w:bookmarkStart w:id="347" w:name="Tc_YXCy4iXOlku4m4Q_iQQGRQ_17_2"/>
      <w:bookmarkStart w:id="348" w:name="Tc_Lazk33wkaU2DTyNLPrxQHA_17_0"/>
      <w:bookmarkStart w:id="349" w:name="Tc_UAPHACmfNEi84f_xv6fw_w_16_19"/>
      <w:bookmarkStart w:id="350" w:name="Tc__nO9K1pEskCjV5syLVJcTw_16_16"/>
      <w:bookmarkStart w:id="351" w:name="Tc_O-w38_oHq0ClYoq8389tMA_16_14"/>
      <w:bookmarkStart w:id="352" w:name="Tc_FvlmrgSxPkOtya3gxc65AA_16_11"/>
      <w:bookmarkStart w:id="353" w:name="Tc_s_6Fha1dH0KJV7HUbTyrHg_16_0"/>
      <w:bookmarkStart w:id="354" w:name="Tc_KE5zd9_ACUutXCd6gC14ew_15_19"/>
      <w:bookmarkStart w:id="355" w:name="Tc_C07bBQzfpkOw4rSKBcrZFg_15_16"/>
      <w:bookmarkStart w:id="356" w:name="Tc_GUGvkSmE6U-f1UMVhn-DVA_15_14"/>
      <w:bookmarkStart w:id="357" w:name="Tc_PvD-Rl85ukCqa6uzTQsflA_15_11"/>
      <w:bookmarkStart w:id="358" w:name="Tc_gpHYuWPUy0O19gfEyxp0Xg_15_5"/>
      <w:bookmarkStart w:id="359" w:name="Tc_AOlxwZ88s0WNKf12YgTiGQ_15_2"/>
      <w:bookmarkStart w:id="360" w:name="Tc_NNNntpez3kaoriws_udrGA_15_0"/>
      <w:bookmarkStart w:id="361" w:name="Tc_U9HOO4A4GkSSkgoo8oO4hA_13_21"/>
      <w:bookmarkStart w:id="362" w:name="Tc_jT09KzyzbEqQ-k4vKnBYsQ_13_18"/>
      <w:bookmarkStart w:id="363" w:name="Tc_YH-fJdZdbkWuObFUKxTQrQ_13_13"/>
      <w:bookmarkStart w:id="364" w:name="Tc_8eK4xYKjIUaJjVO-IspEZg_13_10"/>
      <w:bookmarkStart w:id="365" w:name="Tc_4qxmJBMWykGvRAgyQO_3nQ_13_7"/>
      <w:bookmarkStart w:id="366" w:name="Tc_8BR6xbi1lEWZPEEcI4pw9Q_13_4"/>
      <w:bookmarkStart w:id="367" w:name="Tc_FUy1l7tozE-6vmgzu8L_4A_13_0"/>
      <w:bookmarkStart w:id="368" w:name="Tc_77MkQapQR0uK_Xmq0Z5nlA_12_19"/>
      <w:bookmarkStart w:id="369" w:name="Tc_R-4TaqV4BkSCxEQ5ES700w_12_16"/>
      <w:bookmarkStart w:id="370" w:name="Tc_colPkoyV_kqNXoUPV9pKlQ_12_14"/>
      <w:bookmarkStart w:id="371" w:name="Tc_TyPvLu1vf0WYLcccHeIY0g_12_8"/>
      <w:bookmarkStart w:id="372" w:name="Tc_tFKIoGJ2fUaaz_LoeAiFug_12_5"/>
      <w:bookmarkStart w:id="373" w:name="Tc_wHZX75avS02Q83qgKVTERg_12_2"/>
      <w:bookmarkStart w:id="374" w:name="Tc_pZUtloRBHkO7xeLe-k0p6Q_12_0"/>
      <w:bookmarkStart w:id="375" w:name="Tc__BEll_-drUSMg8u6BApFsQ_11_19"/>
      <w:bookmarkStart w:id="376" w:name="Tc_Stu9Ka7ooEenGAUxxzqNSQ_11_16"/>
      <w:bookmarkStart w:id="377" w:name="Tc_i-DaT2sWB0-tsUlLH--t0w_11_11"/>
      <w:bookmarkStart w:id="378" w:name="Tc_A43EsobQ7UmZ8fr6dnd07A_11_8"/>
      <w:bookmarkStart w:id="379" w:name="Tc_j-0J-R3pkkiX8W--7njIsw_11_5"/>
      <w:bookmarkStart w:id="380" w:name="Tc_T5ud_-IHhUGxhC6J6IBVgg_11_2"/>
      <w:bookmarkStart w:id="381" w:name="Tc_Qlrke-3EMEuM4pLYjCiYgQ_11_0"/>
      <w:bookmarkStart w:id="382" w:name="Tc_j4oXaDJsP02WFZdEfw7MAg_10_19"/>
      <w:bookmarkStart w:id="383" w:name="Tc_l9lFHDGXAkyw2xSqDTykjg_10_16"/>
      <w:bookmarkStart w:id="384" w:name="Tc_c3KCv-qB7EyscI0g2FSuTQ_10_11"/>
      <w:bookmarkStart w:id="385" w:name="Tc_fqazTf4eHUSjto-dXDcQpA_10_8"/>
      <w:bookmarkStart w:id="386" w:name="Tc_CQfbo_J2HE6jNKBzReksRA_10_5"/>
      <w:bookmarkStart w:id="387" w:name="Tc_T1guzgjrm023I7g-t4Q9lA_10_2"/>
      <w:bookmarkStart w:id="388" w:name="Tc_AHcsdKCOqUKmuI5kU1Wyfw_10_0"/>
      <w:bookmarkStart w:id="389" w:name="Tc_BPpCiiI_uUGYgG3Fy-szKg_9_14"/>
      <w:bookmarkStart w:id="390" w:name="Tc_a2LLSYM0Mk-CBMIiW8j66w_9_11"/>
      <w:bookmarkStart w:id="391" w:name="Tc_-Aa6Yo2Cjk6bA36RQKnokg_9_8"/>
      <w:bookmarkStart w:id="392" w:name="Tc_NYzoh3oQ6EK4902QvGGytw_9_5"/>
      <w:bookmarkStart w:id="393" w:name="Tc_lhvg1VOFE0uoxcmEiQOESQ_9_2"/>
      <w:bookmarkStart w:id="394" w:name="Tc_bPuMdu4iYEm2QvasXTyG6w_9_0"/>
      <w:bookmarkStart w:id="395" w:name="Tc_2hJipq9TKESeO9udf6GCgw_8_19"/>
      <w:bookmarkStart w:id="396" w:name="Tc_Ra8SeaZnjkmz3RcVM0t0Jg_8_16"/>
      <w:bookmarkStart w:id="397" w:name="Tc_MxdshQzrzkeGwq3DG6Jw1Q_8_14"/>
      <w:bookmarkStart w:id="398" w:name="Tc_Pp3WMfGnXU6lpM5FviQueg_8_11"/>
      <w:bookmarkStart w:id="399" w:name="Tc_T-j4kXNtuEuqnAgE7i3jDQ_8_0"/>
      <w:bookmarkStart w:id="400" w:name="Tc_Qt8N37Q56k2OLsnpAEdj4g_7_19"/>
      <w:bookmarkStart w:id="401" w:name="Tc_INcf8knn402ZFVBdtIwavg_7_16"/>
      <w:bookmarkStart w:id="402" w:name="Tc_FfBbe95N8UePsMABLDt5xw_7_14"/>
      <w:bookmarkStart w:id="403" w:name="Tc_BbqHEJYlK0G9SfacXSqYZQ_7_11"/>
      <w:bookmarkStart w:id="404" w:name="Tc_c8n1PSmrdkyCDLe-rjgCKA_7_5"/>
      <w:bookmarkStart w:id="405" w:name="Tc_UVdNzGIdF0ymG5IrFs7yLw_7_2"/>
      <w:bookmarkStart w:id="406" w:name="Tc_NyEgykgPcEKb_LuA4lgbpw_7_0"/>
      <w:bookmarkStart w:id="407" w:name="Tc_HDD3mWHE7kqtKEq_BUR0Vg_5_21"/>
      <w:bookmarkStart w:id="408" w:name="Tc_ZUfZKGuIx0KTiob5vPMbkg_5_18"/>
      <w:bookmarkStart w:id="409" w:name="Tc_tvb7ro2oSkCC_ZNpjn3LXA_5_13"/>
      <w:bookmarkStart w:id="410" w:name="Tc_scG82ig2bUm0c1Rs09qWQQ_5_10"/>
      <w:bookmarkStart w:id="411" w:name="Tc_Ue1iXY-xQ0yXaktYenzyAA_5_7"/>
      <w:bookmarkStart w:id="412" w:name="Tc_yGnUpB8QAk6kiuSGNp6itQ_5_4"/>
      <w:bookmarkStart w:id="413" w:name="Tc_K_8VJlnWNE2dqKYvcBFzQQ_5_0"/>
      <w:bookmarkStart w:id="414" w:name="Tc_fZPPimTeOEGVVgAHoiAkBg_4_21"/>
      <w:bookmarkStart w:id="415" w:name="Tc_9s4b72FOMU6FNFspHtAakw_4_18"/>
      <w:bookmarkStart w:id="416" w:name="Tc_jMsPtmEMnUC1c3cxJQKPNg_4_16"/>
      <w:bookmarkStart w:id="417" w:name="Tc_Zw_ti7VXhE-vRKUwUFwYVA_4_13"/>
      <w:bookmarkStart w:id="418" w:name="Tc_KzI2L8MSh0S2DMvtUeaI6g_4_10"/>
      <w:bookmarkStart w:id="419" w:name="Tc_iZrfpuGNR0CRRWEdjfOw2Q_4_7"/>
      <w:bookmarkStart w:id="420" w:name="Tc_iXjkGKILwEy9iJ-I29bv2g_4_4"/>
      <w:bookmarkStart w:id="421" w:name="Tc_7-cFCpzLyUyZ7JirPa1eLA_4_2"/>
      <w:bookmarkStart w:id="422" w:name="Tc_eQJQIJRlvEyjxCfBlImb0A_3_21"/>
      <w:bookmarkStart w:id="423" w:name="Tc_Qs4Tea29g02Tlfbwhb7t7Q_3_16"/>
      <w:bookmarkStart w:id="424" w:name="Tc_AoeQutW5qkKFl_iNyqDAXA_3_13"/>
      <w:bookmarkStart w:id="425" w:name="Tc_Tt9W7F9RhU6agh5I6ZxMIA_3_10"/>
      <w:bookmarkStart w:id="426" w:name="Tc_9SPMc0lwxUar6_obQRJfxg_3_7"/>
      <w:bookmarkStart w:id="427" w:name="Tc_OITV1F3M_U2-eSYIeyeeqA_3_2"/>
      <w:bookmarkStart w:id="428" w:name="Tc_8dtmv280_E-XWXoEsaZ2lg_2_21"/>
      <w:bookmarkStart w:id="429" w:name="Tc_bJ7eHFB-rkq5lUOHu0ImCA_2_13"/>
      <w:bookmarkStart w:id="430" w:name="Tc_3aY6N_ubWEmtos8Vs3VuLw_2_7"/>
      <w:bookmarkStart w:id="431" w:name="Tc_s0oK_4I_yE61qTu8igNPLA_1_13"/>
      <w:bookmarkStart w:id="432" w:name="_f30de4c4_50e8_4b76_95e7_5cf508d24da9"/>
      <w:bookmarkStart w:id="433" w:name="Tc_GUs5icbYCkingxS8EDhFWg_30_21"/>
      <w:bookmarkStart w:id="434" w:name="Tc_EOE1q2G3_kyAKXiP8MPzZg_30_18"/>
      <w:bookmarkStart w:id="435" w:name="Tc_CAeytGuc60eaKrdvYhJp0A_30_13"/>
      <w:bookmarkStart w:id="436" w:name="Tc_K4QyebHSkkCnMhTwv8tULQ_30_10"/>
      <w:bookmarkStart w:id="437" w:name="Tc_Da1rvHF4Xk-z7kUeRfyQCg_30_7"/>
      <w:bookmarkStart w:id="438" w:name="Tc_xjoo5LXsIkuUdLPwPXSE3Q_30_4"/>
      <w:bookmarkStart w:id="439" w:name="Tc_sO0l68W4xE2fUlUO2FjkTg_30_0"/>
      <w:bookmarkStart w:id="440" w:name="Tc_KP4OeEC6i0OyeHjp23ov4g_29_19"/>
      <w:bookmarkStart w:id="441" w:name="Tc_E-C-J9-gTkucd9NFETL9kQ_29_16"/>
      <w:bookmarkStart w:id="442" w:name="Tc_wAdBsu5-T0CpA9q_Wl1rmA_29_14"/>
      <w:bookmarkStart w:id="443" w:name="Tc_DLWi1R-MWUWehn2dgHL5Jg_29_8"/>
      <w:bookmarkStart w:id="444" w:name="Tc_2CVizEHYnEykxnKcidzuPw_29_5"/>
      <w:bookmarkStart w:id="445" w:name="Tc_kF5JImwMvUmLMy97ivqbow_29_2"/>
      <w:bookmarkStart w:id="446" w:name="Tc_Z5hkIgjdWkK_x_4fz2Yn7w_29_0"/>
      <w:bookmarkStart w:id="447" w:name="Tc_KD2h73GdiEmqPqpJhRAU9w_28_19"/>
      <w:bookmarkStart w:id="448" w:name="Tc_L-Jt4hgnH06D4nSNYoefXg_28_16"/>
      <w:bookmarkStart w:id="449" w:name="Tc_E85HB6K7QUmtoc7g6k6nQg_28_11"/>
      <w:bookmarkStart w:id="450" w:name="Tc_O2Fz87CdDkuUbZW7l0TpPA_28_8"/>
      <w:bookmarkStart w:id="451" w:name="Tc_BCWcw6MNrUy3fL62oTxEgw_28_5"/>
      <w:bookmarkStart w:id="452" w:name="Tc_JqyyThj-SE-qK6ZlmkwGuQ_28_2"/>
      <w:bookmarkStart w:id="453" w:name="Tc_CN32KNnNtUuy_oesyFvSCw_28_0"/>
      <w:bookmarkStart w:id="454" w:name="Tc_CeQhacSD1EyDxX-YAEQ1OQ_27_19"/>
      <w:bookmarkStart w:id="455" w:name="Tc_aGCGlaiG30CZoUXVrpqD7Q_27_16"/>
      <w:bookmarkStart w:id="456" w:name="Tc_FVd8wkSo90eRBNB8HK5pXw_27_11"/>
      <w:bookmarkStart w:id="457" w:name="Tc_CCGEOmykkEu4DZbSA5jUZQ_27_8"/>
      <w:bookmarkStart w:id="458" w:name="Tc_LDDwfxjI9Eqzb2MFTzL9KQ_27_5"/>
      <w:bookmarkStart w:id="459" w:name="Tc__7LITRiMb0ehDhwuXwXSnA_27_2"/>
      <w:bookmarkStart w:id="460" w:name="Tc_UQSlxCMrK0axqjyOFnkexg_27_0"/>
      <w:bookmarkStart w:id="461" w:name="Tc_BBjQ8xHmVEusKlS4_lntbg_26_14"/>
      <w:bookmarkStart w:id="462" w:name="Tc_3PG54akymUyA5-b_jO2pzg_26_11"/>
      <w:bookmarkStart w:id="463" w:name="Tc_Dd0Ku3tToUqi5c7UpkTDLA_26_8"/>
      <w:bookmarkStart w:id="464" w:name="Tc_lksbiR4jLESm1ckI0_IQTw_26_5"/>
      <w:bookmarkStart w:id="465" w:name="Tc_bxFLom9S30K4gCcxfxJPyA_26_2"/>
      <w:bookmarkStart w:id="466" w:name="Tc_TRsIMeutTUKJm8xxEp91nw_26_0"/>
      <w:bookmarkStart w:id="467" w:name="Tc_4_FUkoLlzkScJ7z7lDUyyw_25_19"/>
      <w:bookmarkStart w:id="468" w:name="Tc_JyuyGaX7jEq_nOBRCAiKjA_25_16"/>
      <w:bookmarkStart w:id="469" w:name="Tc_IMPPzh9s-UuMDbt2W73T7w_25_11"/>
      <w:bookmarkStart w:id="470" w:name="Tc_ffOG3npN70eGw62Wh_jz0w_25_8"/>
      <w:bookmarkStart w:id="471" w:name="Tc_d0YVmwrJAkCKTgWLU5Mf9w_25_5"/>
      <w:bookmarkStart w:id="472" w:name="Tc_SI0X14BT8km6j69OcsUeQQ_25_2"/>
      <w:bookmarkStart w:id="473" w:name="Tc_bIcEJbDAf0WuubmBtiOTfA_25_0"/>
      <w:bookmarkStart w:id="474" w:name="Tc_FfmSuLy0dU6iur9Jp2dwYg_24_19"/>
      <w:bookmarkStart w:id="475" w:name="Tc_IywCF4nj9UmeSVYUR0e5DQ_24_16"/>
      <w:bookmarkStart w:id="476" w:name="Tc_oK0ZMHSiVEm3np2BrAwRTg_24_14"/>
      <w:bookmarkStart w:id="477" w:name="Tc_kZbmoWn0gESvU0UDJwQI7Q_24_11"/>
      <w:bookmarkStart w:id="478" w:name="Tc_Ytj5A0TL1Ei6j9azYSZPmw_24_0"/>
      <w:bookmarkStart w:id="479" w:name="Tc_dB_gpLvo3kG5xB_92zNVAQ_23_19"/>
      <w:bookmarkStart w:id="480" w:name="Tc_J-FTN56sXki6LMYMMzzKgg_23_16"/>
      <w:bookmarkStart w:id="481" w:name="Tc_PthbR8wO80-Wc90F-zdb-g_23_14"/>
      <w:bookmarkStart w:id="482" w:name="Tc_7Kucu4_zA067Rtitci5SZA_23_11"/>
      <w:bookmarkStart w:id="483" w:name="Tc_lRlZ9llpVUGy3mNdzuA_gA_23_5"/>
      <w:bookmarkStart w:id="484" w:name="Tc_9a1RjNUOL0ycw5Wk53NMqw_23_2"/>
      <w:bookmarkStart w:id="485" w:name="Tc_8YAp5FF0AkG6D0k_9OfMPw_23_0"/>
      <w:bookmarkStart w:id="486" w:name="Tc_OC8saU45okaW2gZrmzYCWA_21_21"/>
      <w:bookmarkStart w:id="487" w:name="Tc_A1mBtFkW_Uu4nNxzuR2EZA_21_18"/>
      <w:bookmarkStart w:id="488" w:name="Tc_mfMcqY3LWUuzzA15bUT-Fg_21_13"/>
      <w:bookmarkStart w:id="489" w:name="Tc_kl9gH9K81EK7MjjwWsrQSQ_21_10"/>
      <w:bookmarkStart w:id="490" w:name="Tc_Vh1qVU1ctU2FJLYCLscY-w_21_7"/>
      <w:bookmarkStart w:id="491" w:name="Tc_kmJp5JVLpEy0IzWYW7pOhw_21_4"/>
      <w:bookmarkStart w:id="492" w:name="Tc_fCFwylRnJEmXLCJQ20yHJg_21_0"/>
      <w:bookmarkStart w:id="493" w:name="Tc_29gNmt7r9UWV0Nrkr6DKRQ_20_19"/>
      <w:bookmarkStart w:id="494" w:name="Tc_EzUCvQHPb026OtHIQwP7jQ_20_16"/>
      <w:bookmarkStart w:id="495" w:name="Tc_7twPce4oPE2gxCMrLhRP5g_20_14"/>
      <w:bookmarkStart w:id="496" w:name="Tc_w4uRr_DOI0OhxQHhfNS4Qw_20_8"/>
      <w:bookmarkStart w:id="497" w:name="Tc_dCvP1-oySEGItk72bEJ1jg_20_5"/>
      <w:bookmarkStart w:id="498" w:name="Tc_V_QWU-NF6EWCdgifkM-MEw_20_2"/>
      <w:bookmarkStart w:id="499" w:name="Tc_8nTWZPbtdkShvfRalCVLlA_20_0"/>
      <w:bookmarkStart w:id="500" w:name="Tc_foDI5J1W9EOkJ-MgyuQx6w_19_19"/>
      <w:bookmarkStart w:id="501" w:name="Tc_KHqKUVbVOEOYCktlOSrJqw_19_16"/>
      <w:bookmarkStart w:id="502" w:name="Tc_ybqGCAYgaEa1LyzaVz6kbg_19_11"/>
      <w:bookmarkStart w:id="503" w:name="Tc_lRCZ3VZFX0yYzcrb5p1tlA_19_8"/>
      <w:bookmarkStart w:id="504" w:name="Tc_m5LXAOK380i_7tL8FQ_QFw_19_5"/>
      <w:bookmarkStart w:id="505" w:name="Tc_BqcCRcJebUqIhkp7G1wmuA_19_2"/>
      <w:bookmarkStart w:id="506" w:name="Tc_Uqhv-qw5nUy3gf5Fm5_MmA_19_0"/>
      <w:bookmarkStart w:id="507" w:name="Tc_Jc1cay4XsUKz49mbP2i6WQ_18_19"/>
      <w:bookmarkStart w:id="508" w:name="Tc_xyttboU2Ikee9BCPamQxvA_18_16"/>
      <w:bookmarkStart w:id="509" w:name="Tc_wvf_ylbzFkGYKPvsjbneFA_18_11"/>
      <w:bookmarkStart w:id="510" w:name="Tc_AjnpD58igUK4zHbAPw8y2A_18_8"/>
      <w:bookmarkStart w:id="511" w:name="Tc_yh4Vw3w5dEWWmw0-GUFoFQ_18_5"/>
      <w:bookmarkStart w:id="512" w:name="Tc_qGt7H8efpk2Nz870s6yAtg_18_2"/>
      <w:bookmarkStart w:id="513" w:name="Tc_cTKnuwU5tUyD135Y8kubSw_18_0"/>
      <w:bookmarkStart w:id="514" w:name="Tc_j3hvRrT7L0SPI07hAVizbg_17_19"/>
      <w:bookmarkStart w:id="515" w:name="Tc_f-yJPbFxO0eMIC_36nDh6w_17_16"/>
      <w:bookmarkStart w:id="516" w:name="Tc_vXThfm5f9U6Dvpgb2a-URA_17_11"/>
      <w:bookmarkStart w:id="517" w:name="Tc_gfKWB9B3dEq4TOhEEdkjdw_17_8"/>
      <w:bookmarkStart w:id="518" w:name="Tc_fvJLzLRMj0OZ0WUTI97rSA_17_5"/>
      <w:bookmarkStart w:id="519" w:name="Tc_YXCy4iXOlku4m4Q_iQQGRQ_17_2"/>
      <w:bookmarkStart w:id="520" w:name="Tc_Lazk33wkaU2DTyNLPrxQHA_17_0"/>
      <w:bookmarkStart w:id="521" w:name="Tc_UAPHACmfNEi84f_xv6fw_w_16_19"/>
      <w:bookmarkStart w:id="522" w:name="Tc__nO9K1pEskCjV5syLVJcTw_16_16"/>
      <w:bookmarkStart w:id="523" w:name="Tc_O-w38_oHq0ClYoq8389tMA_16_14"/>
      <w:bookmarkStart w:id="524" w:name="Tc_FvlmrgSxPkOtya3gxc65AA_16_11"/>
      <w:bookmarkStart w:id="525" w:name="Tc_s_6Fha1dH0KJV7HUbTyrHg_16_0"/>
      <w:bookmarkStart w:id="526" w:name="Tc_KE5zd9_ACUutXCd6gC14ew_15_19"/>
      <w:bookmarkStart w:id="527" w:name="Tc_C07bBQzfpkOw4rSKBcrZFg_15_16"/>
      <w:bookmarkStart w:id="528" w:name="Tc_GUGvkSmE6U-f1UMVhn-DVA_15_14"/>
      <w:bookmarkStart w:id="529" w:name="Tc_PvD-Rl85ukCqa6uzTQsflA_15_11"/>
      <w:bookmarkStart w:id="530" w:name="Tc_gpHYuWPUy0O19gfEyxp0Xg_15_5"/>
      <w:bookmarkStart w:id="531" w:name="Tc_AOlxwZ88s0WNKf12YgTiGQ_15_2"/>
      <w:bookmarkStart w:id="532" w:name="Tc_NNNntpez3kaoriws_udrGA_15_0"/>
      <w:bookmarkStart w:id="533" w:name="Tc_U9HOO4A4GkSSkgoo8oO4hA_13_21"/>
      <w:bookmarkStart w:id="534" w:name="Tc_jT09KzyzbEqQ-k4vKnBYsQ_13_18"/>
      <w:bookmarkStart w:id="535" w:name="Tc_YH-fJdZdbkWuObFUKxTQrQ_13_13"/>
      <w:bookmarkStart w:id="536" w:name="Tc_8eK4xYKjIUaJjVO-IspEZg_13_10"/>
      <w:bookmarkStart w:id="537" w:name="Tc_4qxmJBMWykGvRAgyQO_3nQ_13_7"/>
      <w:bookmarkStart w:id="538" w:name="Tc_8BR6xbi1lEWZPEEcI4pw9Q_13_4"/>
      <w:bookmarkStart w:id="539" w:name="Tc_FUy1l7tozE-6vmgzu8L_4A_13_0"/>
      <w:bookmarkStart w:id="540" w:name="Tc_77MkQapQR0uK_Xmq0Z5nlA_12_19"/>
      <w:bookmarkStart w:id="541" w:name="Tc_R-4TaqV4BkSCxEQ5ES700w_12_16"/>
      <w:bookmarkStart w:id="542" w:name="Tc_colPkoyV_kqNXoUPV9pKlQ_12_14"/>
      <w:bookmarkStart w:id="543" w:name="Tc_TyPvLu1vf0WYLcccHeIY0g_12_8"/>
      <w:bookmarkStart w:id="544" w:name="Tc_tFKIoGJ2fUaaz_LoeAiFug_12_5"/>
      <w:bookmarkStart w:id="545" w:name="Tc_wHZX75avS02Q83qgKVTERg_12_2"/>
      <w:bookmarkStart w:id="546" w:name="Tc_pZUtloRBHkO7xeLe-k0p6Q_12_0"/>
      <w:bookmarkStart w:id="547" w:name="Tc__BEll_-drUSMg8u6BApFsQ_11_19"/>
      <w:bookmarkStart w:id="548" w:name="Tc_Stu9Ka7ooEenGAUxxzqNSQ_11_16"/>
      <w:bookmarkStart w:id="549" w:name="Tc_i-DaT2sWB0-tsUlLH--t0w_11_11"/>
      <w:bookmarkStart w:id="550" w:name="Tc_A43EsobQ7UmZ8fr6dnd07A_11_8"/>
      <w:bookmarkStart w:id="551" w:name="Tc_j-0J-R3pkkiX8W--7njIsw_11_5"/>
      <w:bookmarkStart w:id="552" w:name="Tc_T5ud_-IHhUGxhC6J6IBVgg_11_2"/>
      <w:bookmarkStart w:id="553" w:name="Tc_Qlrke-3EMEuM4pLYjCiYgQ_11_0"/>
      <w:bookmarkStart w:id="554" w:name="Tc_j4oXaDJsP02WFZdEfw7MAg_10_19"/>
      <w:bookmarkStart w:id="555" w:name="Tc_l9lFHDGXAkyw2xSqDTykjg_10_16"/>
      <w:bookmarkStart w:id="556" w:name="Tc_c3KCv-qB7EyscI0g2FSuTQ_10_11"/>
      <w:bookmarkStart w:id="557" w:name="Tc_fqazTf4eHUSjto-dXDcQpA_10_8"/>
      <w:bookmarkStart w:id="558" w:name="Tc_CQfbo_J2HE6jNKBzReksRA_10_5"/>
      <w:bookmarkStart w:id="559" w:name="Tc_T1guzgjrm023I7g-t4Q9lA_10_2"/>
      <w:bookmarkStart w:id="560" w:name="Tc_AHcsdKCOqUKmuI5kU1Wyfw_10_0"/>
      <w:bookmarkStart w:id="561" w:name="Tc_BPpCiiI_uUGYgG3Fy-szKg_9_14"/>
      <w:bookmarkStart w:id="562" w:name="Tc_a2LLSYM0Mk-CBMIiW8j66w_9_11"/>
      <w:bookmarkStart w:id="563" w:name="Tc_-Aa6Yo2Cjk6bA36RQKnokg_9_8"/>
      <w:bookmarkStart w:id="564" w:name="Tc_NYzoh3oQ6EK4902QvGGytw_9_5"/>
      <w:bookmarkStart w:id="565" w:name="Tc_lhvg1VOFE0uoxcmEiQOESQ_9_2"/>
      <w:bookmarkStart w:id="566" w:name="Tc_bPuMdu4iYEm2QvasXTyG6w_9_0"/>
      <w:bookmarkStart w:id="567" w:name="Tc_2hJipq9TKESeO9udf6GCgw_8_19"/>
      <w:bookmarkStart w:id="568" w:name="Tc_Ra8SeaZnjkmz3RcVM0t0Jg_8_16"/>
      <w:bookmarkStart w:id="569" w:name="Tc_MxdshQzrzkeGwq3DG6Jw1Q_8_14"/>
      <w:bookmarkStart w:id="570" w:name="Tc_Pp3WMfGnXU6lpM5FviQueg_8_11"/>
      <w:bookmarkStart w:id="571" w:name="Tc_T-j4kXNtuEuqnAgE7i3jDQ_8_0"/>
      <w:bookmarkStart w:id="572" w:name="Tc_Qt8N37Q56k2OLsnpAEdj4g_7_19"/>
      <w:bookmarkStart w:id="573" w:name="Tc_INcf8knn402ZFVBdtIwavg_7_16"/>
      <w:bookmarkStart w:id="574" w:name="Tc_FfBbe95N8UePsMABLDt5xw_7_14"/>
      <w:bookmarkStart w:id="575" w:name="Tc_BbqHEJYlK0G9SfacXSqYZQ_7_11"/>
      <w:bookmarkStart w:id="576" w:name="Tc_c8n1PSmrdkyCDLe-rjgCKA_7_5"/>
      <w:bookmarkStart w:id="577" w:name="Tc_UVdNzGIdF0ymG5IrFs7yLw_7_2"/>
      <w:bookmarkStart w:id="578" w:name="Tc_NyEgykgPcEKb_LuA4lgbpw_7_0"/>
      <w:bookmarkStart w:id="579" w:name="Tc_HDD3mWHE7kqtKEq_BUR0Vg_5_21"/>
      <w:bookmarkStart w:id="580" w:name="Tc_ZUfZKGuIx0KTiob5vPMbkg_5_18"/>
      <w:bookmarkStart w:id="581" w:name="Tc_tvb7ro2oSkCC_ZNpjn3LXA_5_13"/>
      <w:bookmarkStart w:id="582" w:name="Tc_scG82ig2bUm0c1Rs09qWQQ_5_10"/>
      <w:bookmarkStart w:id="583" w:name="Tc_Ue1iXY-xQ0yXaktYenzyAA_5_7"/>
      <w:bookmarkStart w:id="584" w:name="Tc_yGnUpB8QAk6kiuSGNp6itQ_5_4"/>
      <w:bookmarkStart w:id="585" w:name="Tc_K_8VJlnWNE2dqKYvcBFzQQ_5_0"/>
      <w:bookmarkStart w:id="586" w:name="Tc_fZPPimTeOEGVVgAHoiAkBg_4_21"/>
      <w:bookmarkStart w:id="587" w:name="Tc_9s4b72FOMU6FNFspHtAakw_4_18"/>
      <w:bookmarkStart w:id="588" w:name="Tc_jMsPtmEMnUC1c3cxJQKPNg_4_16"/>
      <w:bookmarkStart w:id="589" w:name="Tc_Zw_ti7VXhE-vRKUwUFwYVA_4_13"/>
      <w:bookmarkStart w:id="590" w:name="Tc_KzI2L8MSh0S2DMvtUeaI6g_4_10"/>
      <w:bookmarkStart w:id="591" w:name="Tc_iZrfpuGNR0CRRWEdjfOw2Q_4_7"/>
      <w:bookmarkStart w:id="592" w:name="Tc_iXjkGKILwEy9iJ-I29bv2g_4_4"/>
      <w:bookmarkStart w:id="593" w:name="Tc_7-cFCpzLyUyZ7JirPa1eLA_4_2"/>
      <w:bookmarkStart w:id="594" w:name="Tc_eQJQIJRlvEyjxCfBlImb0A_3_21"/>
      <w:bookmarkStart w:id="595" w:name="Tc_Qs4Tea29g02Tlfbwhb7t7Q_3_16"/>
      <w:bookmarkStart w:id="596" w:name="Tc_AoeQutW5qkKFl_iNyqDAXA_3_13"/>
      <w:bookmarkStart w:id="597" w:name="Tc_Tt9W7F9RhU6agh5I6ZxMIA_3_10"/>
      <w:bookmarkStart w:id="598" w:name="Tc_9SPMc0lwxUar6_obQRJfxg_3_7"/>
      <w:bookmarkStart w:id="599" w:name="Tc_OITV1F3M_U2-eSYIeyeeqA_3_2"/>
      <w:bookmarkStart w:id="600" w:name="Tc_8dtmv280_E-XWXoEsaZ2lg_2_21"/>
      <w:bookmarkStart w:id="601" w:name="Tc_bJ7eHFB-rkq5lUOHu0ImCA_2_13"/>
      <w:bookmarkStart w:id="602" w:name="Tc_3aY6N_ubWEmtos8Vs3VuLw_2_7"/>
      <w:bookmarkStart w:id="603" w:name="Tc_s0oK_4I_yE61qTu8igNPLA_1_13"/>
      <w:bookmarkStart w:id="604" w:name="_f30de4c4_50e8_4b76_95e7_5cf508d24da9"/>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p>
    <w:tbl>
      <w:tblPr>
        <w:tblW w:w="10317" w:type="dxa"/>
        <w:jc w:val="left"/>
        <w:tblInd w:w="0" w:type="dxa"/>
        <w:tblLayout w:type="fixed"/>
        <w:tblCellMar>
          <w:top w:w="0" w:type="dxa"/>
          <w:left w:w="0" w:type="dxa"/>
          <w:bottom w:w="0" w:type="dxa"/>
          <w:right w:w="0" w:type="dxa"/>
        </w:tblCellMar>
      </w:tblPr>
      <w:tblGrid>
        <w:gridCol w:w="1126"/>
        <w:gridCol w:w="326"/>
        <w:gridCol w:w="691"/>
        <w:gridCol w:w="326"/>
        <w:gridCol w:w="181"/>
        <w:gridCol w:w="436"/>
        <w:gridCol w:w="326"/>
        <w:gridCol w:w="181"/>
        <w:gridCol w:w="691"/>
        <w:gridCol w:w="326"/>
        <w:gridCol w:w="181"/>
        <w:gridCol w:w="691"/>
        <w:gridCol w:w="326"/>
        <w:gridCol w:w="227"/>
        <w:gridCol w:w="794"/>
        <w:gridCol w:w="326"/>
        <w:gridCol w:w="631"/>
        <w:gridCol w:w="326"/>
        <w:gridCol w:w="181"/>
        <w:gridCol w:w="736"/>
        <w:gridCol w:w="326"/>
        <w:gridCol w:w="181"/>
        <w:gridCol w:w="781"/>
      </w:tblGrid>
      <w:tr>
        <w:trPr/>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715010" cy="175260"/>
                      <wp:effectExtent l="0" t="0" r="0" b="0"/>
                      <wp:wrapNone/>
                      <wp:docPr id="35" name="Frame35"/>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6" name="Frame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38785" cy="175260"/>
                      <wp:effectExtent l="0" t="0" r="0" b="0"/>
                      <wp:wrapNone/>
                      <wp:docPr id="37" name="Frame3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14935" cy="175260"/>
                      <wp:effectExtent l="0" t="0" r="0" b="0"/>
                      <wp:wrapNone/>
                      <wp:docPr id="39" name="Frame3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76860" cy="175260"/>
                      <wp:effectExtent l="0" t="0" r="0" b="0"/>
                      <wp:wrapNone/>
                      <wp:docPr id="40" name="Frame40"/>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1" name="Frame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14935" cy="175260"/>
                      <wp:effectExtent l="0" t="0" r="0" b="0"/>
                      <wp:wrapNone/>
                      <wp:docPr id="42" name="Frame4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38785" cy="175260"/>
                      <wp:effectExtent l="0" t="0" r="0" b="0"/>
                      <wp:wrapNone/>
                      <wp:docPr id="43" name="Frame4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4" name="Frame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14935" cy="175260"/>
                      <wp:effectExtent l="0" t="0" r="0" b="0"/>
                      <wp:wrapNone/>
                      <wp:docPr id="45" name="Frame4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38785" cy="175260"/>
                      <wp:effectExtent l="0" t="0" r="0" b="0"/>
                      <wp:wrapNone/>
                      <wp:docPr id="46" name="Frame4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7" name="Frame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44145" cy="175260"/>
                      <wp:effectExtent l="0" t="0" r="0" b="0"/>
                      <wp:wrapNone/>
                      <wp:docPr id="48" name="Frame48"/>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04190" cy="175260"/>
                      <wp:effectExtent l="0" t="0" r="0" b="0"/>
                      <wp:wrapNone/>
                      <wp:docPr id="49" name="Frame49"/>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400685" cy="175260"/>
                      <wp:effectExtent l="0" t="0" r="0" b="0"/>
                      <wp:wrapNone/>
                      <wp:docPr id="51" name="Frame51"/>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2"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14935" cy="175260"/>
                      <wp:effectExtent l="0" t="0" r="0" b="0"/>
                      <wp:wrapNone/>
                      <wp:docPr id="53" name="Frame5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467360" cy="175260"/>
                      <wp:effectExtent l="0" t="0" r="0" b="0"/>
                      <wp:wrapNone/>
                      <wp:docPr id="54" name="Frame5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5"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14935" cy="175260"/>
                      <wp:effectExtent l="0" t="0" r="0" b="0"/>
                      <wp:wrapNone/>
                      <wp:docPr id="56" name="Frame5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495935" cy="175260"/>
                      <wp:effectExtent l="0" t="0" r="0" b="0"/>
                      <wp:wrapNone/>
                      <wp:docPr id="57" name="Frame5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62" w:type="dxa"/>
            <w:gridSpan w:val="2"/>
            <w:tcBorders/>
            <w:vAlign w:val="center"/>
          </w:tcPr>
          <w:p>
            <w:pPr>
              <w:pStyle w:val="TableContents"/>
              <w:bidi w:val="0"/>
              <w:spacing w:before="0" w:after="0"/>
              <w:ind w:left="0" w:right="0" w:hanging="0"/>
              <w:jc w:val="center"/>
              <w:rPr/>
            </w:pPr>
            <w:r>
              <w:rPr/>
              <w:t>​</w:t>
            </w:r>
          </w:p>
        </w:tc>
      </w:tr>
      <w:tr>
        <w:trPr/>
        <w:tc>
          <w:tcPr>
            <w:tcW w:w="1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6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1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3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26"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Retained</w:t>
            </w:r>
          </w:p>
        </w:tc>
        <w:tc>
          <w:tcPr>
            <w:tcW w:w="326" w:type="dxa"/>
            <w:tcBorders/>
            <w:vAlign w:val="center"/>
          </w:tcPr>
          <w:p>
            <w:pPr>
              <w:pStyle w:val="TableContents"/>
              <w:bidi w:val="0"/>
              <w:spacing w:before="0" w:after="0"/>
              <w:ind w:left="0" w:right="0" w:hanging="0"/>
              <w:jc w:val="left"/>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26" w:type="dxa"/>
            <w:tcBorders/>
            <w:vAlign w:val="center"/>
          </w:tcPr>
          <w:p>
            <w:pPr>
              <w:pStyle w:val="TableContents"/>
              <w:bidi w:val="0"/>
              <w:spacing w:before="0" w:after="0"/>
              <w:ind w:left="0" w:right="0" w:hanging="0"/>
              <w:jc w:val="left"/>
              <w:rPr/>
            </w:pPr>
            <w:r>
              <w:rPr/>
              <w:t>​</w:t>
            </w:r>
          </w:p>
        </w:tc>
        <w:tc>
          <w:tcPr>
            <w:tcW w:w="187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Treasury stock</w:t>
            </w:r>
          </w:p>
        </w:tc>
        <w:tc>
          <w:tcPr>
            <w:tcW w:w="326" w:type="dxa"/>
            <w:tcBorders/>
            <w:vAlign w:val="center"/>
          </w:tcPr>
          <w:p>
            <w:pPr>
              <w:pStyle w:val="TableContents"/>
              <w:bidi w:val="0"/>
              <w:spacing w:before="0" w:after="0"/>
              <w:ind w:left="0" w:right="0" w:hanging="0"/>
              <w:jc w:val="left"/>
              <w:rPr/>
            </w:pPr>
            <w:r>
              <w:rPr/>
              <w:t>​</w:t>
            </w:r>
          </w:p>
        </w:tc>
        <w:tc>
          <w:tcPr>
            <w:tcW w:w="96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1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0"/>
              <w:ind w:left="0" w:right="0" w:hanging="0"/>
              <w:jc w:val="left"/>
              <w:rPr/>
            </w:pPr>
            <w:r>
              <w:rPr/>
              <w:t>    </w:t>
            </w:r>
          </w:p>
        </w:tc>
        <w:tc>
          <w:tcPr>
            <w:tcW w:w="6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0"/>
              <w:ind w:left="0" w:right="0" w:hanging="0"/>
              <w:jc w:val="left"/>
              <w:rPr/>
            </w:pPr>
            <w:r>
              <w:rPr/>
              <w:t>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vAlign w:val="center"/>
          </w:tcPr>
          <w:p>
            <w:pPr>
              <w:pStyle w:val="TableContents"/>
              <w:bidi w:val="0"/>
              <w:spacing w:before="0" w:after="0"/>
              <w:ind w:left="0" w:right="0" w:hanging="0"/>
              <w:jc w:val="left"/>
              <w:rPr/>
            </w:pPr>
            <w:r>
              <w:rPr/>
              <w:t>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26" w:type="dxa"/>
            <w:tcBorders/>
            <w:vAlign w:val="center"/>
          </w:tcPr>
          <w:p>
            <w:pPr>
              <w:pStyle w:val="TableContents"/>
              <w:bidi w:val="0"/>
              <w:spacing w:before="0" w:after="0"/>
              <w:ind w:left="0" w:right="0" w:hanging="0"/>
              <w:jc w:val="left"/>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(Loss) Income</w:t>
            </w:r>
          </w:p>
        </w:tc>
        <w:tc>
          <w:tcPr>
            <w:tcW w:w="326" w:type="dxa"/>
            <w:tcBorders/>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0"/>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0"/>
              <w:ind w:left="0" w:right="0" w:hanging="0"/>
              <w:jc w:val="left"/>
              <w:rPr/>
            </w:pPr>
            <w:r>
              <w:rPr/>
              <w:t>    </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112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1,126,329</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5,632</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5,144,922</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7,448,784</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(269,487)</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(153,250)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(6,372,133)</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5,957,718</w:t>
            </w:r>
          </w:p>
        </w:tc>
      </w:tr>
      <w:tr>
        <w:trPr/>
        <w:tc>
          <w:tcPr>
            <w:tcW w:w="1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11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Stock-based compensation </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20,727</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20,727</w:t>
            </w:r>
          </w:p>
        </w:tc>
      </w:tr>
      <w:tr>
        <w:trPr/>
        <w:tc>
          <w:tcPr>
            <w:tcW w:w="112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Stock options/awards </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2,366</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48,082</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48,093</w:t>
            </w:r>
          </w:p>
        </w:tc>
      </w:tr>
      <w:tr>
        <w:trPr/>
        <w:tc>
          <w:tcPr>
            <w:tcW w:w="11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Repurchase of common stock </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(302)</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(16,633)</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(16,633)</w:t>
            </w:r>
          </w:p>
        </w:tc>
      </w:tr>
      <w:tr>
        <w:trPr/>
        <w:tc>
          <w:tcPr>
            <w:tcW w:w="112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Foreign currency translation </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63,971</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63,971</w:t>
            </w:r>
          </w:p>
        </w:tc>
      </w:tr>
      <w:tr>
        <w:trPr/>
        <w:tc>
          <w:tcPr>
            <w:tcW w:w="11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Net gain (loss) on commodity derivatives </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2,570</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2,570</w:t>
            </w:r>
          </w:p>
        </w:tc>
      </w:tr>
      <w:tr>
        <w:trPr/>
        <w:tc>
          <w:tcPr>
            <w:tcW w:w="112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Net income </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442,993</w:t>
            </w:r>
          </w:p>
        </w:tc>
        <w:tc>
          <w:tcPr>
            <w:tcW w:w="326" w:type="dxa"/>
            <w:tcBorders/>
            <w:vAlign w:val="center"/>
          </w:tcPr>
          <w:p>
            <w:pPr>
              <w:pStyle w:val="TableContents"/>
              <w:bidi w:val="0"/>
              <w:spacing w:before="0" w:after="0"/>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442,993</w:t>
            </w:r>
          </w:p>
        </w:tc>
      </w:tr>
      <w:tr>
        <w:trPr/>
        <w:tc>
          <w:tcPr>
            <w:tcW w:w="112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March 31, 2025</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1,128,695</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5,643</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5,213,731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7,891,777</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(202,946)</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(153,552)</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(6,388,766)</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6,519,439</w:t>
            </w:r>
          </w:p>
        </w:tc>
      </w:tr>
      <w:tr>
        <w:trPr/>
        <w:tc>
          <w:tcPr>
            <w:tcW w:w="1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11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Stock-based compensation </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31,842</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31,842</w:t>
            </w:r>
          </w:p>
        </w:tc>
      </w:tr>
      <w:tr>
        <w:trPr/>
        <w:tc>
          <w:tcPr>
            <w:tcW w:w="112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Stock options/awards </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1,255</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39,584</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39,591</w:t>
            </w:r>
          </w:p>
        </w:tc>
      </w:tr>
      <w:tr>
        <w:trPr/>
        <w:tc>
          <w:tcPr>
            <w:tcW w:w="11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Unrealized gain (loss), net on available-for-sale securities </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213</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213</w:t>
            </w:r>
          </w:p>
        </w:tc>
      </w:tr>
      <w:tr>
        <w:trPr/>
        <w:tc>
          <w:tcPr>
            <w:tcW w:w="112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Foreign currency translation </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100,759</w:t>
            </w:r>
          </w:p>
        </w:tc>
        <w:tc>
          <w:tcPr>
            <w:tcW w:w="32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100,759</w:t>
            </w:r>
          </w:p>
        </w:tc>
      </w:tr>
      <w:tr>
        <w:trPr/>
        <w:tc>
          <w:tcPr>
            <w:tcW w:w="11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Net gain (loss) on commodity derivatives </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10,666</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10,666</w:t>
            </w:r>
          </w:p>
        </w:tc>
      </w:tr>
      <w:tr>
        <w:trPr/>
        <w:tc>
          <w:tcPr>
            <w:tcW w:w="112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Net income </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488,794</w:t>
            </w:r>
          </w:p>
        </w:tc>
        <w:tc>
          <w:tcPr>
            <w:tcW w:w="326" w:type="dxa"/>
            <w:tcBorders/>
            <w:vAlign w:val="center"/>
          </w:tcPr>
          <w:p>
            <w:pPr>
              <w:pStyle w:val="TableContents"/>
              <w:bidi w:val="0"/>
              <w:spacing w:before="0" w:after="0"/>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488,794</w:t>
            </w:r>
          </w:p>
        </w:tc>
      </w:tr>
      <w:tr>
        <w:trPr/>
        <w:tc>
          <w:tcPr>
            <w:tcW w:w="112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June 30, 2025</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1,129,950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5,650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5,285,157</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8,380,571</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(91,308)</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(153,552)</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(6,388,766)</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7,191,304</w:t>
            </w:r>
          </w:p>
        </w:tc>
      </w:tr>
      <w:tr>
        <w:trPr/>
        <w:tc>
          <w:tcPr>
            <w:tcW w:w="1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11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Stock-based compensation </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32,084</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32,084</w:t>
            </w:r>
          </w:p>
        </w:tc>
      </w:tr>
      <w:tr>
        <w:trPr/>
        <w:tc>
          <w:tcPr>
            <w:tcW w:w="112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 options/awards</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1,027</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26,674</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26,679</w:t>
            </w:r>
          </w:p>
        </w:tc>
      </w:tr>
      <w:tr>
        <w:trPr/>
        <w:tc>
          <w:tcPr>
            <w:tcW w:w="11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Unrealized gain (loss), net on available-for-sale securities </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221</w:t>
            </w:r>
          </w:p>
        </w:tc>
        <w:tc>
          <w:tcPr>
            <w:tcW w:w="32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221</w:t>
            </w:r>
          </w:p>
        </w:tc>
      </w:tr>
      <w:tr>
        <w:trPr/>
        <w:tc>
          <w:tcPr>
            <w:tcW w:w="112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Repurchase of common stock </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(428)</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(27,288)</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(27,288)</w:t>
            </w:r>
          </w:p>
        </w:tc>
      </w:tr>
      <w:tr>
        <w:trPr/>
        <w:tc>
          <w:tcPr>
            <w:tcW w:w="11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Foreign currency translation </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(17,353)</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(17,353)</w:t>
            </w:r>
          </w:p>
        </w:tc>
      </w:tr>
      <w:tr>
        <w:trPr/>
        <w:tc>
          <w:tcPr>
            <w:tcW w:w="112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gain (loss) on commodity derivatives</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15,058</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15,058</w:t>
            </w:r>
          </w:p>
        </w:tc>
      </w:tr>
      <w:tr>
        <w:trPr/>
        <w:tc>
          <w:tcPr>
            <w:tcW w:w="11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Net income </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524,455</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524,455</w:t>
            </w:r>
          </w:p>
        </w:tc>
      </w:tr>
      <w:tr>
        <w:trPr/>
        <w:tc>
          <w:tcPr>
            <w:tcW w:w="1126" w:type="dxa"/>
            <w:tcBorders/>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September 30, 2025</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1,130,977</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5,655</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5,343,915</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8,905,026</w:t>
            </w:r>
          </w:p>
        </w:tc>
        <w:tc>
          <w:tcPr>
            <w:tcW w:w="326" w:type="dxa"/>
            <w:tcBorders/>
            <w:vAlign w:val="center"/>
          </w:tcPr>
          <w:p>
            <w:pPr>
              <w:pStyle w:val="TableContents"/>
              <w:bidi w:val="0"/>
              <w:spacing w:before="0" w:after="0"/>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9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(93,382)</w:t>
            </w:r>
          </w:p>
        </w:tc>
        <w:tc>
          <w:tcPr>
            <w:tcW w:w="326" w:type="dxa"/>
            <w:tcBorders/>
            <w:vAlign w:val="center"/>
          </w:tcPr>
          <w:p>
            <w:pPr>
              <w:pStyle w:val="TableContents"/>
              <w:bidi w:val="0"/>
              <w:spacing w:before="0" w:after="0"/>
              <w:ind w:left="0" w:right="0" w:hanging="0"/>
              <w:jc w:val="left"/>
              <w:rPr/>
            </w:pPr>
            <w:r>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(153,980)</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(6,416,054)</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bottom w:val="double" w:sz="6" w:space="0" w:color="000000"/>
            </w:tcBorders>
            <w:tcMar>
              <w:bottom w:w="28" w:type="dxa"/>
            </w:tcM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7,745,160</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605" w:name="Tc_yxkWn14Im0ukI1Jx4H15Hw_31_21"/>
      <w:bookmarkStart w:id="606" w:name="Tc_qsJLUF0XDEiAMc6-0OPkBQ_31_18"/>
      <w:bookmarkStart w:id="607" w:name="Tc_FZgE4KRILEGdcmwXGW_tLQ_31_13"/>
      <w:bookmarkStart w:id="608" w:name="Tc_WFqwg9XOV0OLGP1ArHOJaQ_31_10"/>
      <w:bookmarkStart w:id="609" w:name="Tc_ekK_Jt-APk-spzDNqSCbdA_31_7"/>
      <w:bookmarkStart w:id="610" w:name="Tc_Rs23R_a7TEmCiuyjzqp1cw_31_4"/>
      <w:bookmarkStart w:id="611" w:name="Tc_S8ZRpuUZQkWxRs_ibAB-Lg_31_0"/>
      <w:bookmarkStart w:id="612" w:name="Tc_Rd2VCVrD5UmfUHH2UTbkIg_30_19"/>
      <w:bookmarkStart w:id="613" w:name="Tc_AXBWtFnbLECERQD5yE15Wg_30_16"/>
      <w:bookmarkStart w:id="614" w:name="Tc_4rucGg8KmUa_Dp0WEx3dsA_30_14"/>
      <w:bookmarkStart w:id="615" w:name="Tc_pSGhS1aMWEaUZwEDqmR0qg_30_8"/>
      <w:bookmarkStart w:id="616" w:name="Tc_NGGp0f9vr0GotPSSPM_Xcg_30_5"/>
      <w:bookmarkStart w:id="617" w:name="Tc_5hOm_S1yDE2PAXe0E8u8Fg_30_2"/>
      <w:bookmarkStart w:id="618" w:name="Tc_OxIsvR9CzU-3BXLbx5JQVQ_30_0"/>
      <w:bookmarkStart w:id="619" w:name="Tc_8SDNV-wVs0W8ni28OrSeQw_29_19"/>
      <w:bookmarkStart w:id="620" w:name="Tc_cY1STpQqQkeiVqEwaaRoOA_29_16"/>
      <w:bookmarkStart w:id="621" w:name="Tc_VRGI3-yX0Eq-LskyXdjDuQ_29_11"/>
      <w:bookmarkStart w:id="622" w:name="Tc_FGv1tEdxs0i4UONPUknQnA_29_8"/>
      <w:bookmarkStart w:id="623" w:name="Tc_Rzs4sXZzrkaPOwS38Cx5gA_29_5"/>
      <w:bookmarkStart w:id="624" w:name="Tc_5hRJm5cX90KJ7xd58gRExg_29_2"/>
      <w:bookmarkStart w:id="625" w:name="Tc_nhtdcAJGnkOpF2I6o840vA_29_0"/>
      <w:bookmarkStart w:id="626" w:name="Tc_ePstOmLc_UCDCqD5zwBSOw_28_19"/>
      <w:bookmarkStart w:id="627" w:name="Tc_ddb7UEzx8ku-XL0uiRqDug_28_16"/>
      <w:bookmarkStart w:id="628" w:name="Tc_cyoapPuRCUOYDvOR63cHvQ_28_11"/>
      <w:bookmarkStart w:id="629" w:name="Tc_4xqcoybeQEa0UxJHaSkfug_28_8"/>
      <w:bookmarkStart w:id="630" w:name="Tc_e2XHlq0eZEGGVss3bltRLg_28_5"/>
      <w:bookmarkStart w:id="631" w:name="Tc_0MAIYx4inkmWjThM18KG2Q_28_2"/>
      <w:bookmarkStart w:id="632" w:name="Tc_74R2SxoR1kC6eGT7B0pYuQ_28_0"/>
      <w:bookmarkStart w:id="633" w:name="Tc_-dsrHXz5QEisMX8xyo8YFg_27_14"/>
      <w:bookmarkStart w:id="634" w:name="Tc_dC5RF4hVjE-AYfREghJkvQ_27_11"/>
      <w:bookmarkStart w:id="635" w:name="Tc_qa_0M1CncUCq3YQ1hUXsVw_27_8"/>
      <w:bookmarkStart w:id="636" w:name="Tc_PyT93VlZcUurYY93qkpngw_27_5"/>
      <w:bookmarkStart w:id="637" w:name="Tc_-j4tMFOGmEeBgfyJGkbi-Q_27_2"/>
      <w:bookmarkStart w:id="638" w:name="Tc_R7EPuJeHSEG6Omde0jvRNA_27_0"/>
      <w:bookmarkStart w:id="639" w:name="Tc_ieJWggjFSEy7CjaufXxb8w_26_19"/>
      <w:bookmarkStart w:id="640" w:name="Tc_4xmqqYXJeUa50gR_f2s_mg_26_16"/>
      <w:bookmarkStart w:id="641" w:name="Tc_bDenGpc2-0WhMKvR__z4xw_26_14"/>
      <w:bookmarkStart w:id="642" w:name="Tc_beR1uvK4SkSknm99UMVIww_26_11"/>
      <w:bookmarkStart w:id="643" w:name="Tc_WHOb0-G9V0CzXlun9ftARw_26_0"/>
      <w:bookmarkStart w:id="644" w:name="Tc_yiNa4sEv6E6gI2k4wgd_AA_25_19"/>
      <w:bookmarkStart w:id="645" w:name="Tc__XaNlp9OU0mZb6IlpjzcRg_25_16"/>
      <w:bookmarkStart w:id="646" w:name="Tc_UWaMsV0TR0CsYbjt9fSSmg_25_14"/>
      <w:bookmarkStart w:id="647" w:name="Tc_d-9fbXbRyEq_M1tD0uERRg_25_11"/>
      <w:bookmarkStart w:id="648" w:name="Tc_fnXrBPkS3EepP1avrkRK9Q_25_5"/>
      <w:bookmarkStart w:id="649" w:name="Tc_uWWdHyRL70mEVMje8UR1rA_25_2"/>
      <w:bookmarkStart w:id="650" w:name="Tc_isnX4AE4502qVypNjOhvpA_25_0"/>
      <w:bookmarkStart w:id="651" w:name="Tc_alsihILHsUWib_Ne4hGZVA_23_21"/>
      <w:bookmarkStart w:id="652" w:name="Tc_DoAxElGV7E-p9LemSjN1sw_23_18"/>
      <w:bookmarkStart w:id="653" w:name="Tc_7GpuSuXPjEemUICOszWnVA_23_13"/>
      <w:bookmarkStart w:id="654" w:name="Tc_h80aZnsIaEKs5KucuiVSTg_23_10"/>
      <w:bookmarkStart w:id="655" w:name="Tc_SESAq2TWuEaNuBW0XBexcg_23_7"/>
      <w:bookmarkStart w:id="656" w:name="Tc_06jMOIG7ZEyNfgsFj0Q1Ug_23_4"/>
      <w:bookmarkStart w:id="657" w:name="Tc_yer_VaUJ7EyVc5fFfHV4XA_23_0"/>
      <w:bookmarkStart w:id="658" w:name="Tc_CfNoLedm6k-29k6wNJMzaA_22_19"/>
      <w:bookmarkStart w:id="659" w:name="Tc_oMy6haG1Tk6nWxiUCriFtg_22_16"/>
      <w:bookmarkStart w:id="660" w:name="Tc_1hO9syvdy0aPSXQPKcH9EQ_22_14"/>
      <w:bookmarkStart w:id="661" w:name="Tc_JAnWFeleCUOYSDRTvusQwg_22_8"/>
      <w:bookmarkStart w:id="662" w:name="Tc_1GyyrNWpjUS0nlWLqWfpSA_22_5"/>
      <w:bookmarkStart w:id="663" w:name="Tc_h3RMnAClKUGBEuoZFSMXAA_22_2"/>
      <w:bookmarkStart w:id="664" w:name="Tc_K_SReCQZJE-GDBNx__AV4g_22_0"/>
      <w:bookmarkStart w:id="665" w:name="Tc_I5qExE_GjkuX5DPumxv8-w_21_19"/>
      <w:bookmarkStart w:id="666" w:name="Tc_OdnGJ68_Ak6ONXxE_Cn-0g_21_16"/>
      <w:bookmarkStart w:id="667" w:name="Tc_cdyNww5Eu0K3y_nOjJRhxw_21_11"/>
      <w:bookmarkStart w:id="668" w:name="Tc_vJRDMmNXS0i0UWX874PGZQ_21_8"/>
      <w:bookmarkStart w:id="669" w:name="Tc_GYyD1muYT0au0A_d0ZF_XQ_21_5"/>
      <w:bookmarkStart w:id="670" w:name="Tc_ORdV8jX7I0ijv7LbCHjRuw_21_2"/>
      <w:bookmarkStart w:id="671" w:name="Tc_eNU0fBSB40SNf0iSyuepaQ_21_0"/>
      <w:bookmarkStart w:id="672" w:name="Tc_DRJ3Ss_aIUWAbhm1u8eA1g_20_19"/>
      <w:bookmarkStart w:id="673" w:name="Tc_H2Zzn2818Eafl3bqFiC1rg_20_16"/>
      <w:bookmarkStart w:id="674" w:name="Tc_TgWbI6WEsEuyPriJmOx5CQ_20_11"/>
      <w:bookmarkStart w:id="675" w:name="Tc_8x3JYCeaC0uKiNYycitwdw_20_8"/>
      <w:bookmarkStart w:id="676" w:name="Tc_JnP5lVjmmEmREKs29Jsr2A_20_5"/>
      <w:bookmarkStart w:id="677" w:name="Tc_1auRoZCfW0yUryzy3d5v4g_20_2"/>
      <w:bookmarkStart w:id="678" w:name="Tc_vSI917Nz4kiPTZyLrtkG9Q_20_0"/>
      <w:bookmarkStart w:id="679" w:name="Tc_AHvskKj-4Umek1D_SQ06MQ_19_14"/>
      <w:bookmarkStart w:id="680" w:name="Tc_ksNTQ8boWE2bzhP5z-zGaQ_19_11"/>
      <w:bookmarkStart w:id="681" w:name="Tc_kRf_aXA1-0Si52EDiMqQaQ_19_8"/>
      <w:bookmarkStart w:id="682" w:name="Tc_DqYVcxXYsE-PO6oLt8Ricg_19_5"/>
      <w:bookmarkStart w:id="683" w:name="Tc_iLt5jlPMMkeZfw3bTO7erg_19_2"/>
      <w:bookmarkStart w:id="684" w:name="Tc_RV1jURZ3QUm0u1YcJ4aVQg_19_0"/>
      <w:bookmarkStart w:id="685" w:name="Tc_iRYBpXwkhkq6ofmd86x2Kw_18_19"/>
      <w:bookmarkStart w:id="686" w:name="Tc_gtCxmT-m40S7U25G0xE0nw_18_16"/>
      <w:bookmarkStart w:id="687" w:name="Tc_x-W_BRJr7k6WqS_ha_4tRA_18_11"/>
      <w:bookmarkStart w:id="688" w:name="Tc_10jU9BXDRkOSc9j5GUxdwg_18_8"/>
      <w:bookmarkStart w:id="689" w:name="Tc_3PYtIS4WckuBxPHsXnI3ZA_18_5"/>
      <w:bookmarkStart w:id="690" w:name="Tc_7KWItaCgs0yJgFKXgcxGhw_18_2"/>
      <w:bookmarkStart w:id="691" w:name="Tc_UAKEfrb_B0WLbL5ks-GDYA_18_0"/>
      <w:bookmarkStart w:id="692" w:name="Tc_OKFGygPoj0eas3ILv63s3w_17_19"/>
      <w:bookmarkStart w:id="693" w:name="Tc__YKujiklEkqQwvSKfvzxdg_17_16"/>
      <w:bookmarkStart w:id="694" w:name="Tc_YyT4NymKNECtO-k2Zp-zMw_17_14"/>
      <w:bookmarkStart w:id="695" w:name="Tc_vHQ4LQJPeEaUDeJexpbndA_17_11"/>
      <w:bookmarkStart w:id="696" w:name="Tc_YnT2OX-qOkOakx5VQqwQlg_17_0"/>
      <w:bookmarkStart w:id="697" w:name="Tc_8Tg2RL94jUaIWbi66-yRsQ_16_19"/>
      <w:bookmarkStart w:id="698" w:name="Tc_ZSB630uAmEa9s_fKJSKX-g_16_16"/>
      <w:bookmarkStart w:id="699" w:name="Tc_C2ufPMZ72k6jgcaDTj8iaQ_16_14"/>
      <w:bookmarkStart w:id="700" w:name="Tc_tIyb6-o980q7O0WU6_pgbg_16_11"/>
      <w:bookmarkStart w:id="701" w:name="Tc_7cS4MQWDS0-Dpa8YFOWVyw_16_5"/>
      <w:bookmarkStart w:id="702" w:name="Tc_NeZAmeG4c0GC7rpUzo4ZHg_16_2"/>
      <w:bookmarkStart w:id="703" w:name="Tc_gHrU_mAmgUqP7eXNMQwotA_16_0"/>
      <w:bookmarkStart w:id="704" w:name="Tc_bSTUpIh9g0SUyfVG3280_Q_14_21"/>
      <w:bookmarkStart w:id="705" w:name="Tc_efPXFXgyhU2qFYGkf0sdcg_14_18"/>
      <w:bookmarkStart w:id="706" w:name="Tc_JqHqfJ0M50CNHHM2aZIL7g_14_13"/>
      <w:bookmarkStart w:id="707" w:name="Tc_5uFA-d4EPkCgVC2L9bvxjg_14_10"/>
      <w:bookmarkStart w:id="708" w:name="Tc_adVJSyiuaE-PeoRjlhqemQ_14_7"/>
      <w:bookmarkStart w:id="709" w:name="Tc_gmxeT_NNNUO0k6cjXG3gQg_14_4"/>
      <w:bookmarkStart w:id="710" w:name="Tc_895donOFgUeUkne61TLwSw_14_0"/>
      <w:bookmarkStart w:id="711" w:name="Tc__hMYWTLBIUu8ZGQw8qPteg_13_19"/>
      <w:bookmarkStart w:id="712" w:name="Tc_3Y3ZIW-VDkyRpF8ChflOlw_13_16"/>
      <w:bookmarkStart w:id="713" w:name="Tc_FeRutIljkk22yU4IMaZlPg_13_14"/>
      <w:bookmarkStart w:id="714" w:name="Tc_rE0Foa_PVkifqslU86vTrA_13_8"/>
      <w:bookmarkStart w:id="715" w:name="Tc_yc7urr3UME2ef4uW-DdrqQ_13_5"/>
      <w:bookmarkStart w:id="716" w:name="Tc_ZCr2fNXBHkG58ZqIyfnK0Q_13_2"/>
      <w:bookmarkStart w:id="717" w:name="Tc_q78thE5bv0mpDCsQaYJhzg_13_0"/>
      <w:bookmarkStart w:id="718" w:name="Tc_9iyQaJgsNkWumBjoMZX0GA_12_19"/>
      <w:bookmarkStart w:id="719" w:name="Tc_WGSOzNyf6EWO6Y3j5SxZjg_12_16"/>
      <w:bookmarkStart w:id="720" w:name="Tc_O-tWc6bvmk-aBsnmn5b1xw_12_11"/>
      <w:bookmarkStart w:id="721" w:name="Tc_X09aLAzjaUq5a3c4Rbl3PA_12_8"/>
      <w:bookmarkStart w:id="722" w:name="Tc_d6FKAZc5Y0-s5Fp3qXzL6g_12_5"/>
      <w:bookmarkStart w:id="723" w:name="Tc_1i4iwXoK5EqubhrhYsoCUw_12_2"/>
      <w:bookmarkStart w:id="724" w:name="Tc_z8ouoNPGYk2BtrZ4LFYCpw_12_0"/>
      <w:bookmarkStart w:id="725" w:name="Tc_JTS6U_O19E2XfTnQzh6KRw_11_19"/>
      <w:bookmarkStart w:id="726" w:name="Tc__BD90u90gUKGgYBzaBWifA_11_16"/>
      <w:bookmarkStart w:id="727" w:name="Tc_sHZt4UK6LkuYtqbMx4M6iQ_11_11"/>
      <w:bookmarkStart w:id="728" w:name="Tc_b83mvOCFAEuFtPLKdqgAKA_11_8"/>
      <w:bookmarkStart w:id="729" w:name="Tc_ApYHmD3dG0-KaDlaCG-cKw_11_5"/>
      <w:bookmarkStart w:id="730" w:name="Tc_Y1tyKOuRoka3lwED9U0bFQ_11_2"/>
      <w:bookmarkStart w:id="731" w:name="Tc_gpI5U_oue0umQsHTRkan6Q_11_0"/>
      <w:bookmarkStart w:id="732" w:name="Tc_FBCY5Yb8X06CGnDyInObkg_10_14"/>
      <w:bookmarkStart w:id="733" w:name="Tc_xK3GsVjRBUKDuOvxTX8dsw_10_11"/>
      <w:bookmarkStart w:id="734" w:name="Tc_LKYw6u9h-EWN5uR8ZZaDpA_10_8"/>
      <w:bookmarkStart w:id="735" w:name="Tc_xsNkzqC52kKCdEdbIncF5g_10_5"/>
      <w:bookmarkStart w:id="736" w:name="Tc_HHmj0fL6H0mOJkYnfNytJQ_10_2"/>
      <w:bookmarkStart w:id="737" w:name="Tc_W6IlOHJrnkqqdO5XQ1xr9g_10_0"/>
      <w:bookmarkStart w:id="738" w:name="Tc_-O9jZVvhuUOkAcG_1eQO7g_9_19"/>
      <w:bookmarkStart w:id="739" w:name="Tc_KGT31uAW20-R_2s_v1s-ig_9_16"/>
      <w:bookmarkStart w:id="740" w:name="Tc_LEYcJjsG9USCNRavIQhmzQ_9_11"/>
      <w:bookmarkStart w:id="741" w:name="Tc_Z3_70AcMI0aAJzLJ8ypiPA_9_8"/>
      <w:bookmarkStart w:id="742" w:name="Tc_xirs3XXlZEOMXRkVgJ8I8Q_9_5"/>
      <w:bookmarkStart w:id="743" w:name="Tc_vsoNdsMrXEq2Ev5CMKcocg_9_2"/>
      <w:bookmarkStart w:id="744" w:name="Tc_yhPtEPEEcEegXqlIK-pkFg_9_0"/>
      <w:bookmarkStart w:id="745" w:name="Tc_w-H2OiRsfUWFA6lFALZ3vQ_8_19"/>
      <w:bookmarkStart w:id="746" w:name="Tc_auzhJiGDhUC4bbIi4z23Ig_8_16"/>
      <w:bookmarkStart w:id="747" w:name="Tc_uBw8mYlXf0eTBO40I9yFAw_8_14"/>
      <w:bookmarkStart w:id="748" w:name="Tc_FRKTDU9zrEikKNWkniAN-Q_8_11"/>
      <w:bookmarkStart w:id="749" w:name="Tc_2a5J8Qe9S0-h_ApATdVC-g_8_0"/>
      <w:bookmarkStart w:id="750" w:name="Tc_2Bzk_gF3EkiOYCJOIm7EmQ_7_19"/>
      <w:bookmarkStart w:id="751" w:name="Tc_gCWGpcwxAkekZB3ber-1Qw_7_16"/>
      <w:bookmarkStart w:id="752" w:name="Tc_FoVG7KwSkUiZtH7S2qkJXg_7_14"/>
      <w:bookmarkStart w:id="753" w:name="Tc_D3Nwz1MHlkizDKoloDP8AQ_7_11"/>
      <w:bookmarkStart w:id="754" w:name="Tc_GiYuRQ2R5kqCynncX3NTMw_7_5"/>
      <w:bookmarkStart w:id="755" w:name="Tc_sNRW78h3AkmuUayioaQwbA_7_2"/>
      <w:bookmarkStart w:id="756" w:name="Tc_gQJJtk5dz0OXgZaXS-3HJg_7_0"/>
      <w:bookmarkStart w:id="757" w:name="Tc_xGYT4_yAoE-apFZhTA2YlQ_5_21"/>
      <w:bookmarkStart w:id="758" w:name="Tc_tKObxiGmE0iU_y3A4-a9ug_5_18"/>
      <w:bookmarkStart w:id="759" w:name="Tc_muK0byBgCUWb27agiJiPfA_5_13"/>
      <w:bookmarkStart w:id="760" w:name="Tc_bp_pUvDe_0Wm11UlYdJWMA_5_10"/>
      <w:bookmarkStart w:id="761" w:name="Tc_fIpM8_hO60eTBwViQNqeMQ_5_7"/>
      <w:bookmarkStart w:id="762" w:name="Tc_uQzIiJS52kuRosNEwDNgdg_5_4"/>
      <w:bookmarkStart w:id="763" w:name="Tc_iYcJxj3lmEOnqGyPfwNEmQ_5_0"/>
      <w:bookmarkStart w:id="764" w:name="Tc_8dQASgq0C0e5HOuJBQTQ7w_4_21"/>
      <w:bookmarkStart w:id="765" w:name="Tc_NRnzgRmdJ0WB7oQtjdycxw_4_18"/>
      <w:bookmarkStart w:id="766" w:name="Tc_wlX8ktPBlkWPibc3NdYpXA_4_16"/>
      <w:bookmarkStart w:id="767" w:name="Tc_ZJEEMVParkubF-TkWme-xw_4_13"/>
      <w:bookmarkStart w:id="768" w:name="Tc_QybX5kPfAEunklsT7g5YxQ_4_10"/>
      <w:bookmarkStart w:id="769" w:name="Tc_TWDNC4AfAkyyZ2egpgoULw_4_7"/>
      <w:bookmarkStart w:id="770" w:name="Tc_qrX56XUxBEGimXL51LLSGA_4_4"/>
      <w:bookmarkStart w:id="771" w:name="Tc_SccwKfD_V0yhjuUMXwSw0g_4_2"/>
      <w:bookmarkStart w:id="772" w:name="Tc_fAjPGgHe20mCNiKhRt_wFg_3_21"/>
      <w:bookmarkStart w:id="773" w:name="Tc_wuOdCIpEEkOcRduFxgkbRA_3_16"/>
      <w:bookmarkStart w:id="774" w:name="Tc_zqzDGCzjJEa8rMrWFWCBZg_3_13"/>
      <w:bookmarkStart w:id="775" w:name="Tc_2fs0JE7Ks0GPJlnp-Qlaww_3_10"/>
      <w:bookmarkStart w:id="776" w:name="Tc_K4dtfWfs6kezEWwTc8MvAg_3_7"/>
      <w:bookmarkStart w:id="777" w:name="Tc_Gbiahjz45E2ExR_Jqb3rfA_3_2"/>
      <w:bookmarkStart w:id="778" w:name="Tc_dRllbO_rp02UM3ZoKwtvoQ_2_21"/>
      <w:bookmarkStart w:id="779" w:name="Tc_0rO2j5QqZE23QjajFq_OZA_2_13"/>
      <w:bookmarkStart w:id="780" w:name="Tc_aMEMnblMYUyhsIQ43yuvuQ_2_7"/>
      <w:bookmarkStart w:id="781" w:name="Tc_072nU0j5_06hFZVaSF8xvg_1_13"/>
      <w:bookmarkStart w:id="782" w:name="_7a4560e4_7e00_4866_9e2e_3d3fd636dbde"/>
      <w:bookmarkStart w:id="783" w:name="Tc_yxkWn14Im0ukI1Jx4H15Hw_31_21"/>
      <w:bookmarkStart w:id="784" w:name="Tc_qsJLUF0XDEiAMc6-0OPkBQ_31_18"/>
      <w:bookmarkStart w:id="785" w:name="Tc_FZgE4KRILEGdcmwXGW_tLQ_31_13"/>
      <w:bookmarkStart w:id="786" w:name="Tc_WFqwg9XOV0OLGP1ArHOJaQ_31_10"/>
      <w:bookmarkStart w:id="787" w:name="Tc_ekK_Jt-APk-spzDNqSCbdA_31_7"/>
      <w:bookmarkStart w:id="788" w:name="Tc_Rs23R_a7TEmCiuyjzqp1cw_31_4"/>
      <w:bookmarkStart w:id="789" w:name="Tc_S8ZRpuUZQkWxRs_ibAB-Lg_31_0"/>
      <w:bookmarkStart w:id="790" w:name="Tc_Rd2VCVrD5UmfUHH2UTbkIg_30_19"/>
      <w:bookmarkStart w:id="791" w:name="Tc_AXBWtFnbLECERQD5yE15Wg_30_16"/>
      <w:bookmarkStart w:id="792" w:name="Tc_4rucGg8KmUa_Dp0WEx3dsA_30_14"/>
      <w:bookmarkStart w:id="793" w:name="Tc_pSGhS1aMWEaUZwEDqmR0qg_30_8"/>
      <w:bookmarkStart w:id="794" w:name="Tc_NGGp0f9vr0GotPSSPM_Xcg_30_5"/>
      <w:bookmarkStart w:id="795" w:name="Tc_5hOm_S1yDE2PAXe0E8u8Fg_30_2"/>
      <w:bookmarkStart w:id="796" w:name="Tc_OxIsvR9CzU-3BXLbx5JQVQ_30_0"/>
      <w:bookmarkStart w:id="797" w:name="Tc_8SDNV-wVs0W8ni28OrSeQw_29_19"/>
      <w:bookmarkStart w:id="798" w:name="Tc_cY1STpQqQkeiVqEwaaRoOA_29_16"/>
      <w:bookmarkStart w:id="799" w:name="Tc_VRGI3-yX0Eq-LskyXdjDuQ_29_11"/>
      <w:bookmarkStart w:id="800" w:name="Tc_FGv1tEdxs0i4UONPUknQnA_29_8"/>
      <w:bookmarkStart w:id="801" w:name="Tc_Rzs4sXZzrkaPOwS38Cx5gA_29_5"/>
      <w:bookmarkStart w:id="802" w:name="Tc_5hRJm5cX90KJ7xd58gRExg_29_2"/>
      <w:bookmarkStart w:id="803" w:name="Tc_nhtdcAJGnkOpF2I6o840vA_29_0"/>
      <w:bookmarkStart w:id="804" w:name="Tc_ePstOmLc_UCDCqD5zwBSOw_28_19"/>
      <w:bookmarkStart w:id="805" w:name="Tc_ddb7UEzx8ku-XL0uiRqDug_28_16"/>
      <w:bookmarkStart w:id="806" w:name="Tc_cyoapPuRCUOYDvOR63cHvQ_28_11"/>
      <w:bookmarkStart w:id="807" w:name="Tc_4xqcoybeQEa0UxJHaSkfug_28_8"/>
      <w:bookmarkStart w:id="808" w:name="Tc_e2XHlq0eZEGGVss3bltRLg_28_5"/>
      <w:bookmarkStart w:id="809" w:name="Tc_0MAIYx4inkmWjThM18KG2Q_28_2"/>
      <w:bookmarkStart w:id="810" w:name="Tc_74R2SxoR1kC6eGT7B0pYuQ_28_0"/>
      <w:bookmarkStart w:id="811" w:name="Tc_-dsrHXz5QEisMX8xyo8YFg_27_14"/>
      <w:bookmarkStart w:id="812" w:name="Tc_dC5RF4hVjE-AYfREghJkvQ_27_11"/>
      <w:bookmarkStart w:id="813" w:name="Tc_qa_0M1CncUCq3YQ1hUXsVw_27_8"/>
      <w:bookmarkStart w:id="814" w:name="Tc_PyT93VlZcUurYY93qkpngw_27_5"/>
      <w:bookmarkStart w:id="815" w:name="Tc_-j4tMFOGmEeBgfyJGkbi-Q_27_2"/>
      <w:bookmarkStart w:id="816" w:name="Tc_R7EPuJeHSEG6Omde0jvRNA_27_0"/>
      <w:bookmarkStart w:id="817" w:name="Tc_ieJWggjFSEy7CjaufXxb8w_26_19"/>
      <w:bookmarkStart w:id="818" w:name="Tc_4xmqqYXJeUa50gR_f2s_mg_26_16"/>
      <w:bookmarkStart w:id="819" w:name="Tc_bDenGpc2-0WhMKvR__z4xw_26_14"/>
      <w:bookmarkStart w:id="820" w:name="Tc_beR1uvK4SkSknm99UMVIww_26_11"/>
      <w:bookmarkStart w:id="821" w:name="Tc_WHOb0-G9V0CzXlun9ftARw_26_0"/>
      <w:bookmarkStart w:id="822" w:name="Tc_yiNa4sEv6E6gI2k4wgd_AA_25_19"/>
      <w:bookmarkStart w:id="823" w:name="Tc__XaNlp9OU0mZb6IlpjzcRg_25_16"/>
      <w:bookmarkStart w:id="824" w:name="Tc_UWaMsV0TR0CsYbjt9fSSmg_25_14"/>
      <w:bookmarkStart w:id="825" w:name="Tc_d-9fbXbRyEq_M1tD0uERRg_25_11"/>
      <w:bookmarkStart w:id="826" w:name="Tc_fnXrBPkS3EepP1avrkRK9Q_25_5"/>
      <w:bookmarkStart w:id="827" w:name="Tc_uWWdHyRL70mEVMje8UR1rA_25_2"/>
      <w:bookmarkStart w:id="828" w:name="Tc_isnX4AE4502qVypNjOhvpA_25_0"/>
      <w:bookmarkStart w:id="829" w:name="Tc_alsihILHsUWib_Ne4hGZVA_23_21"/>
      <w:bookmarkStart w:id="830" w:name="Tc_DoAxElGV7E-p9LemSjN1sw_23_18"/>
      <w:bookmarkStart w:id="831" w:name="Tc_7GpuSuXPjEemUICOszWnVA_23_13"/>
      <w:bookmarkStart w:id="832" w:name="Tc_h80aZnsIaEKs5KucuiVSTg_23_10"/>
      <w:bookmarkStart w:id="833" w:name="Tc_SESAq2TWuEaNuBW0XBexcg_23_7"/>
      <w:bookmarkStart w:id="834" w:name="Tc_06jMOIG7ZEyNfgsFj0Q1Ug_23_4"/>
      <w:bookmarkStart w:id="835" w:name="Tc_yer_VaUJ7EyVc5fFfHV4XA_23_0"/>
      <w:bookmarkStart w:id="836" w:name="Tc_CfNoLedm6k-29k6wNJMzaA_22_19"/>
      <w:bookmarkStart w:id="837" w:name="Tc_oMy6haG1Tk6nWxiUCriFtg_22_16"/>
      <w:bookmarkStart w:id="838" w:name="Tc_1hO9syvdy0aPSXQPKcH9EQ_22_14"/>
      <w:bookmarkStart w:id="839" w:name="Tc_JAnWFeleCUOYSDRTvusQwg_22_8"/>
      <w:bookmarkStart w:id="840" w:name="Tc_1GyyrNWpjUS0nlWLqWfpSA_22_5"/>
      <w:bookmarkStart w:id="841" w:name="Tc_h3RMnAClKUGBEuoZFSMXAA_22_2"/>
      <w:bookmarkStart w:id="842" w:name="Tc_K_SReCQZJE-GDBNx__AV4g_22_0"/>
      <w:bookmarkStart w:id="843" w:name="Tc_I5qExE_GjkuX5DPumxv8-w_21_19"/>
      <w:bookmarkStart w:id="844" w:name="Tc_OdnGJ68_Ak6ONXxE_Cn-0g_21_16"/>
      <w:bookmarkStart w:id="845" w:name="Tc_cdyNww5Eu0K3y_nOjJRhxw_21_11"/>
      <w:bookmarkStart w:id="846" w:name="Tc_vJRDMmNXS0i0UWX874PGZQ_21_8"/>
      <w:bookmarkStart w:id="847" w:name="Tc_GYyD1muYT0au0A_d0ZF_XQ_21_5"/>
      <w:bookmarkStart w:id="848" w:name="Tc_ORdV8jX7I0ijv7LbCHjRuw_21_2"/>
      <w:bookmarkStart w:id="849" w:name="Tc_eNU0fBSB40SNf0iSyuepaQ_21_0"/>
      <w:bookmarkStart w:id="850" w:name="Tc_DRJ3Ss_aIUWAbhm1u8eA1g_20_19"/>
      <w:bookmarkStart w:id="851" w:name="Tc_H2Zzn2818Eafl3bqFiC1rg_20_16"/>
      <w:bookmarkStart w:id="852" w:name="Tc_TgWbI6WEsEuyPriJmOx5CQ_20_11"/>
      <w:bookmarkStart w:id="853" w:name="Tc_8x3JYCeaC0uKiNYycitwdw_20_8"/>
      <w:bookmarkStart w:id="854" w:name="Tc_JnP5lVjmmEmREKs29Jsr2A_20_5"/>
      <w:bookmarkStart w:id="855" w:name="Tc_1auRoZCfW0yUryzy3d5v4g_20_2"/>
      <w:bookmarkStart w:id="856" w:name="Tc_vSI917Nz4kiPTZyLrtkG9Q_20_0"/>
      <w:bookmarkStart w:id="857" w:name="Tc_AHvskKj-4Umek1D_SQ06MQ_19_14"/>
      <w:bookmarkStart w:id="858" w:name="Tc_ksNTQ8boWE2bzhP5z-zGaQ_19_11"/>
      <w:bookmarkStart w:id="859" w:name="Tc_kRf_aXA1-0Si52EDiMqQaQ_19_8"/>
      <w:bookmarkStart w:id="860" w:name="Tc_DqYVcxXYsE-PO6oLt8Ricg_19_5"/>
      <w:bookmarkStart w:id="861" w:name="Tc_iLt5jlPMMkeZfw3bTO7erg_19_2"/>
      <w:bookmarkStart w:id="862" w:name="Tc_RV1jURZ3QUm0u1YcJ4aVQg_19_0"/>
      <w:bookmarkStart w:id="863" w:name="Tc_iRYBpXwkhkq6ofmd86x2Kw_18_19"/>
      <w:bookmarkStart w:id="864" w:name="Tc_gtCxmT-m40S7U25G0xE0nw_18_16"/>
      <w:bookmarkStart w:id="865" w:name="Tc_x-W_BRJr7k6WqS_ha_4tRA_18_11"/>
      <w:bookmarkStart w:id="866" w:name="Tc_10jU9BXDRkOSc9j5GUxdwg_18_8"/>
      <w:bookmarkStart w:id="867" w:name="Tc_3PYtIS4WckuBxPHsXnI3ZA_18_5"/>
      <w:bookmarkStart w:id="868" w:name="Tc_7KWItaCgs0yJgFKXgcxGhw_18_2"/>
      <w:bookmarkStart w:id="869" w:name="Tc_UAKEfrb_B0WLbL5ks-GDYA_18_0"/>
      <w:bookmarkStart w:id="870" w:name="Tc_OKFGygPoj0eas3ILv63s3w_17_19"/>
      <w:bookmarkStart w:id="871" w:name="Tc__YKujiklEkqQwvSKfvzxdg_17_16"/>
      <w:bookmarkStart w:id="872" w:name="Tc_YyT4NymKNECtO-k2Zp-zMw_17_14"/>
      <w:bookmarkStart w:id="873" w:name="Tc_vHQ4LQJPeEaUDeJexpbndA_17_11"/>
      <w:bookmarkStart w:id="874" w:name="Tc_YnT2OX-qOkOakx5VQqwQlg_17_0"/>
      <w:bookmarkStart w:id="875" w:name="Tc_8Tg2RL94jUaIWbi66-yRsQ_16_19"/>
      <w:bookmarkStart w:id="876" w:name="Tc_ZSB630uAmEa9s_fKJSKX-g_16_16"/>
      <w:bookmarkStart w:id="877" w:name="Tc_C2ufPMZ72k6jgcaDTj8iaQ_16_14"/>
      <w:bookmarkStart w:id="878" w:name="Tc_tIyb6-o980q7O0WU6_pgbg_16_11"/>
      <w:bookmarkStart w:id="879" w:name="Tc_7cS4MQWDS0-Dpa8YFOWVyw_16_5"/>
      <w:bookmarkStart w:id="880" w:name="Tc_NeZAmeG4c0GC7rpUzo4ZHg_16_2"/>
      <w:bookmarkStart w:id="881" w:name="Tc_gHrU_mAmgUqP7eXNMQwotA_16_0"/>
      <w:bookmarkStart w:id="882" w:name="Tc_bSTUpIh9g0SUyfVG3280_Q_14_21"/>
      <w:bookmarkStart w:id="883" w:name="Tc_efPXFXgyhU2qFYGkf0sdcg_14_18"/>
      <w:bookmarkStart w:id="884" w:name="Tc_JqHqfJ0M50CNHHM2aZIL7g_14_13"/>
      <w:bookmarkStart w:id="885" w:name="Tc_5uFA-d4EPkCgVC2L9bvxjg_14_10"/>
      <w:bookmarkStart w:id="886" w:name="Tc_adVJSyiuaE-PeoRjlhqemQ_14_7"/>
      <w:bookmarkStart w:id="887" w:name="Tc_gmxeT_NNNUO0k6cjXG3gQg_14_4"/>
      <w:bookmarkStart w:id="888" w:name="Tc_895donOFgUeUkne61TLwSw_14_0"/>
      <w:bookmarkStart w:id="889" w:name="Tc__hMYWTLBIUu8ZGQw8qPteg_13_19"/>
      <w:bookmarkStart w:id="890" w:name="Tc_3Y3ZIW-VDkyRpF8ChflOlw_13_16"/>
      <w:bookmarkStart w:id="891" w:name="Tc_FeRutIljkk22yU4IMaZlPg_13_14"/>
      <w:bookmarkStart w:id="892" w:name="Tc_rE0Foa_PVkifqslU86vTrA_13_8"/>
      <w:bookmarkStart w:id="893" w:name="Tc_yc7urr3UME2ef4uW-DdrqQ_13_5"/>
      <w:bookmarkStart w:id="894" w:name="Tc_ZCr2fNXBHkG58ZqIyfnK0Q_13_2"/>
      <w:bookmarkStart w:id="895" w:name="Tc_q78thE5bv0mpDCsQaYJhzg_13_0"/>
      <w:bookmarkStart w:id="896" w:name="Tc_9iyQaJgsNkWumBjoMZX0GA_12_19"/>
      <w:bookmarkStart w:id="897" w:name="Tc_WGSOzNyf6EWO6Y3j5SxZjg_12_16"/>
      <w:bookmarkStart w:id="898" w:name="Tc_O-tWc6bvmk-aBsnmn5b1xw_12_11"/>
      <w:bookmarkStart w:id="899" w:name="Tc_X09aLAzjaUq5a3c4Rbl3PA_12_8"/>
      <w:bookmarkStart w:id="900" w:name="Tc_d6FKAZc5Y0-s5Fp3qXzL6g_12_5"/>
      <w:bookmarkStart w:id="901" w:name="Tc_1i4iwXoK5EqubhrhYsoCUw_12_2"/>
      <w:bookmarkStart w:id="902" w:name="Tc_z8ouoNPGYk2BtrZ4LFYCpw_12_0"/>
      <w:bookmarkStart w:id="903" w:name="Tc_JTS6U_O19E2XfTnQzh6KRw_11_19"/>
      <w:bookmarkStart w:id="904" w:name="Tc__BD90u90gUKGgYBzaBWifA_11_16"/>
      <w:bookmarkStart w:id="905" w:name="Tc_sHZt4UK6LkuYtqbMx4M6iQ_11_11"/>
      <w:bookmarkStart w:id="906" w:name="Tc_b83mvOCFAEuFtPLKdqgAKA_11_8"/>
      <w:bookmarkStart w:id="907" w:name="Tc_ApYHmD3dG0-KaDlaCG-cKw_11_5"/>
      <w:bookmarkStart w:id="908" w:name="Tc_Y1tyKOuRoka3lwED9U0bFQ_11_2"/>
      <w:bookmarkStart w:id="909" w:name="Tc_gpI5U_oue0umQsHTRkan6Q_11_0"/>
      <w:bookmarkStart w:id="910" w:name="Tc_FBCY5Yb8X06CGnDyInObkg_10_14"/>
      <w:bookmarkStart w:id="911" w:name="Tc_xK3GsVjRBUKDuOvxTX8dsw_10_11"/>
      <w:bookmarkStart w:id="912" w:name="Tc_LKYw6u9h-EWN5uR8ZZaDpA_10_8"/>
      <w:bookmarkStart w:id="913" w:name="Tc_xsNkzqC52kKCdEdbIncF5g_10_5"/>
      <w:bookmarkStart w:id="914" w:name="Tc_HHmj0fL6H0mOJkYnfNytJQ_10_2"/>
      <w:bookmarkStart w:id="915" w:name="Tc_W6IlOHJrnkqqdO5XQ1xr9g_10_0"/>
      <w:bookmarkStart w:id="916" w:name="Tc_-O9jZVvhuUOkAcG_1eQO7g_9_19"/>
      <w:bookmarkStart w:id="917" w:name="Tc_KGT31uAW20-R_2s_v1s-ig_9_16"/>
      <w:bookmarkStart w:id="918" w:name="Tc_LEYcJjsG9USCNRavIQhmzQ_9_11"/>
      <w:bookmarkStart w:id="919" w:name="Tc_Z3_70AcMI0aAJzLJ8ypiPA_9_8"/>
      <w:bookmarkStart w:id="920" w:name="Tc_xirs3XXlZEOMXRkVgJ8I8Q_9_5"/>
      <w:bookmarkStart w:id="921" w:name="Tc_vsoNdsMrXEq2Ev5CMKcocg_9_2"/>
      <w:bookmarkStart w:id="922" w:name="Tc_yhPtEPEEcEegXqlIK-pkFg_9_0"/>
      <w:bookmarkStart w:id="923" w:name="Tc_w-H2OiRsfUWFA6lFALZ3vQ_8_19"/>
      <w:bookmarkStart w:id="924" w:name="Tc_auzhJiGDhUC4bbIi4z23Ig_8_16"/>
      <w:bookmarkStart w:id="925" w:name="Tc_uBw8mYlXf0eTBO40I9yFAw_8_14"/>
      <w:bookmarkStart w:id="926" w:name="Tc_FRKTDU9zrEikKNWkniAN-Q_8_11"/>
      <w:bookmarkStart w:id="927" w:name="Tc_2a5J8Qe9S0-h_ApATdVC-g_8_0"/>
      <w:bookmarkStart w:id="928" w:name="Tc_2Bzk_gF3EkiOYCJOIm7EmQ_7_19"/>
      <w:bookmarkStart w:id="929" w:name="Tc_gCWGpcwxAkekZB3ber-1Qw_7_16"/>
      <w:bookmarkStart w:id="930" w:name="Tc_FoVG7KwSkUiZtH7S2qkJXg_7_14"/>
      <w:bookmarkStart w:id="931" w:name="Tc_D3Nwz1MHlkizDKoloDP8AQ_7_11"/>
      <w:bookmarkStart w:id="932" w:name="Tc_GiYuRQ2R5kqCynncX3NTMw_7_5"/>
      <w:bookmarkStart w:id="933" w:name="Tc_sNRW78h3AkmuUayioaQwbA_7_2"/>
      <w:bookmarkStart w:id="934" w:name="Tc_gQJJtk5dz0OXgZaXS-3HJg_7_0"/>
      <w:bookmarkStart w:id="935" w:name="Tc_xGYT4_yAoE-apFZhTA2YlQ_5_21"/>
      <w:bookmarkStart w:id="936" w:name="Tc_tKObxiGmE0iU_y3A4-a9ug_5_18"/>
      <w:bookmarkStart w:id="937" w:name="Tc_muK0byBgCUWb27agiJiPfA_5_13"/>
      <w:bookmarkStart w:id="938" w:name="Tc_bp_pUvDe_0Wm11UlYdJWMA_5_10"/>
      <w:bookmarkStart w:id="939" w:name="Tc_fIpM8_hO60eTBwViQNqeMQ_5_7"/>
      <w:bookmarkStart w:id="940" w:name="Tc_uQzIiJS52kuRosNEwDNgdg_5_4"/>
      <w:bookmarkStart w:id="941" w:name="Tc_iYcJxj3lmEOnqGyPfwNEmQ_5_0"/>
      <w:bookmarkStart w:id="942" w:name="Tc_8dQASgq0C0e5HOuJBQTQ7w_4_21"/>
      <w:bookmarkStart w:id="943" w:name="Tc_NRnzgRmdJ0WB7oQtjdycxw_4_18"/>
      <w:bookmarkStart w:id="944" w:name="Tc_wlX8ktPBlkWPibc3NdYpXA_4_16"/>
      <w:bookmarkStart w:id="945" w:name="Tc_ZJEEMVParkubF-TkWme-xw_4_13"/>
      <w:bookmarkStart w:id="946" w:name="Tc_QybX5kPfAEunklsT7g5YxQ_4_10"/>
      <w:bookmarkStart w:id="947" w:name="Tc_TWDNC4AfAkyyZ2egpgoULw_4_7"/>
      <w:bookmarkStart w:id="948" w:name="Tc_qrX56XUxBEGimXL51LLSGA_4_4"/>
      <w:bookmarkStart w:id="949" w:name="Tc_SccwKfD_V0yhjuUMXwSw0g_4_2"/>
      <w:bookmarkStart w:id="950" w:name="Tc_fAjPGgHe20mCNiKhRt_wFg_3_21"/>
      <w:bookmarkStart w:id="951" w:name="Tc_wuOdCIpEEkOcRduFxgkbRA_3_16"/>
      <w:bookmarkStart w:id="952" w:name="Tc_zqzDGCzjJEa8rMrWFWCBZg_3_13"/>
      <w:bookmarkStart w:id="953" w:name="Tc_2fs0JE7Ks0GPJlnp-Qlaww_3_10"/>
      <w:bookmarkStart w:id="954" w:name="Tc_K4dtfWfs6kezEWwTc8MvAg_3_7"/>
      <w:bookmarkStart w:id="955" w:name="Tc_Gbiahjz45E2ExR_Jqb3rfA_3_2"/>
      <w:bookmarkStart w:id="956" w:name="Tc_dRllbO_rp02UM3ZoKwtvoQ_2_21"/>
      <w:bookmarkStart w:id="957" w:name="Tc_0rO2j5QqZE23QjajFq_OZA_2_13"/>
      <w:bookmarkStart w:id="958" w:name="Tc_aMEMnblMYUyhsIQ43yuvuQ_2_7"/>
      <w:bookmarkStart w:id="959" w:name="Tc_072nU0j5_06hFZVaSF8xvg_1_13"/>
      <w:bookmarkStart w:id="960" w:name="_7a4560e4_7e00_4866_9e2e_3d3fd636dbde"/>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p>
    <w:tbl>
      <w:tblPr>
        <w:tblW w:w="10317" w:type="dxa"/>
        <w:jc w:val="left"/>
        <w:tblInd w:w="0" w:type="dxa"/>
        <w:tblLayout w:type="fixed"/>
        <w:tblCellMar>
          <w:top w:w="0" w:type="dxa"/>
          <w:left w:w="0" w:type="dxa"/>
          <w:bottom w:w="0" w:type="dxa"/>
          <w:right w:w="0" w:type="dxa"/>
        </w:tblCellMar>
      </w:tblPr>
      <w:tblGrid>
        <w:gridCol w:w="1126"/>
        <w:gridCol w:w="326"/>
        <w:gridCol w:w="691"/>
        <w:gridCol w:w="326"/>
        <w:gridCol w:w="181"/>
        <w:gridCol w:w="436"/>
        <w:gridCol w:w="326"/>
        <w:gridCol w:w="181"/>
        <w:gridCol w:w="691"/>
        <w:gridCol w:w="326"/>
        <w:gridCol w:w="181"/>
        <w:gridCol w:w="691"/>
        <w:gridCol w:w="326"/>
        <w:gridCol w:w="227"/>
        <w:gridCol w:w="794"/>
        <w:gridCol w:w="326"/>
        <w:gridCol w:w="631"/>
        <w:gridCol w:w="326"/>
        <w:gridCol w:w="181"/>
        <w:gridCol w:w="736"/>
        <w:gridCol w:w="326"/>
        <w:gridCol w:w="181"/>
        <w:gridCol w:w="781"/>
      </w:tblGrid>
      <w:tr>
        <w:trPr/>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715010" cy="175260"/>
                      <wp:effectExtent l="0" t="0" r="0" b="0"/>
                      <wp:wrapNone/>
                      <wp:docPr id="58" name="Frame58"/>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9" name="Frame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438785" cy="175260"/>
                      <wp:effectExtent l="0" t="0" r="0" b="0"/>
                      <wp:wrapNone/>
                      <wp:docPr id="60" name="Frame6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1"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14935" cy="175260"/>
                      <wp:effectExtent l="0" t="0" r="0" b="0"/>
                      <wp:wrapNone/>
                      <wp:docPr id="62" name="Frame6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76860" cy="175260"/>
                      <wp:effectExtent l="0" t="0" r="0" b="0"/>
                      <wp:wrapNone/>
                      <wp:docPr id="63" name="Frame63"/>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14935" cy="175260"/>
                      <wp:effectExtent l="0" t="0" r="0" b="0"/>
                      <wp:wrapNone/>
                      <wp:docPr id="65" name="Frame6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38785" cy="175260"/>
                      <wp:effectExtent l="0" t="0" r="0" b="0"/>
                      <wp:wrapNone/>
                      <wp:docPr id="66" name="Frame6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7" name="Frame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14935" cy="175260"/>
                      <wp:effectExtent l="0" t="0" r="0" b="0"/>
                      <wp:wrapNone/>
                      <wp:docPr id="68" name="Frame6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38785" cy="175260"/>
                      <wp:effectExtent l="0" t="0" r="0" b="0"/>
                      <wp:wrapNone/>
                      <wp:docPr id="69" name="Frame6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7010" cy="175260"/>
                      <wp:effectExtent l="0" t="0" r="0" b="0"/>
                      <wp:wrapNone/>
                      <wp:docPr id="70" name="Frame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44145" cy="175260"/>
                      <wp:effectExtent l="0" t="0" r="0" b="0"/>
                      <wp:wrapNone/>
                      <wp:docPr id="71" name="Frame71"/>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504190" cy="175260"/>
                      <wp:effectExtent l="0" t="0" r="0" b="0"/>
                      <wp:wrapNone/>
                      <wp:docPr id="72" name="Frame72"/>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7010" cy="175260"/>
                      <wp:effectExtent l="0" t="0" r="0" b="0"/>
                      <wp:wrapNone/>
                      <wp:docPr id="73" name="Frame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400685" cy="175260"/>
                      <wp:effectExtent l="0" t="0" r="0" b="0"/>
                      <wp:wrapNone/>
                      <wp:docPr id="74" name="Frame74"/>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5"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14935" cy="175260"/>
                      <wp:effectExtent l="0" t="0" r="0" b="0"/>
                      <wp:wrapNone/>
                      <wp:docPr id="76" name="Frame7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467360" cy="175260"/>
                      <wp:effectExtent l="0" t="0" r="0" b="0"/>
                      <wp:wrapNone/>
                      <wp:docPr id="77" name="Frame77"/>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8"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14935" cy="175260"/>
                      <wp:effectExtent l="0" t="0" r="0" b="0"/>
                      <wp:wrapNone/>
                      <wp:docPr id="79" name="Frame7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495935" cy="175260"/>
                      <wp:effectExtent l="0" t="0" r="0" b="0"/>
                      <wp:wrapNone/>
                      <wp:docPr id="80" name="Frame8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0"/>
              <w:ind w:left="0" w:right="0" w:hanging="0"/>
              <w:jc w:val="left"/>
              <w:rPr/>
            </w:pPr>
            <w:r>
              <w:rPr/>
              <w:t>​</w:t>
            </w:r>
          </w:p>
        </w:tc>
        <w:tc>
          <w:tcPr>
            <w:tcW w:w="1874" w:type="dxa"/>
            <w:gridSpan w:val="4"/>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62" w:type="dxa"/>
            <w:gridSpan w:val="2"/>
            <w:tcBorders/>
            <w:vAlign w:val="center"/>
          </w:tcPr>
          <w:p>
            <w:pPr>
              <w:pStyle w:val="TableContents"/>
              <w:bidi w:val="0"/>
              <w:spacing w:before="0" w:after="0"/>
              <w:ind w:left="0" w:right="0" w:hanging="0"/>
              <w:jc w:val="center"/>
              <w:rPr/>
            </w:pPr>
            <w:r>
              <w:rPr/>
              <w:t>​</w:t>
            </w:r>
          </w:p>
        </w:tc>
      </w:tr>
      <w:tr>
        <w:trPr/>
        <w:tc>
          <w:tcPr>
            <w:tcW w:w="1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26" w:type="dxa"/>
            <w:tcBorders/>
            <w:vAlign w:val="center"/>
          </w:tcPr>
          <w:p>
            <w:pPr>
              <w:pStyle w:val="TableContents"/>
              <w:bidi w:val="0"/>
              <w:spacing w:before="0" w:after="0"/>
              <w:ind w:left="0" w:right="0" w:hanging="0"/>
              <w:jc w:val="left"/>
              <w:rPr/>
            </w:pPr>
            <w:r>
              <w:rPr/>
              <w:t>​</w:t>
            </w:r>
          </w:p>
        </w:tc>
        <w:tc>
          <w:tcPr>
            <w:tcW w:w="1874" w:type="dxa"/>
            <w:gridSpan w:val="4"/>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6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1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3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26"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Retained</w:t>
            </w:r>
          </w:p>
        </w:tc>
        <w:tc>
          <w:tcPr>
            <w:tcW w:w="326" w:type="dxa"/>
            <w:tcBorders/>
            <w:vAlign w:val="center"/>
          </w:tcPr>
          <w:p>
            <w:pPr>
              <w:pStyle w:val="TableContents"/>
              <w:bidi w:val="0"/>
              <w:spacing w:before="0" w:after="0"/>
              <w:ind w:left="0" w:right="0" w:hanging="0"/>
              <w:jc w:val="left"/>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Comprehensive </w:t>
            </w:r>
          </w:p>
        </w:tc>
        <w:tc>
          <w:tcPr>
            <w:tcW w:w="326" w:type="dxa"/>
            <w:tcBorders/>
            <w:vAlign w:val="center"/>
          </w:tcPr>
          <w:p>
            <w:pPr>
              <w:pStyle w:val="TableContents"/>
              <w:bidi w:val="0"/>
              <w:spacing w:before="0" w:after="0"/>
              <w:ind w:left="0" w:right="0" w:hanging="0"/>
              <w:jc w:val="left"/>
              <w:rPr/>
            </w:pPr>
            <w:r>
              <w:rPr/>
              <w:t>​</w:t>
            </w:r>
          </w:p>
        </w:tc>
        <w:tc>
          <w:tcPr>
            <w:tcW w:w="187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Treasury stock</w:t>
            </w:r>
          </w:p>
        </w:tc>
        <w:tc>
          <w:tcPr>
            <w:tcW w:w="326" w:type="dxa"/>
            <w:tcBorders/>
            <w:vAlign w:val="center"/>
          </w:tcPr>
          <w:p>
            <w:pPr>
              <w:pStyle w:val="TableContents"/>
              <w:bidi w:val="0"/>
              <w:spacing w:before="0" w:after="0"/>
              <w:ind w:left="0" w:right="0" w:hanging="0"/>
              <w:jc w:val="left"/>
              <w:rPr/>
            </w:pPr>
            <w:r>
              <w:rPr/>
              <w:t>​</w:t>
            </w:r>
          </w:p>
        </w:tc>
        <w:tc>
          <w:tcPr>
            <w:tcW w:w="96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1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0"/>
              <w:ind w:left="0" w:right="0" w:hanging="0"/>
              <w:jc w:val="left"/>
              <w:rPr/>
            </w:pPr>
            <w:r>
              <w:rPr/>
              <w:t>    </w:t>
            </w:r>
          </w:p>
        </w:tc>
        <w:tc>
          <w:tcPr>
            <w:tcW w:w="6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0"/>
              <w:ind w:left="0" w:right="0" w:hanging="0"/>
              <w:jc w:val="left"/>
              <w:rPr/>
            </w:pPr>
            <w:r>
              <w:rPr/>
              <w:t>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vAlign w:val="center"/>
          </w:tcPr>
          <w:p>
            <w:pPr>
              <w:pStyle w:val="TableContents"/>
              <w:bidi w:val="0"/>
              <w:spacing w:before="0" w:after="0"/>
              <w:ind w:left="0" w:right="0" w:hanging="0"/>
              <w:jc w:val="left"/>
              <w:rPr/>
            </w:pPr>
            <w:r>
              <w:rPr/>
              <w:t>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26" w:type="dxa"/>
            <w:tcBorders/>
            <w:vAlign w:val="center"/>
          </w:tcPr>
          <w:p>
            <w:pPr>
              <w:pStyle w:val="TableContents"/>
              <w:bidi w:val="0"/>
              <w:spacing w:before="0" w:after="0"/>
              <w:ind w:left="0" w:right="0" w:hanging="0"/>
              <w:jc w:val="left"/>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(Loss) Income</w:t>
            </w:r>
          </w:p>
        </w:tc>
        <w:tc>
          <w:tcPr>
            <w:tcW w:w="326" w:type="dxa"/>
            <w:tcBorders/>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0"/>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0"/>
              <w:ind w:left="0" w:right="0" w:hanging="0"/>
              <w:jc w:val="left"/>
              <w:rPr/>
            </w:pPr>
            <w:r>
              <w:rPr/>
              <w:t>    </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112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1,122,592</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5,613</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4,975,115</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5,939,736</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(125,337)</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(81,021)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(2,566,383)</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8,228,744</w:t>
            </w:r>
          </w:p>
        </w:tc>
      </w:tr>
      <w:tr>
        <w:trPr/>
        <w:tc>
          <w:tcPr>
            <w:tcW w:w="1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11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21,452</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21,452</w:t>
            </w:r>
          </w:p>
        </w:tc>
      </w:tr>
      <w:tr>
        <w:trPr/>
        <w:tc>
          <w:tcPr>
            <w:tcW w:w="112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 options/awards</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2,278</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38,381</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38,392</w:t>
            </w:r>
          </w:p>
        </w:tc>
      </w:tr>
      <w:tr>
        <w:trPr/>
        <w:tc>
          <w:tcPr>
            <w:tcW w:w="11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Unrealized gain (loss), net on available-for-sale securities </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223</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223</w:t>
            </w:r>
          </w:p>
        </w:tc>
      </w:tr>
      <w:tr>
        <w:trPr/>
        <w:tc>
          <w:tcPr>
            <w:tcW w:w="112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Repurchase of common stock </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(2,151)</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(120,245)</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(120,245)</w:t>
            </w:r>
          </w:p>
        </w:tc>
      </w:tr>
      <w:tr>
        <w:trPr/>
        <w:tc>
          <w:tcPr>
            <w:tcW w:w="11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Foreign currency translation </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(30,695)</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(30,695)</w:t>
            </w:r>
          </w:p>
        </w:tc>
      </w:tr>
      <w:tr>
        <w:trPr/>
        <w:tc>
          <w:tcPr>
            <w:tcW w:w="112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gain (loss) on commodity derivatives</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(2,131)</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(2,131)</w:t>
            </w:r>
          </w:p>
        </w:tc>
      </w:tr>
      <w:tr>
        <w:trPr/>
        <w:tc>
          <w:tcPr>
            <w:tcW w:w="11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442,049</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442,049</w:t>
            </w:r>
          </w:p>
        </w:tc>
      </w:tr>
      <w:tr>
        <w:trPr/>
        <w:tc>
          <w:tcPr>
            <w:tcW w:w="1126" w:type="dxa"/>
            <w:tcBorders/>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March 31, 2024</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1,124,870</w:t>
            </w:r>
          </w:p>
        </w:tc>
        <w:tc>
          <w:tcPr>
            <w:tcW w:w="32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5,624</w:t>
            </w:r>
          </w:p>
        </w:tc>
        <w:tc>
          <w:tcPr>
            <w:tcW w:w="32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5,034,948</w:t>
            </w:r>
          </w:p>
        </w:tc>
        <w:tc>
          <w:tcPr>
            <w:tcW w:w="32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6,381,785</w:t>
            </w:r>
          </w:p>
        </w:tc>
        <w:tc>
          <w:tcPr>
            <w:tcW w:w="326" w:type="dxa"/>
            <w:tcBorders/>
            <w:vAlign w:val="center"/>
          </w:tcPr>
          <w:p>
            <w:pPr>
              <w:pStyle w:val="TableContents"/>
              <w:bidi w:val="0"/>
              <w:spacing w:before="0" w:after="0"/>
              <w:ind w:left="0" w:right="0" w:hanging="0"/>
              <w:jc w:val="right"/>
              <w:rPr/>
            </w:pPr>
            <w:r>
              <w:rPr/>
              <w:t> </w:t>
            </w:r>
          </w:p>
        </w:tc>
        <w:tc>
          <w:tcPr>
            <w:tcW w:w="22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(157,940)</w:t>
            </w:r>
          </w:p>
        </w:tc>
        <w:tc>
          <w:tcPr>
            <w:tcW w:w="32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(83,172)</w:t>
            </w:r>
          </w:p>
        </w:tc>
        <w:tc>
          <w:tcPr>
            <w:tcW w:w="32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(2,686,628)</w:t>
            </w:r>
          </w:p>
        </w:tc>
        <w:tc>
          <w:tcPr>
            <w:tcW w:w="32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8,577,789</w:t>
            </w:r>
          </w:p>
        </w:tc>
      </w:tr>
      <w:tr>
        <w:trPr/>
        <w:tc>
          <w:tcPr>
            <w:tcW w:w="11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112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19,645</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19,645</w:t>
            </w:r>
          </w:p>
        </w:tc>
      </w:tr>
      <w:tr>
        <w:trPr/>
        <w:tc>
          <w:tcPr>
            <w:tcW w:w="11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 options/awards</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13,698</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13,701</w:t>
            </w:r>
          </w:p>
        </w:tc>
      </w:tr>
      <w:tr>
        <w:trPr/>
        <w:tc>
          <w:tcPr>
            <w:tcW w:w="112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Unrealized gain (loss), net on available-for-sale securities</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535</w:t>
            </w:r>
          </w:p>
        </w:tc>
        <w:tc>
          <w:tcPr>
            <w:tcW w:w="32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535</w:t>
            </w:r>
          </w:p>
        </w:tc>
      </w:tr>
      <w:tr>
        <w:trPr/>
        <w:tc>
          <w:tcPr>
            <w:tcW w:w="11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Repurchase of common stock</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(58,778)</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(3,145,817)</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(3,145,817)</w:t>
            </w:r>
          </w:p>
        </w:tc>
      </w:tr>
      <w:tr>
        <w:trPr/>
        <w:tc>
          <w:tcPr>
            <w:tcW w:w="112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Foreign currency translation</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(31,104)</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(31,104)</w:t>
            </w:r>
          </w:p>
        </w:tc>
      </w:tr>
      <w:tr>
        <w:trPr/>
        <w:tc>
          <w:tcPr>
            <w:tcW w:w="11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gain (loss) on commodity derivatives</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6,205</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6,205</w:t>
            </w:r>
          </w:p>
        </w:tc>
      </w:tr>
      <w:tr>
        <w:trPr/>
        <w:tc>
          <w:tcPr>
            <w:tcW w:w="112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w:t>
            </w:r>
          </w:p>
        </w:tc>
        <w:tc>
          <w:tcPr>
            <w:tcW w:w="32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425,369</w:t>
            </w:r>
          </w:p>
        </w:tc>
        <w:tc>
          <w:tcPr>
            <w:tcW w:w="326" w:type="dxa"/>
            <w:tcBorders/>
            <w:vAlign w:val="center"/>
          </w:tcPr>
          <w:p>
            <w:pPr>
              <w:pStyle w:val="TableContents"/>
              <w:bidi w:val="0"/>
              <w:spacing w:before="0" w:after="0"/>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425,369</w:t>
            </w:r>
          </w:p>
        </w:tc>
      </w:tr>
      <w:tr>
        <w:trPr/>
        <w:tc>
          <w:tcPr>
            <w:tcW w:w="112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June 30, 2024</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1,125,330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5,627</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5,068,291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6,807,154</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(182,304)</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(141,950)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(5,832,445)</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5,866,323</w:t>
            </w:r>
          </w:p>
        </w:tc>
      </w:tr>
      <w:tr>
        <w:trPr/>
        <w:tc>
          <w:tcPr>
            <w:tcW w:w="1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11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Stock-based compensation </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27,659</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27,659</w:t>
            </w:r>
          </w:p>
        </w:tc>
      </w:tr>
      <w:tr>
        <w:trPr/>
        <w:tc>
          <w:tcPr>
            <w:tcW w:w="112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 options/awards</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369</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10,007</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10,008</w:t>
            </w:r>
          </w:p>
        </w:tc>
      </w:tr>
      <w:tr>
        <w:trPr/>
        <w:tc>
          <w:tcPr>
            <w:tcW w:w="11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Repurchase of common stock </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(11,299)</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(539,971)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(539,971)</w:t>
            </w:r>
          </w:p>
        </w:tc>
      </w:tr>
      <w:tr>
        <w:trPr/>
        <w:tc>
          <w:tcPr>
            <w:tcW w:w="112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Foreign currency translation </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47,846</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47,846</w:t>
            </w:r>
          </w:p>
        </w:tc>
      </w:tr>
      <w:tr>
        <w:trPr/>
        <w:tc>
          <w:tcPr>
            <w:tcW w:w="11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Net gain (loss) on commodity derivatives </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(3,384)</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(3,384)</w:t>
            </w:r>
          </w:p>
        </w:tc>
      </w:tr>
      <w:tr>
        <w:trPr/>
        <w:tc>
          <w:tcPr>
            <w:tcW w:w="112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Net income </w:t>
            </w:r>
          </w:p>
        </w:tc>
        <w:tc>
          <w:tcPr>
            <w:tcW w:w="32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370,919</w:t>
            </w:r>
          </w:p>
        </w:tc>
        <w:tc>
          <w:tcPr>
            <w:tcW w:w="326" w:type="dxa"/>
            <w:tcBorders/>
            <w:vAlign w:val="center"/>
          </w:tcPr>
          <w:p>
            <w:pPr>
              <w:pStyle w:val="TableContents"/>
              <w:bidi w:val="0"/>
              <w:spacing w:before="0" w:after="0"/>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370,919</w:t>
            </w:r>
          </w:p>
        </w:tc>
      </w:tr>
      <w:tr>
        <w:trPr/>
        <w:tc>
          <w:tcPr>
            <w:tcW w:w="112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September 30, 2024</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1,125,699</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5,628</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5,105,957</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7,178,073</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(137,842)</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(153,249)</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(6,372,416)</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5,779,400</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961" w:name="_7a9682fa_6d7e_47bf_9862_3ad150a7ba7e"/>
      <w:bookmarkEnd w:id="961"/>
      <w:r>
        <w:rPr>
          <w:rFonts w:ascii="Times New Roman;Times;serif" w:hAnsi="Times New Roman;Times;serif"/>
          <w:b/>
          <w:sz w:val="20"/>
        </w:rPr>
        <w:t>MONSTER BEVERAGE CORPORATION AND SUBSIDIARIES</w:t>
      </w:r>
    </w:p>
    <w:p>
      <w:pPr>
        <w:pStyle w:val="TextBody"/>
        <w:bidi w:val="0"/>
        <w:spacing w:lineRule="atLeast" w:line="220" w:before="0" w:after="0"/>
        <w:ind w:left="0" w:right="0" w:hanging="0"/>
        <w:jc w:val="both"/>
        <w:rPr>
          <w:rFonts w:ascii="Times New Roman;Times;serif" w:hAnsi="Times New Roman;Times;serif"/>
          <w:b/>
          <w:sz w:val="20"/>
        </w:rPr>
      </w:pPr>
      <w:bookmarkStart w:id="962" w:name="STATEMENTSOFCASHFLOWS_392736"/>
      <w:bookmarkEnd w:id="962"/>
      <w:r>
        <w:rPr>
          <w:rFonts w:ascii="Times New Roman;Times;serif" w:hAnsi="Times New Roman;Times;serif"/>
          <w:b/>
          <w:sz w:val="20"/>
        </w:rPr>
        <w:t>CONDENSED CONSOLIDATED STATEMENTS OF CASH FLOWS</w:t>
      </w:r>
    </w:p>
    <w:p>
      <w:pPr>
        <w:pStyle w:val="TextBody"/>
        <w:bidi w:val="0"/>
        <w:spacing w:lineRule="atLeast" w:line="220" w:before="0" w:after="0"/>
        <w:ind w:left="0" w:right="0" w:hanging="0"/>
        <w:jc w:val="both"/>
        <w:rPr>
          <w:rFonts w:ascii="Times New Roman;Times;serif" w:hAnsi="Times New Roman;Times;serif"/>
          <w:sz w:val="20"/>
        </w:rPr>
      </w:pPr>
      <w:r>
        <w:rPr>
          <w:rFonts w:ascii="Times New Roman;Times;serif" w:hAnsi="Times New Roman;Times;serif"/>
          <w:b/>
          <w:sz w:val="20"/>
        </w:rPr>
        <w:t xml:space="preserve">FOR THE </w:t>
      </w:r>
      <w:r>
        <w:rPr>
          <w:rFonts w:ascii="Times New Roman;Times;serif" w:hAnsi="Times New Roman;Times;serif"/>
          <w:b/>
          <w:color w:val="212529"/>
          <w:sz w:val="20"/>
          <w:shd w:fill="FFFFFF" w:val="clear"/>
        </w:rPr>
        <w:t>NINE-MONTHS ENDED SEPTEMBER 30</w:t>
      </w:r>
      <w:r>
        <w:rPr>
          <w:rFonts w:ascii="Times New Roman;Times;serif" w:hAnsi="Times New Roman;Times;serif"/>
          <w:b/>
          <w:sz w:val="20"/>
        </w:rPr>
        <w:t>, 2025 AND 2024</w:t>
      </w:r>
    </w:p>
    <w:p>
      <w:pPr>
        <w:pStyle w:val="TextBody"/>
        <w:pBdr>
          <w:bottom w:val="single" w:sz="12" w:space="1" w:color="000000"/>
        </w:pBdr>
        <w:bidi w:val="0"/>
        <w:spacing w:lineRule="atLeast" w:line="220"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(In Thousands) (Unaudited) </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963" w:name="Tc_IFnaizWt6kGOvNNsfCJIDw_54_5"/>
      <w:bookmarkStart w:id="964" w:name="Tc_5IuEXJQGZ02tbuIcX61pJA_54_2"/>
      <w:bookmarkStart w:id="965" w:name="Tc_ioAj8Tc-8EuCWxgo_mypRw_54_0"/>
      <w:bookmarkStart w:id="966" w:name="Tc_FdlBHDW1uEiOF0oGKle4ZQ_53_5"/>
      <w:bookmarkStart w:id="967" w:name="Tc_gxw7hTd8bk61MQrZWwTMaA_53_2"/>
      <w:bookmarkStart w:id="968" w:name="Tc_VplUWGtn5k-G3hjXBgNuaQ_53_0"/>
      <w:bookmarkStart w:id="969" w:name="Tc_DFzp6FOxZE2JjkPXYWDAPQ_52_0"/>
      <w:bookmarkStart w:id="970" w:name="Tc_VyjIFekS0Umanx__m24ung_51_0"/>
      <w:bookmarkStart w:id="971" w:name="Tc_QZ82SGiwlkyDuk8pgHwgRg_49_5"/>
      <w:bookmarkStart w:id="972" w:name="Tc_hnkSfUBZ506wS5hawBftlw_49_2"/>
      <w:bookmarkStart w:id="973" w:name="Tc_9p42KHMpok6zIgmNWyDNIw_49_0"/>
      <w:bookmarkStart w:id="974" w:name="Tc_XLGo0rlqGE2y0RhSbqbqYA_48_0"/>
      <w:bookmarkStart w:id="975" w:name="Tc_OHhTaOL5k0iNjjb7AJ0olg_47_0"/>
      <w:bookmarkStart w:id="976" w:name="Tc_R1NgaKpyk0aW51yV7cPJYA_45_0"/>
      <w:bookmarkStart w:id="977" w:name="Tc_OEQCGaJGqUCvYOlDuH4_0g_43_0"/>
      <w:bookmarkStart w:id="978" w:name="Tc_hKsMyRozl0ao8R6LMx7XWg_42_0"/>
      <w:bookmarkStart w:id="979" w:name="Tc_GeXxlUeWLE2VDZLLH9D9EA_41_0"/>
      <w:bookmarkStart w:id="980" w:name="Tc_hEfUMJu8WUmpW-BJIp8c7w_40_0"/>
      <w:bookmarkStart w:id="981" w:name="Tc_kQHj39r-c0K5Mb2kX-M5-Q_39_0"/>
      <w:bookmarkStart w:id="982" w:name="Tc_y_rtr3rMJ06xXRBpnEm-NQ_38_0"/>
      <w:bookmarkStart w:id="983" w:name="Tc_LnyjNHZ_LUOq-fhctSv18A_37_0"/>
      <w:bookmarkStart w:id="984" w:name="Tc_7sxW7KPz8EStIcf9vAvQmg_36_0"/>
      <w:bookmarkStart w:id="985" w:name="Tc_RT3R0C1RaUaMBv0rqSoZgQ_34_0"/>
      <w:bookmarkStart w:id="986" w:name="Tc_ZGxqauXAdUW20HcoACVAHA_33_0"/>
      <w:bookmarkStart w:id="987" w:name="Tc_6ZOL6ouAak6E6Syz_AmYsQ_32_0"/>
      <w:bookmarkStart w:id="988" w:name="Tc_JPPmEFyz40iV1gU8yhgh2A_31_0"/>
      <w:bookmarkStart w:id="989" w:name="Tc_9rn5RQ9K4E6gDdzB8-WxgQ_30_0"/>
      <w:bookmarkStart w:id="990" w:name="Tc__7M5v1JFb0OPBnRxkaOe5A_29_0"/>
      <w:bookmarkStart w:id="991" w:name="Tc_c_TOhGmRUkyvam7tYZgbRQ_28_0"/>
      <w:bookmarkStart w:id="992" w:name="Tc_hBENwR3kKkiZlW7NL_PpIw_27_0"/>
      <w:bookmarkStart w:id="993" w:name="Tc_Tt5uPuq78kWtgo5911iisQ_25_0"/>
      <w:bookmarkStart w:id="994" w:name="Tc_UNRZ7h3wMUq0gvBLzgRviQ_24_0"/>
      <w:bookmarkStart w:id="995" w:name="Tc_JmEXi_GY1k-hnCrL-T8BOQ_23_0"/>
      <w:bookmarkStart w:id="996" w:name="Tc_BDWp3Y-Z9E6PEW7Z01O-0g_22_0"/>
      <w:bookmarkStart w:id="997" w:name="Tc_z_uO1wrZKE2hz3Lli7lItQ_21_0"/>
      <w:bookmarkStart w:id="998" w:name="Tc_1gG2de97Gkq8hInNz-aCmA_20_0"/>
      <w:bookmarkStart w:id="999" w:name="Tc_ugWkWNfKq0mJT0Gg2VSZ8g_19_0"/>
      <w:bookmarkStart w:id="1000" w:name="Tc_Hy0r5nK3yUmokpfTxaI4Cw_18_0"/>
      <w:bookmarkStart w:id="1001" w:name="Tc_hIHYZ3hk8kybCXaBzfsEhA_17_0"/>
      <w:bookmarkStart w:id="1002" w:name="Tc_w-f8-RIkf0S20OijJ3hHQQ_16_0"/>
      <w:bookmarkStart w:id="1003" w:name="Tc_hINkNOvc00aj6w5ZHRj1Mg_15_0"/>
      <w:bookmarkStart w:id="1004" w:name="Tc_P2kHW9yvQUamsqDAmA0nLg_14_0"/>
      <w:bookmarkStart w:id="1005" w:name="Tc_tByyzp4CpEKYqCk3IF6Rzw_13_0"/>
      <w:bookmarkStart w:id="1006" w:name="Tc_lPA7kCe-FUGrEvdW7JHB3Q_12_0"/>
      <w:bookmarkStart w:id="1007" w:name="Tc_JI6WmMIyG0qevg_PIMg5fg_11_0"/>
      <w:bookmarkStart w:id="1008" w:name="Tc_wglmt3f7b021N8dyzdsu6A_10_0"/>
      <w:bookmarkStart w:id="1009" w:name="Tc_rYND4ZebRUmv-lLj5X_ZRA_9_0"/>
      <w:bookmarkStart w:id="1010" w:name="Tc_8bAHyLd4Pk6K24mYNj20wA_8_0"/>
      <w:bookmarkStart w:id="1011" w:name="Tc_jTfmP4mNQUKML3CHxZKs1w_7_0"/>
      <w:bookmarkStart w:id="1012" w:name="Tc_mbsaa3YvG0CVTHAPKWHF7g_6_0"/>
      <w:bookmarkStart w:id="1013" w:name="Tc_7Ja_tCVlvU-adGuL4_qqTA_5_5"/>
      <w:bookmarkStart w:id="1014" w:name="Tc_uqt46wzRPUaUB6zJE3nLNg_5_2"/>
      <w:bookmarkStart w:id="1015" w:name="Tc_Wg23mG31dUGGcChXecto2Q_5_0"/>
      <w:bookmarkStart w:id="1016" w:name="Tc_h5U_I6WwekK6t2v1STQ20g_4_0"/>
      <w:bookmarkStart w:id="1017" w:name="Tc_D-phPH-E5USJiIazJSlngg_3_5"/>
      <w:bookmarkStart w:id="1018" w:name="Tc_02ryiQmz10KHwO5_Qv0FhQ_3_2"/>
      <w:bookmarkStart w:id="1019" w:name="Tc_jMdBKySElkeG7S0zng0emw_2_2"/>
      <w:bookmarkStart w:id="1020" w:name="Tc_Mldrt3imdk22Rld_qYW2Sg_1_2"/>
      <w:bookmarkStart w:id="1021" w:name="_71a6b9e4_4df5_4f37_9a92_3ee23909c94c"/>
      <w:bookmarkStart w:id="1022" w:name="Tc_IFnaizWt6kGOvNNsfCJIDw_54_5"/>
      <w:bookmarkStart w:id="1023" w:name="Tc_5IuEXJQGZ02tbuIcX61pJA_54_2"/>
      <w:bookmarkStart w:id="1024" w:name="Tc_ioAj8Tc-8EuCWxgo_mypRw_54_0"/>
      <w:bookmarkStart w:id="1025" w:name="Tc_FdlBHDW1uEiOF0oGKle4ZQ_53_5"/>
      <w:bookmarkStart w:id="1026" w:name="Tc_gxw7hTd8bk61MQrZWwTMaA_53_2"/>
      <w:bookmarkStart w:id="1027" w:name="Tc_VplUWGtn5k-G3hjXBgNuaQ_53_0"/>
      <w:bookmarkStart w:id="1028" w:name="Tc_DFzp6FOxZE2JjkPXYWDAPQ_52_0"/>
      <w:bookmarkStart w:id="1029" w:name="Tc_VyjIFekS0Umanx__m24ung_51_0"/>
      <w:bookmarkStart w:id="1030" w:name="Tc_QZ82SGiwlkyDuk8pgHwgRg_49_5"/>
      <w:bookmarkStart w:id="1031" w:name="Tc_hnkSfUBZ506wS5hawBftlw_49_2"/>
      <w:bookmarkStart w:id="1032" w:name="Tc_9p42KHMpok6zIgmNWyDNIw_49_0"/>
      <w:bookmarkStart w:id="1033" w:name="Tc_XLGo0rlqGE2y0RhSbqbqYA_48_0"/>
      <w:bookmarkStart w:id="1034" w:name="Tc_OHhTaOL5k0iNjjb7AJ0olg_47_0"/>
      <w:bookmarkStart w:id="1035" w:name="Tc_R1NgaKpyk0aW51yV7cPJYA_45_0"/>
      <w:bookmarkStart w:id="1036" w:name="Tc_OEQCGaJGqUCvYOlDuH4_0g_43_0"/>
      <w:bookmarkStart w:id="1037" w:name="Tc_hKsMyRozl0ao8R6LMx7XWg_42_0"/>
      <w:bookmarkStart w:id="1038" w:name="Tc_GeXxlUeWLE2VDZLLH9D9EA_41_0"/>
      <w:bookmarkStart w:id="1039" w:name="Tc_hEfUMJu8WUmpW-BJIp8c7w_40_0"/>
      <w:bookmarkStart w:id="1040" w:name="Tc_kQHj39r-c0K5Mb2kX-M5-Q_39_0"/>
      <w:bookmarkStart w:id="1041" w:name="Tc_y_rtr3rMJ06xXRBpnEm-NQ_38_0"/>
      <w:bookmarkStart w:id="1042" w:name="Tc_LnyjNHZ_LUOq-fhctSv18A_37_0"/>
      <w:bookmarkStart w:id="1043" w:name="Tc_7sxW7KPz8EStIcf9vAvQmg_36_0"/>
      <w:bookmarkStart w:id="1044" w:name="Tc_RT3R0C1RaUaMBv0rqSoZgQ_34_0"/>
      <w:bookmarkStart w:id="1045" w:name="Tc_ZGxqauXAdUW20HcoACVAHA_33_0"/>
      <w:bookmarkStart w:id="1046" w:name="Tc_6ZOL6ouAak6E6Syz_AmYsQ_32_0"/>
      <w:bookmarkStart w:id="1047" w:name="Tc_JPPmEFyz40iV1gU8yhgh2A_31_0"/>
      <w:bookmarkStart w:id="1048" w:name="Tc_9rn5RQ9K4E6gDdzB8-WxgQ_30_0"/>
      <w:bookmarkStart w:id="1049" w:name="Tc__7M5v1JFb0OPBnRxkaOe5A_29_0"/>
      <w:bookmarkStart w:id="1050" w:name="Tc_c_TOhGmRUkyvam7tYZgbRQ_28_0"/>
      <w:bookmarkStart w:id="1051" w:name="Tc_hBENwR3kKkiZlW7NL_PpIw_27_0"/>
      <w:bookmarkStart w:id="1052" w:name="Tc_Tt5uPuq78kWtgo5911iisQ_25_0"/>
      <w:bookmarkStart w:id="1053" w:name="Tc_UNRZ7h3wMUq0gvBLzgRviQ_24_0"/>
      <w:bookmarkStart w:id="1054" w:name="Tc_JmEXi_GY1k-hnCrL-T8BOQ_23_0"/>
      <w:bookmarkStart w:id="1055" w:name="Tc_BDWp3Y-Z9E6PEW7Z01O-0g_22_0"/>
      <w:bookmarkStart w:id="1056" w:name="Tc_z_uO1wrZKE2hz3Lli7lItQ_21_0"/>
      <w:bookmarkStart w:id="1057" w:name="Tc_1gG2de97Gkq8hInNz-aCmA_20_0"/>
      <w:bookmarkStart w:id="1058" w:name="Tc_ugWkWNfKq0mJT0Gg2VSZ8g_19_0"/>
      <w:bookmarkStart w:id="1059" w:name="Tc_Hy0r5nK3yUmokpfTxaI4Cw_18_0"/>
      <w:bookmarkStart w:id="1060" w:name="Tc_hIHYZ3hk8kybCXaBzfsEhA_17_0"/>
      <w:bookmarkStart w:id="1061" w:name="Tc_w-f8-RIkf0S20OijJ3hHQQ_16_0"/>
      <w:bookmarkStart w:id="1062" w:name="Tc_hINkNOvc00aj6w5ZHRj1Mg_15_0"/>
      <w:bookmarkStart w:id="1063" w:name="Tc_P2kHW9yvQUamsqDAmA0nLg_14_0"/>
      <w:bookmarkStart w:id="1064" w:name="Tc_tByyzp4CpEKYqCk3IF6Rzw_13_0"/>
      <w:bookmarkStart w:id="1065" w:name="Tc_lPA7kCe-FUGrEvdW7JHB3Q_12_0"/>
      <w:bookmarkStart w:id="1066" w:name="Tc_JI6WmMIyG0qevg_PIMg5fg_11_0"/>
      <w:bookmarkStart w:id="1067" w:name="Tc_wglmt3f7b021N8dyzdsu6A_10_0"/>
      <w:bookmarkStart w:id="1068" w:name="Tc_rYND4ZebRUmv-lLj5X_ZRA_9_0"/>
      <w:bookmarkStart w:id="1069" w:name="Tc_8bAHyLd4Pk6K24mYNj20wA_8_0"/>
      <w:bookmarkStart w:id="1070" w:name="Tc_jTfmP4mNQUKML3CHxZKs1w_7_0"/>
      <w:bookmarkStart w:id="1071" w:name="Tc_mbsaa3YvG0CVTHAPKWHF7g_6_0"/>
      <w:bookmarkStart w:id="1072" w:name="Tc_7Ja_tCVlvU-adGuL4_qqTA_5_5"/>
      <w:bookmarkStart w:id="1073" w:name="Tc_uqt46wzRPUaUB6zJE3nLNg_5_2"/>
      <w:bookmarkStart w:id="1074" w:name="Tc_Wg23mG31dUGGcChXecto2Q_5_0"/>
      <w:bookmarkStart w:id="1075" w:name="Tc_h5U_I6WwekK6t2v1STQ20g_4_0"/>
      <w:bookmarkStart w:id="1076" w:name="Tc_D-phPH-E5USJiIazJSlngg_3_5"/>
      <w:bookmarkStart w:id="1077" w:name="Tc_02ryiQmz10KHwO5_Qv0FhQ_3_2"/>
      <w:bookmarkStart w:id="1078" w:name="Tc_jMdBKySElkeG7S0zng0emw_2_2"/>
      <w:bookmarkStart w:id="1079" w:name="Tc_Mldrt3imdk22Rld_qYW2Sg_1_2"/>
      <w:bookmarkStart w:id="1080" w:name="_71a6b9e4_4df5_4f37_9a92_3ee23909c94c"/>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p>
    <w:tbl>
      <w:tblPr>
        <w:tblW w:w="8577" w:type="dxa"/>
        <w:jc w:val="left"/>
        <w:tblInd w:w="0" w:type="dxa"/>
        <w:tblLayout w:type="fixed"/>
        <w:tblCellMar>
          <w:top w:w="0" w:type="dxa"/>
          <w:left w:w="0" w:type="dxa"/>
          <w:bottom w:w="0" w:type="dxa"/>
          <w:right w:w="0" w:type="dxa"/>
        </w:tblCellMar>
      </w:tblPr>
      <w:tblGrid>
        <w:gridCol w:w="5716"/>
        <w:gridCol w:w="326"/>
        <w:gridCol w:w="196"/>
        <w:gridCol w:w="826"/>
        <w:gridCol w:w="326"/>
        <w:gridCol w:w="196"/>
        <w:gridCol w:w="991"/>
      </w:tblGrid>
      <w:tr>
        <w:trPr/>
        <w:tc>
          <w:tcPr>
            <w:tcW w:w="5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3629660" cy="175260"/>
                      <wp:effectExtent l="0" t="0" r="0" b="0"/>
                      <wp:wrapNone/>
                      <wp:docPr id="81" name="Frame81"/>
                      <a:graphic xmlns:a="http://schemas.openxmlformats.org/drawingml/2006/main">
                        <a:graphicData uri="http://schemas.microsoft.com/office/word/2010/wordprocessingShape">
                          <wps:wsp>
                            <wps:cNvSpPr txBox="1"/>
                            <wps:spPr>
                              <a:xfrm>
                                <a:off x="0" y="0"/>
                                <a:ext cx="3629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24460" cy="175260"/>
                      <wp:effectExtent l="0" t="0" r="0" b="0"/>
                      <wp:wrapNone/>
                      <wp:docPr id="82" name="Frame8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24510" cy="175260"/>
                      <wp:effectExtent l="0" t="0" r="0" b="0"/>
                      <wp:wrapNone/>
                      <wp:docPr id="83" name="Frame8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84" name="Frame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24460" cy="175260"/>
                      <wp:effectExtent l="0" t="0" r="0" b="0"/>
                      <wp:wrapNone/>
                      <wp:docPr id="85" name="Frame8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29285" cy="175260"/>
                      <wp:effectExtent l="0" t="0" r="0" b="0"/>
                      <wp:wrapNone/>
                      <wp:docPr id="86" name="Frame86"/>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3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Nine-Months Ended </w:t>
            </w:r>
          </w:p>
        </w:tc>
      </w:tr>
      <w:tr>
        <w:trPr/>
        <w:tc>
          <w:tcPr>
            <w:tcW w:w="57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57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1,456,242</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1,238,337</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income to 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82,023</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59,822</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lease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10,266</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9,801</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(gain) on disposal of property and equipment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(916)</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2,070</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on impairment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2,279</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6,067</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86,664</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68,793</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455</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(10,242)</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Effect on cash of changes in operating assets and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(299,139)</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(106,404)</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58,387</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197,107</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expenses and 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(66,269)</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(5,861)</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income taxes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14,043</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(39,668)</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148,575</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(14,346)</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98,535</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46,749</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promotional allowances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105,806</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31,492</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compensation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6,434</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(6,043)</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33,361</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4,213</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(2,077)</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(2,403)</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(15,907)</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(12,652)</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operating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1,718,762</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1,466,832</w:t>
            </w:r>
          </w:p>
        </w:tc>
      </w:tr>
      <w:tr>
        <w:trPr/>
        <w:tc>
          <w:tcPr>
            <w:tcW w:w="57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FLOWS FROM INVESTING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Sales of available-for-sale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20,686</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1,377,915</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available-for-sale investments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(618,389)</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(342,121)</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(104,101)</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(172,795)</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sale of property and equipment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2,744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2,095</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Additions to intangibles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(19,681)</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(21,473)</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Increase in other assets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(507)</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(603)</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provided by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(719,248)</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843,018</w:t>
            </w:r>
          </w:p>
        </w:tc>
      </w:tr>
      <w:tr>
        <w:trPr/>
        <w:tc>
          <w:tcPr>
            <w:tcW w:w="57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FLOWS FROM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Payments on short-term debt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(8,043)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(6,717)</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Payments on credit facilities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(375,000)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Borrowings on credit facilities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750,000</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Payments for debt issuance costs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(2,904)</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114,363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62,101</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common stock held in treasury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(43,921)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(3,770,184)</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financing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(312,601)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(2,967,704)</w:t>
            </w:r>
          </w:p>
        </w:tc>
      </w:tr>
      <w:tr>
        <w:trPr/>
        <w:tc>
          <w:tcPr>
            <w:tcW w:w="57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Effect of exchange rate changes on cash and cash equivalents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72,739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(14,482)</w:t>
            </w:r>
          </w:p>
        </w:tc>
      </w:tr>
      <w:tr>
        <w:trPr/>
        <w:tc>
          <w:tcPr>
            <w:tcW w:w="57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INCREASE (DECREASE) IN CASH AND CASH EQUIVALENTS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759,652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(672,336)</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1,533,287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2,297,675</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 end of period</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2,292,939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1,625,339</w:t>
            </w:r>
          </w:p>
        </w:tc>
      </w:tr>
      <w:tr>
        <w:trPr/>
        <w:tc>
          <w:tcPr>
            <w:tcW w:w="57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SUPPLEMENTAL INFORMATION: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during the period for:</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5,296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13,808</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413,194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411,884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CONDENSED CONSOLIDATED STATEMENTS OF CASH FLOWS</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FOR THE</w:t>
      </w:r>
      <w:r>
        <w:rPr>
          <w:rFonts w:ascii="Times New Roman;Times;serif" w:hAnsi="Times New Roman;Times;serif"/>
          <w:sz w:val="20"/>
        </w:rPr>
        <w:t xml:space="preserve"> </w:t>
      </w:r>
      <w:r>
        <w:rPr>
          <w:rFonts w:ascii="Times New Roman;Times;serif" w:hAnsi="Times New Roman;Times;serif"/>
          <w:b/>
          <w:sz w:val="20"/>
        </w:rPr>
        <w:t>NINE-MONTHS ENDED</w:t>
      </w:r>
      <w:r>
        <w:rPr>
          <w:rFonts w:ascii="Times New Roman;Times;serif" w:hAnsi="Times New Roman;Times;serif"/>
          <w:sz w:val="20"/>
        </w:rPr>
        <w:t xml:space="preserve"> </w:t>
      </w:r>
      <w:r>
        <w:rPr>
          <w:rFonts w:ascii="Times New Roman;Times;serif" w:hAnsi="Times New Roman;Times;serif"/>
          <w:b/>
          <w:sz w:val="20"/>
        </w:rPr>
        <w:t>SEPTEMBER 30, 2025 AND 2024</w:t>
      </w:r>
    </w:p>
    <w:p>
      <w:pPr>
        <w:pStyle w:val="TextBody"/>
        <w:pBdr>
          <w:bottom w:val="single" w:sz="12" w:space="1" w:color="000000"/>
        </w:pBdr>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 Thousands) (Unaudited) (Continued)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SUPPLEMENTAL DISCLOSURE OF NON-CASH ITEMS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Included in accrued liabilities as of September 30, 2025 and 2024 were additions to other intangible assets of $3.2 million and $10.9 million,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Included in accounts payable as of September 30, 2025 and 2024 were property and equipment purchases of $1.4 million and $20.3 million,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Included in accounts payable as of September 30, 2025 were available-for-sale short-term investment purchases of $16.2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Included in accounts payable as of September 30, 2025 were available-for-sale long-term investment purchases of $31.2 million.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081" w:name="a1BASISOFPRESENTATION_156061"/>
      <w:bookmarkStart w:id="1082" w:name="a1BASISOFPRESENTATION_156061"/>
      <w:bookmarkEnd w:id="1082"/>
    </w:p>
    <w:tbl>
      <w:tblPr>
        <w:tblW w:w="2717" w:type="dxa"/>
        <w:jc w:val="left"/>
        <w:tblInd w:w="0" w:type="dxa"/>
        <w:tblLayout w:type="fixed"/>
        <w:tblCellMar>
          <w:top w:w="0" w:type="dxa"/>
          <w:left w:w="0" w:type="dxa"/>
          <w:bottom w:w="0" w:type="dxa"/>
          <w:right w:w="0" w:type="dxa"/>
        </w:tblCellMar>
      </w:tblPr>
      <w:tblGrid>
        <w:gridCol w:w="271"/>
        <w:gridCol w:w="2446"/>
      </w:tblGrid>
      <w:tr>
        <w:trPr/>
        <w:tc>
          <w:tcPr>
            <w:tcW w:w="271"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1.</w:t>
            </w:r>
          </w:p>
        </w:tc>
        <w:tc>
          <w:tcPr>
            <w:tcW w:w="2446"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BASIS OF PRESENTATION</w:t>
            </w:r>
          </w:p>
        </w:tc>
      </w:tr>
    </w:tbl>
    <w:p>
      <w:pPr>
        <w:pStyle w:val="TextBody"/>
        <w:bidi w:val="0"/>
        <w:spacing w:before="0" w:after="220"/>
        <w:ind w:left="0" w:right="0" w:firstLine="720"/>
        <w:jc w:val="both"/>
        <w:rPr>
          <w:rFonts w:ascii="Times New Roman;Times;serif" w:hAnsi="Times New Roman;Times;serif"/>
          <w:sz w:val="20"/>
        </w:rPr>
      </w:pPr>
      <w:r>
        <w:rPr>
          <w:rFonts w:ascii="Times New Roman;Times;serif" w:hAnsi="Times New Roman;Times;serif"/>
          <w:sz w:val="20"/>
        </w:rPr>
        <w:t>Reference is made to the Notes to Consolidated Financial Statements, in Monster Beverage Corporation and Subsidiaries (the “Company”) Annual Report on Form 10-K for the year ended December 31, 2024 for a summary of significant accounting policies utilized by the Company and its consolidated subsidiaries and other disclosures, which should be read in conjunction with this Quarterly Report on Form 10-Q (“Form 10-Q”).</w:t>
      </w:r>
    </w:p>
    <w:p>
      <w:pPr>
        <w:pStyle w:val="TextBody"/>
        <w:bidi w:val="0"/>
        <w:spacing w:before="0" w:after="220"/>
        <w:ind w:left="0" w:right="0" w:firstLine="720"/>
        <w:jc w:val="both"/>
        <w:rPr>
          <w:rFonts w:ascii="Times New Roman;Times;serif" w:hAnsi="Times New Roman;Times;serif"/>
          <w:sz w:val="20"/>
        </w:rPr>
      </w:pPr>
      <w:r>
        <w:rPr>
          <w:rFonts w:ascii="Times New Roman;Times;serif" w:hAnsi="Times New Roman;Times;serif"/>
          <w:sz w:val="20"/>
        </w:rPr>
        <w:t xml:space="preserve">The Company’s condensed consolidated financial statements included in this Form 10-Q have been prepared in accordance with accounting principles generally accepted in the United States of America (“GAAP”) and Securities and Exchange Commission (“SEC”) rules and regulations applicable to interim financial reporting. They do not include all the information and footnote disclosures normally included in annual financial statements prepared in accordance with GAAP. The information set forth in these interim condensed consolidated financial statements for the </w:t>
      </w:r>
      <w:r>
        <w:rPr>
          <w:rFonts w:ascii="Times New Roman;Times;serif" w:hAnsi="Times New Roman;Times;serif"/>
          <w:color w:val="212529"/>
          <w:sz w:val="20"/>
        </w:rPr>
        <w:t>three- and nine-months ended September 30, 2025 and 2024</w:t>
      </w:r>
      <w:r>
        <w:rPr>
          <w:rFonts w:ascii="Times New Roman;Times;serif" w:hAnsi="Times New Roman;Times;serif"/>
          <w:sz w:val="20"/>
        </w:rPr>
        <w:t>, respectively, is unaudited and reflects all adjustments, which include only normal recurring adjustments and which in the opinion of management are necessary to make the interim condensed consolidated financial statements not misleading. Results of operations for periods covered by this report may not necessarily be indicative of results of operations for the full year.</w:t>
      </w:r>
    </w:p>
    <w:p>
      <w:pPr>
        <w:pStyle w:val="TextBody"/>
        <w:bidi w:val="0"/>
        <w:spacing w:before="0" w:after="220"/>
        <w:ind w:left="0" w:right="0" w:firstLine="720"/>
        <w:jc w:val="both"/>
        <w:rPr>
          <w:rFonts w:ascii="Times New Roman;Times;serif" w:hAnsi="Times New Roman;Times;serif"/>
          <w:sz w:val="20"/>
        </w:rPr>
      </w:pPr>
      <w:r>
        <w:rPr>
          <w:rFonts w:ascii="Times New Roman;Times;serif" w:hAnsi="Times New Roman;Times;serif"/>
          <w:sz w:val="20"/>
        </w:rPr>
        <w:t>The preparation of financial statements in conformity with GAAP necessarily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these estimates.</w:t>
      </w:r>
    </w:p>
    <w:p>
      <w:pPr>
        <w:pStyle w:val="TextBody"/>
        <w:bidi w:val="0"/>
        <w:spacing w:before="0" w:after="220"/>
        <w:ind w:left="0" w:right="0" w:hanging="0"/>
        <w:jc w:val="both"/>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20"/>
        <w:ind w:left="0" w:right="0" w:firstLine="720"/>
        <w:jc w:val="both"/>
        <w:rPr>
          <w:rFonts w:ascii="Times New Roman;Times;serif" w:hAnsi="Times New Roman;Times;serif"/>
          <w:sz w:val="20"/>
        </w:rPr>
      </w:pPr>
      <w:r>
        <w:rPr>
          <w:rFonts w:ascii="Times New Roman;Times;serif" w:hAnsi="Times New Roman;Times;serif"/>
          <w:sz w:val="20"/>
        </w:rPr>
        <w:t xml:space="preserve">In December 2023, the Financial Accounting Standards Board (“FASB”) issued Accounting Standards Update (“ASU”) 2023-09, </w:t>
      </w:r>
      <w:r>
        <w:rPr>
          <w:rFonts w:ascii="Times New Roman;Times;serif" w:hAnsi="Times New Roman;Times;serif"/>
          <w:i/>
          <w:sz w:val="20"/>
        </w:rPr>
        <w:t>Income Taxes (Topic 740): Improvements to Income Tax Disclosures</w:t>
      </w:r>
      <w:r>
        <w:rPr>
          <w:rFonts w:ascii="Times New Roman;Times;serif" w:hAnsi="Times New Roman;Times;serif"/>
          <w:sz w:val="20"/>
        </w:rPr>
        <w:t>. The amendments in this update primarily require more detailed disclosures related to the rate reconciliation and income taxes paid. The amendments in ASU 2023-09 are effective for fiscal years beginning after December 15, 2024. Early adoption is permitted. The Company is evaluating the impact ASU 2023-09 will have on its consolidated financial statements.</w:t>
      </w:r>
    </w:p>
    <w:p>
      <w:pPr>
        <w:pStyle w:val="TextBody"/>
        <w:bidi w:val="0"/>
        <w:spacing w:before="0" w:after="220"/>
        <w:ind w:left="0" w:right="0" w:firstLine="720"/>
        <w:jc w:val="both"/>
        <w:rPr>
          <w:rFonts w:ascii="Times New Roman;Times;serif" w:hAnsi="Times New Roman;Times;serif"/>
          <w:sz w:val="20"/>
        </w:rPr>
      </w:pPr>
      <w:r>
        <w:rPr>
          <w:rFonts w:ascii="Times New Roman;Times;serif" w:hAnsi="Times New Roman;Times;serif"/>
          <w:sz w:val="20"/>
        </w:rPr>
        <w:t xml:space="preserve">In November 2024, the FASB issued ASU 2024-03, </w:t>
      </w:r>
      <w:r>
        <w:rPr>
          <w:rFonts w:ascii="Times New Roman;Times;serif" w:hAnsi="Times New Roman;Times;serif"/>
          <w:i/>
          <w:sz w:val="20"/>
        </w:rPr>
        <w:t>Disaggregation of Income Statement Expenses</w:t>
      </w:r>
      <w:r>
        <w:rPr>
          <w:rFonts w:ascii="Times New Roman;Times;serif" w:hAnsi="Times New Roman;Times;serif"/>
          <w:sz w:val="20"/>
        </w:rPr>
        <w:t>. The amendments in this update require the Company to disaggregate key expense categories such as purchases of inventory, employee compensation, depreciation and intangible asset amortization, within its financial statements. The amendments in ASU 2024-03 are effective for fiscal years beginning after December 15, 2026. Early adoption is permitted. The Company is evaluating the impact ASU 2024-03 will have on its consolidated financial statements.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September 2025, the FASB issued ASU 2025-06, </w:t>
      </w:r>
      <w:r>
        <w:rPr>
          <w:rFonts w:ascii="Times New Roman;Times;serif" w:hAnsi="Times New Roman;Times;serif"/>
          <w:i/>
          <w:sz w:val="20"/>
        </w:rPr>
        <w:t>Targeted Improvements to the Accounting for Internal-Use Software</w:t>
      </w:r>
      <w:r>
        <w:rPr>
          <w:rFonts w:ascii="Times New Roman;Times;serif" w:hAnsi="Times New Roman;Times;serif"/>
          <w:sz w:val="20"/>
        </w:rPr>
        <w:t>. The amendments in this update require internal-use software development cost capitalization to begin when both of the following occur: management has authorized and committed to funding the software project, and it is probable that the project will be completed and that the software will be used to perform its intended function. The amendments also eliminate the accounting considerations of software development stages. The amendments in ASU 2025-06 are effective for fiscal years beginning after December 15, 2027. Early adoption is permitted. The Company is evaluating the impact ASC 2025-06 will have on its consolidated financial statements.</w:t>
      </w:r>
    </w:p>
    <w:p>
      <w:pPr>
        <w:pStyle w:val="TextBody"/>
        <w:bidi w:val="0"/>
        <w:spacing w:before="0" w:after="0"/>
        <w:ind w:left="0" w:right="0" w:hanging="0"/>
        <w:jc w:val="left"/>
        <w:rPr/>
      </w:pPr>
      <w:r>
        <w:rPr/>
        <w:t>​</w:t>
      </w:r>
    </w:p>
    <w:tbl>
      <w:tblPr>
        <w:tblW w:w="2672" w:type="dxa"/>
        <w:jc w:val="left"/>
        <w:tblInd w:w="0" w:type="dxa"/>
        <w:tblLayout w:type="fixed"/>
        <w:tblCellMar>
          <w:top w:w="0" w:type="dxa"/>
          <w:left w:w="0" w:type="dxa"/>
          <w:bottom w:w="0" w:type="dxa"/>
          <w:right w:w="0" w:type="dxa"/>
        </w:tblCellMar>
      </w:tblPr>
      <w:tblGrid>
        <w:gridCol w:w="271"/>
        <w:gridCol w:w="2401"/>
      </w:tblGrid>
      <w:tr>
        <w:trPr/>
        <w:tc>
          <w:tcPr>
            <w:tcW w:w="27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2.</w:t>
            </w:r>
          </w:p>
        </w:tc>
        <w:tc>
          <w:tcPr>
            <w:tcW w:w="240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REVENUE RECOGNITION</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Revenues are accounted for in accordance with FASB Accounting Standards Codification (“ASC”) 606, “Revenue from Contracts with Customers”. The Company has four operating and reportable segments: (i) Monster Energy® Drinks segment (“Monster Energy® Drinks”), which is primarily comprised of the Company’s Monster Energy® drinks, Reign Total Body Fuel® high performance energy drinks, Reign Storm® total wellness energy drinks and Bang Energy® drinks, (ii) Strategic Brands segment (“Strategic Brands”), which is primarily comprised of the various energy drink brands acquired from The Coca-Cola Company (“TCCC”) in 2015 as well as the Company’s affordable energy brands, Predator® and Fury®, (iii) Alcohol Brands segment (“Alcohol Brands”), which is comprised of various craft beers, flavored malt beverages (“FMBs”) and hard seltzers and (iv) Other segment (“Other”), which is comprised of certain products sold by American Fruits and Flavors, LLC, a wholly-owned subsidiary of the Company, to independent third-party customers (the “AFF Third-Party Products”).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Monster Energy® Drinks segment primarily generates net operating revenues by selling ready-to-drink packaged drinks primarily to bottlers and full service beverage distributors (“bottlers/distributors”). In some cases, the Company sells ready-to-drink packaged drinks directly to retail grocery and specialty chains, wholesalers, club stores, mass merchandisers, convenience and gas chains, drug stores, foodservice customers, value stores, e-commerce retailers and the military.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bottlers/distributors and to retail grocery and specialty chains, wholesalers, club stores, mass merchandisers, convenience and gas chains, foodservice customers, drug stores, value stores, e-commerce retailers and the military. To a lesser extent, the Strategic Brands segment generates net operating revenues by selling certain ready-to-drink packaged energy drinks to bottlers/distributors.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Alcohol Brands segment primarily generates operating revenues by selling kegged and ready-to-drink canned beers, FMBs and hard seltzers primarily to beer distributors in the United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majority of the Company’s revenue is recognized when it satisfies a single performance obligation by transferring control of its products to a customer. Control is generally transferred when the Company’s products are either shipped or delivered based on the terms contained within the underlying contracts or agreements. Certain of the Company’s bottlers/distributors may also perform a separate function as a co-packer on the Company’s behalf. In such cases, control of the Company’s products passes to such bottlers/distributors when they notify the Company that they have taken possession or transferred the relevant portion of the Company’s finished goods. The Company’s general payment terms are short-term in duration. The Company does not have significant financing components or payment terms. The Company did not have any material unsatisfied performance obligations as of </w:t>
      </w:r>
      <w:r>
        <w:rPr>
          <w:rFonts w:ascii="Times New Roman;Times;serif" w:hAnsi="Times New Roman;Times;serif"/>
          <w:color w:val="212529"/>
          <w:sz w:val="20"/>
          <w:shd w:fill="FFFFFF" w:val="clear"/>
        </w:rPr>
        <w:t>September 30, 2025 and December 31,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excludes from revenues all taxes assessed by a governmental authority that are imposed on the sale of its products and collected from customers.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Distribution expenses to transport the Company’s products, where applicable, and warehousing expenses after manufacture are accounted for within operating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Promotional and other allowances (variable consideration) recorded as a reduction to net sales for the Company’s energy drink products primarily include consideration given to the Company’s non-alcohol bottlers/distributors or customers, including, but not limited to, the following:</w:t>
      </w:r>
    </w:p>
    <w:tbl>
      <w:tblPr>
        <w:tblW w:w="7836" w:type="dxa"/>
        <w:jc w:val="left"/>
        <w:tblInd w:w="0" w:type="dxa"/>
        <w:tblLayout w:type="fixed"/>
        <w:tblCellMar>
          <w:top w:w="28" w:type="dxa"/>
          <w:left w:w="28" w:type="dxa"/>
          <w:bottom w:w="28" w:type="dxa"/>
          <w:right w:w="28" w:type="dxa"/>
        </w:tblCellMar>
      </w:tblPr>
      <w:tblGrid>
        <w:gridCol w:w="124"/>
        <w:gridCol w:w="256"/>
        <w:gridCol w:w="74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discounts granted off list prices to support price promotions to end-consumers by retailers;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reimbursements given to the Company’s bottlers/distributors for agreed portions of their promotional spend with retailers, including slotting, shelf space allowances and other fees for both new and existing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agreed share of fees given to bottlers/distributors and/or directly to retailers for advertising, in-store marketing and promotional activities;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agreed share of slotting, shelf space allowances and other fees given directly to retailers, club stores and/or wholesalers;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incentives given to the Company’s bottlers/distributors and/or retailers for achieving or exceeding certain predetermined sales goals;</w:t>
            </w:r>
          </w:p>
        </w:tc>
      </w:tr>
    </w:tbl>
    <w:tbl>
      <w:tblPr>
        <w:tblW w:w="4386" w:type="dxa"/>
        <w:jc w:val="left"/>
        <w:tblInd w:w="0" w:type="dxa"/>
        <w:tblLayout w:type="fixed"/>
        <w:tblCellMar>
          <w:top w:w="28" w:type="dxa"/>
          <w:left w:w="28" w:type="dxa"/>
          <w:bottom w:w="28" w:type="dxa"/>
          <w:right w:w="28" w:type="dxa"/>
        </w:tblCellMar>
      </w:tblPr>
      <w:tblGrid>
        <w:gridCol w:w="124"/>
        <w:gridCol w:w="256"/>
        <w:gridCol w:w="4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discounted and/or free products or cash rebates;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contractual fees given to the Company’s bottlers/distributors related to sales made directly by the Company to certain customers that fall within the bottlers’/distributors’ sales territories;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commissions to TCCC based on the Company’s sales to wholly-owned subsidiaries of TCCC (the “TCCC Subsidiaries”) and/or to TCCC bottlers/distributors accounted for under the equity method by TCCC (the “TCCC Related Parties”).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00"/>
        <w:ind w:left="0" w:right="0" w:firstLine="720"/>
        <w:jc w:val="both"/>
        <w:rPr>
          <w:rFonts w:ascii="Times New Roman;Times;serif" w:hAnsi="Times New Roman;Times;serif"/>
          <w:sz w:val="20"/>
        </w:rPr>
      </w:pPr>
      <w:bookmarkStart w:id="1083" w:name="Tc_m2pY6sy6Zki-e2Yw3LIWlQ_9_14"/>
      <w:bookmarkStart w:id="1084" w:name="Tc_5XrrxrIJ-0y8nTT8wQwEmw_9_11"/>
      <w:bookmarkStart w:id="1085" w:name="Tc_RErCfyQxSEKDSlrLzUqevw_9_8"/>
      <w:bookmarkStart w:id="1086" w:name="Tc_MIsQqigBMkq4cqVkQVP04w_9_5"/>
      <w:bookmarkStart w:id="1087" w:name="Tc_QcJ009jbOUeR2kad9sUq8g_9_2"/>
      <w:bookmarkStart w:id="1088" w:name="Tc_adCHZ7Xlr0qqNmHcHcJ3Ew_9_0"/>
      <w:bookmarkStart w:id="1089" w:name="Tc_m1FPojjhNEC170ewX6wQrw_8_0"/>
      <w:bookmarkStart w:id="1090" w:name="Tc_ytwOnpOTq0qIaTi9E4HwJg_7_0"/>
      <w:bookmarkStart w:id="1091" w:name="Tc_e6wlVX0qMkS1wFt-OZRYBA_6_0"/>
      <w:bookmarkStart w:id="1092" w:name="Tc_XTvqXTPRoU-zxQfk2Jdgcw_5_14"/>
      <w:bookmarkStart w:id="1093" w:name="Tc_EZo-ZyHyGUWwTWjCtXGwXw_5_11"/>
      <w:bookmarkStart w:id="1094" w:name="Tc_dJbaxZQETkCPhaDSxP6R3Q_5_8"/>
      <w:bookmarkStart w:id="1095" w:name="Tc_P1SRSNSYEEer6dzwqCLvEg_5_5"/>
      <w:bookmarkStart w:id="1096" w:name="Tc_x3JKl6RCs0O7ww5wHF0LrA_5_2"/>
      <w:bookmarkStart w:id="1097" w:name="Tc_gJ4YOyMRVUCEKgKrY03JzA_5_0"/>
      <w:bookmarkStart w:id="1098" w:name="Tc_sAg1ugEz00-CGOW_-DHESw_4_14"/>
      <w:bookmarkStart w:id="1099" w:name="Tc__vx1UY5K9EaZ7LaeFGz5DA_4_11"/>
      <w:bookmarkStart w:id="1100" w:name="Tc__oKAB3BH_0q_QyV82jROEA_4_8"/>
      <w:bookmarkStart w:id="1101" w:name="Tc_m-YzZI3p9kmk0SfNfvYGqA_4_5"/>
      <w:bookmarkStart w:id="1102" w:name="Tc_g56jLDQKnkWh47YqyUbkQA_4_2"/>
      <w:bookmarkStart w:id="1103" w:name="Tc_Mvq3XWZ4E0ym4HPwpakTNw_4_0"/>
      <w:bookmarkStart w:id="1104" w:name="Tc_r3z_22er50GHsUnSIvuQpQ_3_11"/>
      <w:bookmarkStart w:id="1105" w:name="Tc_YRHn2krM_0C6ppd9ClYYyQ_3_8"/>
      <w:bookmarkStart w:id="1106" w:name="Tc_iPy1Boo_0EC_SO0DsFUVig_3_2"/>
      <w:bookmarkStart w:id="1107" w:name="Tc_HnIGUu6RfUm6zDo0ZlwFlg_2_11"/>
      <w:bookmarkStart w:id="1108" w:name="Tc_6SSmFhAqkkeLxJ_ETYhHdg_2_8"/>
      <w:bookmarkStart w:id="1109" w:name="Tc_qmtdAN2eNkW_tjanob8CJw_1_2"/>
      <w:bookmarkStart w:id="1110" w:name="_220eae69_a6ce_45dc_85c8_6740366435ee"/>
      <w:bookmarkStart w:id="1111" w:name="Tc_tIZLbx5ExEGdZg_dfbV7KQ_9_14"/>
      <w:bookmarkStart w:id="1112" w:name="Tc_qmbawASPqEqvOdeopJf0ZQ_9_11"/>
      <w:bookmarkStart w:id="1113" w:name="Tc_GX7Er5aLIEGZIMxr3_pQdQ_9_8"/>
      <w:bookmarkStart w:id="1114" w:name="Tc_tj-tfW2-YEOSwtT1TxUHWw_9_5"/>
      <w:bookmarkStart w:id="1115" w:name="Tc_oDXwhg7DCkGQGP4YIsA9rw_9_2"/>
      <w:bookmarkStart w:id="1116" w:name="Tc_Qf088UhwlEqJ9jtz3hzuNA_9_0"/>
      <w:bookmarkStart w:id="1117" w:name="Tc_Epj49SRo9U6qdnXrnPGitw_8_0"/>
      <w:bookmarkStart w:id="1118" w:name="Tc_Q90X4NO1PEOcGYi4XxxSaQ_7_0"/>
      <w:bookmarkStart w:id="1119" w:name="Tc_oxwqYtNS5kCccKszcb2mog_6_0"/>
      <w:bookmarkStart w:id="1120" w:name="Tc_6X99MEF9NUCs8pQvDo1ztA_5_14"/>
      <w:bookmarkStart w:id="1121" w:name="Tc_jEgmN6lU-EK9TG0cFqutyQ_5_11"/>
      <w:bookmarkStart w:id="1122" w:name="Tc_Ukknhfb11kWGDJ8RL68Uxg_5_8"/>
      <w:bookmarkStart w:id="1123" w:name="Tc_L_71yA6CWEC9sHespuOIWg_5_5"/>
      <w:bookmarkStart w:id="1124" w:name="Tc_K1HfjvHuoEuAjtbWpLykBg_5_2"/>
      <w:bookmarkStart w:id="1125" w:name="Tc_5Rm-fYFg_0msk-mrpdDi9g_5_0"/>
      <w:bookmarkStart w:id="1126" w:name="Tc_xG_Ho0sUjkSEuXmBE2uPtw_4_14"/>
      <w:bookmarkStart w:id="1127" w:name="Tc_y4jC8Vk5ekGFFVnagAO8OQ_4_11"/>
      <w:bookmarkStart w:id="1128" w:name="Tc_RbG9mv51y0eGeFdfVPLiIw_4_8"/>
      <w:bookmarkStart w:id="1129" w:name="Tc_hAfTGSTLG0ucAm03WPEqpw_4_5"/>
      <w:bookmarkStart w:id="1130" w:name="Tc_t13EESTv3kqnDpDjf1QmmQ_4_2"/>
      <w:bookmarkStart w:id="1131" w:name="Tc__TC6Le8qvkOMIp8Ve3b47g_4_0"/>
      <w:bookmarkStart w:id="1132" w:name="Tc_7xcahl7UCkafzfwhBMEN8A_3_11"/>
      <w:bookmarkStart w:id="1133" w:name="Tc_-zAh2wKxUEaWrAqCrcZDrw_3_8"/>
      <w:bookmarkStart w:id="1134" w:name="Tc_DnTZovSEv02F2jysyFdfVg_3_2"/>
      <w:bookmarkStart w:id="1135" w:name="Tc_diyMp2clpU6SlJMmL518qw_2_11"/>
      <w:bookmarkStart w:id="1136" w:name="Tc_iCEMU9G2iUmcSuCn--mirg_2_8"/>
      <w:bookmarkStart w:id="1137" w:name="Tc_n9EGKhM_NUyU_2C5Ykygjg_1_2"/>
      <w:bookmarkStart w:id="1138" w:name="_a455006d_229b_4f87_9ac0_b9e396400e85"/>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r>
        <w:rPr>
          <w:rFonts w:ascii="Times New Roman;Times;serif" w:hAnsi="Times New Roman;Times;serif"/>
          <w:sz w:val="20"/>
        </w:rPr>
        <w:t>The Company’s promotional allowance programs for its energy drink products are executed through separate agreements in the ordinary course of business. These agreements generally provide for one or more of the arrangements described above and are of varying durations, typically ranging from one week to one year. The Company’s promotional and other allowances for its energy drink products are calculated based on various programs with bottlers/distributors and retail customers, and accruals are established at the time of initial product sale for the Company’s anticipated liabilities. These accruals are based on agreed upon terms as well as the Company’s historical experience with similar programs and require management’s judgment with respect to estimating consumer participation and/or bottler/distributor and retail customer performance levels. Differences between such estimated expenses and actual expenses for promotional and other allowance costs have historically been insignificant and are recognized in earnings in the period such differences are determined. Promotional and other allowances for our Alcohol Brands segment primarily include price promotions where permitted.</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Amounts received pursuant to new and/or amended distribution agreements entered into with certain bottlers/distributors relating to the costs associated with terminating the Company’s prior distributors, are accounted for as deferred revenue and recognized as revenue ratably over the anticipated life of the respective distribution agreements, generally over 20 years.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Company also enters into license agreements that generate revenues associated with third-party sales of non-beverage products bearing the Company’s trademarks including, but not limited to, clothing, hats, t-shirts, jackets, helmets and automotive wheels.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Management believes that adequate provision has been made for cash discounts, returns and spoilage based on the Company’s historical experience.</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Disaggregation of Revenue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tables disaggregate the Company’s revenue by geographical markets and reportable segments:</w:t>
      </w:r>
    </w:p>
    <w:p>
      <w:pPr>
        <w:pStyle w:val="TextBody"/>
        <w:bidi w:val="0"/>
        <w:spacing w:before="0" w:after="0"/>
        <w:ind w:left="0" w:right="0" w:hanging="0"/>
        <w:jc w:val="left"/>
        <w:rPr/>
      </w:pPr>
      <w:r>
        <w:rPr/>
        <w:t>​</w:t>
      </w:r>
    </w:p>
    <w:tbl>
      <w:tblPr>
        <w:tblW w:w="9363" w:type="dxa"/>
        <w:jc w:val="left"/>
        <w:tblInd w:w="0" w:type="dxa"/>
        <w:tblLayout w:type="fixed"/>
        <w:tblCellMar>
          <w:top w:w="0" w:type="dxa"/>
          <w:left w:w="0" w:type="dxa"/>
          <w:bottom w:w="0" w:type="dxa"/>
          <w:right w:w="0" w:type="dxa"/>
        </w:tblCellMar>
      </w:tblPr>
      <w:tblGrid>
        <w:gridCol w:w="2161"/>
        <w:gridCol w:w="326"/>
        <w:gridCol w:w="211"/>
        <w:gridCol w:w="931"/>
        <w:gridCol w:w="326"/>
        <w:gridCol w:w="211"/>
        <w:gridCol w:w="781"/>
        <w:gridCol w:w="326"/>
        <w:gridCol w:w="226"/>
        <w:gridCol w:w="840"/>
        <w:gridCol w:w="326"/>
        <w:gridCol w:w="239"/>
        <w:gridCol w:w="886"/>
        <w:gridCol w:w="326"/>
        <w:gridCol w:w="211"/>
        <w:gridCol w:w="103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72235" cy="175260"/>
                      <wp:effectExtent l="0" t="0" r="0" b="0"/>
                      <wp:wrapNone/>
                      <wp:docPr id="87" name="Frame87"/>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8" name="Frame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9" name="Frame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591185" cy="175260"/>
                      <wp:effectExtent l="0" t="0" r="0" b="0"/>
                      <wp:wrapNone/>
                      <wp:docPr id="90" name="Frame9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91" name="Frame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92" name="Frame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495935" cy="175260"/>
                      <wp:effectExtent l="0" t="0" r="0" b="0"/>
                      <wp:wrapNone/>
                      <wp:docPr id="93" name="Frame9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94" name="Frame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43510" cy="175260"/>
                      <wp:effectExtent l="0" t="0" r="0" b="0"/>
                      <wp:wrapNone/>
                      <wp:docPr id="95" name="Frame9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533400" cy="175260"/>
                      <wp:effectExtent l="0" t="0" r="0" b="0"/>
                      <wp:wrapNone/>
                      <wp:docPr id="96" name="Frame96"/>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7" name="Frame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51765" cy="175260"/>
                      <wp:effectExtent l="0" t="0" r="0" b="0"/>
                      <wp:wrapNone/>
                      <wp:docPr id="98" name="Frame98"/>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562610" cy="175260"/>
                      <wp:effectExtent l="0" t="0" r="0" b="0"/>
                      <wp:wrapNone/>
                      <wp:docPr id="99" name="Frame9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100" name="Frame1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33985" cy="175260"/>
                      <wp:effectExtent l="0" t="0" r="0" b="0"/>
                      <wp:wrapNone/>
                      <wp:docPr id="101" name="Frame1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57860" cy="175260"/>
                      <wp:effectExtent l="0" t="0" r="0" b="0"/>
                      <wp:wrapNone/>
                      <wp:docPr id="102" name="Frame10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76"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 September 30, 2025</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Asia Pacific</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Latin</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and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(including</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America and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pPr>
            <w:r>
              <w:rPr/>
              <w:t>​</w:t>
            </w:r>
          </w:p>
        </w:tc>
      </w:tr>
      <w:tr>
        <w:trPr/>
        <w:tc>
          <w:tcPr>
            <w:tcW w:w="21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Canada</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EMEA</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Oceania)</w:t>
            </w:r>
          </w:p>
        </w:tc>
        <w:tc>
          <w:tcPr>
            <w:tcW w:w="326" w:type="dxa"/>
            <w:tcBorders/>
            <w:vAlign w:val="center"/>
          </w:tcPr>
          <w:p>
            <w:pPr>
              <w:pStyle w:val="TableContents"/>
              <w:bidi w:val="0"/>
              <w:spacing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Caribbean</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1,213,518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490,502</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157,442</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165,381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2,026,843</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54,113</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12,621</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130,501</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Brands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33,009</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6,786</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1,308,341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544,615</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170,063</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174,120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2,197,139</w:t>
            </w:r>
          </w:p>
        </w:tc>
      </w:tr>
    </w:tbl>
    <w:p>
      <w:pPr>
        <w:pStyle w:val="TextBody"/>
        <w:bidi w:val="0"/>
        <w:spacing w:before="0" w:after="0"/>
        <w:ind w:left="0" w:right="0" w:hanging="0"/>
        <w:jc w:val="left"/>
        <w:rPr/>
      </w:pPr>
      <w:r>
        <w:rPr/>
        <w:t>​</w:t>
      </w:r>
    </w:p>
    <w:tbl>
      <w:tblPr>
        <w:tblW w:w="9363" w:type="dxa"/>
        <w:jc w:val="left"/>
        <w:tblInd w:w="0" w:type="dxa"/>
        <w:tblLayout w:type="fixed"/>
        <w:tblCellMar>
          <w:top w:w="0" w:type="dxa"/>
          <w:left w:w="0" w:type="dxa"/>
          <w:bottom w:w="0" w:type="dxa"/>
          <w:right w:w="0" w:type="dxa"/>
        </w:tblCellMar>
      </w:tblPr>
      <w:tblGrid>
        <w:gridCol w:w="2161"/>
        <w:gridCol w:w="326"/>
        <w:gridCol w:w="211"/>
        <w:gridCol w:w="931"/>
        <w:gridCol w:w="326"/>
        <w:gridCol w:w="211"/>
        <w:gridCol w:w="781"/>
        <w:gridCol w:w="326"/>
        <w:gridCol w:w="226"/>
        <w:gridCol w:w="840"/>
        <w:gridCol w:w="326"/>
        <w:gridCol w:w="239"/>
        <w:gridCol w:w="886"/>
        <w:gridCol w:w="326"/>
        <w:gridCol w:w="211"/>
        <w:gridCol w:w="103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72235" cy="175260"/>
                      <wp:effectExtent l="0" t="0" r="0" b="0"/>
                      <wp:wrapNone/>
                      <wp:docPr id="103" name="Frame103"/>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104" name="Frame1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3985" cy="175260"/>
                      <wp:effectExtent l="0" t="0" r="0" b="0"/>
                      <wp:wrapNone/>
                      <wp:docPr id="105" name="Frame1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591185" cy="175260"/>
                      <wp:effectExtent l="0" t="0" r="0" b="0"/>
                      <wp:wrapNone/>
                      <wp:docPr id="106" name="Frame10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7010" cy="175260"/>
                      <wp:effectExtent l="0" t="0" r="0" b="0"/>
                      <wp:wrapNone/>
                      <wp:docPr id="107" name="Frame1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33985" cy="175260"/>
                      <wp:effectExtent l="0" t="0" r="0" b="0"/>
                      <wp:wrapNone/>
                      <wp:docPr id="108" name="Frame1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495935" cy="175260"/>
                      <wp:effectExtent l="0" t="0" r="0" b="0"/>
                      <wp:wrapNone/>
                      <wp:docPr id="109" name="Frame10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10"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43510" cy="175260"/>
                      <wp:effectExtent l="0" t="0" r="0" b="0"/>
                      <wp:wrapNone/>
                      <wp:docPr id="111" name="Frame11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533400" cy="175260"/>
                      <wp:effectExtent l="0" t="0" r="0" b="0"/>
                      <wp:wrapNone/>
                      <wp:docPr id="112" name="Frame112"/>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3" name="Frame1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51765" cy="175260"/>
                      <wp:effectExtent l="0" t="0" r="0" b="0"/>
                      <wp:wrapNone/>
                      <wp:docPr id="114" name="Frame114"/>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562610" cy="175260"/>
                      <wp:effectExtent l="0" t="0" r="0" b="0"/>
                      <wp:wrapNone/>
                      <wp:docPr id="115" name="Frame11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6" name="Frame1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33985" cy="175260"/>
                      <wp:effectExtent l="0" t="0" r="0" b="0"/>
                      <wp:wrapNone/>
                      <wp:docPr id="117" name="Frame1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57860" cy="175260"/>
                      <wp:effectExtent l="0" t="0" r="0" b="0"/>
                      <wp:wrapNone/>
                      <wp:docPr id="118" name="Frame11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76"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 September 30, 2024</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Asia Pacific</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Latin</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and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(including</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America and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21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Canada</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EMEA</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Oceania)</w:t>
            </w:r>
          </w:p>
        </w:tc>
        <w:tc>
          <w:tcPr>
            <w:tcW w:w="326" w:type="dxa"/>
            <w:tcBorders/>
            <w:vAlign w:val="center"/>
          </w:tcPr>
          <w:p>
            <w:pPr>
              <w:pStyle w:val="TableContents"/>
              <w:bidi w:val="0"/>
              <w:spacing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Caribbean</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1,071,923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371,026</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124,136</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1,722,693</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46,562</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7,910</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112,566</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Brands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39,784</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5,930</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1,172,161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417,588</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132,046</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159,178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1,880,973</w:t>
            </w:r>
          </w:p>
        </w:tc>
      </w:tr>
    </w:tbl>
    <w:p>
      <w:pPr>
        <w:pStyle w:val="TextBody"/>
        <w:bidi w:val="0"/>
        <w:spacing w:before="0" w:after="0"/>
        <w:ind w:left="0" w:right="0" w:hanging="0"/>
        <w:jc w:val="left"/>
        <w:rPr/>
      </w:pPr>
      <w:r>
        <w:rPr/>
        <w:t>​</w:t>
      </w:r>
    </w:p>
    <w:p>
      <w:pPr>
        <w:pStyle w:val="TextBody"/>
        <w:bidi w:val="0"/>
        <w:spacing w:lineRule="auto" w:line="240" w:before="0" w:after="0"/>
        <w:ind w:left="0" w:right="0" w:hanging="0"/>
        <w:jc w:val="both"/>
        <w:rPr>
          <w:rFonts w:ascii="Times New Roman;Times;serif" w:hAnsi="Times New Roman;Times;serif"/>
          <w:sz w:val="18"/>
        </w:rPr>
      </w:pPr>
      <w:r>
        <w:rPr>
          <w:rFonts w:ascii="Times New Roman;Times;serif" w:hAnsi="Times New Roman;Times;serif"/>
          <w:i/>
          <w:sz w:val="14"/>
        </w:rPr>
        <w:t>1</w:t>
      </w:r>
      <w:r>
        <w:rPr>
          <w:rFonts w:ascii="Times New Roman;Times;serif" w:hAnsi="Times New Roman;Times;serif"/>
          <w:i/>
          <w:sz w:val="18"/>
        </w:rPr>
        <w:t>Europe, Middle East and Africa (“EMEA”)</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1139" w:name="Tc_hHVfUL9prEKuKH1HwwT4hg_9_14"/>
      <w:bookmarkStart w:id="1140" w:name="Tc_o52SGkrSS0GFagxWVTOkMg_9_11"/>
      <w:bookmarkStart w:id="1141" w:name="Tc_nmzXgKUUOUiBDC-Ja3Kpbw_9_8"/>
      <w:bookmarkStart w:id="1142" w:name="Tc_uWgetBOlZ0-6okSzVK4jDA_9_5"/>
      <w:bookmarkStart w:id="1143" w:name="Tc_T9ctUJPE3UWmvmPxya-0pQ_9_2"/>
      <w:bookmarkStart w:id="1144" w:name="Tc_oLJg-tVBw0K1b7-tqCgBAg_9_0"/>
      <w:bookmarkStart w:id="1145" w:name="Tc_LV49ET_59EiWcwHO2xuPKQ_8_0"/>
      <w:bookmarkStart w:id="1146" w:name="Tc_lKyxURq4OEisDWXMkB50sA_7_0"/>
      <w:bookmarkStart w:id="1147" w:name="Tc_KbGTtye5ZEqtHqyUdjM_NA_6_0"/>
      <w:bookmarkStart w:id="1148" w:name="Tc_z18qxroKyEK8j3L7xDohAg_5_14"/>
      <w:bookmarkStart w:id="1149" w:name="Tc_oTEEiN-ZFUWCZjRkfMPeSg_5_11"/>
      <w:bookmarkStart w:id="1150" w:name="Tc_hGFqrwekWkW1LbJmEexztQ_5_8"/>
      <w:bookmarkStart w:id="1151" w:name="Tc_Q4TmPkk1EEix2Exu4S2NVA_5_5"/>
      <w:bookmarkStart w:id="1152" w:name="Tc_sKRip5P5rkGropKM92hepg_5_2"/>
      <w:bookmarkStart w:id="1153" w:name="Tc_DOBSHhHWFEGsc-rNBuz8cw_5_0"/>
      <w:bookmarkStart w:id="1154" w:name="Tc_EjH7WnyrqUGSc8cR5tJaWQ_4_14"/>
      <w:bookmarkStart w:id="1155" w:name="Tc_QXe5jGGAkUmKF2ywbXUeTQ_4_11"/>
      <w:bookmarkStart w:id="1156" w:name="Tc_FFdT44AAv0Kq_aZ1yk-YDw_4_8"/>
      <w:bookmarkStart w:id="1157" w:name="Tc_MRx5w-Gh3kacVKr7wXXhiA_4_5"/>
      <w:bookmarkStart w:id="1158" w:name="Tc_2J9UJ78YBEa2fo8L_M1ZVg_4_2"/>
      <w:bookmarkStart w:id="1159" w:name="Tc_jGbawJntWkiJKKYdeGqkEQ_4_0"/>
      <w:bookmarkStart w:id="1160" w:name="Tc_cTso0fRvYEqXAnMQ48qY4Q_3_11"/>
      <w:bookmarkStart w:id="1161" w:name="Tc_CaduzBveuE-4Z3n3mDjkrw_3_8"/>
      <w:bookmarkStart w:id="1162" w:name="Tc_OcPgcNsqLUWYoObZag2_PA_3_2"/>
      <w:bookmarkStart w:id="1163" w:name="Tc_KduubC5iKEGzuzSsWHGD0Q_2_11"/>
      <w:bookmarkStart w:id="1164" w:name="Tc_ZfNUTJ1zjUWGu7CHxI83OQ_2_8"/>
      <w:bookmarkStart w:id="1165" w:name="Tc_UcvxMRbmsk-Nb-Gjcs4Qhw_1_2"/>
      <w:bookmarkStart w:id="1166" w:name="_84d9aae6_16d7_4765_9092_67d4eb59bb31"/>
      <w:bookmarkStart w:id="1167" w:name="Tc_gk1RMwzctUSh86M6idxa3A_9_14"/>
      <w:bookmarkStart w:id="1168" w:name="Tc_2uvf9dhJrEugmm0zVBjijQ_9_11"/>
      <w:bookmarkStart w:id="1169" w:name="Tc_o6B3SI36SUOHWLpdWyr1QQ_9_8"/>
      <w:bookmarkStart w:id="1170" w:name="Tc_9G7sOcxwx0mZx_6w2CkMbg_9_5"/>
      <w:bookmarkStart w:id="1171" w:name="Tc_SlM07drgIEWfa6LzKwNEKA_9_2"/>
      <w:bookmarkStart w:id="1172" w:name="Tc_CXBTeIapZEK6BzcUGKgyMw_9_0"/>
      <w:bookmarkStart w:id="1173" w:name="Tc_HHUB_F37gkWGdWxFKf1kbw_8_0"/>
      <w:bookmarkStart w:id="1174" w:name="Tc_tOiPwIRKiUugCqsqg_CBOw_7_0"/>
      <w:bookmarkStart w:id="1175" w:name="Tc_zQ0XiJoFRkyOC_d3p6yhYQ_6_0"/>
      <w:bookmarkStart w:id="1176" w:name="Tc_PAlJ0-tTukOcxdndYn3c9g_5_14"/>
      <w:bookmarkStart w:id="1177" w:name="Tc_kLTgz19vZkajoz4B3Je8Eg_5_11"/>
      <w:bookmarkStart w:id="1178" w:name="Tc_P0WY40-7IUy_pK4WlI2lLQ_5_8"/>
      <w:bookmarkStart w:id="1179" w:name="Tc_XvV74DahbEWU5E6WwHVu5Q_5_5"/>
      <w:bookmarkStart w:id="1180" w:name="Tc_VizE77IaH06my2cw5ngnLQ_5_2"/>
      <w:bookmarkStart w:id="1181" w:name="Tc_L5Px3CZjd0i3lWJuT4EBzQ_5_0"/>
      <w:bookmarkStart w:id="1182" w:name="Tc_DkHZ3a9rxU-RiAuDrg-7yw_4_14"/>
      <w:bookmarkStart w:id="1183" w:name="Tc_ISc_hDbKmEiSrgQIXrFXBA_4_11"/>
      <w:bookmarkStart w:id="1184" w:name="Tc_J-q7hJpqHkaFq9XiIEfFrQ_4_8"/>
      <w:bookmarkStart w:id="1185" w:name="Tc_55LhPT2qOkaHRiJZv6Pn6A_4_5"/>
      <w:bookmarkStart w:id="1186" w:name="Tc_8KGzEzz_ZEigyZWxoAxr-w_4_2"/>
      <w:bookmarkStart w:id="1187" w:name="Tc_BhzsuWTKeUKGWaBiTDMw0A_4_0"/>
      <w:bookmarkStart w:id="1188" w:name="Tc_lcSkqa_xw0CiUtAiv-_USg_3_11"/>
      <w:bookmarkStart w:id="1189" w:name="Tc_26C_-Rb6G0uoSaqtLevINw_3_8"/>
      <w:bookmarkStart w:id="1190" w:name="Tc_W-UciwjXVEeZs_zkF7bvlA_3_2"/>
      <w:bookmarkStart w:id="1191" w:name="Tc_XZyoX69ygUSsYWZ8Gl0n8w_2_11"/>
      <w:bookmarkStart w:id="1192" w:name="Tc_xW2YoMlrJkKwY-eeWIuy6w_2_8"/>
      <w:bookmarkStart w:id="1193" w:name="Tc_O_evYGEgY0mCZUJs4pUDxQ_1_2"/>
      <w:bookmarkStart w:id="1194" w:name="_dcfba5a3_6053_4592_a0cb_201e65cc2901"/>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r>
        <w:rPr/>
        <w:t>​</w:t>
      </w:r>
    </w:p>
    <w:tbl>
      <w:tblPr>
        <w:tblW w:w="9513" w:type="dxa"/>
        <w:jc w:val="left"/>
        <w:tblInd w:w="0" w:type="dxa"/>
        <w:tblLayout w:type="fixed"/>
        <w:tblCellMar>
          <w:top w:w="0" w:type="dxa"/>
          <w:left w:w="0" w:type="dxa"/>
          <w:bottom w:w="0" w:type="dxa"/>
          <w:right w:w="0" w:type="dxa"/>
        </w:tblCellMar>
      </w:tblPr>
      <w:tblGrid>
        <w:gridCol w:w="2161"/>
        <w:gridCol w:w="326"/>
        <w:gridCol w:w="211"/>
        <w:gridCol w:w="931"/>
        <w:gridCol w:w="326"/>
        <w:gridCol w:w="211"/>
        <w:gridCol w:w="931"/>
        <w:gridCol w:w="326"/>
        <w:gridCol w:w="226"/>
        <w:gridCol w:w="840"/>
        <w:gridCol w:w="326"/>
        <w:gridCol w:w="239"/>
        <w:gridCol w:w="886"/>
        <w:gridCol w:w="326"/>
        <w:gridCol w:w="211"/>
        <w:gridCol w:w="103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372235" cy="175260"/>
                      <wp:effectExtent l="0" t="0" r="0" b="0"/>
                      <wp:wrapNone/>
                      <wp:docPr id="119" name="Frame119"/>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20" name="Frame1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33985" cy="175260"/>
                      <wp:effectExtent l="0" t="0" r="0" b="0"/>
                      <wp:wrapNone/>
                      <wp:docPr id="121" name="Frame1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591185" cy="175260"/>
                      <wp:effectExtent l="0" t="0" r="0" b="0"/>
                      <wp:wrapNone/>
                      <wp:docPr id="122" name="Frame12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3"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3985" cy="175260"/>
                      <wp:effectExtent l="0" t="0" r="0" b="0"/>
                      <wp:wrapNone/>
                      <wp:docPr id="124" name="Frame1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591185" cy="175260"/>
                      <wp:effectExtent l="0" t="0" r="0" b="0"/>
                      <wp:wrapNone/>
                      <wp:docPr id="125" name="Frame12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6" name="Frame1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43510" cy="175260"/>
                      <wp:effectExtent l="0" t="0" r="0" b="0"/>
                      <wp:wrapNone/>
                      <wp:docPr id="127" name="Frame12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533400" cy="175260"/>
                      <wp:effectExtent l="0" t="0" r="0" b="0"/>
                      <wp:wrapNone/>
                      <wp:docPr id="128" name="Frame128"/>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9" name="Frame1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51765" cy="175260"/>
                      <wp:effectExtent l="0" t="0" r="0" b="0"/>
                      <wp:wrapNone/>
                      <wp:docPr id="130" name="Frame130"/>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562610" cy="175260"/>
                      <wp:effectExtent l="0" t="0" r="0" b="0"/>
                      <wp:wrapNone/>
                      <wp:docPr id="131" name="Frame13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2"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33985" cy="175260"/>
                      <wp:effectExtent l="0" t="0" r="0" b="0"/>
                      <wp:wrapNone/>
                      <wp:docPr id="133" name="Frame1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57860" cy="175260"/>
                      <wp:effectExtent l="0" t="0" r="0" b="0"/>
                      <wp:wrapNone/>
                      <wp:docPr id="134" name="Frame13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026"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Nine-Months Ended September 30, 2025</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Asia Pacific</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Latin</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and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(including</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America and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21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Canada</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EMEA</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Oceania)</w:t>
            </w:r>
          </w:p>
        </w:tc>
        <w:tc>
          <w:tcPr>
            <w:tcW w:w="326" w:type="dxa"/>
            <w:tcBorders/>
            <w:vAlign w:val="center"/>
          </w:tcPr>
          <w:p>
            <w:pPr>
              <w:pStyle w:val="TableContents"/>
              <w:bidi w:val="0"/>
              <w:spacing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Caribbean</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3,491,445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1,275,990</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443,386</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468,890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5,679,711</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158,118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151,415</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32,893</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16,301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358,727</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Brands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105,683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105,683</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19,169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19,169</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3,774,415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1,427,405</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476,279</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485,191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6,163,290</w:t>
            </w:r>
          </w:p>
        </w:tc>
      </w:tr>
    </w:tbl>
    <w:p>
      <w:pPr>
        <w:pStyle w:val="TextBody"/>
        <w:bidi w:val="0"/>
        <w:spacing w:before="0" w:after="0"/>
        <w:ind w:left="0" w:right="0" w:hanging="0"/>
        <w:jc w:val="left"/>
        <w:rPr/>
      </w:pPr>
      <w:r>
        <w:rPr/>
        <w:t>​</w:t>
      </w:r>
    </w:p>
    <w:tbl>
      <w:tblPr>
        <w:tblW w:w="9513" w:type="dxa"/>
        <w:jc w:val="left"/>
        <w:tblInd w:w="0" w:type="dxa"/>
        <w:tblLayout w:type="fixed"/>
        <w:tblCellMar>
          <w:top w:w="0" w:type="dxa"/>
          <w:left w:w="0" w:type="dxa"/>
          <w:bottom w:w="0" w:type="dxa"/>
          <w:right w:w="0" w:type="dxa"/>
        </w:tblCellMar>
      </w:tblPr>
      <w:tblGrid>
        <w:gridCol w:w="2161"/>
        <w:gridCol w:w="326"/>
        <w:gridCol w:w="211"/>
        <w:gridCol w:w="931"/>
        <w:gridCol w:w="326"/>
        <w:gridCol w:w="211"/>
        <w:gridCol w:w="931"/>
        <w:gridCol w:w="326"/>
        <w:gridCol w:w="226"/>
        <w:gridCol w:w="840"/>
        <w:gridCol w:w="326"/>
        <w:gridCol w:w="239"/>
        <w:gridCol w:w="886"/>
        <w:gridCol w:w="326"/>
        <w:gridCol w:w="211"/>
        <w:gridCol w:w="103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72235" cy="175260"/>
                      <wp:effectExtent l="0" t="0" r="0" b="0"/>
                      <wp:wrapNone/>
                      <wp:docPr id="135" name="Frame135"/>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6" name="Frame1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33985" cy="175260"/>
                      <wp:effectExtent l="0" t="0" r="0" b="0"/>
                      <wp:wrapNone/>
                      <wp:docPr id="137" name="Frame1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591185" cy="175260"/>
                      <wp:effectExtent l="0" t="0" r="0" b="0"/>
                      <wp:wrapNone/>
                      <wp:docPr id="138" name="Frame13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9" name="Frame1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33985" cy="175260"/>
                      <wp:effectExtent l="0" t="0" r="0" b="0"/>
                      <wp:wrapNone/>
                      <wp:docPr id="140" name="Frame1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591185" cy="175260"/>
                      <wp:effectExtent l="0" t="0" r="0" b="0"/>
                      <wp:wrapNone/>
                      <wp:docPr id="141" name="Frame14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07010" cy="175260"/>
                      <wp:effectExtent l="0" t="0" r="0" b="0"/>
                      <wp:wrapNone/>
                      <wp:docPr id="142" name="Frame1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43510" cy="175260"/>
                      <wp:effectExtent l="0" t="0" r="0" b="0"/>
                      <wp:wrapNone/>
                      <wp:docPr id="143" name="Frame14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533400" cy="175260"/>
                      <wp:effectExtent l="0" t="0" r="0" b="0"/>
                      <wp:wrapNone/>
                      <wp:docPr id="144" name="Frame144"/>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45" name="Frame1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51765" cy="175260"/>
                      <wp:effectExtent l="0" t="0" r="0" b="0"/>
                      <wp:wrapNone/>
                      <wp:docPr id="146" name="Frame146"/>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562610" cy="175260"/>
                      <wp:effectExtent l="0" t="0" r="0" b="0"/>
                      <wp:wrapNone/>
                      <wp:docPr id="147" name="Frame14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7010" cy="175260"/>
                      <wp:effectExtent l="0" t="0" r="0" b="0"/>
                      <wp:wrapNone/>
                      <wp:docPr id="148" name="Frame1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33985" cy="175260"/>
                      <wp:effectExtent l="0" t="0" r="0" b="0"/>
                      <wp:wrapNone/>
                      <wp:docPr id="149" name="Frame1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57860" cy="175260"/>
                      <wp:effectExtent l="0" t="0" r="0" b="0"/>
                      <wp:wrapNone/>
                      <wp:docPr id="150" name="Frame15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026"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Nine-Months Ended September 30, 2024</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Asia Pacific</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Latin</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and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(including</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America and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21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Canada</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EMEA</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Oceania)</w:t>
            </w:r>
          </w:p>
        </w:tc>
        <w:tc>
          <w:tcPr>
            <w:tcW w:w="326" w:type="dxa"/>
            <w:tcBorders/>
            <w:vAlign w:val="center"/>
          </w:tcPr>
          <w:p>
            <w:pPr>
              <w:pStyle w:val="TableContents"/>
              <w:bidi w:val="0"/>
              <w:spacing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Caribbean</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3,266,832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1,075,240</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378,232</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474,248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5,194,552</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153,745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131,837</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30,117</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14,533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330,232</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Brands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137,417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137,417</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18,467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18,467</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3,576,461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1,207,077</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408,349</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488,781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5,680,668</w:t>
            </w:r>
          </w:p>
        </w:tc>
      </w:tr>
    </w:tbl>
    <w:p>
      <w:pPr>
        <w:pStyle w:val="TextBody"/>
        <w:bidi w:val="0"/>
        <w:spacing w:before="0" w:after="0"/>
        <w:ind w:left="0" w:right="0" w:hanging="0"/>
        <w:jc w:val="left"/>
        <w:rPr/>
      </w:pPr>
      <w:r>
        <w:rPr/>
        <w:t>​</w:t>
      </w:r>
    </w:p>
    <w:p>
      <w:pPr>
        <w:pStyle w:val="TextBody"/>
        <w:bidi w:val="0"/>
        <w:spacing w:lineRule="auto" w:line="240" w:before="0" w:after="240"/>
        <w:ind w:left="0" w:right="0" w:hanging="0"/>
        <w:jc w:val="both"/>
        <w:rPr>
          <w:rFonts w:ascii="Times New Roman;Times;serif" w:hAnsi="Times New Roman;Times;serif"/>
          <w:sz w:val="18"/>
        </w:rPr>
      </w:pPr>
      <w:r>
        <w:rPr>
          <w:rFonts w:ascii="Times New Roman;Times;serif" w:hAnsi="Times New Roman;Times;serif"/>
          <w:i/>
          <w:sz w:val="14"/>
        </w:rPr>
        <w:t>1</w:t>
      </w:r>
      <w:r>
        <w:rPr>
          <w:rFonts w:ascii="Times New Roman;Times;serif" w:hAnsi="Times New Roman;Times;serif"/>
          <w:i/>
          <w:sz w:val="18"/>
        </w:rPr>
        <w:t>Europe, Middle East and Africa (“EMEA”)</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Contract Liabilities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Amounts received from certain bottlers/distributors at inception of their distribution contracts or at the inception of certain sales/marketing programs are accounted for as deferred revenue. As of </w:t>
      </w:r>
      <w:r>
        <w:rPr>
          <w:rFonts w:ascii="Times New Roman;Times;serif" w:hAnsi="Times New Roman;Times;serif"/>
          <w:color w:val="212529"/>
          <w:sz w:val="20"/>
        </w:rPr>
        <w:t>September 30, 2025 and December 31, 2024</w:t>
      </w:r>
      <w:r>
        <w:rPr>
          <w:rFonts w:ascii="Times New Roman;Times;serif" w:hAnsi="Times New Roman;Times;serif"/>
          <w:sz w:val="20"/>
        </w:rPr>
        <w:t xml:space="preserve">, the Company had $211.9 million and $224.8 million, respectively, of deferred revenue, which is included in current and long-term deferred revenue in the Company’s condensed consolidated balance sheets. During the </w:t>
      </w:r>
      <w:r>
        <w:rPr>
          <w:rFonts w:ascii="Times New Roman;Times;serif" w:hAnsi="Times New Roman;Times;serif"/>
          <w:color w:val="212529"/>
          <w:sz w:val="20"/>
          <w:shd w:fill="FFFFFF" w:val="clear"/>
        </w:rPr>
        <w:t>three-months ended September 30, 2025 and 2024,</w:t>
      </w:r>
      <w:r>
        <w:rPr>
          <w:rFonts w:ascii="Times New Roman;Times;serif" w:hAnsi="Times New Roman;Times;serif"/>
          <w:sz w:val="20"/>
        </w:rPr>
        <w:t xml:space="preserve"> $10.1 million and $10.0 million of deferred revenue was recognized in net sales, respectively. During the nine-months ended September 30, 2025 and 2024, $30.0 million and $29.9 million of deferred revenue was recognized in net sales, respectively. See Note 8.</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1195" w:name="Tc_Uk87Eh2spUSQxzK-x6Ql9Q_15_17"/>
      <w:bookmarkStart w:id="1196" w:name="Tc_FuJhFRU_PkKRrYUsnQkxHA_15_14"/>
      <w:bookmarkStart w:id="1197" w:name="Tc_t2jBtoX6aUKKX0MspvDKHw_15_11"/>
      <w:bookmarkStart w:id="1198" w:name="Tc_C44lwU01qEmKToay25NteA_15_8"/>
      <w:bookmarkStart w:id="1199" w:name="Tc_tx8jyq5VTUmoRTTZl6Y3nA_15_5"/>
      <w:bookmarkStart w:id="1200" w:name="Tc_k7D_WcjeMk613ZTKcls9fA_15_2"/>
      <w:bookmarkStart w:id="1201" w:name="Tc_yBa-Os-SvUC7OhIc8-w3JQ_15_0"/>
      <w:bookmarkStart w:id="1202" w:name="Tc_tJxv1z5ZsUy4Y8AS7NOioQ_14_0"/>
      <w:bookmarkStart w:id="1203" w:name="Tc_1WmyHQ4UB0u73hCP-Wsvdg_13_0"/>
      <w:bookmarkStart w:id="1204" w:name="Tc_fwMCsYLNvUyOd0fhQgGkGw_12_0"/>
      <w:bookmarkStart w:id="1205" w:name="Tc_8bGvDZxxuEKVOlhDiHwSOw_11_0"/>
      <w:bookmarkStart w:id="1206" w:name="Tc_FCX7aKbmBUO8JKBDTZDWzQ_10_0"/>
      <w:bookmarkStart w:id="1207" w:name="Tc_ebuYpvYERESD3UTg1irl3A_9_0"/>
      <w:bookmarkStart w:id="1208" w:name="Tc_VeZsl1h710acmI_kwa6izg_8_17"/>
      <w:bookmarkStart w:id="1209" w:name="Tc_4fDXjRu1dkKAmHue05NngQ_8_14"/>
      <w:bookmarkStart w:id="1210" w:name="Tc_GflziBfH0kyuBeBRuos-IA_8_11"/>
      <w:bookmarkStart w:id="1211" w:name="Tc_HnrYSZpixE6hHWO6PquRpw_8_8"/>
      <w:bookmarkStart w:id="1212" w:name="Tc_-kz9eKov7Ea0BiYz50s3Ug_8_5"/>
      <w:bookmarkStart w:id="1213" w:name="Tc_Q7u_77OmPUSxG3h6YTTdsA_8_2"/>
      <w:bookmarkStart w:id="1214" w:name="Tc_D08VdT4kOEu7TN0J1MXBqA_8_0"/>
      <w:bookmarkStart w:id="1215" w:name="Tc_nbgTFhxEy0Sbi_66p73ARg_7_0"/>
      <w:bookmarkStart w:id="1216" w:name="Tc_bidIdjKZ_0KVCg9atRl-mw_6_0"/>
      <w:bookmarkStart w:id="1217" w:name="Tc_cDvq6W-fXk-IAtHRA-EEgA_5_17"/>
      <w:bookmarkStart w:id="1218" w:name="Tc_TC8CA1dzs0WZsjOKihNZGg_5_14"/>
      <w:bookmarkStart w:id="1219" w:name="Tc_Aaek6ly_wE2QPqWoekYx2A_5_11"/>
      <w:bookmarkStart w:id="1220" w:name="Tc_sn7Ol5CJjUePpDa2D8CCtg_5_8"/>
      <w:bookmarkStart w:id="1221" w:name="Tc_Q6Yz2FuB7kWS21NHcHzayA_5_5"/>
      <w:bookmarkStart w:id="1222" w:name="Tc_ILQsT1FpW0igArhXbBusig_5_2"/>
      <w:bookmarkStart w:id="1223" w:name="Tc_jrKJLfcPHUyi7-7iJ9YTdA_5_0"/>
      <w:bookmarkStart w:id="1224" w:name="Tc_5BZMrUq0Jkex5kmlWwKvFA_4_17"/>
      <w:bookmarkStart w:id="1225" w:name="Tc_HtMHbTJQ9EyXk1OKC-xEwQ_4_14"/>
      <w:bookmarkStart w:id="1226" w:name="Tc_uqD_M8sbWEWCWN-IqJ_XHQ_4_11"/>
      <w:bookmarkStart w:id="1227" w:name="Tc_PFRP7YP-NEuBnqmweX7GsA_4_8"/>
      <w:bookmarkStart w:id="1228" w:name="Tc_kWGI_WBw406tsjH9VcycmQ_4_5"/>
      <w:bookmarkStart w:id="1229" w:name="Tc_xT2V-LXlWkWiNWrmgEQBQQ_4_2"/>
      <w:bookmarkStart w:id="1230" w:name="Tc_izILTqqgNE-QTcXO__jkIQ_3_17"/>
      <w:bookmarkStart w:id="1231" w:name="Tc_2BX3LlsQQUmblWgrnh00ig_3_14"/>
      <w:bookmarkStart w:id="1232" w:name="Tc_aDhGxeAoYUK-a0TBMHICyw_3_8"/>
      <w:bookmarkStart w:id="1233" w:name="Tc_D4cIucH0JUaisbQgAIpCCw_3_5"/>
      <w:bookmarkStart w:id="1234" w:name="Tc_iPi2ob0PLUqQfMzE91dQIw_2_17"/>
      <w:bookmarkStart w:id="1235" w:name="Tc_EcV7zvEb30Ws3gOaTFJAJA_2_14"/>
      <w:bookmarkStart w:id="1236" w:name="Tc_m1JhMfvpk0SAR01SjbuZlw_2_8"/>
      <w:bookmarkStart w:id="1237" w:name="Tc_wQD6Mc0RJE-NhAaqMO1IcA_2_5"/>
      <w:bookmarkStart w:id="1238" w:name="Tc_2el7URJQcE-LxN4pT_Ggyw_1_17"/>
      <w:bookmarkStart w:id="1239" w:name="Tc_4onAXsL33UOrHyFFwnwHxg_1_1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r>
        <w:rPr>
          <w:rFonts w:ascii="Times New Roman;Times;serif" w:hAnsi="Times New Roman;Times;serif"/>
          <w:b w:val="false"/>
          <w:i w:val="false"/>
          <w:caps w:val="false"/>
          <w:smallCaps w:val="false"/>
          <w:sz w:val="20"/>
        </w:rPr>
        <w:t>3.</w:t>
      </w:r>
      <w:r>
        <w:rPr>
          <w:rFonts w:ascii="Times New Roman;Times;serif" w:hAnsi="Times New Roman;Times;serif"/>
          <w:sz w:val="20"/>
        </w:rPr>
        <w:t>INVESTMENTS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summarizes the Company’s investments at September 30, 2025. The Company held no short-term or long-term investments at December 31, 2024.</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836"/>
        <w:gridCol w:w="326"/>
        <w:gridCol w:w="211"/>
        <w:gridCol w:w="781"/>
        <w:gridCol w:w="326"/>
        <w:gridCol w:w="330"/>
        <w:gridCol w:w="661"/>
        <w:gridCol w:w="326"/>
        <w:gridCol w:w="375"/>
        <w:gridCol w:w="616"/>
        <w:gridCol w:w="326"/>
        <w:gridCol w:w="211"/>
        <w:gridCol w:w="781"/>
        <w:gridCol w:w="326"/>
        <w:gridCol w:w="454"/>
        <w:gridCol w:w="747"/>
        <w:gridCol w:w="326"/>
        <w:gridCol w:w="397"/>
        <w:gridCol w:w="849"/>
      </w:tblGrid>
      <w:tr>
        <w:trPr/>
        <w:tc>
          <w:tcPr>
            <w:tcW w:w="1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165860" cy="175260"/>
                      <wp:effectExtent l="0" t="0" r="0" b="0"/>
                      <wp:wrapNone/>
                      <wp:docPr id="151" name="Frame151"/>
                      <a:graphic xmlns:a="http://schemas.openxmlformats.org/drawingml/2006/main">
                        <a:graphicData uri="http://schemas.microsoft.com/office/word/2010/wordprocessingShape">
                          <wps:wsp>
                            <wps:cNvSpPr txBox="1"/>
                            <wps:spPr>
                              <a:xfrm>
                                <a:off x="0" y="0"/>
                                <a:ext cx="1165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2" name="Frame1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3985" cy="175260"/>
                      <wp:effectExtent l="0" t="0" r="0" b="0"/>
                      <wp:wrapNone/>
                      <wp:docPr id="153" name="Frame1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495935" cy="175260"/>
                      <wp:effectExtent l="0" t="0" r="0" b="0"/>
                      <wp:wrapNone/>
                      <wp:docPr id="154" name="Frame15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5" name="Frame1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9550" cy="175260"/>
                      <wp:effectExtent l="0" t="0" r="0" b="0"/>
                      <wp:wrapNone/>
                      <wp:docPr id="156" name="Frame156"/>
                      <a:graphic xmlns:a="http://schemas.openxmlformats.org/drawingml/2006/main">
                        <a:graphicData uri="http://schemas.microsoft.com/office/word/2010/wordprocessingShape">
                          <wps:wsp>
                            <wps:cNvSpPr txBox="1"/>
                            <wps:spPr>
                              <a:xfrm>
                                <a:off x="0" y="0"/>
                                <a:ext cx="209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419735" cy="175260"/>
                      <wp:effectExtent l="0" t="0" r="0" b="0"/>
                      <wp:wrapNone/>
                      <wp:docPr id="157" name="Frame157"/>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8" name="Frame1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38125" cy="175260"/>
                      <wp:effectExtent l="0" t="0" r="0" b="0"/>
                      <wp:wrapNone/>
                      <wp:docPr id="159" name="Frame159"/>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391160" cy="175260"/>
                      <wp:effectExtent l="0" t="0" r="0" b="0"/>
                      <wp:wrapNone/>
                      <wp:docPr id="160" name="Frame160"/>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61" name="Frame1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33985" cy="175260"/>
                      <wp:effectExtent l="0" t="0" r="0" b="0"/>
                      <wp:wrapNone/>
                      <wp:docPr id="162" name="Frame1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495935" cy="175260"/>
                      <wp:effectExtent l="0" t="0" r="0" b="0"/>
                      <wp:wrapNone/>
                      <wp:docPr id="163" name="Frame16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07010" cy="175260"/>
                      <wp:effectExtent l="0" t="0" r="0" b="0"/>
                      <wp:wrapNone/>
                      <wp:docPr id="164" name="Frame1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88290" cy="175260"/>
                      <wp:effectExtent l="0" t="0" r="0" b="0"/>
                      <wp:wrapNone/>
                      <wp:docPr id="165" name="Frame165"/>
                      <a:graphic xmlns:a="http://schemas.openxmlformats.org/drawingml/2006/main">
                        <a:graphicData uri="http://schemas.microsoft.com/office/word/2010/wordprocessingShape">
                          <wps:wsp>
                            <wps:cNvSpPr txBox="1"/>
                            <wps:spPr>
                              <a:xfrm>
                                <a:off x="0" y="0"/>
                                <a:ext cx="288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474345" cy="175260"/>
                      <wp:effectExtent l="0" t="0" r="0" b="0"/>
                      <wp:wrapNone/>
                      <wp:docPr id="166" name="Frame166"/>
                      <a:graphic xmlns:a="http://schemas.openxmlformats.org/drawingml/2006/main">
                        <a:graphicData uri="http://schemas.microsoft.com/office/word/2010/wordprocessingShape">
                          <wps:wsp>
                            <wps:cNvSpPr txBox="1"/>
                            <wps:spPr>
                              <a:xfrm>
                                <a:off x="0" y="0"/>
                                <a:ext cx="474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7010" cy="175260"/>
                      <wp:effectExtent l="0" t="0" r="0" b="0"/>
                      <wp:wrapNone/>
                      <wp:docPr id="167" name="Frame1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52095" cy="175260"/>
                      <wp:effectExtent l="0" t="0" r="0" b="0"/>
                      <wp:wrapNone/>
                      <wp:docPr id="168" name="Frame168"/>
                      <a:graphic xmlns:a="http://schemas.openxmlformats.org/drawingml/2006/main">
                        <a:graphicData uri="http://schemas.microsoft.com/office/word/2010/wordprocessingShape">
                          <wps:wsp>
                            <wps:cNvSpPr txBox="1"/>
                            <wps:spPr>
                              <a:xfrm>
                                <a:off x="0" y="0"/>
                                <a:ext cx="252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539115" cy="175260"/>
                      <wp:effectExtent l="0" t="0" r="0" b="0"/>
                      <wp:wrapNone/>
                      <wp:docPr id="169" name="Frame169"/>
                      <a:graphic xmlns:a="http://schemas.openxmlformats.org/drawingml/2006/main">
                        <a:graphicData uri="http://schemas.microsoft.com/office/word/2010/wordprocessingShape">
                          <wps:wsp>
                            <wps:cNvSpPr txBox="1"/>
                            <wps:spPr>
                              <a:xfrm>
                                <a:off x="0" y="0"/>
                                <a:ext cx="539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9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9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Continuous</w:t>
            </w:r>
          </w:p>
        </w:tc>
        <w:tc>
          <w:tcPr>
            <w:tcW w:w="326" w:type="dxa"/>
            <w:tcBorders/>
            <w:vAlign w:val="center"/>
          </w:tcPr>
          <w:p>
            <w:pPr>
              <w:pStyle w:val="TableContents"/>
              <w:bidi w:val="0"/>
              <w:spacing w:before="0" w:after="0"/>
              <w:ind w:left="0" w:right="0" w:hanging="0"/>
              <w:jc w:val="center"/>
              <w:rPr/>
            </w:pPr>
            <w:r>
              <w:rPr/>
              <w:t>    </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Continuous</w:t>
            </w:r>
          </w:p>
        </w:tc>
      </w:tr>
      <w:tr>
        <w:trPr/>
        <w:tc>
          <w:tcPr>
            <w:tcW w:w="18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Gross</w:t>
            </w:r>
          </w:p>
        </w:tc>
        <w:tc>
          <w:tcPr>
            <w:tcW w:w="326"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Gross</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26" w:type="dxa"/>
            <w:tcBorders/>
            <w:vAlign w:val="center"/>
          </w:tcPr>
          <w:p>
            <w:pPr>
              <w:pStyle w:val="TableContents"/>
              <w:bidi w:val="0"/>
              <w:spacing w:before="0" w:after="0"/>
              <w:ind w:left="0" w:right="0" w:hanging="0"/>
              <w:jc w:val="center"/>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r>
      <w:tr>
        <w:trPr/>
        <w:tc>
          <w:tcPr>
            <w:tcW w:w="18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26"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 Position</w:t>
            </w:r>
          </w:p>
        </w:tc>
        <w:tc>
          <w:tcPr>
            <w:tcW w:w="326" w:type="dxa"/>
            <w:tcBorders/>
            <w:vAlign w:val="center"/>
          </w:tcPr>
          <w:p>
            <w:pPr>
              <w:pStyle w:val="TableContents"/>
              <w:bidi w:val="0"/>
              <w:spacing w:before="0" w:after="0"/>
              <w:ind w:left="0" w:right="0" w:hanging="0"/>
              <w:jc w:val="center"/>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 Position</w:t>
            </w:r>
          </w:p>
        </w:tc>
      </w:tr>
      <w:tr>
        <w:trPr/>
        <w:tc>
          <w:tcPr>
            <w:tcW w:w="18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Amortized</w:t>
            </w:r>
          </w:p>
        </w:tc>
        <w:tc>
          <w:tcPr>
            <w:tcW w:w="326"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Holding</w:t>
            </w:r>
          </w:p>
        </w:tc>
        <w:tc>
          <w:tcPr>
            <w:tcW w:w="326"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Holding</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Fair</w:t>
            </w:r>
          </w:p>
        </w:tc>
        <w:tc>
          <w:tcPr>
            <w:tcW w:w="326" w:type="dxa"/>
            <w:tcBorders/>
            <w:vAlign w:val="center"/>
          </w:tcPr>
          <w:p>
            <w:pPr>
              <w:pStyle w:val="TableContents"/>
              <w:bidi w:val="0"/>
              <w:spacing w:before="0" w:after="0"/>
              <w:ind w:left="0" w:right="0" w:hanging="0"/>
              <w:jc w:val="center"/>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less than</w:t>
            </w:r>
          </w:p>
        </w:tc>
        <w:tc>
          <w:tcPr>
            <w:tcW w:w="326" w:type="dxa"/>
            <w:tcBorders/>
            <w:vAlign w:val="center"/>
          </w:tcPr>
          <w:p>
            <w:pPr>
              <w:pStyle w:val="TableContents"/>
              <w:bidi w:val="0"/>
              <w:spacing w:before="0" w:after="0"/>
              <w:ind w:left="0" w:right="0" w:hanging="0"/>
              <w:jc w:val="center"/>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greater than</w:t>
            </w:r>
          </w:p>
        </w:tc>
      </w:tr>
      <w:tr>
        <w:trPr/>
        <w:tc>
          <w:tcPr>
            <w:tcW w:w="18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30, 2025</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Cost</w:t>
            </w:r>
          </w:p>
        </w:tc>
        <w:tc>
          <w:tcPr>
            <w:tcW w:w="326" w:type="dxa"/>
            <w:tcBorders/>
            <w:vAlign w:val="center"/>
          </w:tcPr>
          <w:p>
            <w:pPr>
              <w:pStyle w:val="TableContents"/>
              <w:bidi w:val="0"/>
              <w:spacing w:before="0" w:after="0"/>
              <w:ind w:left="0" w:right="0" w:hanging="0"/>
              <w:jc w:val="center"/>
              <w:rPr/>
            </w:pPr>
            <w:r>
              <w:rPr/>
              <w:t>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Gains</w:t>
            </w:r>
          </w:p>
        </w:tc>
        <w:tc>
          <w:tcPr>
            <w:tcW w:w="326" w:type="dxa"/>
            <w:tcBorders/>
            <w:vAlign w:val="center"/>
          </w:tcPr>
          <w:p>
            <w:pPr>
              <w:pStyle w:val="TableContents"/>
              <w:bidi w:val="0"/>
              <w:spacing w:before="0" w:after="0"/>
              <w:ind w:left="0" w:right="0" w:hanging="0"/>
              <w:jc w:val="center"/>
              <w:rPr/>
            </w:pPr>
            <w:r>
              <w:rPr/>
              <w:t>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Losses</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Value</w:t>
            </w:r>
          </w:p>
        </w:tc>
        <w:tc>
          <w:tcPr>
            <w:tcW w:w="326" w:type="dxa"/>
            <w:tcBorders/>
            <w:vAlign w:val="center"/>
          </w:tcPr>
          <w:p>
            <w:pPr>
              <w:pStyle w:val="TableContents"/>
              <w:bidi w:val="0"/>
              <w:spacing w:before="0" w:after="0"/>
              <w:ind w:left="0" w:right="0" w:hanging="0"/>
              <w:jc w:val="center"/>
              <w:rPr/>
            </w:pPr>
            <w:r>
              <w:rPr/>
              <w:t>    </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 Months</w:t>
            </w:r>
          </w:p>
        </w:tc>
        <w:tc>
          <w:tcPr>
            <w:tcW w:w="326" w:type="dxa"/>
            <w:tcBorders/>
            <w:vAlign w:val="center"/>
          </w:tcPr>
          <w:p>
            <w:pPr>
              <w:pStyle w:val="TableContents"/>
              <w:bidi w:val="0"/>
              <w:spacing w:before="0" w:after="0"/>
              <w:ind w:left="0" w:right="0" w:hanging="0"/>
              <w:jc w:val="center"/>
              <w:rPr/>
            </w:pPr>
            <w:r>
              <w:rPr/>
              <w:t>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 Months</w:t>
            </w:r>
          </w:p>
        </w:tc>
      </w:tr>
      <w:tr>
        <w:trPr/>
        <w:tc>
          <w:tcPr>
            <w:tcW w:w="18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Available-for-sale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54"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97" w:type="dxa"/>
            <w:tcBorders/>
            <w:shd w:fill="CCEEFF" w:val="clear"/>
            <w:vAlign w:val="center"/>
          </w:tcPr>
          <w:p>
            <w:pPr>
              <w:pStyle w:val="TableContents"/>
              <w:bidi w:val="0"/>
              <w:spacing w:before="0" w:after="0"/>
              <w:ind w:left="0" w:right="0" w:hanging="0"/>
              <w:jc w:val="left"/>
              <w:rPr/>
            </w:pPr>
            <w:r>
              <w:rPr/>
              <w:t>​</w:t>
            </w:r>
          </w:p>
        </w:tc>
        <w:tc>
          <w:tcPr>
            <w:tcW w:w="849" w:type="dxa"/>
            <w:tcBorders/>
            <w:shd w:fill="CCEEFF" w:val="clear"/>
            <w:vAlign w:val="center"/>
          </w:tcPr>
          <w:p>
            <w:pPr>
              <w:pStyle w:val="TableContents"/>
              <w:bidi w:val="0"/>
              <w:spacing w:before="0" w:after="0"/>
              <w:ind w:left="0" w:right="0" w:hanging="0"/>
              <w:jc w:val="right"/>
              <w:rPr/>
            </w:pPr>
            <w:r>
              <w:rPr/>
              <w:t>​</w:t>
            </w:r>
          </w:p>
        </w:tc>
      </w:tr>
      <w:tr>
        <w:trPr/>
        <w:tc>
          <w:tcPr>
            <w:tcW w:w="1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54"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left"/>
              <w:rPr/>
            </w:pPr>
            <w:r>
              <w:rPr/>
              <w:t>​</w:t>
            </w:r>
          </w:p>
        </w:tc>
        <w:tc>
          <w:tcPr>
            <w:tcW w:w="849" w:type="dxa"/>
            <w:tcBorders/>
            <w:vAlign w:val="center"/>
          </w:tcPr>
          <w:p>
            <w:pPr>
              <w:pStyle w:val="TableContents"/>
              <w:bidi w:val="0"/>
              <w:spacing w:before="0" w:after="0"/>
              <w:ind w:left="0" w:right="0" w:hanging="0"/>
              <w:jc w:val="right"/>
              <w:rPr/>
            </w:pPr>
            <w:r>
              <w:rPr/>
              <w:t>​</w:t>
            </w:r>
          </w:p>
        </w:tc>
      </w:tr>
      <w:tr>
        <w:trPr/>
        <w:tc>
          <w:tcPr>
            <w:tcW w:w="1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31,601</w:t>
            </w:r>
          </w:p>
        </w:tc>
        <w:tc>
          <w:tcPr>
            <w:tcW w:w="326"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31,601</w:t>
            </w:r>
          </w:p>
        </w:tc>
        <w:tc>
          <w:tcPr>
            <w:tcW w:w="326" w:type="dxa"/>
            <w:tcBorders/>
            <w:shd w:fill="CCEEFF" w:val="clear"/>
            <w:vAlign w:val="center"/>
          </w:tcPr>
          <w:p>
            <w:pPr>
              <w:pStyle w:val="TableContents"/>
              <w:bidi w:val="0"/>
              <w:spacing w:before="0" w:after="0"/>
              <w:ind w:left="0" w:right="0" w:hanging="0"/>
              <w:jc w:val="left"/>
              <w:rPr/>
            </w:pPr>
            <w:r>
              <w:rPr/>
              <w:t>​</w:t>
            </w:r>
          </w:p>
        </w:tc>
        <w:tc>
          <w:tcPr>
            <w:tcW w:w="4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shd w:fill="CCEEFF" w:val="clear"/>
            <w:vAlign w:val="center"/>
          </w:tcPr>
          <w:p>
            <w:pPr>
              <w:pStyle w:val="TableContents"/>
              <w:bidi w:val="0"/>
              <w:spacing w:before="0" w:after="0"/>
              <w:ind w:left="0" w:right="0" w:hanging="0"/>
              <w:jc w:val="right"/>
              <w:rPr/>
            </w:pPr>
            <w:r>
              <w:rPr/>
              <w:t>—</w:t>
            </w:r>
          </w:p>
        </w:tc>
      </w:tr>
      <w:tr>
        <w:trPr/>
        <w:tc>
          <w:tcPr>
            <w:tcW w:w="1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Certificates of deposit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15,444</w:t>
            </w:r>
          </w:p>
        </w:tc>
        <w:tc>
          <w:tcPr>
            <w:tcW w:w="326"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15,444</w:t>
            </w:r>
          </w:p>
        </w:tc>
        <w:tc>
          <w:tcPr>
            <w:tcW w:w="326" w:type="dxa"/>
            <w:tcBorders/>
            <w:vAlign w:val="center"/>
          </w:tcPr>
          <w:p>
            <w:pPr>
              <w:pStyle w:val="TableContents"/>
              <w:bidi w:val="0"/>
              <w:spacing w:before="0" w:after="0"/>
              <w:ind w:left="0" w:right="0" w:hanging="0"/>
              <w:jc w:val="left"/>
              <w:rPr/>
            </w:pPr>
            <w:r>
              <w:rPr/>
              <w:t>​</w:t>
            </w:r>
          </w:p>
        </w:tc>
        <w:tc>
          <w:tcPr>
            <w:tcW w:w="454"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pPr>
            <w:r>
              <w:rPr/>
              <w:t>—</w:t>
            </w:r>
          </w:p>
        </w:tc>
      </w:tr>
      <w:tr>
        <w:trPr/>
        <w:tc>
          <w:tcPr>
            <w:tcW w:w="1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209,387</w:t>
            </w:r>
          </w:p>
        </w:tc>
        <w:tc>
          <w:tcPr>
            <w:tcW w:w="326"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209,527</w:t>
            </w:r>
          </w:p>
        </w:tc>
        <w:tc>
          <w:tcPr>
            <w:tcW w:w="326" w:type="dxa"/>
            <w:tcBorders/>
            <w:shd w:fill="CCEEFF" w:val="clear"/>
            <w:vAlign w:val="center"/>
          </w:tcPr>
          <w:p>
            <w:pPr>
              <w:pStyle w:val="TableContents"/>
              <w:bidi w:val="0"/>
              <w:spacing w:before="0" w:after="0"/>
              <w:ind w:left="0" w:right="0" w:hanging="0"/>
              <w:jc w:val="left"/>
              <w:rPr/>
            </w:pPr>
            <w:r>
              <w:rPr/>
              <w:t>​</w:t>
            </w:r>
          </w:p>
        </w:tc>
        <w:tc>
          <w:tcPr>
            <w:tcW w:w="454" w:type="dxa"/>
            <w:tcBorders/>
            <w:shd w:fill="CCEEFF" w:val="clear"/>
            <w:vAlign w:val="center"/>
          </w:tcPr>
          <w:p>
            <w:pPr>
              <w:pStyle w:val="TableContents"/>
              <w:bidi w:val="0"/>
              <w:spacing w:before="0" w:after="0"/>
              <w:ind w:left="0" w:right="0" w:hanging="0"/>
              <w:jc w:val="left"/>
              <w:rPr/>
            </w:pPr>
            <w:r>
              <w:rPr/>
              <w:t> </w:t>
            </w:r>
          </w:p>
        </w:tc>
        <w:tc>
          <w:tcPr>
            <w:tcW w:w="74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97" w:type="dxa"/>
            <w:tcBorders/>
            <w:shd w:fill="CCEEFF" w:val="clear"/>
            <w:vAlign w:val="center"/>
          </w:tcPr>
          <w:p>
            <w:pPr>
              <w:pStyle w:val="TableContents"/>
              <w:bidi w:val="0"/>
              <w:spacing w:before="0" w:after="0"/>
              <w:ind w:left="0" w:right="0" w:hanging="0"/>
              <w:jc w:val="left"/>
              <w:rPr/>
            </w:pPr>
            <w:r>
              <w:rPr/>
              <w:t> </w:t>
            </w:r>
          </w:p>
        </w:tc>
        <w:tc>
          <w:tcPr>
            <w:tcW w:w="849" w:type="dxa"/>
            <w:tcBorders/>
            <w:shd w:fill="CCEEFF" w:val="clear"/>
            <w:vAlign w:val="center"/>
          </w:tcPr>
          <w:p>
            <w:pPr>
              <w:pStyle w:val="TableContents"/>
              <w:bidi w:val="0"/>
              <w:spacing w:before="0" w:after="0"/>
              <w:ind w:left="0" w:right="0" w:hanging="0"/>
              <w:jc w:val="right"/>
              <w:rPr/>
            </w:pPr>
            <w:r>
              <w:rPr/>
              <w:t>—</w:t>
            </w:r>
          </w:p>
        </w:tc>
      </w:tr>
      <w:tr>
        <w:trPr/>
        <w:tc>
          <w:tcPr>
            <w:tcW w:w="1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29,754</w:t>
            </w:r>
          </w:p>
        </w:tc>
        <w:tc>
          <w:tcPr>
            <w:tcW w:w="326"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29,819</w:t>
            </w:r>
          </w:p>
        </w:tc>
        <w:tc>
          <w:tcPr>
            <w:tcW w:w="326" w:type="dxa"/>
            <w:tcBorders/>
            <w:vAlign w:val="center"/>
          </w:tcPr>
          <w:p>
            <w:pPr>
              <w:pStyle w:val="TableContents"/>
              <w:bidi w:val="0"/>
              <w:spacing w:before="0" w:after="0"/>
              <w:ind w:left="0" w:right="0" w:hanging="0"/>
              <w:jc w:val="left"/>
              <w:rPr/>
            </w:pPr>
            <w:r>
              <w:rPr/>
              <w:t>​</w:t>
            </w:r>
          </w:p>
        </w:tc>
        <w:tc>
          <w:tcPr>
            <w:tcW w:w="454"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pPr>
            <w:r>
              <w:rPr/>
              <w:t>—</w:t>
            </w:r>
          </w:p>
        </w:tc>
      </w:tr>
      <w:tr>
        <w:trPr/>
        <w:tc>
          <w:tcPr>
            <w:tcW w:w="1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54"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97" w:type="dxa"/>
            <w:tcBorders/>
            <w:shd w:fill="CCEEFF" w:val="clear"/>
            <w:vAlign w:val="center"/>
          </w:tcPr>
          <w:p>
            <w:pPr>
              <w:pStyle w:val="TableContents"/>
              <w:bidi w:val="0"/>
              <w:spacing w:before="0" w:after="0"/>
              <w:ind w:left="0" w:right="0" w:hanging="0"/>
              <w:jc w:val="left"/>
              <w:rPr/>
            </w:pPr>
            <w:r>
              <w:rPr/>
              <w:t>​</w:t>
            </w:r>
          </w:p>
        </w:tc>
        <w:tc>
          <w:tcPr>
            <w:tcW w:w="849" w:type="dxa"/>
            <w:tcBorders/>
            <w:shd w:fill="CCEEFF" w:val="clear"/>
            <w:vAlign w:val="center"/>
          </w:tcPr>
          <w:p>
            <w:pPr>
              <w:pStyle w:val="TableContents"/>
              <w:bidi w:val="0"/>
              <w:spacing w:before="0" w:after="0"/>
              <w:ind w:left="0" w:right="0" w:hanging="0"/>
              <w:jc w:val="right"/>
              <w:rPr/>
            </w:pPr>
            <w:r>
              <w:rPr/>
              <w:t>​</w:t>
            </w:r>
          </w:p>
        </w:tc>
      </w:tr>
      <w:tr>
        <w:trPr/>
        <w:tc>
          <w:tcPr>
            <w:tcW w:w="1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214,843</w:t>
            </w:r>
          </w:p>
        </w:tc>
        <w:tc>
          <w:tcPr>
            <w:tcW w:w="326"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214,902</w:t>
            </w:r>
          </w:p>
        </w:tc>
        <w:tc>
          <w:tcPr>
            <w:tcW w:w="326" w:type="dxa"/>
            <w:tcBorders/>
            <w:vAlign w:val="center"/>
          </w:tcPr>
          <w:p>
            <w:pPr>
              <w:pStyle w:val="TableContents"/>
              <w:bidi w:val="0"/>
              <w:spacing w:before="0" w:after="0"/>
              <w:ind w:left="0" w:right="0" w:hanging="0"/>
              <w:jc w:val="left"/>
              <w:rPr/>
            </w:pPr>
            <w:r>
              <w:rPr/>
              <w:t>​</w:t>
            </w:r>
          </w:p>
        </w:tc>
        <w:tc>
          <w:tcPr>
            <w:tcW w:w="454"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pPr>
            <w:r>
              <w:rPr/>
              <w:t>—</w:t>
            </w:r>
          </w:p>
        </w:tc>
      </w:tr>
      <w:tr>
        <w:trPr/>
        <w:tc>
          <w:tcPr>
            <w:tcW w:w="1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144,104</w:t>
            </w:r>
          </w:p>
        </w:tc>
        <w:tc>
          <w:tcPr>
            <w:tcW w:w="326" w:type="dxa"/>
            <w:tcBorders/>
            <w:shd w:fill="CCEEFF" w:val="clear"/>
            <w:vAlign w:val="center"/>
          </w:tcPr>
          <w:p>
            <w:pPr>
              <w:pStyle w:val="TableContents"/>
              <w:bidi w:val="0"/>
              <w:spacing w:before="0" w:after="0"/>
              <w:ind w:left="0" w:right="0" w:hanging="0"/>
              <w:jc w:val="left"/>
              <w:rPr/>
            </w:pPr>
            <w:r>
              <w:rPr/>
              <w:t>​</w:t>
            </w:r>
          </w:p>
        </w:tc>
        <w:tc>
          <w:tcPr>
            <w:tcW w:w="3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144,272</w:t>
            </w:r>
          </w:p>
        </w:tc>
        <w:tc>
          <w:tcPr>
            <w:tcW w:w="326" w:type="dxa"/>
            <w:tcBorders/>
            <w:shd w:fill="CCEEFF" w:val="clear"/>
            <w:vAlign w:val="center"/>
          </w:tcPr>
          <w:p>
            <w:pPr>
              <w:pStyle w:val="TableContents"/>
              <w:bidi w:val="0"/>
              <w:spacing w:before="0" w:after="0"/>
              <w:ind w:left="0" w:right="0" w:hanging="0"/>
              <w:jc w:val="left"/>
              <w:rPr/>
            </w:pPr>
            <w:r>
              <w:rPr/>
              <w:t>​</w:t>
            </w:r>
          </w:p>
        </w:tc>
        <w:tc>
          <w:tcPr>
            <w:tcW w:w="4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645,133</w:t>
            </w:r>
          </w:p>
        </w:tc>
        <w:tc>
          <w:tcPr>
            <w:tcW w:w="326" w:type="dxa"/>
            <w:tcBorders/>
            <w:vAlign w:val="center"/>
          </w:tcPr>
          <w:p>
            <w:pPr>
              <w:pStyle w:val="TableContents"/>
              <w:bidi w:val="0"/>
              <w:spacing w:before="0" w:after="0"/>
              <w:ind w:left="0" w:right="0" w:hanging="0"/>
              <w:jc w:val="left"/>
              <w:rPr/>
            </w:pPr>
            <w:r>
              <w:rPr/>
              <w:t>​</w:t>
            </w:r>
          </w:p>
        </w:tc>
        <w:tc>
          <w:tcPr>
            <w:tcW w:w="3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w:t>
            </w:r>
          </w:p>
        </w:tc>
        <w:tc>
          <w:tcPr>
            <w:tcW w:w="326" w:type="dxa"/>
            <w:tcBorders/>
            <w:vAlign w:val="center"/>
          </w:tcPr>
          <w:p>
            <w:pPr>
              <w:pStyle w:val="TableContents"/>
              <w:bidi w:val="0"/>
              <w:spacing w:before="0" w:after="0"/>
              <w:ind w:left="0" w:right="0" w:hanging="0"/>
              <w:jc w:val="left"/>
              <w:rPr/>
            </w:pPr>
            <w:r>
              <w:rPr/>
              <w:t>​</w:t>
            </w:r>
          </w:p>
        </w:tc>
        <w:tc>
          <w:tcPr>
            <w:tcW w:w="37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645,565</w:t>
            </w:r>
          </w:p>
        </w:tc>
        <w:tc>
          <w:tcPr>
            <w:tcW w:w="326" w:type="dxa"/>
            <w:tcBorders/>
            <w:vAlign w:val="center"/>
          </w:tcPr>
          <w:p>
            <w:pPr>
              <w:pStyle w:val="TableContents"/>
              <w:bidi w:val="0"/>
              <w:spacing w:before="0" w:after="0"/>
              <w:ind w:left="0" w:right="0" w:hanging="0"/>
              <w:jc w:val="left"/>
              <w:rPr/>
            </w:pPr>
            <w:r>
              <w:rPr/>
              <w:t>​</w:t>
            </w:r>
          </w:p>
        </w:tc>
        <w:tc>
          <w:tcPr>
            <w:tcW w:w="45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9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bookmarkStart w:id="1240" w:name="Tc_gqflByGWgUOuxWtYjQEkfg_11_5"/>
      <w:bookmarkStart w:id="1241" w:name="Tc_VGM4ryPRjEyG5H58O3btOA_11_2"/>
      <w:bookmarkStart w:id="1242" w:name="Tc_EJQgUkrl_Uup_gpuoWvkKA_11_0"/>
      <w:bookmarkStart w:id="1243" w:name="Tc_nBja3pLjdkGep-XUPmAyXQ_10_0"/>
      <w:bookmarkStart w:id="1244" w:name="Tc_9_ypwKYmp0S77-kYbJmY5Q_9_0"/>
      <w:bookmarkStart w:id="1245" w:name="Tc_ItqT4qJ9iUmV2Jf2AC_H2w_8_0"/>
      <w:bookmarkStart w:id="1246" w:name="Tc_-IRc4iPga0e8CQ8Yi_LdGQ_7_0"/>
      <w:bookmarkStart w:id="1247" w:name="Tc_rIieQMdMfkmziraNXhXHyA_6_0"/>
      <w:bookmarkStart w:id="1248" w:name="Tc_PnOfG5T4vES8Rnh24B4xEQ_5_0"/>
      <w:bookmarkStart w:id="1249" w:name="Tc_j-Xma2mmVkqrkwFzoI3wfQ_4_5"/>
      <w:bookmarkStart w:id="1250" w:name="Tc_NanV7_euEkGimqUOiypeKg_4_2"/>
      <w:bookmarkStart w:id="1251" w:name="Tc_Cmk90AEO_E-F_LecwYumkQ_4_0"/>
      <w:bookmarkStart w:id="1252" w:name="Tc_6Xdv86nWEk6DcHKcsOgG_w_3_0"/>
      <w:bookmarkStart w:id="1253" w:name="Tc_p0tWHPJhuEiYVM_GGN4A8Q_2_5"/>
      <w:bookmarkStart w:id="1254" w:name="Tc_vpuUYolpPE6b-vKzUFUuoA_2_2"/>
      <w:bookmarkStart w:id="1255" w:name="Tc_IASNlFJkz0mYBKmxiRtfRw_1_2"/>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r>
        <w:rPr>
          <w:rFonts w:ascii="Times New Roman;Times;serif" w:hAnsi="Times New Roman;Times;serif"/>
          <w:sz w:val="20"/>
        </w:rPr>
        <w:t>During the three- and nine-months ended September 30, 2025 and 2024, realized gains or losses recognized on the sale of investments were not significant.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investments at September 30, 2025 carried investment grade credit ratings.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summarizes the underlying contractual maturities of the Company’s investments at September 30, 2025. The Company held no short-term or long-term investments at December 31, 2024.</w:t>
      </w:r>
    </w:p>
    <w:p>
      <w:pPr>
        <w:pStyle w:val="TextBody"/>
        <w:bidi w:val="0"/>
        <w:spacing w:before="0" w:after="0"/>
        <w:ind w:left="0" w:right="0" w:hanging="0"/>
        <w:jc w:val="left"/>
        <w:rPr/>
      </w:pPr>
      <w:r>
        <w:rPr/>
        <w:t>​</w:t>
      </w:r>
    </w:p>
    <w:tbl>
      <w:tblPr>
        <w:tblW w:w="5035" w:type="dxa"/>
        <w:jc w:val="left"/>
        <w:tblInd w:w="0" w:type="dxa"/>
        <w:tblLayout w:type="fixed"/>
        <w:tblCellMar>
          <w:top w:w="0" w:type="dxa"/>
          <w:left w:w="0" w:type="dxa"/>
          <w:bottom w:w="0" w:type="dxa"/>
          <w:right w:w="0" w:type="dxa"/>
        </w:tblCellMar>
      </w:tblPr>
      <w:tblGrid>
        <w:gridCol w:w="1906"/>
        <w:gridCol w:w="326"/>
        <w:gridCol w:w="293"/>
        <w:gridCol w:w="1087"/>
        <w:gridCol w:w="326"/>
        <w:gridCol w:w="211"/>
        <w:gridCol w:w="886"/>
      </w:tblGrid>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210310" cy="175260"/>
                      <wp:effectExtent l="0" t="0" r="0" b="0"/>
                      <wp:wrapNone/>
                      <wp:docPr id="170" name="Frame170"/>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71" name="Frame1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86055" cy="175260"/>
                      <wp:effectExtent l="0" t="0" r="0" b="0"/>
                      <wp:wrapNone/>
                      <wp:docPr id="172" name="Frame172"/>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90245" cy="175260"/>
                      <wp:effectExtent l="0" t="0" r="0" b="0"/>
                      <wp:wrapNone/>
                      <wp:docPr id="173" name="Frame173"/>
                      <a:graphic xmlns:a="http://schemas.openxmlformats.org/drawingml/2006/main">
                        <a:graphicData uri="http://schemas.microsoft.com/office/word/2010/wordprocessingShape">
                          <wps:wsp>
                            <wps:cNvSpPr txBox="1"/>
                            <wps:spPr>
                              <a:xfrm>
                                <a:off x="0" y="0"/>
                                <a:ext cx="690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74" name="Frame1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33985" cy="175260"/>
                      <wp:effectExtent l="0" t="0" r="0" b="0"/>
                      <wp:wrapNone/>
                      <wp:docPr id="175" name="Frame1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562610" cy="175260"/>
                      <wp:effectExtent l="0" t="0" r="0" b="0"/>
                      <wp:wrapNone/>
                      <wp:docPr id="176" name="Frame17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80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 2025</w:t>
            </w:r>
          </w:p>
        </w:tc>
      </w:tr>
      <w:tr>
        <w:trPr/>
        <w:tc>
          <w:tcPr>
            <w:tcW w:w="19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3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Amortized Cost</w:t>
            </w:r>
          </w:p>
        </w:tc>
        <w:tc>
          <w:tcPr>
            <w:tcW w:w="326" w:type="dxa"/>
            <w:tcBorders/>
            <w:vAlign w:val="center"/>
          </w:tcPr>
          <w:p>
            <w:pPr>
              <w:pStyle w:val="TableContents"/>
              <w:bidi w:val="0"/>
              <w:spacing w:before="0" w:after="0"/>
              <w:ind w:left="0" w:right="0" w:hanging="0"/>
              <w:jc w:val="center"/>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Fair Value</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than 1 year:</w:t>
            </w:r>
          </w:p>
        </w:tc>
        <w:tc>
          <w:tcPr>
            <w:tcW w:w="32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1087"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  </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2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31,601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31,601</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Certificates of deposit</w:t>
            </w:r>
          </w:p>
        </w:tc>
        <w:tc>
          <w:tcPr>
            <w:tcW w:w="32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 </w:t>
            </w:r>
          </w:p>
        </w:tc>
        <w:tc>
          <w:tcPr>
            <w:tcW w:w="10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15,444</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treasuries</w:t>
            </w:r>
          </w:p>
        </w:tc>
        <w:tc>
          <w:tcPr>
            <w:tcW w:w="32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 </w:t>
            </w:r>
          </w:p>
        </w:tc>
        <w:tc>
          <w:tcPr>
            <w:tcW w:w="10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209,387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209,527</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2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 </w:t>
            </w:r>
          </w:p>
        </w:tc>
        <w:tc>
          <w:tcPr>
            <w:tcW w:w="10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29,819</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1 - 10 years:</w:t>
            </w:r>
          </w:p>
        </w:tc>
        <w:tc>
          <w:tcPr>
            <w:tcW w:w="32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 </w:t>
            </w:r>
          </w:p>
        </w:tc>
        <w:tc>
          <w:tcPr>
            <w:tcW w:w="10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treasuries</w:t>
            </w:r>
          </w:p>
        </w:tc>
        <w:tc>
          <w:tcPr>
            <w:tcW w:w="32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 </w:t>
            </w:r>
          </w:p>
        </w:tc>
        <w:tc>
          <w:tcPr>
            <w:tcW w:w="10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214,843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214,902</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26" w:type="dxa"/>
            <w:tcBorders/>
            <w:vAlign w:val="center"/>
          </w:tcPr>
          <w:p>
            <w:pPr>
              <w:pStyle w:val="TableContents"/>
              <w:bidi w:val="0"/>
              <w:spacing w:before="0" w:after="0"/>
              <w:ind w:left="0" w:right="0" w:hanging="0"/>
              <w:jc w:val="left"/>
              <w:rPr/>
            </w:pPr>
            <w:r>
              <w:rPr/>
              <w:t>​</w:t>
            </w:r>
          </w:p>
        </w:tc>
        <w:tc>
          <w:tcPr>
            <w:tcW w:w="29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144,104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144,272</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9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645,133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645,565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6107" w:type="dxa"/>
        <w:jc w:val="left"/>
        <w:tblInd w:w="0" w:type="dxa"/>
        <w:tblLayout w:type="fixed"/>
        <w:tblCellMar>
          <w:top w:w="0" w:type="dxa"/>
          <w:left w:w="0" w:type="dxa"/>
          <w:bottom w:w="0" w:type="dxa"/>
          <w:right w:w="0" w:type="dxa"/>
        </w:tblCellMar>
      </w:tblPr>
      <w:tblGrid>
        <w:gridCol w:w="271"/>
        <w:gridCol w:w="5836"/>
      </w:tblGrid>
      <w:tr>
        <w:trPr/>
        <w:tc>
          <w:tcPr>
            <w:tcW w:w="2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583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FAIR VALUE OF CERTAIN FINANCIAL ASSETS AND LIABILITIES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ASC 820, “Fair Value Measurement”, provides a framework for measuring fair value and requires disclosures regarding fair value measurements. ASC 820 defines fair value as the price that would be received on the sale of an asset or paid to transfer a liability in an orderly transaction between market participants at the measurement date. ASC 820 also establishes a fair value hierarchy that requires an entity to maximize the use of observable inputs, where available. The three levels of inputs required by the standard that the Company uses to measure fair value are summarized below.</w:t>
      </w:r>
    </w:p>
    <w:tbl>
      <w:tblPr>
        <w:tblW w:w="6441" w:type="dxa"/>
        <w:jc w:val="left"/>
        <w:tblInd w:w="0" w:type="dxa"/>
        <w:tblLayout w:type="fixed"/>
        <w:tblCellMar>
          <w:top w:w="28" w:type="dxa"/>
          <w:left w:w="28" w:type="dxa"/>
          <w:bottom w:w="28" w:type="dxa"/>
          <w:right w:w="28" w:type="dxa"/>
        </w:tblCellMar>
      </w:tblPr>
      <w:tblGrid>
        <w:gridCol w:w="124"/>
        <w:gridCol w:w="256"/>
        <w:gridCol w:w="6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6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Level 1: </w:t>
            </w:r>
            <w:r>
              <w:rPr>
                <w:rFonts w:ascii="Times New Roman;Times;serif" w:hAnsi="Times New Roman;Times;serif"/>
                <w:b w:val="false"/>
                <w:i w:val="false"/>
                <w:caps w:val="false"/>
                <w:smallCaps w:val="false"/>
                <w:sz w:val="20"/>
              </w:rPr>
              <w:t>Quoted prices in active markets for identical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Level 2: </w:t>
            </w:r>
            <w:r>
              <w:rPr>
                <w:rFonts w:ascii="Times New Roman;Times;serif" w:hAnsi="Times New Roman;Times;serif"/>
                <w:b w:val="false"/>
                <w:i w:val="false"/>
                <w:caps w:val="false"/>
                <w:smallCaps w:val="false"/>
                <w:sz w:val="20"/>
              </w:rPr>
              <w:t>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Level 3: </w:t>
            </w:r>
            <w:r>
              <w:rPr>
                <w:rFonts w:ascii="Times New Roman;Times;serif" w:hAnsi="Times New Roman;Times;serif"/>
                <w:b w:val="false"/>
                <w:i w:val="false"/>
                <w:caps w:val="false"/>
                <w:smallCaps w:val="false"/>
                <w:sz w:val="20"/>
              </w:rPr>
              <w:t>Unobservable inputs that are supported by little or no market activity and that are significant to the fair value of the assets or liabilities.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ASC 820 requires the use of observable market inputs (quoted market prices) when measuring fair value and requires a Level 1 quoted price to be used to measure fair value whenever possible.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bookmarkStart w:id="1256" w:name="_839788ad_c501_4b43_a655_cc7e4a324398_3"/>
      <w:bookmarkStart w:id="1257" w:name="_839788ad_c501_4b43_a655_cc7e4a324398_2"/>
      <w:bookmarkStart w:id="1258" w:name="_839788ad_c501_4b43_a655_cc7e4a324398"/>
      <w:bookmarkStart w:id="1259" w:name="_349b750c_fa94_4c60_9c87_084131f7ccf7_3"/>
      <w:bookmarkStart w:id="1260" w:name="_349b750c_fa94_4c60_9c87_084131f7ccf7_2"/>
      <w:bookmarkStart w:id="1261" w:name="_349b750c_fa94_4c60_9c87_084131f7ccf7"/>
      <w:bookmarkStart w:id="1262" w:name="_a2942ca6_f60f_435f_9704_8594af99e835_3"/>
      <w:bookmarkStart w:id="1263" w:name="_a2942ca6_f60f_435f_9704_8594af99e835_2"/>
      <w:bookmarkStart w:id="1264" w:name="_a2942ca6_f60f_435f_9704_8594af99e835"/>
      <w:bookmarkStart w:id="1265" w:name="Tc_tglIj8f97UqTkM_gGNTg3A_15_11"/>
      <w:bookmarkStart w:id="1266" w:name="Tc_OYlL4FQPnU6wwaYdO91IYg_15_8"/>
      <w:bookmarkStart w:id="1267" w:name="Tc_SILTCyzMDEOqKTHkamwC0g_15_5"/>
      <w:bookmarkStart w:id="1268" w:name="Tc_vxQC_DH4y0-Lbw245p4nwQ_15_2"/>
      <w:bookmarkStart w:id="1269" w:name="Tc_idsPqlfDhUiDi2TPo_6ZkA_15_0"/>
      <w:bookmarkStart w:id="1270" w:name="Tc_gl42QabQ3kOhnQWi-tohwQ_14_0"/>
      <w:bookmarkStart w:id="1271" w:name="Tc_5wtxJla7DUqHbG5xhcgQUQ_13_0"/>
      <w:bookmarkStart w:id="1272" w:name="Tc_jbya_n_3CECgy9xISbTIMQ_12_0"/>
      <w:bookmarkStart w:id="1273" w:name="Tc_hejN61XyR06gOgwE9JEmPw_11_0"/>
      <w:bookmarkStart w:id="1274" w:name="Tc_Nel80x7HW025ba2nmET3qw_10_11"/>
      <w:bookmarkStart w:id="1275" w:name="Tc_eiEq6GNsdUC-1bo_cMsxzw_10_8"/>
      <w:bookmarkStart w:id="1276" w:name="Tc_f-1xQOnPn02CVmpOxLsQMg_10_5"/>
      <w:bookmarkStart w:id="1277" w:name="Tc_bXtbQOBix0muClupEZjaDQ_10_2"/>
      <w:bookmarkStart w:id="1278" w:name="Tc_-Gg_oNhj80ihMFaAY7OBog_10_0"/>
      <w:bookmarkStart w:id="1279" w:name="Tc_O8rY-UIPy0Od0L1tPpuZgA_9_0"/>
      <w:bookmarkStart w:id="1280" w:name="Tc_Sf-bD4YvakqIn4RzmY4wUw_7_11"/>
      <w:bookmarkStart w:id="1281" w:name="Tc_BcqaxolHRky58RodYqrKQg_7_8"/>
      <w:bookmarkStart w:id="1282" w:name="Tc_O8gFD0PXTkW47IFvVZ4-gQ_7_5"/>
      <w:bookmarkStart w:id="1283" w:name="Tc_I_w_A4btrEOFOw5i89oS-Q_7_2"/>
      <w:bookmarkStart w:id="1284" w:name="Tc_kDQjTbTT40WWvW8o7HRMgw_7_0"/>
      <w:bookmarkStart w:id="1285" w:name="Tc_s1fHwM4hZEGJHbg2iYdsRA_6_0"/>
      <w:bookmarkStart w:id="1286" w:name="Tc_QhMITVhnvUOvv7e7zpuRgg_5_0"/>
      <w:bookmarkStart w:id="1287" w:name="Tc_yi_Fk28Hwk-3GVFCYUMScQ_4_0"/>
      <w:bookmarkStart w:id="1288" w:name="Tc_rousnWKaJE23ZFKKYmbwKA_3_0"/>
      <w:bookmarkStart w:id="1289" w:name="Tc_R_YsqvTJSkyHn3JNJgzArw_2_11"/>
      <w:bookmarkStart w:id="1290" w:name="Tc_SlWKCl4QdUGY2mNJPPj9Yw_2_8"/>
      <w:bookmarkStart w:id="1291" w:name="Tc_zcUlta0_sUm0l59D-5MDLg_2_5"/>
      <w:bookmarkStart w:id="1292" w:name="Tc_X66OGRjRDUal0aUdIRM9ZQ_2_2"/>
      <w:bookmarkStart w:id="1293" w:name="Tc_nv-16wSVbUu8DKIMrxBoYg_2_0"/>
      <w:bookmarkStart w:id="1294" w:name="Tc_pBJy7NimYkKYcpgN7hsufw_1_11"/>
      <w:bookmarkStart w:id="1295" w:name="Tc_UMj2l-vrf0qbsJlXvDEPSw_1_8"/>
      <w:bookmarkStart w:id="1296" w:name="Tc_RivkW6FesEOcyPB9XGwA0g_1_5"/>
      <w:bookmarkStart w:id="1297" w:name="Tc_ida_I51QWkiS6Njr9Jdc-A_1_2"/>
      <w:bookmarkStart w:id="1298" w:name="Tc_HiCf0crGUEGXc3eCKyhHkA_1_0"/>
      <w:bookmarkStart w:id="1299" w:name="_c899e345_8a9f_4227_b79e_3e69ce4878b9"/>
      <w:bookmarkStart w:id="1300" w:name="Tc_bIUCOI9QjEWRVm856O6q6A_20_11"/>
      <w:bookmarkStart w:id="1301" w:name="Tc_ZR93nS6fYEaNpnyFYblCdA_20_8"/>
      <w:bookmarkStart w:id="1302" w:name="Tc_1Q6GjjaflEy6GHNrxy3jcA_20_5"/>
      <w:bookmarkStart w:id="1303" w:name="Tc_DDCdpXxMyUqHssuWxlNRnw_20_2"/>
      <w:bookmarkStart w:id="1304" w:name="Tc_NmYBYxRqAUOX9fVxy5OiuQ_20_0"/>
      <w:bookmarkStart w:id="1305" w:name="Tc_KpqP8xUGdUKTm8i1yhc1dA_19_0"/>
      <w:bookmarkStart w:id="1306" w:name="Tc_w6i2FakE5UeHJIsB2BJAAw_18_0"/>
      <w:bookmarkStart w:id="1307" w:name="Tc_sSxE4PO5DECY0b-tNv5bwA_17_0"/>
      <w:bookmarkStart w:id="1308" w:name="Tc_9gYDfKG940elwY_KE-3fEQ_16_0"/>
      <w:bookmarkStart w:id="1309" w:name="Tc_3bcA9uRAk0-VU-dq-RdiQg_15_0"/>
      <w:bookmarkStart w:id="1310" w:name="Tc_k0Ne9J0VtU-5kPG-GLEfkA_14_0"/>
      <w:bookmarkStart w:id="1311" w:name="Tc_YQBTmt-83Eu8ItoW5xdcUw_13_11"/>
      <w:bookmarkStart w:id="1312" w:name="Tc_pJNTTzuzNE6_9GNBrUy_rQ_13_8"/>
      <w:bookmarkStart w:id="1313" w:name="Tc_xSjDPdkPkUGw6genrd9psg_13_5"/>
      <w:bookmarkStart w:id="1314" w:name="Tc_fOIEXduONkC8oYrph9QO3Q_13_2"/>
      <w:bookmarkStart w:id="1315" w:name="Tc__UW51fKookKRlhYz6ltCdQ_13_0"/>
      <w:bookmarkStart w:id="1316" w:name="Tc_1d8mMZBNREuwVfkO6ObNTw_12_0"/>
      <w:bookmarkStart w:id="1317" w:name="Tc_yb8h_6DBmEqO18uqhYE4UQ_10_11"/>
      <w:bookmarkStart w:id="1318" w:name="Tc_aU6cBvN8RkCbi-zkDkvyHw_10_8"/>
      <w:bookmarkStart w:id="1319" w:name="Tc_Layn-r1Q0U-1kTEnvSdUyA_10_5"/>
      <w:bookmarkStart w:id="1320" w:name="Tc_F47xeJNV0U-fxUAlvHXkfA_10_2"/>
      <w:bookmarkStart w:id="1321" w:name="Tc_8B6X37VbikeHqw0LpLOZ2Q_10_0"/>
      <w:bookmarkStart w:id="1322" w:name="Tc_fFVvgvworEuKE-21M_CeLw_9_0"/>
      <w:bookmarkStart w:id="1323" w:name="Tc_L8w8_3__w0CWGeH3lGF1-g_8_0"/>
      <w:bookmarkStart w:id="1324" w:name="Tc_aYYMEJp9L0K830zYdRxE_A_7_0"/>
      <w:bookmarkStart w:id="1325" w:name="Tc_Ee9ZNthmT0aHtRlmV4hD-Q_6_0"/>
      <w:bookmarkStart w:id="1326" w:name="Tc_Jb-3pif8aUOew3GXefDQrg_5_0"/>
      <w:bookmarkStart w:id="1327" w:name="Tc_KBpp94yvaUSl32Vvmm1skQ_4_0"/>
      <w:bookmarkStart w:id="1328" w:name="Tc_LfcI6U_VkEu5xnsp5eTAUQ_3_0"/>
      <w:bookmarkStart w:id="1329" w:name="Tc_ukAwxtIEWUiPziUGrkbO3Q_2_11"/>
      <w:bookmarkStart w:id="1330" w:name="Tc_g4QkupAsdEiiuHAV4-l0cw_2_8"/>
      <w:bookmarkStart w:id="1331" w:name="Tc_m1uQyyU4xEqvf_wZNMJlaw_2_5"/>
      <w:bookmarkStart w:id="1332" w:name="Tc_EIR4z71MekujvqlQtOWtQQ_2_2"/>
      <w:bookmarkStart w:id="1333" w:name="Tc_Bswk0AwcQ0eSsPROQcZO4Q_2_0"/>
      <w:bookmarkStart w:id="1334" w:name="Tc_Tma9pUkTG0GPi1zswHbfQg_1_11"/>
      <w:bookmarkStart w:id="1335" w:name="Tc_A3xgr0LMu0ScVzkxXncs7w_1_8"/>
      <w:bookmarkStart w:id="1336" w:name="Tc_LrZV_6DOz0uaQuWsqCHLUg_1_5"/>
      <w:bookmarkStart w:id="1337" w:name="Tc_I93vEkHcyEu40d7IklYiSQ_1_2"/>
      <w:bookmarkStart w:id="1338" w:name="Tc_ry_b6DH8FESddHARLMhm3w_1_0"/>
      <w:bookmarkStart w:id="1339" w:name="_28b21def_c64e_419b_9475_3e21586523d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r>
        <w:rPr>
          <w:rFonts w:ascii="Times New Roman;Times;serif" w:hAnsi="Times New Roman;Times;serif"/>
          <w:sz w:val="20"/>
        </w:rPr>
        <w:t>The following tables present the fair value of the Company’s financial assets and liabilities that are recorded at fair value on a recurring basis, segregated among the appropriate levels within the fair value hierarchy at:</w:t>
      </w:r>
    </w:p>
    <w:p>
      <w:pPr>
        <w:pStyle w:val="TextBody"/>
        <w:bidi w:val="0"/>
        <w:spacing w:before="0" w:after="0"/>
        <w:ind w:left="0" w:right="0" w:hanging="0"/>
        <w:jc w:val="left"/>
        <w:rPr/>
      </w:pPr>
      <w:r>
        <w:rPr/>
        <w:t>​</w:t>
      </w:r>
    </w:p>
    <w:tbl>
      <w:tblPr>
        <w:tblW w:w="8857" w:type="dxa"/>
        <w:jc w:val="left"/>
        <w:tblInd w:w="0" w:type="dxa"/>
        <w:tblLayout w:type="fixed"/>
        <w:tblCellMar>
          <w:top w:w="0" w:type="dxa"/>
          <w:left w:w="0" w:type="dxa"/>
          <w:bottom w:w="0" w:type="dxa"/>
          <w:right w:w="0" w:type="dxa"/>
        </w:tblCellMar>
      </w:tblPr>
      <w:tblGrid>
        <w:gridCol w:w="3451"/>
        <w:gridCol w:w="326"/>
        <w:gridCol w:w="211"/>
        <w:gridCol w:w="931"/>
        <w:gridCol w:w="326"/>
        <w:gridCol w:w="211"/>
        <w:gridCol w:w="781"/>
        <w:gridCol w:w="326"/>
        <w:gridCol w:w="273"/>
        <w:gridCol w:w="448"/>
        <w:gridCol w:w="326"/>
        <w:gridCol w:w="211"/>
        <w:gridCol w:w="1036"/>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91385" cy="175260"/>
                      <wp:effectExtent l="0" t="0" r="0" b="0"/>
                      <wp:wrapNone/>
                      <wp:docPr id="177" name="Frame177"/>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78" name="Frame1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33985" cy="175260"/>
                      <wp:effectExtent l="0" t="0" r="0" b="0"/>
                      <wp:wrapNone/>
                      <wp:docPr id="179" name="Frame1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591185" cy="175260"/>
                      <wp:effectExtent l="0" t="0" r="0" b="0"/>
                      <wp:wrapNone/>
                      <wp:docPr id="180" name="Frame18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7010" cy="175260"/>
                      <wp:effectExtent l="0" t="0" r="0" b="0"/>
                      <wp:wrapNone/>
                      <wp:docPr id="181" name="Frame1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33985" cy="175260"/>
                      <wp:effectExtent l="0" t="0" r="0" b="0"/>
                      <wp:wrapNone/>
                      <wp:docPr id="182" name="Frame1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495935" cy="175260"/>
                      <wp:effectExtent l="0" t="0" r="0" b="0"/>
                      <wp:wrapNone/>
                      <wp:docPr id="183" name="Frame18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7010" cy="175260"/>
                      <wp:effectExtent l="0" t="0" r="0" b="0"/>
                      <wp:wrapNone/>
                      <wp:docPr id="184" name="Frame1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73355" cy="175260"/>
                      <wp:effectExtent l="0" t="0" r="0" b="0"/>
                      <wp:wrapNone/>
                      <wp:docPr id="185" name="Frame185"/>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84480" cy="175260"/>
                      <wp:effectExtent l="0" t="0" r="0" b="0"/>
                      <wp:wrapNone/>
                      <wp:docPr id="186" name="Frame186"/>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7" name="Frame1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33985" cy="175260"/>
                      <wp:effectExtent l="0" t="0" r="0" b="0"/>
                      <wp:wrapNone/>
                      <wp:docPr id="188" name="Frame1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57860" cy="175260"/>
                      <wp:effectExtent l="0" t="0" r="0" b="0"/>
                      <wp:wrapNone/>
                      <wp:docPr id="189" name="Frame18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30, 2025</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1</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2</w:t>
            </w:r>
          </w:p>
        </w:tc>
        <w:tc>
          <w:tcPr>
            <w:tcW w:w="326" w:type="dxa"/>
            <w:tcBorders/>
            <w:vAlign w:val="center"/>
          </w:tcPr>
          <w:p>
            <w:pPr>
              <w:pStyle w:val="TableContents"/>
              <w:bidi w:val="0"/>
              <w:spacing w:before="0" w:after="0"/>
              <w:ind w:left="0" w:right="0" w:hanging="0"/>
              <w:jc w:val="center"/>
              <w:rPr/>
            </w:pPr>
            <w:r>
              <w:rPr/>
              <w:t>    </w:t>
            </w:r>
          </w:p>
        </w:tc>
        <w:tc>
          <w:tcPr>
            <w:tcW w:w="7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3</w:t>
            </w:r>
          </w:p>
        </w:tc>
        <w:tc>
          <w:tcPr>
            <w:tcW w:w="326" w:type="dxa"/>
            <w:tcBorders/>
            <w:vAlign w:val="center"/>
          </w:tcPr>
          <w:p>
            <w:pPr>
              <w:pStyle w:val="TableContents"/>
              <w:bidi w:val="0"/>
              <w:spacing w:before="0" w:after="0"/>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1,307,856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1,307,856</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927,713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927,713</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Certificates of deposit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72,814</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72,814</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31,601</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31,601</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174,091</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174,091</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U.S. treasuries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424,429</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424,429</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derivatives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(907)</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 </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(907)</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derivatives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24,327</w:t>
            </w:r>
          </w:p>
        </w:tc>
        <w:tc>
          <w:tcPr>
            <w:tcW w:w="326" w:type="dxa"/>
            <w:tcBorders/>
            <w:vAlign w:val="center"/>
          </w:tcPr>
          <w:p>
            <w:pPr>
              <w:pStyle w:val="TableContents"/>
              <w:bidi w:val="0"/>
              <w:spacing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4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24,327</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2,235,569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726,355</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2,961,924</w: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included in: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2,235,569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57,370</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2,292,939</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286,391</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 </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286,391</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25,666</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25,666</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1,777</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1,777</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359,174</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359,174</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(4,051)</w:t>
            </w:r>
          </w:p>
        </w:tc>
        <w:tc>
          <w:tcPr>
            <w:tcW w:w="326" w:type="dxa"/>
            <w:tcBorders/>
            <w:vAlign w:val="center"/>
          </w:tcPr>
          <w:p>
            <w:pPr>
              <w:pStyle w:val="TableContents"/>
              <w:bidi w:val="0"/>
              <w:spacing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4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(4,051)</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2,235,569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726,355</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2,961,924</w:t>
            </w:r>
          </w:p>
        </w:tc>
      </w:tr>
    </w:tbl>
    <w:p>
      <w:pPr>
        <w:pStyle w:val="TextBody"/>
        <w:bidi w:val="0"/>
        <w:spacing w:before="0" w:after="0"/>
        <w:ind w:left="0" w:right="0" w:hanging="0"/>
        <w:jc w:val="left"/>
        <w:rPr/>
      </w:pPr>
      <w:r>
        <w:rPr/>
        <w:t>​</w:t>
      </w:r>
    </w:p>
    <w:tbl>
      <w:tblPr>
        <w:tblW w:w="7762" w:type="dxa"/>
        <w:jc w:val="left"/>
        <w:tblInd w:w="0" w:type="dxa"/>
        <w:tblLayout w:type="fixed"/>
        <w:tblCellMar>
          <w:top w:w="0" w:type="dxa"/>
          <w:left w:w="0" w:type="dxa"/>
          <w:bottom w:w="0" w:type="dxa"/>
          <w:right w:w="0" w:type="dxa"/>
        </w:tblCellMar>
      </w:tblPr>
      <w:tblGrid>
        <w:gridCol w:w="2446"/>
        <w:gridCol w:w="326"/>
        <w:gridCol w:w="211"/>
        <w:gridCol w:w="931"/>
        <w:gridCol w:w="326"/>
        <w:gridCol w:w="211"/>
        <w:gridCol w:w="691"/>
        <w:gridCol w:w="326"/>
        <w:gridCol w:w="273"/>
        <w:gridCol w:w="448"/>
        <w:gridCol w:w="326"/>
        <w:gridCol w:w="211"/>
        <w:gridCol w:w="1036"/>
      </w:tblGrid>
      <w:tr>
        <w:trPr/>
        <w:tc>
          <w:tcPr>
            <w:tcW w:w="2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553210" cy="175260"/>
                      <wp:effectExtent l="0" t="0" r="0" b="0"/>
                      <wp:wrapNone/>
                      <wp:docPr id="190" name="Frame190"/>
                      <a:graphic xmlns:a="http://schemas.openxmlformats.org/drawingml/2006/main">
                        <a:graphicData uri="http://schemas.microsoft.com/office/word/2010/wordprocessingShape">
                          <wps:wsp>
                            <wps:cNvSpPr txBox="1"/>
                            <wps:spPr>
                              <a:xfrm>
                                <a:off x="0" y="0"/>
                                <a:ext cx="1553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07010" cy="175260"/>
                      <wp:effectExtent l="0" t="0" r="0" b="0"/>
                      <wp:wrapNone/>
                      <wp:docPr id="191" name="Frame1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33985" cy="175260"/>
                      <wp:effectExtent l="0" t="0" r="0" b="0"/>
                      <wp:wrapNone/>
                      <wp:docPr id="192" name="Frame1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591185" cy="175260"/>
                      <wp:effectExtent l="0" t="0" r="0" b="0"/>
                      <wp:wrapNone/>
                      <wp:docPr id="193" name="Frame19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07010" cy="175260"/>
                      <wp:effectExtent l="0" t="0" r="0" b="0"/>
                      <wp:wrapNone/>
                      <wp:docPr id="194" name="Frame1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3985" cy="175260"/>
                      <wp:effectExtent l="0" t="0" r="0" b="0"/>
                      <wp:wrapNone/>
                      <wp:docPr id="195" name="Frame1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438785" cy="175260"/>
                      <wp:effectExtent l="0" t="0" r="0" b="0"/>
                      <wp:wrapNone/>
                      <wp:docPr id="196" name="Frame19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07010" cy="175260"/>
                      <wp:effectExtent l="0" t="0" r="0" b="0"/>
                      <wp:wrapNone/>
                      <wp:docPr id="197" name="Frame1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73355" cy="175260"/>
                      <wp:effectExtent l="0" t="0" r="0" b="0"/>
                      <wp:wrapNone/>
                      <wp:docPr id="198" name="Frame198"/>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84480" cy="175260"/>
                      <wp:effectExtent l="0" t="0" r="0" b="0"/>
                      <wp:wrapNone/>
                      <wp:docPr id="199" name="Frame199"/>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7010" cy="175260"/>
                      <wp:effectExtent l="0" t="0" r="0" b="0"/>
                      <wp:wrapNone/>
                      <wp:docPr id="200" name="Frame2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33985" cy="175260"/>
                      <wp:effectExtent l="0" t="0" r="0" b="0"/>
                      <wp:wrapNone/>
                      <wp:docPr id="201" name="Frame2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57860" cy="175260"/>
                      <wp:effectExtent l="0" t="0" r="0" b="0"/>
                      <wp:wrapNone/>
                      <wp:docPr id="202" name="Frame20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31, 2024</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1</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2</w:t>
            </w:r>
          </w:p>
        </w:tc>
        <w:tc>
          <w:tcPr>
            <w:tcW w:w="326" w:type="dxa"/>
            <w:tcBorders/>
            <w:vAlign w:val="center"/>
          </w:tcPr>
          <w:p>
            <w:pPr>
              <w:pStyle w:val="TableContents"/>
              <w:bidi w:val="0"/>
              <w:spacing w:before="0" w:after="0"/>
              <w:ind w:left="0" w:right="0" w:hanging="0"/>
              <w:jc w:val="left"/>
              <w:rPr/>
            </w:pPr>
            <w:r>
              <w:rPr/>
              <w:t>    </w:t>
            </w:r>
          </w:p>
        </w:tc>
        <w:tc>
          <w:tcPr>
            <w:tcW w:w="7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3</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1,103,647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1,103,647</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396,306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396,306</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Certificates of deposit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33,334</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33,334</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derivatives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derivatives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1,499,953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33,348</w:t>
            </w:r>
          </w:p>
        </w:tc>
        <w:tc>
          <w:tcPr>
            <w:tcW w:w="326" w:type="dxa"/>
            <w:tcBorders/>
            <w:vAlign w:val="center"/>
          </w:tcPr>
          <w:p>
            <w:pPr>
              <w:pStyle w:val="TableContents"/>
              <w:bidi w:val="0"/>
              <w:spacing w:before="0" w:after="0"/>
              <w:ind w:left="0" w:right="0" w:hanging="0"/>
              <w:jc w:val="left"/>
              <w:rPr/>
            </w:pPr>
            <w:r>
              <w:rPr/>
              <w:t>​</w:t>
            </w:r>
          </w:p>
        </w:tc>
        <w:tc>
          <w:tcPr>
            <w:tcW w:w="27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1,533,301</w:t>
            </w:r>
          </w:p>
        </w:tc>
      </w:tr>
      <w:tr>
        <w:trPr/>
        <w:tc>
          <w:tcPr>
            <w:tcW w:w="24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included in: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1,499,953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33,334</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1,533,287</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5,991</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5,991</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(5,952)</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(5,952)</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1,499,953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33,348</w:t>
            </w:r>
          </w:p>
        </w:tc>
        <w:tc>
          <w:tcPr>
            <w:tcW w:w="326" w:type="dxa"/>
            <w:tcBorders/>
            <w:vAlign w:val="center"/>
          </w:tcPr>
          <w:p>
            <w:pPr>
              <w:pStyle w:val="TableContents"/>
              <w:bidi w:val="0"/>
              <w:spacing w:before="0" w:after="0"/>
              <w:ind w:left="0" w:right="0" w:hanging="0"/>
              <w:jc w:val="left"/>
              <w:rPr/>
            </w:pPr>
            <w:r>
              <w:rPr/>
              <w:t>​</w:t>
            </w:r>
          </w:p>
        </w:tc>
        <w:tc>
          <w:tcPr>
            <w:tcW w:w="27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1,533,301</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Company’s valuation of its Level 1 investments is based on quoted market prices in active markets for identical securities. The Company’s valuation of its Level 2 investments is based on other observable inputs, specifically a market approach which utilizes valuation models, pricing systems, mathematical tools and other relevant information for the same or similar securities. The Company’s valuation of its Level 2 foreign currency exchange contracts is based on quoted market prices of the same or similar instruments, adjusted for counterparty risk. There were no transfers between Level 1 and Level 2 measurements during the </w:t>
      </w:r>
      <w:r>
        <w:rPr>
          <w:rFonts w:ascii="Times New Roman;Times;serif" w:hAnsi="Times New Roman;Times;serif"/>
          <w:color w:val="212529"/>
          <w:sz w:val="20"/>
        </w:rPr>
        <w:t>three- and nine-months ended September 30, 2025</w:t>
      </w:r>
      <w:r>
        <w:rPr>
          <w:rFonts w:ascii="Times New Roman;Times;serif" w:hAnsi="Times New Roman;Times;serif"/>
          <w:sz w:val="20"/>
        </w:rPr>
        <w:t>, or during the year-ended December 31, 2024, and there were no changes in the Company’s valuation techniques.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340" w:name="Tc_oi_bK5ozs0enUijV2HWlQg_6_5"/>
      <w:bookmarkStart w:id="1341" w:name="Tc_hn8BHdWdsESRnHFsHh822g_6_2"/>
      <w:bookmarkStart w:id="1342" w:name="Tc_n8CSxWIDIEGdPfELk2qZLQ_5_0"/>
      <w:bookmarkStart w:id="1343" w:name="Tc_ajrVcgBkP0y8U0NiURC7EA_4_0"/>
      <w:bookmarkStart w:id="1344" w:name="Tc_HvU3AX1vdU2m9ZlmgpbLew_3_5"/>
      <w:bookmarkStart w:id="1345" w:name="Tc_APkdDsPd4EaG9hSpy4wMig_3_2"/>
      <w:bookmarkStart w:id="1346" w:name="Tc_IP2JVQymmEafB6aJoUeDOg_3_0"/>
      <w:bookmarkStart w:id="1347" w:name="Tc_0GrB5mBIRkSUSvhgNkELow_2_5"/>
      <w:bookmarkStart w:id="1348" w:name="Tc_9l5DDNrk4kaJZVEV_ptUTA_2_2"/>
      <w:bookmarkStart w:id="1349" w:name="Tc_EAFLgUTJ_0G1bQ8Xhd4c5w_1_5"/>
      <w:bookmarkStart w:id="1350" w:name="Tc_F6tmC4dm50KRcP79HW4MVw_1_2"/>
      <w:bookmarkStart w:id="1351" w:name="Tc_oi_bK5ozs0enUijV2HWlQg_6_5"/>
      <w:bookmarkStart w:id="1352" w:name="Tc_hn8BHdWdsESRnHFsHh822g_6_2"/>
      <w:bookmarkStart w:id="1353" w:name="Tc_n8CSxWIDIEGdPfELk2qZLQ_5_0"/>
      <w:bookmarkStart w:id="1354" w:name="Tc_ajrVcgBkP0y8U0NiURC7EA_4_0"/>
      <w:bookmarkStart w:id="1355" w:name="Tc_HvU3AX1vdU2m9ZlmgpbLew_3_5"/>
      <w:bookmarkStart w:id="1356" w:name="Tc_APkdDsPd4EaG9hSpy4wMig_3_2"/>
      <w:bookmarkStart w:id="1357" w:name="Tc_IP2JVQymmEafB6aJoUeDOg_3_0"/>
      <w:bookmarkStart w:id="1358" w:name="Tc_0GrB5mBIRkSUSvhgNkELow_2_5"/>
      <w:bookmarkStart w:id="1359" w:name="Tc_9l5DDNrk4kaJZVEV_ptUTA_2_2"/>
      <w:bookmarkStart w:id="1360" w:name="Tc_EAFLgUTJ_0G1bQ8Xhd4c5w_1_5"/>
      <w:bookmarkStart w:id="1361" w:name="Tc_F6tmC4dm50KRcP79HW4MVw_1_2"/>
      <w:bookmarkEnd w:id="1351"/>
      <w:bookmarkEnd w:id="1352"/>
      <w:bookmarkEnd w:id="1353"/>
      <w:bookmarkEnd w:id="1354"/>
      <w:bookmarkEnd w:id="1355"/>
      <w:bookmarkEnd w:id="1356"/>
      <w:bookmarkEnd w:id="1357"/>
      <w:bookmarkEnd w:id="1358"/>
      <w:bookmarkEnd w:id="1359"/>
      <w:bookmarkEnd w:id="1360"/>
      <w:bookmarkEnd w:id="1361"/>
    </w:p>
    <w:tbl>
      <w:tblPr>
        <w:tblW w:w="1682" w:type="dxa"/>
        <w:jc w:val="left"/>
        <w:tblInd w:w="0" w:type="dxa"/>
        <w:tblLayout w:type="fixed"/>
        <w:tblCellMar>
          <w:top w:w="0" w:type="dxa"/>
          <w:left w:w="0" w:type="dxa"/>
          <w:bottom w:w="0" w:type="dxa"/>
          <w:right w:w="0" w:type="dxa"/>
        </w:tblCellMar>
      </w:tblPr>
      <w:tblGrid>
        <w:gridCol w:w="271"/>
        <w:gridCol w:w="1411"/>
      </w:tblGrid>
      <w:tr>
        <w:trPr/>
        <w:tc>
          <w:tcPr>
            <w:tcW w:w="2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w:t>
            </w:r>
          </w:p>
        </w:tc>
        <w:tc>
          <w:tcPr>
            <w:tcW w:w="141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INVENTORIES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Inventories consist of the following at:</w:t>
      </w:r>
    </w:p>
    <w:p>
      <w:pPr>
        <w:pStyle w:val="TextBody"/>
        <w:bidi w:val="0"/>
        <w:spacing w:before="0" w:after="0"/>
        <w:ind w:left="0" w:right="0" w:hanging="0"/>
        <w:jc w:val="left"/>
        <w:rPr/>
      </w:pPr>
      <w:r>
        <w:rPr/>
        <w:t>​</w:t>
      </w:r>
    </w:p>
    <w:tbl>
      <w:tblPr>
        <w:tblW w:w="4688" w:type="dxa"/>
        <w:jc w:val="left"/>
        <w:tblInd w:w="0" w:type="dxa"/>
        <w:tblLayout w:type="fixed"/>
        <w:tblCellMar>
          <w:top w:w="0" w:type="dxa"/>
          <w:left w:w="0" w:type="dxa"/>
          <w:bottom w:w="0" w:type="dxa"/>
          <w:right w:w="0" w:type="dxa"/>
        </w:tblCellMar>
      </w:tblPr>
      <w:tblGrid>
        <w:gridCol w:w="1426"/>
        <w:gridCol w:w="326"/>
        <w:gridCol w:w="277"/>
        <w:gridCol w:w="1028"/>
        <w:gridCol w:w="326"/>
        <w:gridCol w:w="250"/>
        <w:gridCol w:w="1055"/>
      </w:tblGrid>
      <w:tr>
        <w:trPr/>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905510" cy="175260"/>
                      <wp:effectExtent l="0" t="0" r="0" b="0"/>
                      <wp:wrapNone/>
                      <wp:docPr id="203" name="Frame203"/>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7010" cy="175260"/>
                      <wp:effectExtent l="0" t="0" r="0" b="0"/>
                      <wp:wrapNone/>
                      <wp:docPr id="204" name="Frame2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75895" cy="175260"/>
                      <wp:effectExtent l="0" t="0" r="0" b="0"/>
                      <wp:wrapNone/>
                      <wp:docPr id="205" name="Frame205"/>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52780" cy="175260"/>
                      <wp:effectExtent l="0" t="0" r="0" b="0"/>
                      <wp:wrapNone/>
                      <wp:docPr id="206" name="Frame206"/>
                      <a:graphic xmlns:a="http://schemas.openxmlformats.org/drawingml/2006/main">
                        <a:graphicData uri="http://schemas.microsoft.com/office/word/2010/wordprocessingShape">
                          <wps:wsp>
                            <wps:cNvSpPr txBox="1"/>
                            <wps:spPr>
                              <a:xfrm>
                                <a:off x="0" y="0"/>
                                <a:ext cx="652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7010" cy="175260"/>
                      <wp:effectExtent l="0" t="0" r="0" b="0"/>
                      <wp:wrapNone/>
                      <wp:docPr id="207" name="Frame2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58750" cy="175260"/>
                      <wp:effectExtent l="0" t="0" r="0" b="0"/>
                      <wp:wrapNone/>
                      <wp:docPr id="208" name="Frame208"/>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69925" cy="175260"/>
                      <wp:effectExtent l="0" t="0" r="0" b="0"/>
                      <wp:wrapNone/>
                      <wp:docPr id="209" name="Frame209"/>
                      <a:graphic xmlns:a="http://schemas.openxmlformats.org/drawingml/2006/main">
                        <a:graphicData uri="http://schemas.microsoft.com/office/word/2010/wordprocessingShape">
                          <wps:wsp>
                            <wps:cNvSpPr txBox="1"/>
                            <wps:spPr>
                              <a:xfrm>
                                <a:off x="0" y="0"/>
                                <a:ext cx="669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 </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14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r>
      <w:tr>
        <w:trPr/>
        <w:tc>
          <w:tcPr>
            <w:tcW w:w="1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311,809</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232,698</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 in process</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1,215</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w:t>
            </w:r>
          </w:p>
        </w:tc>
      </w:tr>
      <w:tr>
        <w:trPr/>
        <w:tc>
          <w:tcPr>
            <w:tcW w:w="1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391,562</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503,209</w:t>
            </w:r>
          </w:p>
        </w:tc>
      </w:tr>
      <w:tr>
        <w:trPr/>
        <w:tc>
          <w:tcPr>
            <w:tcW w:w="14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704,586</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737,107</w:t>
            </w:r>
          </w:p>
        </w:tc>
      </w:tr>
    </w:tbl>
    <w:p>
      <w:pPr>
        <w:pStyle w:val="TextBody"/>
        <w:pBdr/>
        <w:bidi w:val="0"/>
        <w:spacing w:before="0" w:after="0"/>
        <w:ind w:left="0" w:right="0" w:hanging="720"/>
        <w:jc w:val="both"/>
        <w:rPr/>
      </w:pPr>
      <w:r>
        <w:rPr/>
        <w:t>​</w:t>
      </w:r>
    </w:p>
    <w:p>
      <w:pPr>
        <w:pStyle w:val="TextBody"/>
        <w:pBdr/>
        <w:bidi w:val="0"/>
        <w:spacing w:before="0" w:after="0"/>
        <w:ind w:left="0" w:right="0" w:hanging="720"/>
        <w:jc w:val="both"/>
        <w:rPr/>
      </w:pPr>
      <w:r>
        <w:rPr/>
        <w:t>​</w:t>
      </w:r>
    </w:p>
    <w:p>
      <w:pPr>
        <w:pStyle w:val="Normal"/>
        <w:bidi w:val="0"/>
        <w:spacing w:before="0" w:after="0"/>
        <w:jc w:val="left"/>
        <w:rPr>
          <w:sz w:val="4"/>
          <w:szCs w:val="4"/>
        </w:rPr>
      </w:pPr>
      <w:r>
        <w:rPr>
          <w:sz w:val="4"/>
          <w:szCs w:val="4"/>
        </w:rPr>
      </w:r>
      <w:bookmarkStart w:id="1362" w:name="Tc_Shtl-YtCjESqXAERLwmu-Q_13_5"/>
      <w:bookmarkStart w:id="1363" w:name="Tc_xump6vFVyUGwIBjexijLpw_13_2"/>
      <w:bookmarkStart w:id="1364" w:name="Tc_ZyYJxoIuUEiq7Vf_TrgaZw_12_0"/>
      <w:bookmarkStart w:id="1365" w:name="Tc_LOmLTsbBMkiWPXipia34nA_10_0"/>
      <w:bookmarkStart w:id="1366" w:name="Tc_EG1ZPTIpfk-4x15CGvESBQ_9_0"/>
      <w:bookmarkStart w:id="1367" w:name="Tc_hrALxrXiKU6HMuW4BHsusA_8_0"/>
      <w:bookmarkStart w:id="1368" w:name="Tc_X6AB9QDS20qVYoLiYWeuVQ_7_0"/>
      <w:bookmarkStart w:id="1369" w:name="Tc_hcJEr3B6tkih6m_reytpwg_6_0"/>
      <w:bookmarkStart w:id="1370" w:name="Tc_ZKvLzINs4EijlXZaRrqTgg_5_0"/>
      <w:bookmarkStart w:id="1371" w:name="Tc_WjBMKjALnk6gkntNY9DJOA_4_0"/>
      <w:bookmarkStart w:id="1372" w:name="Tc_qjIO1U57v0mGvE4FPXzhpQ_3_5"/>
      <w:bookmarkStart w:id="1373" w:name="Tc_p5Ckw3dWg0atd4EXJ7ODkQ_3_2"/>
      <w:bookmarkStart w:id="1374" w:name="Tc_E2rwrA4dYkuVpHmaeco7uw_3_0"/>
      <w:bookmarkStart w:id="1375" w:name="Tc_ztsmTO1KXEuaRXGc745twg_2_5"/>
      <w:bookmarkStart w:id="1376" w:name="Tc_Vqv_0W2B8UKe5EE1JTawQw_2_2"/>
      <w:bookmarkStart w:id="1377" w:name="Tc_7334Qqmt5Ea_ch9yjyUTwg_1_5"/>
      <w:bookmarkStart w:id="1378" w:name="Tc_49pLWCWyD0GCHFztyzSB8g_1_2"/>
      <w:bookmarkStart w:id="1379" w:name="Tc_Shtl-YtCjESqXAERLwmu-Q_13_5"/>
      <w:bookmarkStart w:id="1380" w:name="Tc_xump6vFVyUGwIBjexijLpw_13_2"/>
      <w:bookmarkStart w:id="1381" w:name="Tc_ZyYJxoIuUEiq7Vf_TrgaZw_12_0"/>
      <w:bookmarkStart w:id="1382" w:name="Tc_LOmLTsbBMkiWPXipia34nA_10_0"/>
      <w:bookmarkStart w:id="1383" w:name="Tc_EG1ZPTIpfk-4x15CGvESBQ_9_0"/>
      <w:bookmarkStart w:id="1384" w:name="Tc_hrALxrXiKU6HMuW4BHsusA_8_0"/>
      <w:bookmarkStart w:id="1385" w:name="Tc_X6AB9QDS20qVYoLiYWeuVQ_7_0"/>
      <w:bookmarkStart w:id="1386" w:name="Tc_hcJEr3B6tkih6m_reytpwg_6_0"/>
      <w:bookmarkStart w:id="1387" w:name="Tc_ZKvLzINs4EijlXZaRrqTgg_5_0"/>
      <w:bookmarkStart w:id="1388" w:name="Tc_WjBMKjALnk6gkntNY9DJOA_4_0"/>
      <w:bookmarkStart w:id="1389" w:name="Tc_qjIO1U57v0mGvE4FPXzhpQ_3_5"/>
      <w:bookmarkStart w:id="1390" w:name="Tc_p5Ckw3dWg0atd4EXJ7ODkQ_3_2"/>
      <w:bookmarkStart w:id="1391" w:name="Tc_E2rwrA4dYkuVpHmaeco7uw_3_0"/>
      <w:bookmarkStart w:id="1392" w:name="Tc_ztsmTO1KXEuaRXGc745twg_2_5"/>
      <w:bookmarkStart w:id="1393" w:name="Tc_Vqv_0W2B8UKe5EE1JTawQw_2_2"/>
      <w:bookmarkStart w:id="1394" w:name="Tc_7334Qqmt5Ea_ch9yjyUTwg_1_5"/>
      <w:bookmarkStart w:id="1395" w:name="Tc_49pLWCWyD0GCHFztyzSB8g_1_2"/>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p>
    <w:tbl>
      <w:tblPr>
        <w:tblW w:w="3482" w:type="dxa"/>
        <w:jc w:val="left"/>
        <w:tblInd w:w="0" w:type="dxa"/>
        <w:tblLayout w:type="fixed"/>
        <w:tblCellMar>
          <w:top w:w="0" w:type="dxa"/>
          <w:left w:w="0" w:type="dxa"/>
          <w:bottom w:w="0" w:type="dxa"/>
          <w:right w:w="0" w:type="dxa"/>
        </w:tblCellMar>
      </w:tblPr>
      <w:tblGrid>
        <w:gridCol w:w="271"/>
        <w:gridCol w:w="3211"/>
      </w:tblGrid>
      <w:tr>
        <w:trPr/>
        <w:tc>
          <w:tcPr>
            <w:tcW w:w="2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6.</w:t>
            </w:r>
          </w:p>
        </w:tc>
        <w:tc>
          <w:tcPr>
            <w:tcW w:w="321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PROPERTY AND EQUIPMENT, NET</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Property and equipment consist of the following at:</w:t>
      </w:r>
    </w:p>
    <w:p>
      <w:pPr>
        <w:pStyle w:val="TextBody"/>
        <w:bidi w:val="0"/>
        <w:spacing w:before="0" w:after="0"/>
        <w:ind w:left="0" w:right="0" w:hanging="0"/>
        <w:jc w:val="left"/>
        <w:rPr/>
      </w:pPr>
      <w:r>
        <w:rPr/>
        <w:t>​</w:t>
      </w:r>
    </w:p>
    <w:tbl>
      <w:tblPr>
        <w:tblW w:w="7373" w:type="dxa"/>
        <w:jc w:val="left"/>
        <w:tblInd w:w="0" w:type="dxa"/>
        <w:tblLayout w:type="fixed"/>
        <w:tblCellMar>
          <w:top w:w="0" w:type="dxa"/>
          <w:left w:w="0" w:type="dxa"/>
          <w:bottom w:w="0" w:type="dxa"/>
          <w:right w:w="0" w:type="dxa"/>
        </w:tblCellMar>
      </w:tblPr>
      <w:tblGrid>
        <w:gridCol w:w="4111"/>
        <w:gridCol w:w="326"/>
        <w:gridCol w:w="240"/>
        <w:gridCol w:w="1065"/>
        <w:gridCol w:w="326"/>
        <w:gridCol w:w="220"/>
        <w:gridCol w:w="1085"/>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610485" cy="175260"/>
                      <wp:effectExtent l="0" t="0" r="0" b="0"/>
                      <wp:wrapNone/>
                      <wp:docPr id="210" name="Frame210"/>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11" name="Frame2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52400" cy="175260"/>
                      <wp:effectExtent l="0" t="0" r="0" b="0"/>
                      <wp:wrapNone/>
                      <wp:docPr id="212" name="Frame212"/>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76275" cy="175260"/>
                      <wp:effectExtent l="0" t="0" r="0" b="0"/>
                      <wp:wrapNone/>
                      <wp:docPr id="213" name="Frame213"/>
                      <a:graphic xmlns:a="http://schemas.openxmlformats.org/drawingml/2006/main">
                        <a:graphicData uri="http://schemas.microsoft.com/office/word/2010/wordprocessingShape">
                          <wps:wsp>
                            <wps:cNvSpPr txBox="1"/>
                            <wps:spPr>
                              <a:xfrm>
                                <a:off x="0" y="0"/>
                                <a:ext cx="676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07010" cy="175260"/>
                      <wp:effectExtent l="0" t="0" r="0" b="0"/>
                      <wp:wrapNone/>
                      <wp:docPr id="214" name="Frame2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39700" cy="175260"/>
                      <wp:effectExtent l="0" t="0" r="0" b="0"/>
                      <wp:wrapNone/>
                      <wp:docPr id="215" name="Frame215"/>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88975" cy="175260"/>
                      <wp:effectExtent l="0" t="0" r="0" b="0"/>
                      <wp:wrapNone/>
                      <wp:docPr id="216" name="Frame216"/>
                      <a:graphic xmlns:a="http://schemas.openxmlformats.org/drawingml/2006/main">
                        <a:graphicData uri="http://schemas.microsoft.com/office/word/2010/wordprocessingShape">
                          <wps:wsp>
                            <wps:cNvSpPr txBox="1"/>
                            <wps:spPr>
                              <a:xfrm>
                                <a:off x="0" y="0"/>
                                <a:ext cx="688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 </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181,593</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178,056</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43,034</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10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31,132</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 </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13,388</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10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11,416</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and computer equipment</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26,166</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10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28,029</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 </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648,255</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10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561,408</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402,483</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10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280,663</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Vehicles</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 </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83,397</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10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72,564</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 under construction</w:t>
            </w:r>
          </w:p>
        </w:tc>
        <w:tc>
          <w:tcPr>
            <w:tcW w:w="32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73,496</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178,980</w:t>
            </w:r>
          </w:p>
        </w:tc>
      </w:tr>
      <w:tr>
        <w:trPr/>
        <w:tc>
          <w:tcPr>
            <w:tcW w:w="41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 </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1,471,812</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10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1,342,248</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32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(361,107)</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(295,224)</w:t>
            </w:r>
          </w:p>
        </w:tc>
      </w:tr>
      <w:tr>
        <w:trPr/>
        <w:tc>
          <w:tcPr>
            <w:tcW w:w="41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1,110,705</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1,047,024</w:t>
            </w:r>
          </w:p>
        </w:tc>
      </w:tr>
    </w:tbl>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Total depreciation and amortization expense was $24.9 million and $17.7 million for the </w:t>
      </w:r>
      <w:r>
        <w:rPr>
          <w:rFonts w:ascii="Times New Roman;Times;serif" w:hAnsi="Times New Roman;Times;serif"/>
          <w:color w:val="212529"/>
          <w:sz w:val="20"/>
        </w:rPr>
        <w:t>three-months ended September 30, 2025 and 2024</w:t>
      </w:r>
      <w:r>
        <w:rPr>
          <w:rFonts w:ascii="Times New Roman;Times;serif" w:hAnsi="Times New Roman;Times;serif"/>
          <w:sz w:val="20"/>
        </w:rPr>
        <w:t xml:space="preserve">, respectively. Total depreciation and amortization expense was $68.6 million and $54.6 million for the </w:t>
      </w:r>
      <w:r>
        <w:rPr>
          <w:rFonts w:ascii="Times New Roman;Times;serif" w:hAnsi="Times New Roman;Times;serif"/>
          <w:color w:val="212529"/>
          <w:sz w:val="20"/>
        </w:rPr>
        <w:t>nine-months ended September 30, 2025 and 2024</w:t>
      </w:r>
      <w:r>
        <w:rPr>
          <w:rFonts w:ascii="Times New Roman;Times;serif" w:hAnsi="Times New Roman;Times;serif"/>
          <w:sz w:val="20"/>
        </w:rPr>
        <w:t>, respectively.</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1396" w:name="Tc_wBoR1tmJjkCjnkmjlMM5Jw_6_14"/>
      <w:bookmarkStart w:id="1397" w:name="Tc_kC2_juzTVkiU_UILbaa-bQ_6_11"/>
      <w:bookmarkStart w:id="1398" w:name="Tc_zR4I0TqfaUS-vZ08kzEcGw_6_8"/>
      <w:bookmarkStart w:id="1399" w:name="Tc_yQcL-kRvfEqOh2-oUvO5wQ_6_5"/>
      <w:bookmarkStart w:id="1400" w:name="Tc_RdnfcPSNMECjTRy_YU6E1Q_6_2"/>
      <w:bookmarkStart w:id="1401" w:name="Tc_eiPOJWB61EuieCbKSKV7BA_6_0"/>
      <w:bookmarkStart w:id="1402" w:name="Tc_7WpH2ljT30mUZWMad2vg1g_5_0"/>
      <w:bookmarkStart w:id="1403" w:name="Tc_aQAXnHpnYU2R25D1FnVC9Q_4_14"/>
      <w:bookmarkStart w:id="1404" w:name="Tc_KNy9nwrE9EiwkB0H69FGTg_4_11"/>
      <w:bookmarkStart w:id="1405" w:name="Tc_OEfKczcEVUyqHs-dbkyaQg_4_8"/>
      <w:bookmarkStart w:id="1406" w:name="Tc_h7Kw8RNgXEO6hQLKt-KoAw_4_5"/>
      <w:bookmarkStart w:id="1407" w:name="Tc_82CY5N9anUWvfkB7FJF-NA_4_2"/>
      <w:bookmarkStart w:id="1408" w:name="Tc_Lz5KXAJVkk-F-PaztMryIA_4_0"/>
      <w:bookmarkStart w:id="1409" w:name="Tc_DkJdaZTo60e3z9kRLqxTcw_3_14"/>
      <w:bookmarkStart w:id="1410" w:name="Tc_HoSerOJqA0OZ5sTQYwm56w_3_11"/>
      <w:bookmarkStart w:id="1411" w:name="Tc_fLKkqcHgSkCtORWZ5s4akQ_3_8"/>
      <w:bookmarkStart w:id="1412" w:name="Tc_OB7lzz13uEa2YA-WwrkfYg_3_5"/>
      <w:bookmarkStart w:id="1413" w:name="Tc_xrCvORjRjkWYo4_D5ADJGw_3_2"/>
      <w:bookmarkStart w:id="1414" w:name="Tc_Lra9I4UUP0mCM2nMLJpuOQ_2_8"/>
      <w:bookmarkStart w:id="1415" w:name="Tc_RvQbdmWzV0mQeCPPH-wxkw_2_5"/>
      <w:bookmarkStart w:id="1416" w:name="Tc_e7hdQa626UG88xQfiRKzqA_2_2"/>
      <w:bookmarkStart w:id="1417" w:name="Tc_sdxO6pzZR0O501SZveLlDQ_1_2"/>
      <w:bookmarkStart w:id="1418" w:name="_2e69e3ea_1eb2_4ded_a12e_71cac5175567"/>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r>
        <w:rPr>
          <w:rFonts w:ascii="Times New Roman;Times;serif" w:hAnsi="Times New Roman;Times;serif"/>
          <w:b w:val="false"/>
          <w:i w:val="false"/>
          <w:caps w:val="false"/>
          <w:smallCaps w:val="false"/>
          <w:sz w:val="20"/>
        </w:rPr>
        <w:t>7.</w:t>
      </w:r>
      <w:r>
        <w:rPr>
          <w:rFonts w:ascii="Times New Roman;Times;serif" w:hAnsi="Times New Roman;Times;serif"/>
          <w:sz w:val="20"/>
        </w:rPr>
        <w:t xml:space="preserve">GOODWILL AND OTHER INTANGIBLE ASSETS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following is a roll-forward of goodwill for the </w:t>
      </w:r>
      <w:r>
        <w:rPr>
          <w:rFonts w:ascii="Times New Roman;Times;serif" w:hAnsi="Times New Roman;Times;serif"/>
          <w:color w:val="212529"/>
          <w:sz w:val="20"/>
          <w:shd w:fill="FFFFFF" w:val="clear"/>
        </w:rPr>
        <w:t>nine-months ended September 30, 2025 and 2024</w:t>
      </w:r>
      <w:r>
        <w:rPr>
          <w:rFonts w:ascii="Times New Roman;Times;serif" w:hAnsi="Times New Roman;Times;serif"/>
          <w:sz w:val="20"/>
        </w:rPr>
        <w:t xml:space="preserve"> by reportable segment:</w:t>
      </w:r>
    </w:p>
    <w:p>
      <w:pPr>
        <w:pStyle w:val="TextBody"/>
        <w:bidi w:val="0"/>
        <w:spacing w:before="0" w:after="0"/>
        <w:ind w:left="0" w:right="0" w:firstLine="720"/>
        <w:jc w:val="both"/>
        <w:rPr/>
      </w:pPr>
      <w:r>
        <w:rPr/>
        <w:t>​</w:t>
      </w:r>
    </w:p>
    <w:tbl>
      <w:tblPr>
        <w:tblW w:w="8869" w:type="dxa"/>
        <w:jc w:val="left"/>
        <w:tblInd w:w="0" w:type="dxa"/>
        <w:tblLayout w:type="fixed"/>
        <w:tblCellMar>
          <w:top w:w="0" w:type="dxa"/>
          <w:left w:w="0" w:type="dxa"/>
          <w:bottom w:w="0" w:type="dxa"/>
          <w:right w:w="0" w:type="dxa"/>
        </w:tblCellMar>
      </w:tblPr>
      <w:tblGrid>
        <w:gridCol w:w="2641"/>
        <w:gridCol w:w="326"/>
        <w:gridCol w:w="211"/>
        <w:gridCol w:w="781"/>
        <w:gridCol w:w="326"/>
        <w:gridCol w:w="211"/>
        <w:gridCol w:w="781"/>
        <w:gridCol w:w="326"/>
        <w:gridCol w:w="307"/>
        <w:gridCol w:w="503"/>
        <w:gridCol w:w="326"/>
        <w:gridCol w:w="211"/>
        <w:gridCol w:w="346"/>
        <w:gridCol w:w="326"/>
        <w:gridCol w:w="211"/>
        <w:gridCol w:w="1036"/>
      </w:tblGrid>
      <w:tr>
        <w:trPr/>
        <w:tc>
          <w:tcPr>
            <w:tcW w:w="2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677035" cy="175260"/>
                      <wp:effectExtent l="0" t="0" r="0" b="0"/>
                      <wp:wrapNone/>
                      <wp:docPr id="217" name="Frame217"/>
                      <a:graphic xmlns:a="http://schemas.openxmlformats.org/drawingml/2006/main">
                        <a:graphicData uri="http://schemas.microsoft.com/office/word/2010/wordprocessingShape">
                          <wps:wsp>
                            <wps:cNvSpPr txBox="1"/>
                            <wps:spPr>
                              <a:xfrm>
                                <a:off x="0" y="0"/>
                                <a:ext cx="167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07010" cy="175260"/>
                      <wp:effectExtent l="0" t="0" r="0" b="0"/>
                      <wp:wrapNone/>
                      <wp:docPr id="218" name="Frame2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33985" cy="175260"/>
                      <wp:effectExtent l="0" t="0" r="0" b="0"/>
                      <wp:wrapNone/>
                      <wp:docPr id="219" name="Frame2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495935" cy="175260"/>
                      <wp:effectExtent l="0" t="0" r="0" b="0"/>
                      <wp:wrapNone/>
                      <wp:docPr id="220" name="Frame22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7010" cy="175260"/>
                      <wp:effectExtent l="0" t="0" r="0" b="0"/>
                      <wp:wrapNone/>
                      <wp:docPr id="221" name="Frame2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33985" cy="175260"/>
                      <wp:effectExtent l="0" t="0" r="0" b="0"/>
                      <wp:wrapNone/>
                      <wp:docPr id="222" name="Frame2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495935" cy="175260"/>
                      <wp:effectExtent l="0" t="0" r="0" b="0"/>
                      <wp:wrapNone/>
                      <wp:docPr id="223" name="Frame22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7010" cy="175260"/>
                      <wp:effectExtent l="0" t="0" r="0" b="0"/>
                      <wp:wrapNone/>
                      <wp:docPr id="224" name="Frame2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94945" cy="175260"/>
                      <wp:effectExtent l="0" t="0" r="0" b="0"/>
                      <wp:wrapNone/>
                      <wp:docPr id="225" name="Frame225"/>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319405" cy="175260"/>
                      <wp:effectExtent l="0" t="0" r="0" b="0"/>
                      <wp:wrapNone/>
                      <wp:docPr id="226" name="Frame226"/>
                      <a:graphic xmlns:a="http://schemas.openxmlformats.org/drawingml/2006/main">
                        <a:graphicData uri="http://schemas.microsoft.com/office/word/2010/wordprocessingShape">
                          <wps:wsp>
                            <wps:cNvSpPr txBox="1"/>
                            <wps:spPr>
                              <a:xfrm>
                                <a:off x="0" y="0"/>
                                <a:ext cx="319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7010" cy="175260"/>
                      <wp:effectExtent l="0" t="0" r="0" b="0"/>
                      <wp:wrapNone/>
                      <wp:docPr id="227" name="Frame2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33985" cy="175260"/>
                      <wp:effectExtent l="0" t="0" r="0" b="0"/>
                      <wp:wrapNone/>
                      <wp:docPr id="228" name="Frame2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19710" cy="175260"/>
                      <wp:effectExtent l="0" t="0" r="0" b="0"/>
                      <wp:wrapNone/>
                      <wp:docPr id="229" name="Frame2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07010" cy="175260"/>
                      <wp:effectExtent l="0" t="0" r="0" b="0"/>
                      <wp:wrapNone/>
                      <wp:docPr id="230" name="Frame2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33985" cy="175260"/>
                      <wp:effectExtent l="0" t="0" r="0" b="0"/>
                      <wp:wrapNone/>
                      <wp:docPr id="231" name="Frame2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57860" cy="175260"/>
                      <wp:effectExtent l="0" t="0" r="0" b="0"/>
                      <wp:wrapNone/>
                      <wp:docPr id="232" name="Frame23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Monster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50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6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Energy®</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Strategic</w:t>
            </w:r>
          </w:p>
        </w:tc>
        <w:tc>
          <w:tcPr>
            <w:tcW w:w="326" w:type="dxa"/>
            <w:tcBorders/>
            <w:vAlign w:val="center"/>
          </w:tcPr>
          <w:p>
            <w:pPr>
              <w:pStyle w:val="TableContents"/>
              <w:bidi w:val="0"/>
              <w:spacing w:before="0" w:after="0"/>
              <w:ind w:left="0" w:right="0" w:hanging="0"/>
              <w:jc w:val="left"/>
              <w:rPr/>
            </w:pPr>
            <w:r>
              <w:rPr/>
              <w:t>​</w:t>
            </w:r>
          </w:p>
        </w:tc>
        <w:tc>
          <w:tcPr>
            <w:tcW w:w="81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Alcohol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6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Drinks</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vAlign w:val="center"/>
          </w:tcPr>
          <w:p>
            <w:pPr>
              <w:pStyle w:val="TableContents"/>
              <w:bidi w:val="0"/>
              <w:spacing w:before="0" w:after="0"/>
              <w:ind w:left="0" w:right="0" w:hanging="0"/>
              <w:jc w:val="left"/>
              <w:rPr/>
            </w:pPr>
            <w:r>
              <w:rPr/>
              <w:t>    </w:t>
            </w:r>
          </w:p>
        </w:tc>
        <w:tc>
          <w:tcPr>
            <w:tcW w:w="8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vAlign w:val="center"/>
          </w:tcPr>
          <w:p>
            <w:pPr>
              <w:pStyle w:val="TableContents"/>
              <w:bidi w:val="0"/>
              <w:spacing w:before="0" w:after="0"/>
              <w:ind w:left="0" w:right="0" w:hanging="0"/>
              <w:jc w:val="left"/>
              <w:rPr/>
            </w:pPr>
            <w:r>
              <w:rPr/>
              <w:t>    </w:t>
            </w:r>
          </w:p>
        </w:tc>
        <w:tc>
          <w:tcPr>
            <w:tcW w:w="5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693,644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637,999</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1,331,643</w:t>
            </w:r>
          </w:p>
        </w:tc>
      </w:tr>
      <w:tr>
        <w:trPr/>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0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September 30, 2025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693,644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637,999</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1,331,643</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*Accumulated goodwill impairment balance at December 31, 2024 and September 30, 2025 was $86.3 million related entirely to Alcohol Brands.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419" w:name="Tc_KS1I4CuuEEOqFUf6AmAnlA_7_2"/>
      <w:bookmarkStart w:id="1420" w:name="Tc_cqq4kMh1X0eUq74K2wymtA_6_0"/>
      <w:bookmarkStart w:id="1421" w:name="Tc_9Jy52TtdQ0K9Q0ujdJEwaA_5_0"/>
      <w:bookmarkStart w:id="1422" w:name="Tc_jnsAPJbwk0iuR3PMtHw7Qw_4_0"/>
      <w:bookmarkStart w:id="1423" w:name="Tc_O4-2AoLkIUOk2EoDXpa0oQ_3_0"/>
      <w:bookmarkStart w:id="1424" w:name="Tc_A18xNdaEZEWbS-Z5i_Kbtg_2_0"/>
      <w:bookmarkStart w:id="1425" w:name="Tc_6AmZ_d49QESThCOzAIb_5w_1_2"/>
      <w:bookmarkStart w:id="1426" w:name="Tc_7ZlBAYf980KoPo_eOs8OVw_1_0"/>
      <w:bookmarkStart w:id="1427" w:name="Tc_PG_3PCkrKUyRTKtR3tVf7w_7_5"/>
      <w:bookmarkStart w:id="1428" w:name="Tc_bb8gPZ6Pqkyu_JPvyzyJSA_7_2"/>
      <w:bookmarkStart w:id="1429" w:name="Tc_tklUN8lPQ0OuMnZr8nj96g_6_0"/>
      <w:bookmarkStart w:id="1430" w:name="Tc_C5wyxRMcck-HEC7xeqYylw_4_0"/>
      <w:bookmarkStart w:id="1431" w:name="Tc_hBVaGVYU1EGy4EiPBqUuuw_3_5"/>
      <w:bookmarkStart w:id="1432" w:name="Tc_R70UaUQwu0uteLzQIrGgpw_3_2"/>
      <w:bookmarkStart w:id="1433" w:name="Tc_ngRV7Up6zkKZ2BOvQHjhCA_3_0"/>
      <w:bookmarkStart w:id="1434" w:name="Tc_76_t2YwuNkCnnSVzG2W7Zg_2_5"/>
      <w:bookmarkStart w:id="1435" w:name="Tc_W-k1Dz31pEue6HQySWuv6w_2_2"/>
      <w:bookmarkStart w:id="1436" w:name="Tc_1U441mWLiEOwx5LZHFhSPQ_1_5"/>
      <w:bookmarkStart w:id="1437" w:name="Tc_K2JVRjIYC0C7Y1p05LRclQ_1_2"/>
      <w:bookmarkStart w:id="1438" w:name="_e9768743_e4a2_4b35_bdd8_e8f6ac51ab82"/>
      <w:bookmarkStart w:id="1439" w:name="Tc_tPSIFqjfTECrGxidk_iurA_6_14"/>
      <w:bookmarkStart w:id="1440" w:name="Tc_3pgaQrB9vk6hX180pL2XVw_6_11"/>
      <w:bookmarkStart w:id="1441" w:name="Tc_bXtG_QPhAECTMNpiZ0KhCA_6_8"/>
      <w:bookmarkStart w:id="1442" w:name="Tc_TY311rjay0KhYcqcTzq6kg_6_5"/>
      <w:bookmarkStart w:id="1443" w:name="Tc_cpCn8QWtjkCp9cgJr4W7Uw_6_2"/>
      <w:bookmarkStart w:id="1444" w:name="Tc_Cjfo1U8pS0uqogwDpFpz3w_6_0"/>
      <w:bookmarkStart w:id="1445" w:name="Tc_WDfS4bzY9UC1eG6NS1boqA_5_0"/>
      <w:bookmarkStart w:id="1446" w:name="Tc_S5hTi2fGjkOymVp92XVJRQ_4_14"/>
      <w:bookmarkStart w:id="1447" w:name="Tc_wrxXQolx1ECWxBLGcQvZJA_4_11"/>
      <w:bookmarkStart w:id="1448" w:name="Tc_xuMSIysuOkGHLkdZ5wDa4Q_4_8"/>
      <w:bookmarkStart w:id="1449" w:name="Tc_C2ReCH5pqEScpk8uyUAM3Q_4_5"/>
      <w:bookmarkStart w:id="1450" w:name="Tc_0MLfSgRza0CXix_0BxH1Ng_4_2"/>
      <w:bookmarkStart w:id="1451" w:name="Tc_xeC-6rbyx0OsdPIPSQXD1A_4_0"/>
      <w:bookmarkStart w:id="1452" w:name="Tc_x7PLZLLgRUCZ5pn8LwUIFw_3_14"/>
      <w:bookmarkStart w:id="1453" w:name="Tc_EtlgFqpv20WBH-rcR0jUyQ_3_11"/>
      <w:bookmarkStart w:id="1454" w:name="Tc_fN_3dTtGeEeJeVMMI5Apbg_3_8"/>
      <w:bookmarkStart w:id="1455" w:name="Tc_8z7aWfA5YEeJ3gX9xw8jrg_3_5"/>
      <w:bookmarkStart w:id="1456" w:name="Tc_ubymeIaD4UuD2j4YxbCYTQ_3_2"/>
      <w:bookmarkStart w:id="1457" w:name="Tc_wQRu3_HytEaMQUFjjJqxbw_2_8"/>
      <w:bookmarkStart w:id="1458" w:name="Tc_xZLSZdK700GXi8BO5lU_YQ_2_5"/>
      <w:bookmarkStart w:id="1459" w:name="Tc_p1aX0Ik-a0u70VR9AaQajA_2_2"/>
      <w:bookmarkStart w:id="1460" w:name="Tc_LzSg9ZIs70qkS4q6t8qG1g_1_2"/>
      <w:bookmarkStart w:id="1461" w:name="_aed5bb4a_25e7_4df6_b4bb_6ba46d5c6895"/>
      <w:bookmarkStart w:id="1462" w:name="Tc_KS1I4CuuEEOqFUf6AmAnlA_7_2"/>
      <w:bookmarkStart w:id="1463" w:name="Tc_cqq4kMh1X0eUq74K2wymtA_6_0"/>
      <w:bookmarkStart w:id="1464" w:name="Tc_9Jy52TtdQ0K9Q0ujdJEwaA_5_0"/>
      <w:bookmarkStart w:id="1465" w:name="Tc_jnsAPJbwk0iuR3PMtHw7Qw_4_0"/>
      <w:bookmarkStart w:id="1466" w:name="Tc_O4-2AoLkIUOk2EoDXpa0oQ_3_0"/>
      <w:bookmarkStart w:id="1467" w:name="Tc_A18xNdaEZEWbS-Z5i_Kbtg_2_0"/>
      <w:bookmarkStart w:id="1468" w:name="Tc_6AmZ_d49QESThCOzAIb_5w_1_2"/>
      <w:bookmarkStart w:id="1469" w:name="Tc_7ZlBAYf980KoPo_eOs8OVw_1_0"/>
      <w:bookmarkStart w:id="1470" w:name="Tc_PG_3PCkrKUyRTKtR3tVf7w_7_5"/>
      <w:bookmarkStart w:id="1471" w:name="Tc_bb8gPZ6Pqkyu_JPvyzyJSA_7_2"/>
      <w:bookmarkStart w:id="1472" w:name="Tc_tklUN8lPQ0OuMnZr8nj96g_6_0"/>
      <w:bookmarkStart w:id="1473" w:name="Tc_C5wyxRMcck-HEC7xeqYylw_4_0"/>
      <w:bookmarkStart w:id="1474" w:name="Tc_hBVaGVYU1EGy4EiPBqUuuw_3_5"/>
      <w:bookmarkStart w:id="1475" w:name="Tc_R70UaUQwu0uteLzQIrGgpw_3_2"/>
      <w:bookmarkStart w:id="1476" w:name="Tc_ngRV7Up6zkKZ2BOvQHjhCA_3_0"/>
      <w:bookmarkStart w:id="1477" w:name="Tc_76_t2YwuNkCnnSVzG2W7Zg_2_5"/>
      <w:bookmarkStart w:id="1478" w:name="Tc_W-k1Dz31pEue6HQySWuv6w_2_2"/>
      <w:bookmarkStart w:id="1479" w:name="Tc_1U441mWLiEOwx5LZHFhSPQ_1_5"/>
      <w:bookmarkStart w:id="1480" w:name="Tc_K2JVRjIYC0C7Y1p05LRclQ_1_2"/>
      <w:bookmarkStart w:id="1481" w:name="_e9768743_e4a2_4b35_bdd8_e8f6ac51ab82"/>
      <w:bookmarkStart w:id="1482" w:name="Tc_tPSIFqjfTECrGxidk_iurA_6_14"/>
      <w:bookmarkStart w:id="1483" w:name="Tc_3pgaQrB9vk6hX180pL2XVw_6_11"/>
      <w:bookmarkStart w:id="1484" w:name="Tc_bXtG_QPhAECTMNpiZ0KhCA_6_8"/>
      <w:bookmarkStart w:id="1485" w:name="Tc_TY311rjay0KhYcqcTzq6kg_6_5"/>
      <w:bookmarkStart w:id="1486" w:name="Tc_cpCn8QWtjkCp9cgJr4W7Uw_6_2"/>
      <w:bookmarkStart w:id="1487" w:name="Tc_Cjfo1U8pS0uqogwDpFpz3w_6_0"/>
      <w:bookmarkStart w:id="1488" w:name="Tc_WDfS4bzY9UC1eG6NS1boqA_5_0"/>
      <w:bookmarkStart w:id="1489" w:name="Tc_S5hTi2fGjkOymVp92XVJRQ_4_14"/>
      <w:bookmarkStart w:id="1490" w:name="Tc_wrxXQolx1ECWxBLGcQvZJA_4_11"/>
      <w:bookmarkStart w:id="1491" w:name="Tc_xuMSIysuOkGHLkdZ5wDa4Q_4_8"/>
      <w:bookmarkStart w:id="1492" w:name="Tc_C2ReCH5pqEScpk8uyUAM3Q_4_5"/>
      <w:bookmarkStart w:id="1493" w:name="Tc_0MLfSgRza0CXix_0BxH1Ng_4_2"/>
      <w:bookmarkStart w:id="1494" w:name="Tc_xeC-6rbyx0OsdPIPSQXD1A_4_0"/>
      <w:bookmarkStart w:id="1495" w:name="Tc_x7PLZLLgRUCZ5pn8LwUIFw_3_14"/>
      <w:bookmarkStart w:id="1496" w:name="Tc_EtlgFqpv20WBH-rcR0jUyQ_3_11"/>
      <w:bookmarkStart w:id="1497" w:name="Tc_fN_3dTtGeEeJeVMMI5Apbg_3_8"/>
      <w:bookmarkStart w:id="1498" w:name="Tc_8z7aWfA5YEeJ3gX9xw8jrg_3_5"/>
      <w:bookmarkStart w:id="1499" w:name="Tc_ubymeIaD4UuD2j4YxbCYTQ_3_2"/>
      <w:bookmarkStart w:id="1500" w:name="Tc_wQRu3_HytEaMQUFjjJqxbw_2_8"/>
      <w:bookmarkStart w:id="1501" w:name="Tc_xZLSZdK700GXi8BO5lU_YQ_2_5"/>
      <w:bookmarkStart w:id="1502" w:name="Tc_p1aX0Ik-a0u70VR9AaQajA_2_2"/>
      <w:bookmarkStart w:id="1503" w:name="Tc_LzSg9ZIs70qkS4q6t8qG1g_1_2"/>
      <w:bookmarkStart w:id="1504" w:name="_aed5bb4a_25e7_4df6_b4bb_6ba46d5c6895"/>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p>
    <w:tbl>
      <w:tblPr>
        <w:tblW w:w="8946" w:type="dxa"/>
        <w:jc w:val="left"/>
        <w:tblInd w:w="0" w:type="dxa"/>
        <w:tblLayout w:type="fixed"/>
        <w:tblCellMar>
          <w:top w:w="0" w:type="dxa"/>
          <w:left w:w="0" w:type="dxa"/>
          <w:bottom w:w="0" w:type="dxa"/>
          <w:right w:w="0" w:type="dxa"/>
        </w:tblCellMar>
      </w:tblPr>
      <w:tblGrid>
        <w:gridCol w:w="2641"/>
        <w:gridCol w:w="326"/>
        <w:gridCol w:w="211"/>
        <w:gridCol w:w="781"/>
        <w:gridCol w:w="326"/>
        <w:gridCol w:w="211"/>
        <w:gridCol w:w="781"/>
        <w:gridCol w:w="326"/>
        <w:gridCol w:w="211"/>
        <w:gridCol w:w="676"/>
        <w:gridCol w:w="326"/>
        <w:gridCol w:w="211"/>
        <w:gridCol w:w="346"/>
        <w:gridCol w:w="326"/>
        <w:gridCol w:w="211"/>
        <w:gridCol w:w="1036"/>
      </w:tblGrid>
      <w:tr>
        <w:trPr/>
        <w:tc>
          <w:tcPr>
            <w:tcW w:w="2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677035" cy="175260"/>
                      <wp:effectExtent l="0" t="0" r="0" b="0"/>
                      <wp:wrapNone/>
                      <wp:docPr id="233" name="Frame233"/>
                      <a:graphic xmlns:a="http://schemas.openxmlformats.org/drawingml/2006/main">
                        <a:graphicData uri="http://schemas.microsoft.com/office/word/2010/wordprocessingShape">
                          <wps:wsp>
                            <wps:cNvSpPr txBox="1"/>
                            <wps:spPr>
                              <a:xfrm>
                                <a:off x="0" y="0"/>
                                <a:ext cx="167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07010" cy="175260"/>
                      <wp:effectExtent l="0" t="0" r="0" b="0"/>
                      <wp:wrapNone/>
                      <wp:docPr id="234" name="Frame2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33985" cy="175260"/>
                      <wp:effectExtent l="0" t="0" r="0" b="0"/>
                      <wp:wrapNone/>
                      <wp:docPr id="235" name="Frame2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495935" cy="175260"/>
                      <wp:effectExtent l="0" t="0" r="0" b="0"/>
                      <wp:wrapNone/>
                      <wp:docPr id="236" name="Frame23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07010" cy="175260"/>
                      <wp:effectExtent l="0" t="0" r="0" b="0"/>
                      <wp:wrapNone/>
                      <wp:docPr id="237" name="Frame2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33985" cy="175260"/>
                      <wp:effectExtent l="0" t="0" r="0" b="0"/>
                      <wp:wrapNone/>
                      <wp:docPr id="238" name="Frame2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495935" cy="175260"/>
                      <wp:effectExtent l="0" t="0" r="0" b="0"/>
                      <wp:wrapNone/>
                      <wp:docPr id="239" name="Frame23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07010" cy="175260"/>
                      <wp:effectExtent l="0" t="0" r="0" b="0"/>
                      <wp:wrapNone/>
                      <wp:docPr id="240" name="Frame2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33985" cy="175260"/>
                      <wp:effectExtent l="0" t="0" r="0" b="0"/>
                      <wp:wrapNone/>
                      <wp:docPr id="241" name="Frame2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429260" cy="175260"/>
                      <wp:effectExtent l="0" t="0" r="0" b="0"/>
                      <wp:wrapNone/>
                      <wp:docPr id="242" name="Frame24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07010" cy="175260"/>
                      <wp:effectExtent l="0" t="0" r="0" b="0"/>
                      <wp:wrapNone/>
                      <wp:docPr id="243" name="Frame2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33985" cy="175260"/>
                      <wp:effectExtent l="0" t="0" r="0" b="0"/>
                      <wp:wrapNone/>
                      <wp:docPr id="244" name="Frame2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19710" cy="175260"/>
                      <wp:effectExtent l="0" t="0" r="0" b="0"/>
                      <wp:wrapNone/>
                      <wp:docPr id="245" name="Frame2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7010" cy="175260"/>
                      <wp:effectExtent l="0" t="0" r="0" b="0"/>
                      <wp:wrapNone/>
                      <wp:docPr id="246" name="Frame2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33985" cy="175260"/>
                      <wp:effectExtent l="0" t="0" r="0" b="0"/>
                      <wp:wrapNone/>
                      <wp:docPr id="247" name="Frame2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57860" cy="175260"/>
                      <wp:effectExtent l="0" t="0" r="0" b="0"/>
                      <wp:wrapNone/>
                      <wp:docPr id="248" name="Frame24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Monster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6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Energy®</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Strategic</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Alcohol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6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Drinks</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vAlign w:val="center"/>
          </w:tcPr>
          <w:p>
            <w:pPr>
              <w:pStyle w:val="TableContents"/>
              <w:bidi w:val="0"/>
              <w:spacing w:before="0" w:after="0"/>
              <w:ind w:left="0" w:right="0" w:hanging="0"/>
              <w:jc w:val="left"/>
              <w:rPr/>
            </w:pPr>
            <w:r>
              <w:rPr/>
              <w:t>    </w:t>
            </w:r>
          </w:p>
        </w:tc>
        <w:tc>
          <w:tcPr>
            <w:tcW w:w="5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693,644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637,999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1,417,941</w:t>
            </w:r>
          </w:p>
        </w:tc>
      </w:tr>
      <w:tr>
        <w:trPr/>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September 30, 2024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693,644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637,999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1,417,941</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Intangible assets consist of the following at:</w:t>
      </w:r>
    </w:p>
    <w:p>
      <w:pPr>
        <w:pStyle w:val="TextBody"/>
        <w:bidi w:val="0"/>
        <w:spacing w:before="0" w:after="0"/>
        <w:ind w:left="0" w:right="0" w:hanging="0"/>
        <w:jc w:val="left"/>
        <w:rPr/>
      </w:pPr>
      <w:r>
        <w:rPr/>
        <w:t>​</w:t>
      </w:r>
    </w:p>
    <w:tbl>
      <w:tblPr>
        <w:tblW w:w="5633" w:type="dxa"/>
        <w:jc w:val="left"/>
        <w:tblInd w:w="0" w:type="dxa"/>
        <w:tblLayout w:type="fixed"/>
        <w:tblCellMar>
          <w:top w:w="0" w:type="dxa"/>
          <w:left w:w="0" w:type="dxa"/>
          <w:bottom w:w="0" w:type="dxa"/>
          <w:right w:w="0" w:type="dxa"/>
        </w:tblCellMar>
      </w:tblPr>
      <w:tblGrid>
        <w:gridCol w:w="2371"/>
        <w:gridCol w:w="326"/>
        <w:gridCol w:w="240"/>
        <w:gridCol w:w="1065"/>
        <w:gridCol w:w="326"/>
        <w:gridCol w:w="220"/>
        <w:gridCol w:w="1085"/>
      </w:tblGrid>
      <w:tr>
        <w:trPr/>
        <w:tc>
          <w:tcPr>
            <w:tcW w:w="2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505585" cy="175260"/>
                      <wp:effectExtent l="0" t="0" r="0" b="0"/>
                      <wp:wrapNone/>
                      <wp:docPr id="249" name="Frame249"/>
                      <a:graphic xmlns:a="http://schemas.openxmlformats.org/drawingml/2006/main">
                        <a:graphicData uri="http://schemas.microsoft.com/office/word/2010/wordprocessingShape">
                          <wps:wsp>
                            <wps:cNvSpPr txBox="1"/>
                            <wps:spPr>
                              <a:xfrm>
                                <a:off x="0" y="0"/>
                                <a:ext cx="150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175260"/>
                      <wp:effectExtent l="0" t="0" r="0" b="0"/>
                      <wp:wrapNone/>
                      <wp:docPr id="250" name="Frame2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52400" cy="175260"/>
                      <wp:effectExtent l="0" t="0" r="0" b="0"/>
                      <wp:wrapNone/>
                      <wp:docPr id="251" name="Frame251"/>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76275" cy="175260"/>
                      <wp:effectExtent l="0" t="0" r="0" b="0"/>
                      <wp:wrapNone/>
                      <wp:docPr id="252" name="Frame252"/>
                      <a:graphic xmlns:a="http://schemas.openxmlformats.org/drawingml/2006/main">
                        <a:graphicData uri="http://schemas.microsoft.com/office/word/2010/wordprocessingShape">
                          <wps:wsp>
                            <wps:cNvSpPr txBox="1"/>
                            <wps:spPr>
                              <a:xfrm>
                                <a:off x="0" y="0"/>
                                <a:ext cx="676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07010" cy="175260"/>
                      <wp:effectExtent l="0" t="0" r="0" b="0"/>
                      <wp:wrapNone/>
                      <wp:docPr id="253" name="Frame2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39700" cy="175260"/>
                      <wp:effectExtent l="0" t="0" r="0" b="0"/>
                      <wp:wrapNone/>
                      <wp:docPr id="254" name="Frame254"/>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88975" cy="175260"/>
                      <wp:effectExtent l="0" t="0" r="0" b="0"/>
                      <wp:wrapNone/>
                      <wp:docPr id="255" name="Frame255"/>
                      <a:graphic xmlns:a="http://schemas.openxmlformats.org/drawingml/2006/main">
                        <a:graphicData uri="http://schemas.microsoft.com/office/word/2010/wordprocessingShape">
                          <wps:wsp>
                            <wps:cNvSpPr txBox="1"/>
                            <wps:spPr>
                              <a:xfrm>
                                <a:off x="0" y="0"/>
                                <a:ext cx="688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 </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23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Amortizing intangibles</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192,633</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183,800</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amortization</w:t>
            </w:r>
          </w:p>
        </w:tc>
        <w:tc>
          <w:tcPr>
            <w:tcW w:w="32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(100,778)</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(86,703)</w:t>
            </w:r>
          </w:p>
        </w:tc>
      </w:tr>
      <w:tr>
        <w:trPr/>
        <w:tc>
          <w:tcPr>
            <w:tcW w:w="23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 </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91,855</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10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97,097</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Non-amortizing intangibles</w:t>
            </w:r>
          </w:p>
        </w:tc>
        <w:tc>
          <w:tcPr>
            <w:tcW w:w="32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1,327,451</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1,317,155</w:t>
            </w:r>
          </w:p>
        </w:tc>
      </w:tr>
      <w:tr>
        <w:trPr/>
        <w:tc>
          <w:tcPr>
            <w:tcW w:w="23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1,419,306</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1,414,252</w:t>
            </w:r>
          </w:p>
        </w:tc>
      </w:tr>
    </w:tbl>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Amortizing intangibles primarily consist of customer relationships. All amortizing intangibles have been assigned an estimated finite useful life, and such intangibles are amortized on a straight-line basis over the number of years that approximate their respective useful lives, generally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to ten years. Total amortization expense was $4.7 million and $2.2 million for the three-months ended September 30, 2025 and 2024, respectively. Total amortization expense was $13.4 million and $5.2 million for the nine-months ended September 30, 2025 and 2024, respectively. </w:t>
      </w:r>
      <w:r>
        <w:rPr>
          <w:rFonts w:ascii="Times New Roman;Times;serif" w:hAnsi="Times New Roman;Times;serif"/>
          <w:color w:val="212529"/>
          <w:sz w:val="20"/>
          <w:shd w:fill="FFFFFF" w:val="clear"/>
        </w:rPr>
        <w:t>For the three- and nine-months ended September 30, 2025</w:t>
      </w:r>
      <w:r>
        <w:rPr>
          <w:rFonts w:ascii="Times New Roman;Times;serif" w:hAnsi="Times New Roman;Times;serif"/>
          <w:sz w:val="20"/>
        </w:rPr>
        <w:t xml:space="preserve"> and</w:t>
      </w:r>
      <w:r>
        <w:rPr>
          <w:rFonts w:ascii="Times New Roman;Times;serif" w:hAnsi="Times New Roman;Times;serif"/>
          <w:color w:val="212529"/>
          <w:sz w:val="20"/>
          <w:shd w:fill="FFFFFF" w:val="clear"/>
        </w:rPr>
        <w:t xml:space="preserve"> 2024</w:t>
      </w:r>
      <w:r>
        <w:rPr>
          <w:rFonts w:ascii="Times New Roman;Times;serif" w:hAnsi="Times New Roman;Times;serif"/>
          <w:sz w:val="20"/>
        </w:rPr>
        <w:t>, no impairment charges were recorded to intangible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is the future estimated amortization expense related to amortizing intangibles as of September 30, 2025:</w:t>
      </w:r>
    </w:p>
    <w:p>
      <w:pPr>
        <w:pStyle w:val="TextBody"/>
        <w:bidi w:val="0"/>
        <w:spacing w:before="0" w:after="0"/>
        <w:ind w:left="0" w:right="0" w:hanging="0"/>
        <w:jc w:val="left"/>
        <w:rPr/>
      </w:pPr>
      <w:r>
        <w:rPr/>
        <w:t>​</w:t>
      </w:r>
    </w:p>
    <w:tbl>
      <w:tblPr>
        <w:tblW w:w="5534" w:type="dxa"/>
        <w:jc w:val="left"/>
        <w:tblInd w:w="0" w:type="dxa"/>
        <w:tblLayout w:type="fixed"/>
        <w:tblCellMar>
          <w:top w:w="0" w:type="dxa"/>
          <w:left w:w="0" w:type="dxa"/>
          <w:bottom w:w="0" w:type="dxa"/>
          <w:right w:w="0" w:type="dxa"/>
        </w:tblCellMar>
      </w:tblPr>
      <w:tblGrid>
        <w:gridCol w:w="4216"/>
        <w:gridCol w:w="326"/>
        <w:gridCol w:w="211"/>
        <w:gridCol w:w="781"/>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677160" cy="175260"/>
                      <wp:effectExtent l="0" t="0" r="0" b="0"/>
                      <wp:wrapNone/>
                      <wp:docPr id="256" name="Frame256"/>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07010" cy="175260"/>
                      <wp:effectExtent l="0" t="0" r="0" b="0"/>
                      <wp:wrapNone/>
                      <wp:docPr id="257" name="Frame2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33985" cy="175260"/>
                      <wp:effectExtent l="0" t="0" r="0" b="0"/>
                      <wp:wrapNone/>
                      <wp:docPr id="258" name="Frame2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495935" cy="175260"/>
                      <wp:effectExtent l="0" t="0" r="0" b="0"/>
                      <wp:wrapNone/>
                      <wp:docPr id="259" name="Frame25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 (from October 1,2025 to December 31, 2025)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4,808</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19,235</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17,506</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15,105</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13,755</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 and thereafter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21,446</w:t>
            </w:r>
          </w:p>
        </w:tc>
      </w:tr>
      <w:tr>
        <w:trPr/>
        <w:tc>
          <w:tcPr>
            <w:tcW w:w="42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91,855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3107" w:type="dxa"/>
        <w:jc w:val="left"/>
        <w:tblInd w:w="0" w:type="dxa"/>
        <w:tblLayout w:type="fixed"/>
        <w:tblCellMar>
          <w:top w:w="0" w:type="dxa"/>
          <w:left w:w="0" w:type="dxa"/>
          <w:bottom w:w="0" w:type="dxa"/>
          <w:right w:w="0" w:type="dxa"/>
        </w:tblCellMar>
      </w:tblPr>
      <w:tblGrid>
        <w:gridCol w:w="271"/>
        <w:gridCol w:w="2836"/>
      </w:tblGrid>
      <w:tr>
        <w:trPr/>
        <w:tc>
          <w:tcPr>
            <w:tcW w:w="2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8.</w:t>
            </w:r>
          </w:p>
        </w:tc>
        <w:tc>
          <w:tcPr>
            <w:tcW w:w="283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DISTRIBUTION AGREEMENTS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the normal course of business, amounts received pursuant to new and/or amended distribution agreements entered into with certain bottlers/distributors, relating to the costs associated with terminating agreements with the Company’s prior distributors, or at the inception of certain sales/marketing programs are accounted for as deferred revenue and are recognized as revenue ratably over the anticipated life of the respective agreement, generally 20 years or program duration, as the case may be. Revenue recognized was $10.1 million and $10.0 million for the three-months ended September 30, 2025 and 2024, respectively. Revenue recognized was $30.0 million and $29.9 million for the nine-months ended September 30, 2025 and 2024, respectively.</w:t>
      </w:r>
    </w:p>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505" w:name="Tc_26VCZIA2rEiwRjRU-Js1fQ_9_2"/>
      <w:bookmarkStart w:id="1506" w:name="Tc_QYXdVg-6b0ivzTv7f7BWpg_9_0"/>
      <w:bookmarkStart w:id="1507" w:name="Tc_JoH-cRBogkCnShSspwXIFw_8_0"/>
      <w:bookmarkStart w:id="1508" w:name="Tc_VrpQInZC-k6o0M7ZXcuiQw_7_0"/>
      <w:bookmarkStart w:id="1509" w:name="Tc_rapgW2KnRkSWX61_Sm4OQg_6_0"/>
      <w:bookmarkStart w:id="1510" w:name="Tc_c67NlNK5FEyjHcuKcjm6ag_5_0"/>
      <w:bookmarkStart w:id="1511" w:name="Tc_DKL6JM3kAUKZbLlVqbLfwQ_4_0"/>
      <w:bookmarkStart w:id="1512" w:name="Tc_zmxMRGUEO0CeV-eS5GKxFA_3_2"/>
      <w:bookmarkStart w:id="1513" w:name="Tc_F4C-PRA5a0G7oUX8k5wkaw_3_0"/>
      <w:bookmarkStart w:id="1514" w:name="Tc_Lm5SNMrUg0m1ltTQnuH-Pg_2_2"/>
      <w:bookmarkStart w:id="1515" w:name="Tc_TzeHkyRRCk62Fi6a4YHptQ_1_2"/>
      <w:bookmarkStart w:id="1516" w:name="Tc_26VCZIA2rEiwRjRU-Js1fQ_9_2"/>
      <w:bookmarkStart w:id="1517" w:name="Tc_QYXdVg-6b0ivzTv7f7BWpg_9_0"/>
      <w:bookmarkStart w:id="1518" w:name="Tc_JoH-cRBogkCnShSspwXIFw_8_0"/>
      <w:bookmarkStart w:id="1519" w:name="Tc_VrpQInZC-k6o0M7ZXcuiQw_7_0"/>
      <w:bookmarkStart w:id="1520" w:name="Tc_rapgW2KnRkSWX61_Sm4OQg_6_0"/>
      <w:bookmarkStart w:id="1521" w:name="Tc_c67NlNK5FEyjHcuKcjm6ag_5_0"/>
      <w:bookmarkStart w:id="1522" w:name="Tc_DKL6JM3kAUKZbLlVqbLfwQ_4_0"/>
      <w:bookmarkStart w:id="1523" w:name="Tc_zmxMRGUEO0CeV-eS5GKxFA_3_2"/>
      <w:bookmarkStart w:id="1524" w:name="Tc_F4C-PRA5a0G7oUX8k5wkaw_3_0"/>
      <w:bookmarkStart w:id="1525" w:name="Tc_Lm5SNMrUg0m1ltTQnuH-Pg_2_2"/>
      <w:bookmarkStart w:id="1526" w:name="Tc_TzeHkyRRCk62Fi6a4YHptQ_1_2"/>
      <w:bookmarkEnd w:id="1516"/>
      <w:bookmarkEnd w:id="1517"/>
      <w:bookmarkEnd w:id="1518"/>
      <w:bookmarkEnd w:id="1519"/>
      <w:bookmarkEnd w:id="1520"/>
      <w:bookmarkEnd w:id="1521"/>
      <w:bookmarkEnd w:id="1522"/>
      <w:bookmarkEnd w:id="1523"/>
      <w:bookmarkEnd w:id="1524"/>
      <w:bookmarkEnd w:id="1525"/>
      <w:bookmarkEnd w:id="1526"/>
    </w:p>
    <w:tbl>
      <w:tblPr>
        <w:tblW w:w="932" w:type="dxa"/>
        <w:jc w:val="left"/>
        <w:tblInd w:w="0" w:type="dxa"/>
        <w:tblLayout w:type="fixed"/>
        <w:tblCellMar>
          <w:top w:w="0" w:type="dxa"/>
          <w:left w:w="0" w:type="dxa"/>
          <w:bottom w:w="0" w:type="dxa"/>
          <w:right w:w="0" w:type="dxa"/>
        </w:tblCellMar>
      </w:tblPr>
      <w:tblGrid>
        <w:gridCol w:w="271"/>
        <w:gridCol w:w="661"/>
      </w:tblGrid>
      <w:tr>
        <w:trPr/>
        <w:tc>
          <w:tcPr>
            <w:tcW w:w="2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9.</w:t>
            </w:r>
          </w:p>
        </w:tc>
        <w:tc>
          <w:tcPr>
            <w:tcW w:w="6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DEBT</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repaid the outstanding balance on long-term debt in April 2025. As of December 31, 2024, the Company’s long-term debt consisted of the following:</w:t>
      </w:r>
    </w:p>
    <w:p>
      <w:pPr>
        <w:pStyle w:val="TextBody"/>
        <w:bidi w:val="0"/>
        <w:spacing w:before="0" w:after="0"/>
        <w:ind w:left="0" w:right="0" w:hanging="0"/>
        <w:jc w:val="left"/>
        <w:rPr/>
      </w:pPr>
      <w:r>
        <w:rPr/>
        <w:t>​</w:t>
      </w:r>
    </w:p>
    <w:tbl>
      <w:tblPr>
        <w:tblW w:w="5802" w:type="dxa"/>
        <w:jc w:val="left"/>
        <w:tblInd w:w="0" w:type="dxa"/>
        <w:tblLayout w:type="fixed"/>
        <w:tblCellMar>
          <w:top w:w="0" w:type="dxa"/>
          <w:left w:w="0" w:type="dxa"/>
          <w:bottom w:w="0" w:type="dxa"/>
          <w:right w:w="0" w:type="dxa"/>
        </w:tblCellMar>
      </w:tblPr>
      <w:tblGrid>
        <w:gridCol w:w="4171"/>
        <w:gridCol w:w="326"/>
        <w:gridCol w:w="250"/>
        <w:gridCol w:w="1055"/>
      </w:tblGrid>
      <w:tr>
        <w:trPr/>
        <w:tc>
          <w:tcPr>
            <w:tcW w:w="4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648585" cy="175260"/>
                      <wp:effectExtent l="0" t="0" r="0" b="0"/>
                      <wp:wrapNone/>
                      <wp:docPr id="260" name="Frame260"/>
                      <a:graphic xmlns:a="http://schemas.openxmlformats.org/drawingml/2006/main">
                        <a:graphicData uri="http://schemas.microsoft.com/office/word/2010/wordprocessingShape">
                          <wps:wsp>
                            <wps:cNvSpPr txBox="1"/>
                            <wps:spPr>
                              <a:xfrm>
                                <a:off x="0" y="0"/>
                                <a:ext cx="2648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07010" cy="175260"/>
                      <wp:effectExtent l="0" t="0" r="0" b="0"/>
                      <wp:wrapNone/>
                      <wp:docPr id="261" name="Frame2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58750" cy="175260"/>
                      <wp:effectExtent l="0" t="0" r="0" b="0"/>
                      <wp:wrapNone/>
                      <wp:docPr id="262" name="Frame262"/>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69925" cy="175260"/>
                      <wp:effectExtent l="0" t="0" r="0" b="0"/>
                      <wp:wrapNone/>
                      <wp:docPr id="263" name="Frame263"/>
                      <a:graphic xmlns:a="http://schemas.openxmlformats.org/drawingml/2006/main">
                        <a:graphicData uri="http://schemas.microsoft.com/office/word/2010/wordprocessingShape">
                          <wps:wsp>
                            <wps:cNvSpPr txBox="1"/>
                            <wps:spPr>
                              <a:xfrm>
                                <a:off x="0" y="0"/>
                                <a:ext cx="669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41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 loan</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375,000</w: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credit facility</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375,000</w: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unamortized debt issuance costs</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(1,049)</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 net of unamortized debt issuance costs</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373,951</w: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 of long-term debt</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373,951</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May 2024, the Company entered into a credit agreement with JPMorgan Chase Bank, N.A., as administrative agent, and certain other lenders (the “Original Credit Agreement”), which provided for senior unsecured credit facilities in an aggregate principal amount of $1.50 billion (collectively, the “Credit Facilities”). The Credit Facilities previously consisted of a $750.0 million term loan (the “Term Loan”) and up to $750.0 million in multicurrency revolving loan commitments (the “Revolving Credit Facility”). The Term Loan was repaid in April 2025 with no additional borrowings permitted. In addition, pursuant to Amendment No. 1 to the Original Credit Agreement, dated as of October 17, 2025, among the Company, JPMorgan Chase Bank, N.A., as administrative agent, and certain other lenders (the “Amended Credit Agreement”), the Company’s aggregate borrowing capacity under the Revolving Credit Facility has been reduced to $500.0 million. Borrowings under the Revolving Credit Facility bear interest at a variable rate per annum equal to the applicable rate plus margin (as defined in the Amended Credit Agreement). Borrowings may be repaid at any time during the term of the Revolving Credit Facility and may be reborrowed prior to the maturity date, which is set to occur in May 2029. As of September 30, 2025, no borrowings were outstanding under the Credit Facilities, and the Company was in compliance with all covenants under the Amended Credit Agreement.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Additionally, the Company has a line of credit of up to $15.0 million with HSBC Bank (China) Company Limited, Shanghai Branch. As of September 30, 2025, no amount was outstanding on this line of credit.</w:t>
      </w:r>
    </w:p>
    <w:p>
      <w:pPr>
        <w:pStyle w:val="TextBody"/>
        <w:bidi w:val="0"/>
        <w:spacing w:before="0" w:after="0"/>
        <w:ind w:left="0" w:right="0" w:hanging="0"/>
        <w:jc w:val="left"/>
        <w:rPr/>
      </w:pPr>
      <w:r>
        <w:rPr/>
        <w:t>​</w:t>
      </w:r>
    </w:p>
    <w:tbl>
      <w:tblPr>
        <w:tblW w:w="4022" w:type="dxa"/>
        <w:jc w:val="left"/>
        <w:tblInd w:w="0" w:type="dxa"/>
        <w:tblLayout w:type="fixed"/>
        <w:tblCellMar>
          <w:top w:w="0" w:type="dxa"/>
          <w:left w:w="0" w:type="dxa"/>
          <w:bottom w:w="0" w:type="dxa"/>
          <w:right w:w="0" w:type="dxa"/>
        </w:tblCellMar>
      </w:tblPr>
      <w:tblGrid>
        <w:gridCol w:w="376"/>
        <w:gridCol w:w="3646"/>
      </w:tblGrid>
      <w:tr>
        <w:trPr/>
        <w:tc>
          <w:tcPr>
            <w:tcW w:w="37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10.</w:t>
            </w:r>
          </w:p>
        </w:tc>
        <w:tc>
          <w:tcPr>
            <w:tcW w:w="364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COMMITMENTS AND CONTINGENCIES</w:t>
            </w:r>
          </w:p>
        </w:tc>
      </w:tr>
    </w:tbl>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The Company had purchase commitments aggregating approximately $225.3 million at September 30, 2025, which represented commitments made by the Company and its subsidiaries to various suppliers of raw materials for the production of its products. These obligations vary in terms but are generally satisfied within one year.</w:t>
      </w:r>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The Company had contractual obligations aggregating approximately $481.1 million at September 30, 2025, which related primarily to sponsorships and other marketing activities.</w:t>
      </w:r>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i/>
          <w:sz w:val="20"/>
        </w:rPr>
        <w:t xml:space="preserve">Litigation — </w:t>
      </w:r>
      <w:r>
        <w:rPr>
          <w:rFonts w:ascii="Times New Roman;Times;serif" w:hAnsi="Times New Roman;Times;serif"/>
          <w:sz w:val="20"/>
        </w:rPr>
        <w:t xml:space="preserve">From time to time in the normal course of business, the Company is named in litigation, including labor and employment matters, personal injury matters, consumer class actions, intellectual property matters and claims from prior distributors. Although it is not possible to predict the ultimate outcome of such litigation, based on the facts known to the Company, management believes that such litigation in aggregate will likely not have a material adverse effect on the Company’s financial position or results of operations.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 evaluates, on a quarterly basis, developments in legal proceedings and other matters that could cause an increase or decrease in the amount of the liability that is accrued, if any, and any related insurance reimbursements. </w:t>
      </w:r>
      <w:r>
        <w:rPr>
          <w:rFonts w:ascii="Times New Roman;Times;serif" w:hAnsi="Times New Roman;Times;serif"/>
          <w:color w:val="212529"/>
          <w:sz w:val="20"/>
          <w:shd w:fill="FFFFFF" w:val="clear"/>
        </w:rPr>
        <w:t>As of September 30, 2025 and December 31, 2024</w:t>
      </w:r>
      <w:r>
        <w:rPr>
          <w:rFonts w:ascii="Times New Roman;Times;serif" w:hAnsi="Times New Roman;Times;serif"/>
          <w:sz w:val="20"/>
        </w:rPr>
        <w:t>, $35.7 million and $16.8 million, respectively, of loss contingencies were included in the Company’s accompanying condensed consolidated balance sheets.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527" w:name="Tc_GA_madprE0usUUWma_JkqA_8_11"/>
      <w:bookmarkStart w:id="1528" w:name="Tc_PjcH4qGtJ0ynBG7vPI1HnQ_8_8"/>
      <w:bookmarkStart w:id="1529" w:name="Tc_wB_FbPmIZkCPskSFmzzdXg_8_5"/>
      <w:bookmarkStart w:id="1530" w:name="Tc_c2YN3YKJxkaizDW7NelDYQ_8_2"/>
      <w:bookmarkStart w:id="1531" w:name="Tc_m2FsQbCQQkGzDYJVAQnzYA_8_0"/>
      <w:bookmarkStart w:id="1532" w:name="Tc_J1KcWjpVe02MbHIRi-V0mA_7_0"/>
      <w:bookmarkStart w:id="1533" w:name="Tc_DfMeRt07EUGc_481ZfYtyg_6_0"/>
      <w:bookmarkStart w:id="1534" w:name="Tc_fs3PS3UQRUa-GJ9qSwQU8w_5_11"/>
      <w:bookmarkStart w:id="1535" w:name="Tc_1HfJ7W3BDk2ovE_FwHeCKQ_5_8"/>
      <w:bookmarkStart w:id="1536" w:name="Tc_m2UZybBMiUe1PlZF04sfTA_5_5"/>
      <w:bookmarkStart w:id="1537" w:name="Tc_dfnf8glVd0q3yuRS0IzcbQ_5_2"/>
      <w:bookmarkStart w:id="1538" w:name="Tc_iiHNDtX2r0S8SqsMCWYllA_5_0"/>
      <w:bookmarkStart w:id="1539" w:name="Tc_ndZ1mpYjeku6Oael06rv7Q_4_11"/>
      <w:bookmarkStart w:id="1540" w:name="Tc_-lo2kWKIYUykGKQFBp_lEg_4_8"/>
      <w:bookmarkStart w:id="1541" w:name="Tc_jEnRZ9Zf5kO0Ns1w5xyJMg_4_5"/>
      <w:bookmarkStart w:id="1542" w:name="Tc_rEfdUqLaH0ympyjCY6CSUw_4_2"/>
      <w:bookmarkStart w:id="1543" w:name="Tc_rG-7eeKXhUu2dmWnrNimOQ_3_8"/>
      <w:bookmarkStart w:id="1544" w:name="Tc_4nj9KV6oJUeGNFyTwtFQrw_3_5"/>
      <w:bookmarkStart w:id="1545" w:name="Tc_qMzjDMYiY0uYC_egN27miQ_3_2"/>
      <w:bookmarkStart w:id="1546" w:name="Tc_V9O1GVOCOUW6FgY14CsS4g_2_8"/>
      <w:bookmarkStart w:id="1547" w:name="Tc_8PycbW8ttkaZ-antyXg0uw_2_5"/>
      <w:bookmarkStart w:id="1548" w:name="Tc_84hYFWMC80qau_Yk9cH20A_2_2"/>
      <w:bookmarkStart w:id="1549" w:name="Tc_pQOT7mkGKUiOZohD-mnkuA_1_8"/>
      <w:bookmarkStart w:id="1550" w:name="Tc_nFeb5_fnYUuom7r3BEJxOA_1_5"/>
      <w:bookmarkStart w:id="1551" w:name="Tc_J0qa_Q4Tg0yUteJOM2DRcg_1_2"/>
      <w:bookmarkStart w:id="1552" w:name="_54819f0d_37fa_4553_ae63_2f683f059320"/>
      <w:bookmarkStart w:id="1553" w:name="Tc_cZ2eEQsRqEORH9SsBReZfQ_9_11"/>
      <w:bookmarkStart w:id="1554" w:name="Tc_9zVzGFL99E-hWB-b91nqvQ_9_8"/>
      <w:bookmarkStart w:id="1555" w:name="Tc_ScJ5TVko9kiATRqmIQzoqQ_9_5"/>
      <w:bookmarkStart w:id="1556" w:name="Tc_rcamXsiMuU-0E_9VAROxSg_9_2"/>
      <w:bookmarkStart w:id="1557" w:name="Tc_wc0CvHQ7FEe2bURipvQssg_9_0"/>
      <w:bookmarkStart w:id="1558" w:name="Tc_Cku9ncRQskGUqFMlq47Jaw_8_0"/>
      <w:bookmarkStart w:id="1559" w:name="Tc_B_OYdiBn9UGBdCFdlcWUdw_7_0"/>
      <w:bookmarkStart w:id="1560" w:name="Tc_m2f5IhJHvkmKlcdyg2xSWw_6_0"/>
      <w:bookmarkStart w:id="1561" w:name="Tc_rQYuEqzXiUG5zWQy68eebg_5_11"/>
      <w:bookmarkStart w:id="1562" w:name="Tc_Pj144jRyAUSL9CpNBiZCRQ_5_8"/>
      <w:bookmarkStart w:id="1563" w:name="Tc_NE0DXrb810GOu98gN9HLeg_5_5"/>
      <w:bookmarkStart w:id="1564" w:name="Tc_A_-gOhYIP0i9asPg4l8UNw_5_2"/>
      <w:bookmarkStart w:id="1565" w:name="Tc_gEFJ4piY2E6_vCEC7aK4SA_5_0"/>
      <w:bookmarkStart w:id="1566" w:name="Tc_UzteLc31m0qV6XUgnEcm0Q_4_11"/>
      <w:bookmarkStart w:id="1567" w:name="Tc_wu29XQoEAECiEfSJsTceCA_4_8"/>
      <w:bookmarkStart w:id="1568" w:name="Tc_ivdPH9rdiEmAynYABV8xDg_4_5"/>
      <w:bookmarkStart w:id="1569" w:name="Tc_ExW1BsEkU0-WuhO5olL51A_4_2"/>
      <w:bookmarkStart w:id="1570" w:name="Tc_ZHrVzAGUvEy02sSdfUYXZw_3_8"/>
      <w:bookmarkStart w:id="1571" w:name="Tc_Pu2ruQdHVUOA7CHe_7ymZw_3_5"/>
      <w:bookmarkStart w:id="1572" w:name="Tc_xIO3Mr-duEqJwk4yysuVkw_3_2"/>
      <w:bookmarkStart w:id="1573" w:name="Tc_Y_j5WmRH-0qpAHMnwB3M0w_2_8"/>
      <w:bookmarkStart w:id="1574" w:name="Tc_hUS4nP2DVkWRwH_tYxlPzw_2_5"/>
      <w:bookmarkStart w:id="1575" w:name="Tc_MyHGqeYGxU-NxVb4QTAV8g_2_2"/>
      <w:bookmarkStart w:id="1576" w:name="Tc_pVBLf8AXS0yyvADl-MNEZA_1_8"/>
      <w:bookmarkStart w:id="1577" w:name="Tc_dLEVnv49mkigEix5HzkjDA_1_5"/>
      <w:bookmarkStart w:id="1578" w:name="Tc_bkAnbYNZ1EeXFy_dQ0vV1Q_1_2"/>
      <w:bookmarkStart w:id="1579" w:name="_ce60d7f1_6680_451d_83ad_c274debf5c64"/>
      <w:bookmarkStart w:id="1580" w:name="Tc_GA_madprE0usUUWma_JkqA_8_11"/>
      <w:bookmarkStart w:id="1581" w:name="Tc_PjcH4qGtJ0ynBG7vPI1HnQ_8_8"/>
      <w:bookmarkStart w:id="1582" w:name="Tc_wB_FbPmIZkCPskSFmzzdXg_8_5"/>
      <w:bookmarkStart w:id="1583" w:name="Tc_c2YN3YKJxkaizDW7NelDYQ_8_2"/>
      <w:bookmarkStart w:id="1584" w:name="Tc_m2FsQbCQQkGzDYJVAQnzYA_8_0"/>
      <w:bookmarkStart w:id="1585" w:name="Tc_J1KcWjpVe02MbHIRi-V0mA_7_0"/>
      <w:bookmarkStart w:id="1586" w:name="Tc_DfMeRt07EUGc_481ZfYtyg_6_0"/>
      <w:bookmarkStart w:id="1587" w:name="Tc_fs3PS3UQRUa-GJ9qSwQU8w_5_11"/>
      <w:bookmarkStart w:id="1588" w:name="Tc_1HfJ7W3BDk2ovE_FwHeCKQ_5_8"/>
      <w:bookmarkStart w:id="1589" w:name="Tc_m2UZybBMiUe1PlZF04sfTA_5_5"/>
      <w:bookmarkStart w:id="1590" w:name="Tc_dfnf8glVd0q3yuRS0IzcbQ_5_2"/>
      <w:bookmarkStart w:id="1591" w:name="Tc_iiHNDtX2r0S8SqsMCWYllA_5_0"/>
      <w:bookmarkStart w:id="1592" w:name="Tc_ndZ1mpYjeku6Oael06rv7Q_4_11"/>
      <w:bookmarkStart w:id="1593" w:name="Tc_-lo2kWKIYUykGKQFBp_lEg_4_8"/>
      <w:bookmarkStart w:id="1594" w:name="Tc_jEnRZ9Zf5kO0Ns1w5xyJMg_4_5"/>
      <w:bookmarkStart w:id="1595" w:name="Tc_rEfdUqLaH0ympyjCY6CSUw_4_2"/>
      <w:bookmarkStart w:id="1596" w:name="Tc_rG-7eeKXhUu2dmWnrNimOQ_3_8"/>
      <w:bookmarkStart w:id="1597" w:name="Tc_4nj9KV6oJUeGNFyTwtFQrw_3_5"/>
      <w:bookmarkStart w:id="1598" w:name="Tc_qMzjDMYiY0uYC_egN27miQ_3_2"/>
      <w:bookmarkStart w:id="1599" w:name="Tc_V9O1GVOCOUW6FgY14CsS4g_2_8"/>
      <w:bookmarkStart w:id="1600" w:name="Tc_8PycbW8ttkaZ-antyXg0uw_2_5"/>
      <w:bookmarkStart w:id="1601" w:name="Tc_84hYFWMC80qau_Yk9cH20A_2_2"/>
      <w:bookmarkStart w:id="1602" w:name="Tc_pQOT7mkGKUiOZohD-mnkuA_1_8"/>
      <w:bookmarkStart w:id="1603" w:name="Tc_nFeb5_fnYUuom7r3BEJxOA_1_5"/>
      <w:bookmarkStart w:id="1604" w:name="Tc_J0qa_Q4Tg0yUteJOM2DRcg_1_2"/>
      <w:bookmarkStart w:id="1605" w:name="_54819f0d_37fa_4553_ae63_2f683f059320"/>
      <w:bookmarkStart w:id="1606" w:name="Tc_cZ2eEQsRqEORH9SsBReZfQ_9_11"/>
      <w:bookmarkStart w:id="1607" w:name="Tc_9zVzGFL99E-hWB-b91nqvQ_9_8"/>
      <w:bookmarkStart w:id="1608" w:name="Tc_ScJ5TVko9kiATRqmIQzoqQ_9_5"/>
      <w:bookmarkStart w:id="1609" w:name="Tc_rcamXsiMuU-0E_9VAROxSg_9_2"/>
      <w:bookmarkStart w:id="1610" w:name="Tc_wc0CvHQ7FEe2bURipvQssg_9_0"/>
      <w:bookmarkStart w:id="1611" w:name="Tc_Cku9ncRQskGUqFMlq47Jaw_8_0"/>
      <w:bookmarkStart w:id="1612" w:name="Tc_B_OYdiBn9UGBdCFdlcWUdw_7_0"/>
      <w:bookmarkStart w:id="1613" w:name="Tc_m2f5IhJHvkmKlcdyg2xSWw_6_0"/>
      <w:bookmarkStart w:id="1614" w:name="Tc_rQYuEqzXiUG5zWQy68eebg_5_11"/>
      <w:bookmarkStart w:id="1615" w:name="Tc_Pj144jRyAUSL9CpNBiZCRQ_5_8"/>
      <w:bookmarkStart w:id="1616" w:name="Tc_NE0DXrb810GOu98gN9HLeg_5_5"/>
      <w:bookmarkStart w:id="1617" w:name="Tc_A_-gOhYIP0i9asPg4l8UNw_5_2"/>
      <w:bookmarkStart w:id="1618" w:name="Tc_gEFJ4piY2E6_vCEC7aK4SA_5_0"/>
      <w:bookmarkStart w:id="1619" w:name="Tc_UzteLc31m0qV6XUgnEcm0Q_4_11"/>
      <w:bookmarkStart w:id="1620" w:name="Tc_wu29XQoEAECiEfSJsTceCA_4_8"/>
      <w:bookmarkStart w:id="1621" w:name="Tc_ivdPH9rdiEmAynYABV8xDg_4_5"/>
      <w:bookmarkStart w:id="1622" w:name="Tc_ExW1BsEkU0-WuhO5olL51A_4_2"/>
      <w:bookmarkStart w:id="1623" w:name="Tc_ZHrVzAGUvEy02sSdfUYXZw_3_8"/>
      <w:bookmarkStart w:id="1624" w:name="Tc_Pu2ruQdHVUOA7CHe_7ymZw_3_5"/>
      <w:bookmarkStart w:id="1625" w:name="Tc_xIO3Mr-duEqJwk4yysuVkw_3_2"/>
      <w:bookmarkStart w:id="1626" w:name="Tc_Y_j5WmRH-0qpAHMnwB3M0w_2_8"/>
      <w:bookmarkStart w:id="1627" w:name="Tc_hUS4nP2DVkWRwH_tYxlPzw_2_5"/>
      <w:bookmarkStart w:id="1628" w:name="Tc_MyHGqeYGxU-NxVb4QTAV8g_2_2"/>
      <w:bookmarkStart w:id="1629" w:name="Tc_pVBLf8AXS0yyvADl-MNEZA_1_8"/>
      <w:bookmarkStart w:id="1630" w:name="Tc_dLEVnv49mkigEix5HzkjDA_1_5"/>
      <w:bookmarkStart w:id="1631" w:name="Tc_bkAnbYNZ1EeXFy_dQ0vV1Q_1_2"/>
      <w:bookmarkStart w:id="1632" w:name="_ce60d7f1_6680_451d_83ad_c274debf5c64"/>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p>
    <w:tbl>
      <w:tblPr>
        <w:tblW w:w="4877" w:type="dxa"/>
        <w:jc w:val="left"/>
        <w:tblInd w:w="0" w:type="dxa"/>
        <w:tblLayout w:type="fixed"/>
        <w:tblCellMar>
          <w:top w:w="0" w:type="dxa"/>
          <w:left w:w="0" w:type="dxa"/>
          <w:bottom w:w="0" w:type="dxa"/>
          <w:right w:w="0" w:type="dxa"/>
        </w:tblCellMar>
      </w:tblPr>
      <w:tblGrid>
        <w:gridCol w:w="376"/>
        <w:gridCol w:w="4501"/>
      </w:tblGrid>
      <w:tr>
        <w:trPr/>
        <w:tc>
          <w:tcPr>
            <w:tcW w:w="37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11.</w:t>
            </w:r>
          </w:p>
        </w:tc>
        <w:tc>
          <w:tcPr>
            <w:tcW w:w="450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ACCUMULATED OTHER COMPREHENSIVE LOSS</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Changes in accumulated other comprehensive loss by component, after tax, </w:t>
      </w:r>
      <w:r>
        <w:rPr>
          <w:rFonts w:ascii="Times New Roman;Times;serif" w:hAnsi="Times New Roman;Times;serif"/>
          <w:color w:val="212529"/>
          <w:sz w:val="20"/>
        </w:rPr>
        <w:t xml:space="preserve">for the nine-months ended September 30, 2025 and 2024 </w:t>
      </w:r>
      <w:r>
        <w:rPr>
          <w:rFonts w:ascii="Times New Roman;Times;serif" w:hAnsi="Times New Roman;Times;serif"/>
          <w:sz w:val="20"/>
        </w:rPr>
        <w:t>are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926"/>
        <w:gridCol w:w="326"/>
        <w:gridCol w:w="328"/>
        <w:gridCol w:w="1053"/>
        <w:gridCol w:w="326"/>
        <w:gridCol w:w="211"/>
        <w:gridCol w:w="876"/>
        <w:gridCol w:w="326"/>
        <w:gridCol w:w="499"/>
        <w:gridCol w:w="873"/>
        <w:gridCol w:w="326"/>
        <w:gridCol w:w="211"/>
        <w:gridCol w:w="924"/>
      </w:tblGrid>
      <w:tr>
        <w:trPr/>
        <w:tc>
          <w:tcPr>
            <w:tcW w:w="3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493010" cy="175260"/>
                      <wp:effectExtent l="0" t="0" r="0" b="0"/>
                      <wp:wrapNone/>
                      <wp:docPr id="264" name="Frame264"/>
                      <a:graphic xmlns:a="http://schemas.openxmlformats.org/drawingml/2006/main">
                        <a:graphicData uri="http://schemas.microsoft.com/office/word/2010/wordprocessingShape">
                          <wps:wsp>
                            <wps:cNvSpPr txBox="1"/>
                            <wps:spPr>
                              <a:xfrm>
                                <a:off x="0" y="0"/>
                                <a:ext cx="2493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0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68655" cy="175260"/>
                      <wp:effectExtent l="0" t="0" r="0" b="0"/>
                      <wp:wrapNone/>
                      <wp:docPr id="265" name="Frame265"/>
                      <a:graphic xmlns:a="http://schemas.openxmlformats.org/drawingml/2006/main">
                        <a:graphicData uri="http://schemas.microsoft.com/office/word/2010/wordprocessingShape">
                          <wps:wsp>
                            <wps:cNvSpPr txBox="1"/>
                            <wps:spPr>
                              <a:xfrm>
                                <a:off x="0" y="0"/>
                                <a:ext cx="668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07010" cy="175260"/>
                      <wp:effectExtent l="0" t="0" r="0" b="0"/>
                      <wp:wrapNone/>
                      <wp:docPr id="266" name="Frame2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33985" cy="175260"/>
                      <wp:effectExtent l="0" t="0" r="0" b="0"/>
                      <wp:wrapNone/>
                      <wp:docPr id="267" name="Frame2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556260" cy="175260"/>
                      <wp:effectExtent l="0" t="0" r="0" b="0"/>
                      <wp:wrapNone/>
                      <wp:docPr id="268" name="Frame268"/>
                      <a:graphic xmlns:a="http://schemas.openxmlformats.org/drawingml/2006/main">
                        <a:graphicData uri="http://schemas.microsoft.com/office/word/2010/wordprocessingShape">
                          <wps:wsp>
                            <wps:cNvSpPr txBox="1"/>
                            <wps:spPr>
                              <a:xfrm>
                                <a:off x="0" y="0"/>
                                <a:ext cx="556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07010" cy="175260"/>
                      <wp:effectExtent l="0" t="0" r="0" b="0"/>
                      <wp:wrapNone/>
                      <wp:docPr id="269" name="Frame2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316865" cy="175260"/>
                      <wp:effectExtent l="0" t="0" r="0" b="0"/>
                      <wp:wrapNone/>
                      <wp:docPr id="270" name="Frame270"/>
                      <a:graphic xmlns:a="http://schemas.openxmlformats.org/drawingml/2006/main">
                        <a:graphicData uri="http://schemas.microsoft.com/office/word/2010/wordprocessingShape">
                          <wps:wsp>
                            <wps:cNvSpPr txBox="1"/>
                            <wps:spPr>
                              <a:xfrm>
                                <a:off x="0" y="0"/>
                                <a:ext cx="316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554355" cy="175260"/>
                      <wp:effectExtent l="0" t="0" r="0" b="0"/>
                      <wp:wrapNone/>
                      <wp:docPr id="271" name="Frame271"/>
                      <a:graphic xmlns:a="http://schemas.openxmlformats.org/drawingml/2006/main">
                        <a:graphicData uri="http://schemas.microsoft.com/office/word/2010/wordprocessingShape">
                          <wps:wsp>
                            <wps:cNvSpPr txBox="1"/>
                            <wps:spPr>
                              <a:xfrm>
                                <a:off x="0" y="0"/>
                                <a:ext cx="554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07010" cy="175260"/>
                      <wp:effectExtent l="0" t="0" r="0" b="0"/>
                      <wp:wrapNone/>
                      <wp:docPr id="272" name="Frame2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33985" cy="175260"/>
                      <wp:effectExtent l="0" t="0" r="0" b="0"/>
                      <wp:wrapNone/>
                      <wp:docPr id="273" name="Frame2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586740" cy="175260"/>
                      <wp:effectExtent l="0" t="0" r="0" b="0"/>
                      <wp:wrapNone/>
                      <wp:docPr id="274" name="Frame274"/>
                      <a:graphic xmlns:a="http://schemas.openxmlformats.org/drawingml/2006/main">
                        <a:graphicData uri="http://schemas.microsoft.com/office/word/2010/wordprocessingShape">
                          <wps:wsp>
                            <wps:cNvSpPr txBox="1"/>
                            <wps:spPr>
                              <a:xfrm>
                                <a:off x="0" y="0"/>
                                <a:ext cx="586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8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Accumulated Net</w:t>
            </w:r>
          </w:p>
        </w:tc>
        <w:tc>
          <w:tcPr>
            <w:tcW w:w="326" w:type="dxa"/>
            <w:tcBorders/>
            <w:vAlign w:val="center"/>
          </w:tcPr>
          <w:p>
            <w:pPr>
              <w:pStyle w:val="TableContents"/>
              <w:bidi w:val="0"/>
              <w:spacing w:before="0" w:after="0"/>
              <w:ind w:left="0" w:right="0" w:hanging="0"/>
              <w:jc w:val="left"/>
              <w:rPr/>
            </w:pPr>
            <w:r>
              <w:rPr/>
              <w:t>    </w:t>
            </w:r>
          </w:p>
        </w:tc>
        <w:tc>
          <w:tcPr>
            <w:tcW w:w="108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Currency</w:t>
            </w:r>
          </w:p>
        </w:tc>
        <w:tc>
          <w:tcPr>
            <w:tcW w:w="326" w:type="dxa"/>
            <w:tcBorders/>
            <w:vAlign w:val="center"/>
          </w:tcPr>
          <w:p>
            <w:pPr>
              <w:pStyle w:val="TableContents"/>
              <w:bidi w:val="0"/>
              <w:spacing w:before="0" w:after="0"/>
              <w:ind w:left="0" w:right="0" w:hanging="0"/>
              <w:jc w:val="left"/>
              <w:rPr/>
            </w:pPr>
            <w:r>
              <w:rPr/>
              <w:t>    </w:t>
            </w:r>
          </w:p>
        </w:tc>
        <w:tc>
          <w:tcPr>
            <w:tcW w:w="137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 Gains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center"/>
              <w:rPr/>
            </w:pPr>
            <w:r>
              <w:rPr/>
              <w:t>​</w:t>
            </w:r>
          </w:p>
        </w:tc>
      </w:tr>
      <w:tr>
        <w:trPr/>
        <w:tc>
          <w:tcPr>
            <w:tcW w:w="39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8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Gains (Losses) </w:t>
            </w:r>
          </w:p>
        </w:tc>
        <w:tc>
          <w:tcPr>
            <w:tcW w:w="326" w:type="dxa"/>
            <w:tcBorders/>
            <w:vAlign w:val="center"/>
          </w:tcPr>
          <w:p>
            <w:pPr>
              <w:pStyle w:val="TableContents"/>
              <w:bidi w:val="0"/>
              <w:spacing w:before="0" w:after="0"/>
              <w:ind w:left="0" w:right="0" w:hanging="0"/>
              <w:jc w:val="left"/>
              <w:rPr/>
            </w:pPr>
            <w:r>
              <w:rPr/>
              <w:t>​</w:t>
            </w:r>
          </w:p>
        </w:tc>
        <w:tc>
          <w:tcPr>
            <w:tcW w:w="108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Translation</w:t>
            </w:r>
          </w:p>
        </w:tc>
        <w:tc>
          <w:tcPr>
            <w:tcW w:w="326" w:type="dxa"/>
            <w:tcBorders/>
            <w:vAlign w:val="center"/>
          </w:tcPr>
          <w:p>
            <w:pPr>
              <w:pStyle w:val="TableContents"/>
              <w:bidi w:val="0"/>
              <w:spacing w:before="0" w:after="0"/>
              <w:ind w:left="0" w:right="0" w:hanging="0"/>
              <w:jc w:val="left"/>
              <w:rPr/>
            </w:pPr>
            <w:r>
              <w:rPr/>
              <w:t>​</w:t>
            </w:r>
          </w:p>
        </w:tc>
        <w:tc>
          <w:tcPr>
            <w:tcW w:w="137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(Losses) 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center"/>
              <w:rPr/>
            </w:pPr>
            <w:r>
              <w:rPr/>
              <w:t>​</w:t>
            </w:r>
          </w:p>
        </w:tc>
      </w:tr>
      <w:tr>
        <w:trPr/>
        <w:tc>
          <w:tcPr>
            <w:tcW w:w="39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8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on Commodity </w:t>
            </w:r>
          </w:p>
        </w:tc>
        <w:tc>
          <w:tcPr>
            <w:tcW w:w="326" w:type="dxa"/>
            <w:tcBorders/>
            <w:vAlign w:val="center"/>
          </w:tcPr>
          <w:p>
            <w:pPr>
              <w:pStyle w:val="TableContents"/>
              <w:bidi w:val="0"/>
              <w:spacing w:before="0" w:after="0"/>
              <w:ind w:left="0" w:right="0" w:hanging="0"/>
              <w:jc w:val="left"/>
              <w:rPr/>
            </w:pPr>
            <w:r>
              <w:rPr/>
              <w:t>​</w:t>
            </w:r>
          </w:p>
        </w:tc>
        <w:tc>
          <w:tcPr>
            <w:tcW w:w="108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Gains</w:t>
            </w:r>
          </w:p>
        </w:tc>
        <w:tc>
          <w:tcPr>
            <w:tcW w:w="326" w:type="dxa"/>
            <w:tcBorders/>
            <w:vAlign w:val="center"/>
          </w:tcPr>
          <w:p>
            <w:pPr>
              <w:pStyle w:val="TableContents"/>
              <w:bidi w:val="0"/>
              <w:spacing w:before="0" w:after="0"/>
              <w:ind w:left="0" w:right="0" w:hanging="0"/>
              <w:jc w:val="center"/>
              <w:rPr/>
            </w:pPr>
            <w:r>
              <w:rPr/>
              <w:t>​</w:t>
            </w:r>
          </w:p>
        </w:tc>
        <w:tc>
          <w:tcPr>
            <w:tcW w:w="137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Available-for-</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center"/>
              <w:rPr/>
            </w:pPr>
            <w:r>
              <w:rPr/>
              <w:t>​</w:t>
            </w:r>
          </w:p>
        </w:tc>
      </w:tr>
      <w:tr>
        <w:trPr/>
        <w:tc>
          <w:tcPr>
            <w:tcW w:w="39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Derivatives</w:t>
            </w:r>
          </w:p>
        </w:tc>
        <w:tc>
          <w:tcPr>
            <w:tcW w:w="326" w:type="dxa"/>
            <w:tcBorders/>
            <w:vAlign w:val="center"/>
          </w:tcPr>
          <w:p>
            <w:pPr>
              <w:pStyle w:val="TableContents"/>
              <w:bidi w:val="0"/>
              <w:spacing w:before="0" w:after="0"/>
              <w:ind w:left="0" w:right="0" w:hanging="0"/>
              <w:jc w:val="left"/>
              <w:rPr/>
            </w:pPr>
            <w:r>
              <w:rPr/>
              <w:t>    </w:t>
            </w:r>
          </w:p>
        </w:tc>
        <w:tc>
          <w:tcPr>
            <w:tcW w:w="10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(Losses)</w:t>
            </w:r>
          </w:p>
        </w:tc>
        <w:tc>
          <w:tcPr>
            <w:tcW w:w="326" w:type="dxa"/>
            <w:tcBorders/>
            <w:vAlign w:val="center"/>
          </w:tcPr>
          <w:p>
            <w:pPr>
              <w:pStyle w:val="TableContents"/>
              <w:bidi w:val="0"/>
              <w:spacing w:before="0" w:after="0"/>
              <w:ind w:left="0" w:right="0" w:hanging="0"/>
              <w:jc w:val="left"/>
              <w:rPr/>
            </w:pPr>
            <w:r>
              <w:rPr/>
              <w:t>    </w:t>
            </w:r>
          </w:p>
        </w:tc>
        <w:tc>
          <w:tcPr>
            <w:tcW w:w="13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Sale Securities</w:t>
            </w:r>
          </w:p>
        </w:tc>
        <w:tc>
          <w:tcPr>
            <w:tcW w:w="326" w:type="dxa"/>
            <w:tcBorders/>
            <w:vAlign w:val="center"/>
          </w:tcPr>
          <w:p>
            <w:pPr>
              <w:pStyle w:val="TableContents"/>
              <w:bidi w:val="0"/>
              <w:spacing w:before="0" w:after="0"/>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39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(269,930)</w:t>
            </w:r>
          </w:p>
        </w:tc>
        <w:tc>
          <w:tcPr>
            <w:tcW w:w="326" w:type="dxa"/>
            <w:tcBorders/>
            <w:shd w:fill="CCEEFF" w:val="clear"/>
            <w:vAlign w:val="center"/>
          </w:tcPr>
          <w:p>
            <w:pPr>
              <w:pStyle w:val="TableContents"/>
              <w:bidi w:val="0"/>
              <w:spacing w:before="0" w:after="0"/>
              <w:ind w:left="0" w:right="0" w:hanging="0"/>
              <w:jc w:val="right"/>
              <w:rPr/>
            </w:pPr>
            <w:r>
              <w:rPr/>
              <w:t>​</w:t>
            </w:r>
          </w:p>
        </w:tc>
        <w:tc>
          <w:tcPr>
            <w:tcW w:w="4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(269,487)</w:t>
            </w:r>
          </w:p>
        </w:tc>
      </w:tr>
      <w:tr>
        <w:trPr/>
        <w:tc>
          <w:tcPr>
            <w:tcW w:w="39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before reclassifications</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0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29,983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147,377</w:t>
            </w:r>
          </w:p>
        </w:tc>
        <w:tc>
          <w:tcPr>
            <w:tcW w:w="326" w:type="dxa"/>
            <w:tcBorders/>
            <w:vAlign w:val="center"/>
          </w:tcPr>
          <w:p>
            <w:pPr>
              <w:pStyle w:val="TableContents"/>
              <w:bidi w:val="0"/>
              <w:spacing w:before="0" w:after="0"/>
              <w:ind w:left="0" w:right="0" w:hanging="0"/>
              <w:jc w:val="right"/>
              <w:rPr/>
            </w:pPr>
            <w:r>
              <w:rPr/>
              <w:t>​</w:t>
            </w:r>
          </w:p>
        </w:tc>
        <w:tc>
          <w:tcPr>
            <w:tcW w:w="499"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177,794</w:t>
            </w:r>
          </w:p>
        </w:tc>
      </w:tr>
      <w:tr>
        <w:trPr/>
        <w:tc>
          <w:tcPr>
            <w:tcW w:w="39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reclassified from accumulated other comprehensive loss</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4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(1,689)</w:t>
            </w:r>
          </w:p>
        </w:tc>
      </w:tr>
      <w:tr>
        <w:trPr/>
        <w:tc>
          <w:tcPr>
            <w:tcW w:w="39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current-period other comprehensive income (loss)</w:t>
            </w:r>
          </w:p>
        </w:tc>
        <w:tc>
          <w:tcPr>
            <w:tcW w:w="326"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28,294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147,377</w:t>
            </w:r>
          </w:p>
        </w:tc>
        <w:tc>
          <w:tcPr>
            <w:tcW w:w="326" w:type="dxa"/>
            <w:tcBorders/>
            <w:vAlign w:val="center"/>
          </w:tcPr>
          <w:p>
            <w:pPr>
              <w:pStyle w:val="TableContents"/>
              <w:bidi w:val="0"/>
              <w:spacing w:before="0" w:after="0"/>
              <w:ind w:left="0" w:right="0" w:hanging="0"/>
              <w:jc w:val="right"/>
              <w:rPr/>
            </w:pPr>
            <w:r>
              <w:rPr/>
              <w:t>​</w:t>
            </w:r>
          </w:p>
        </w:tc>
        <w:tc>
          <w:tcPr>
            <w:tcW w:w="4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176,105</w:t>
            </w:r>
          </w:p>
        </w:tc>
      </w:tr>
      <w:tr>
        <w:trPr/>
        <w:tc>
          <w:tcPr>
            <w:tcW w:w="39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September 30, 2025</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28,737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(122,553)</w:t>
            </w:r>
          </w:p>
        </w:tc>
        <w:tc>
          <w:tcPr>
            <w:tcW w:w="326" w:type="dxa"/>
            <w:tcBorders/>
            <w:shd w:fill="CCEEFF" w:val="clear"/>
            <w:vAlign w:val="center"/>
          </w:tcPr>
          <w:p>
            <w:pPr>
              <w:pStyle w:val="TableContents"/>
              <w:bidi w:val="0"/>
              <w:spacing w:before="0" w:after="0"/>
              <w:ind w:left="0" w:right="0" w:hanging="0"/>
              <w:jc w:val="right"/>
              <w:rPr/>
            </w:pPr>
            <w:r>
              <w:rPr/>
              <w:t>​</w:t>
            </w:r>
          </w:p>
        </w:tc>
        <w:tc>
          <w:tcPr>
            <w:tcW w:w="4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(93,382)</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863"/>
        <w:gridCol w:w="326"/>
        <w:gridCol w:w="380"/>
        <w:gridCol w:w="1028"/>
        <w:gridCol w:w="326"/>
        <w:gridCol w:w="211"/>
        <w:gridCol w:w="881"/>
        <w:gridCol w:w="326"/>
        <w:gridCol w:w="457"/>
        <w:gridCol w:w="941"/>
        <w:gridCol w:w="326"/>
        <w:gridCol w:w="211"/>
        <w:gridCol w:w="929"/>
      </w:tblGrid>
      <w:tr>
        <w:trPr/>
        <w:tc>
          <w:tcPr>
            <w:tcW w:w="38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453005" cy="175260"/>
                      <wp:effectExtent l="0" t="0" r="0" b="0"/>
                      <wp:wrapNone/>
                      <wp:docPr id="275" name="Frame275"/>
                      <a:graphic xmlns:a="http://schemas.openxmlformats.org/drawingml/2006/main">
                        <a:graphicData uri="http://schemas.microsoft.com/office/word/2010/wordprocessingShape">
                          <wps:wsp>
                            <wps:cNvSpPr txBox="1"/>
                            <wps:spPr>
                              <a:xfrm>
                                <a:off x="0" y="0"/>
                                <a:ext cx="2453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07010" cy="175260"/>
                      <wp:effectExtent l="0" t="0" r="0" b="0"/>
                      <wp:wrapNone/>
                      <wp:docPr id="276" name="Frame2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41300" cy="175260"/>
                      <wp:effectExtent l="0" t="0" r="0" b="0"/>
                      <wp:wrapNone/>
                      <wp:docPr id="277" name="Frame277"/>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52780" cy="175260"/>
                      <wp:effectExtent l="0" t="0" r="0" b="0"/>
                      <wp:wrapNone/>
                      <wp:docPr id="278" name="Frame278"/>
                      <a:graphic xmlns:a="http://schemas.openxmlformats.org/drawingml/2006/main">
                        <a:graphicData uri="http://schemas.microsoft.com/office/word/2010/wordprocessingShape">
                          <wps:wsp>
                            <wps:cNvSpPr txBox="1"/>
                            <wps:spPr>
                              <a:xfrm>
                                <a:off x="0" y="0"/>
                                <a:ext cx="652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07010" cy="175260"/>
                      <wp:effectExtent l="0" t="0" r="0" b="0"/>
                      <wp:wrapNone/>
                      <wp:docPr id="279" name="Frame2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33985" cy="175260"/>
                      <wp:effectExtent l="0" t="0" r="0" b="0"/>
                      <wp:wrapNone/>
                      <wp:docPr id="280" name="Frame2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559435" cy="175260"/>
                      <wp:effectExtent l="0" t="0" r="0" b="0"/>
                      <wp:wrapNone/>
                      <wp:docPr id="281" name="Frame281"/>
                      <a:graphic xmlns:a="http://schemas.openxmlformats.org/drawingml/2006/main">
                        <a:graphicData uri="http://schemas.microsoft.com/office/word/2010/wordprocessingShape">
                          <wps:wsp>
                            <wps:cNvSpPr txBox="1"/>
                            <wps:spPr>
                              <a:xfrm>
                                <a:off x="0" y="0"/>
                                <a:ext cx="55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07010" cy="175260"/>
                      <wp:effectExtent l="0" t="0" r="0" b="0"/>
                      <wp:wrapNone/>
                      <wp:docPr id="282" name="Frame2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90195" cy="175260"/>
                      <wp:effectExtent l="0" t="0" r="0" b="0"/>
                      <wp:wrapNone/>
                      <wp:docPr id="283" name="Frame283"/>
                      <a:graphic xmlns:a="http://schemas.openxmlformats.org/drawingml/2006/main">
                        <a:graphicData uri="http://schemas.microsoft.com/office/word/2010/wordprocessingShape">
                          <wps:wsp>
                            <wps:cNvSpPr txBox="1"/>
                            <wps:spPr>
                              <a:xfrm>
                                <a:off x="0" y="0"/>
                                <a:ext cx="290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597535" cy="175260"/>
                      <wp:effectExtent l="0" t="0" r="0" b="0"/>
                      <wp:wrapNone/>
                      <wp:docPr id="284" name="Frame284"/>
                      <a:graphic xmlns:a="http://schemas.openxmlformats.org/drawingml/2006/main">
                        <a:graphicData uri="http://schemas.microsoft.com/office/word/2010/wordprocessingShape">
                          <wps:wsp>
                            <wps:cNvSpPr txBox="1"/>
                            <wps:spPr>
                              <a:xfrm>
                                <a:off x="0" y="0"/>
                                <a:ext cx="59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07010" cy="175260"/>
                      <wp:effectExtent l="0" t="0" r="0" b="0"/>
                      <wp:wrapNone/>
                      <wp:docPr id="285" name="Frame2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33985" cy="175260"/>
                      <wp:effectExtent l="0" t="0" r="0" b="0"/>
                      <wp:wrapNone/>
                      <wp:docPr id="286" name="Frame2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589915" cy="175260"/>
                      <wp:effectExtent l="0" t="0" r="0" b="0"/>
                      <wp:wrapNone/>
                      <wp:docPr id="287" name="Frame287"/>
                      <a:graphic xmlns:a="http://schemas.openxmlformats.org/drawingml/2006/main">
                        <a:graphicData uri="http://schemas.microsoft.com/office/word/2010/wordprocessingShape">
                          <wps:wsp>
                            <wps:cNvSpPr txBox="1"/>
                            <wps:spPr>
                              <a:xfrm>
                                <a:off x="0" y="0"/>
                                <a:ext cx="589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6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08"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Accumulated Net</w:t>
            </w:r>
          </w:p>
        </w:tc>
        <w:tc>
          <w:tcPr>
            <w:tcW w:w="326" w:type="dxa"/>
            <w:tcBorders/>
            <w:vAlign w:val="center"/>
          </w:tcPr>
          <w:p>
            <w:pPr>
              <w:pStyle w:val="TableContents"/>
              <w:bidi w:val="0"/>
              <w:spacing w:before="0" w:after="0"/>
              <w:ind w:left="0" w:right="0" w:hanging="0"/>
              <w:jc w:val="left"/>
              <w:rPr/>
            </w:pPr>
            <w:r>
              <w:rPr/>
              <w:t>    </w:t>
            </w:r>
          </w:p>
        </w:tc>
        <w:tc>
          <w:tcPr>
            <w:tcW w:w="10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Currency</w:t>
            </w:r>
          </w:p>
        </w:tc>
        <w:tc>
          <w:tcPr>
            <w:tcW w:w="326" w:type="dxa"/>
            <w:tcBorders/>
            <w:vAlign w:val="center"/>
          </w:tcPr>
          <w:p>
            <w:pPr>
              <w:pStyle w:val="TableContents"/>
              <w:bidi w:val="0"/>
              <w:spacing w:before="0" w:after="0"/>
              <w:ind w:left="0" w:right="0" w:hanging="0"/>
              <w:jc w:val="center"/>
              <w:rPr/>
            </w:pPr>
            <w:r>
              <w:rPr/>
              <w:t>​</w:t>
            </w:r>
          </w:p>
        </w:tc>
        <w:tc>
          <w:tcPr>
            <w:tcW w:w="1398"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 Gains</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29" w:type="dxa"/>
            <w:tcBorders/>
            <w:vAlign w:val="center"/>
          </w:tcPr>
          <w:p>
            <w:pPr>
              <w:pStyle w:val="TableContents"/>
              <w:bidi w:val="0"/>
              <w:spacing w:before="0" w:after="0"/>
              <w:ind w:left="0" w:right="0" w:hanging="0"/>
              <w:jc w:val="center"/>
              <w:rPr/>
            </w:pPr>
            <w:r>
              <w:rPr/>
              <w:t>​</w:t>
            </w:r>
          </w:p>
        </w:tc>
      </w:tr>
      <w:tr>
        <w:trPr/>
        <w:tc>
          <w:tcPr>
            <w:tcW w:w="386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08"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Gains (Losses) </w:t>
            </w:r>
          </w:p>
        </w:tc>
        <w:tc>
          <w:tcPr>
            <w:tcW w:w="326" w:type="dxa"/>
            <w:tcBorders/>
            <w:vAlign w:val="center"/>
          </w:tcPr>
          <w:p>
            <w:pPr>
              <w:pStyle w:val="TableContents"/>
              <w:bidi w:val="0"/>
              <w:spacing w:before="0" w:after="0"/>
              <w:ind w:left="0" w:right="0" w:hanging="0"/>
              <w:jc w:val="left"/>
              <w:rPr/>
            </w:pPr>
            <w:r>
              <w:rPr/>
              <w:t>​</w:t>
            </w:r>
          </w:p>
        </w:tc>
        <w:tc>
          <w:tcPr>
            <w:tcW w:w="10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Translation</w:t>
            </w:r>
          </w:p>
        </w:tc>
        <w:tc>
          <w:tcPr>
            <w:tcW w:w="326" w:type="dxa"/>
            <w:tcBorders/>
            <w:vAlign w:val="center"/>
          </w:tcPr>
          <w:p>
            <w:pPr>
              <w:pStyle w:val="TableContents"/>
              <w:bidi w:val="0"/>
              <w:spacing w:before="0" w:after="0"/>
              <w:ind w:left="0" w:right="0" w:hanging="0"/>
              <w:jc w:val="center"/>
              <w:rPr/>
            </w:pPr>
            <w:r>
              <w:rPr/>
              <w:t>​</w:t>
            </w:r>
          </w:p>
        </w:tc>
        <w:tc>
          <w:tcPr>
            <w:tcW w:w="1398"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(Losses) on</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29" w:type="dxa"/>
            <w:tcBorders/>
            <w:vAlign w:val="center"/>
          </w:tcPr>
          <w:p>
            <w:pPr>
              <w:pStyle w:val="TableContents"/>
              <w:bidi w:val="0"/>
              <w:spacing w:before="0" w:after="0"/>
              <w:ind w:left="0" w:right="0" w:hanging="0"/>
              <w:jc w:val="center"/>
              <w:rPr/>
            </w:pPr>
            <w:r>
              <w:rPr/>
              <w:t>​</w:t>
            </w:r>
          </w:p>
        </w:tc>
      </w:tr>
      <w:tr>
        <w:trPr/>
        <w:tc>
          <w:tcPr>
            <w:tcW w:w="386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08"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on Commodity </w:t>
            </w:r>
          </w:p>
        </w:tc>
        <w:tc>
          <w:tcPr>
            <w:tcW w:w="326" w:type="dxa"/>
            <w:tcBorders/>
            <w:vAlign w:val="center"/>
          </w:tcPr>
          <w:p>
            <w:pPr>
              <w:pStyle w:val="TableContents"/>
              <w:bidi w:val="0"/>
              <w:spacing w:before="0" w:after="0"/>
              <w:ind w:left="0" w:right="0" w:hanging="0"/>
              <w:jc w:val="left"/>
              <w:rPr/>
            </w:pPr>
            <w:r>
              <w:rPr/>
              <w:t>    </w:t>
            </w:r>
          </w:p>
        </w:tc>
        <w:tc>
          <w:tcPr>
            <w:tcW w:w="10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Gains</w:t>
            </w:r>
          </w:p>
        </w:tc>
        <w:tc>
          <w:tcPr>
            <w:tcW w:w="326" w:type="dxa"/>
            <w:tcBorders/>
            <w:vAlign w:val="center"/>
          </w:tcPr>
          <w:p>
            <w:pPr>
              <w:pStyle w:val="TableContents"/>
              <w:bidi w:val="0"/>
              <w:spacing w:before="0" w:after="0"/>
              <w:ind w:left="0" w:right="0" w:hanging="0"/>
              <w:jc w:val="left"/>
              <w:rPr/>
            </w:pPr>
            <w:r>
              <w:rPr/>
              <w:t>    </w:t>
            </w:r>
          </w:p>
        </w:tc>
        <w:tc>
          <w:tcPr>
            <w:tcW w:w="1398"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Available-for-</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29" w:type="dxa"/>
            <w:tcBorders/>
            <w:vAlign w:val="center"/>
          </w:tcPr>
          <w:p>
            <w:pPr>
              <w:pStyle w:val="TableContents"/>
              <w:bidi w:val="0"/>
              <w:spacing w:before="0" w:after="0"/>
              <w:ind w:left="0" w:right="0" w:hanging="0"/>
              <w:jc w:val="center"/>
              <w:rPr/>
            </w:pPr>
            <w:r>
              <w:rPr/>
              <w:t>​</w:t>
            </w:r>
          </w:p>
        </w:tc>
      </w:tr>
      <w:tr>
        <w:trPr/>
        <w:tc>
          <w:tcPr>
            <w:tcW w:w="386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4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Derivatives</w:t>
            </w:r>
          </w:p>
        </w:tc>
        <w:tc>
          <w:tcPr>
            <w:tcW w:w="326" w:type="dxa"/>
            <w:tcBorders/>
            <w:vAlign w:val="center"/>
          </w:tcPr>
          <w:p>
            <w:pPr>
              <w:pStyle w:val="TableContents"/>
              <w:bidi w:val="0"/>
              <w:spacing w:before="0" w:after="0"/>
              <w:ind w:left="0" w:right="0" w:hanging="0"/>
              <w:jc w:val="left"/>
              <w:rPr/>
            </w:pPr>
            <w:r>
              <w:rPr/>
              <w:t>    </w:t>
            </w:r>
          </w:p>
        </w:tc>
        <w:tc>
          <w:tcPr>
            <w:tcW w:w="10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(Losses)</w:t>
            </w:r>
          </w:p>
        </w:tc>
        <w:tc>
          <w:tcPr>
            <w:tcW w:w="326" w:type="dxa"/>
            <w:tcBorders/>
            <w:vAlign w:val="center"/>
          </w:tcPr>
          <w:p>
            <w:pPr>
              <w:pStyle w:val="TableContents"/>
              <w:bidi w:val="0"/>
              <w:spacing w:before="0" w:after="0"/>
              <w:ind w:left="0" w:right="0" w:hanging="0"/>
              <w:jc w:val="left"/>
              <w:rPr/>
            </w:pPr>
            <w:r>
              <w:rPr/>
              <w:t>    </w:t>
            </w:r>
          </w:p>
        </w:tc>
        <w:tc>
          <w:tcPr>
            <w:tcW w:w="13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Sale Securities</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386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(128,989)</w:t>
            </w:r>
          </w:p>
        </w:tc>
        <w:tc>
          <w:tcPr>
            <w:tcW w:w="326" w:type="dxa"/>
            <w:tcBorders/>
            <w:shd w:fill="CCEEFF" w:val="clear"/>
            <w:vAlign w:val="center"/>
          </w:tcPr>
          <w:p>
            <w:pPr>
              <w:pStyle w:val="TableContents"/>
              <w:bidi w:val="0"/>
              <w:spacing w:before="0" w:after="0"/>
              <w:ind w:left="0" w:right="0" w:hanging="0"/>
              <w:jc w:val="right"/>
              <w:rPr/>
            </w:pPr>
            <w:r>
              <w:rPr/>
              <w:t>​</w:t>
            </w:r>
          </w:p>
        </w:tc>
        <w:tc>
          <w:tcPr>
            <w:tcW w:w="4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(125,337)</w:t>
            </w:r>
          </w:p>
        </w:tc>
      </w:tr>
      <w:tr>
        <w:trPr/>
        <w:tc>
          <w:tcPr>
            <w:tcW w:w="386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before reclassifications</w:t>
            </w:r>
          </w:p>
        </w:tc>
        <w:tc>
          <w:tcPr>
            <w:tcW w:w="326" w:type="dxa"/>
            <w:tcBorders/>
            <w:vAlign w:val="center"/>
          </w:tcPr>
          <w:p>
            <w:pPr>
              <w:pStyle w:val="TableContents"/>
              <w:bidi w:val="0"/>
              <w:spacing w:before="0" w:after="0"/>
              <w:ind w:left="0" w:right="0" w:hanging="0"/>
              <w:jc w:val="left"/>
              <w:rPr/>
            </w:pPr>
            <w:r>
              <w:rPr/>
              <w:t>​</w:t>
            </w:r>
          </w:p>
        </w:tc>
        <w:tc>
          <w:tcPr>
            <w:tcW w:w="3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(13,953)</w:t>
            </w:r>
          </w:p>
        </w:tc>
        <w:tc>
          <w:tcPr>
            <w:tcW w:w="326" w:type="dxa"/>
            <w:tcBorders/>
            <w:vAlign w:val="center"/>
          </w:tcPr>
          <w:p>
            <w:pPr>
              <w:pStyle w:val="TableContents"/>
              <w:bidi w:val="0"/>
              <w:spacing w:before="0" w:after="0"/>
              <w:ind w:left="0" w:right="0" w:hanging="0"/>
              <w:jc w:val="right"/>
              <w:rPr/>
            </w:pPr>
            <w:r>
              <w:rPr/>
              <w:t>​</w:t>
            </w:r>
          </w:p>
        </w:tc>
        <w:tc>
          <w:tcPr>
            <w:tcW w:w="4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(12,505)</w:t>
            </w:r>
          </w:p>
        </w:tc>
      </w:tr>
      <w:tr>
        <w:trPr/>
        <w:tc>
          <w:tcPr>
            <w:tcW w:w="386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current-period other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3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(13,953)</w:t>
            </w:r>
          </w:p>
        </w:tc>
        <w:tc>
          <w:tcPr>
            <w:tcW w:w="326" w:type="dxa"/>
            <w:tcBorders/>
            <w:shd w:fill="CCEEFF" w:val="clear"/>
            <w:vAlign w:val="center"/>
          </w:tcPr>
          <w:p>
            <w:pPr>
              <w:pStyle w:val="TableContents"/>
              <w:bidi w:val="0"/>
              <w:spacing w:before="0" w:after="0"/>
              <w:ind w:left="0" w:right="0" w:hanging="0"/>
              <w:jc w:val="right"/>
              <w:rPr/>
            </w:pPr>
            <w:r>
              <w:rPr/>
              <w:t>​</w:t>
            </w:r>
          </w:p>
        </w:tc>
        <w:tc>
          <w:tcPr>
            <w:tcW w:w="4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(12,505)</w:t>
            </w:r>
          </w:p>
        </w:tc>
      </w:tr>
      <w:tr>
        <w:trPr/>
        <w:tc>
          <w:tcPr>
            <w:tcW w:w="386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September 30, 2024</w:t>
            </w:r>
          </w:p>
        </w:tc>
        <w:tc>
          <w:tcPr>
            <w:tcW w:w="326" w:type="dxa"/>
            <w:tcBorders/>
            <w:vAlign w:val="center"/>
          </w:tcPr>
          <w:p>
            <w:pPr>
              <w:pStyle w:val="TableContents"/>
              <w:bidi w:val="0"/>
              <w:spacing w:before="0" w:after="0"/>
              <w:ind w:left="0" w:right="0" w:hanging="0"/>
              <w:jc w:val="left"/>
              <w:rPr/>
            </w:pPr>
            <w:r>
              <w:rPr/>
              <w:t>​</w:t>
            </w:r>
          </w:p>
        </w:tc>
        <w:tc>
          <w:tcPr>
            <w:tcW w:w="3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(142,942)</w:t>
            </w:r>
          </w:p>
        </w:tc>
        <w:tc>
          <w:tcPr>
            <w:tcW w:w="326" w:type="dxa"/>
            <w:tcBorders/>
            <w:vAlign w:val="center"/>
          </w:tcPr>
          <w:p>
            <w:pPr>
              <w:pStyle w:val="TableContents"/>
              <w:bidi w:val="0"/>
              <w:spacing w:before="0" w:after="0"/>
              <w:ind w:left="0" w:right="0" w:hanging="0"/>
              <w:jc w:val="right"/>
              <w:rPr/>
            </w:pPr>
            <w:r>
              <w:rPr/>
              <w:t>​</w:t>
            </w:r>
          </w:p>
        </w:tc>
        <w:tc>
          <w:tcPr>
            <w:tcW w:w="45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(137,842)</w:t>
            </w:r>
          </w:p>
        </w:tc>
      </w:tr>
    </w:tbl>
    <w:p>
      <w:pPr>
        <w:pStyle w:val="TextBody"/>
        <w:pBdr/>
        <w:bidi w:val="0"/>
        <w:spacing w:before="0" w:after="0"/>
        <w:ind w:left="0" w:right="0" w:hanging="720"/>
        <w:jc w:val="left"/>
        <w:rPr/>
      </w:pPr>
      <w:r>
        <w:rPr/>
        <w:t>​</w:t>
      </w:r>
    </w:p>
    <w:p>
      <w:pPr>
        <w:pStyle w:val="TextBody"/>
        <w:bidi w:val="0"/>
        <w:spacing w:before="0" w:after="0"/>
        <w:ind w:left="0" w:right="0" w:hanging="0"/>
        <w:jc w:val="left"/>
        <w:rPr/>
      </w:pPr>
      <w:r>
        <w:rPr/>
        <w:t>​</w:t>
      </w:r>
    </w:p>
    <w:tbl>
      <w:tblPr>
        <w:tblW w:w="2222" w:type="dxa"/>
        <w:jc w:val="left"/>
        <w:tblInd w:w="0" w:type="dxa"/>
        <w:tblLayout w:type="fixed"/>
        <w:tblCellMar>
          <w:top w:w="0" w:type="dxa"/>
          <w:left w:w="0" w:type="dxa"/>
          <w:bottom w:w="0" w:type="dxa"/>
          <w:right w:w="0" w:type="dxa"/>
        </w:tblCellMar>
      </w:tblPr>
      <w:tblGrid>
        <w:gridCol w:w="376"/>
        <w:gridCol w:w="1846"/>
      </w:tblGrid>
      <w:tr>
        <w:trPr/>
        <w:tc>
          <w:tcPr>
            <w:tcW w:w="3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12.</w:t>
            </w:r>
          </w:p>
        </w:tc>
        <w:tc>
          <w:tcPr>
            <w:tcW w:w="184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TREASURY STOCK</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August 19, 2024, the Company’s Board of Directors authorized a share repurchase program for the purchase of up to an additional $500.0 million of the Company’s outstanding common stock (the “August 2024 Repurchase Plan”). During the three-months ended September 30, 2025, no shares were repurchased under the August 2024 Repurchase Plan. As of November 5, 2025, $500.0 million remained available for repurchase under the August 2024 Repurchase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aggregate amount of the Company’s outstanding common stock that remains available for repurchase under all previously authorized repurchase plans is $500.0 million as of November 5, 2025.</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During the three-months ended September 30, 2025, 0.4 million shares of common stock were purchased from employees in lieu of cash payments for options exercised or withholding taxes due for a total amount of $27.3 million. While such purchases are considered common stock repurchases, they are not counted as purchases against the Company’s authorized share repurchase programs. Such shares are included in common stock in treasury in the accompanying condensed consolidated balance sheet at September 30, 2025.</w:t>
      </w:r>
    </w:p>
    <w:p>
      <w:pPr>
        <w:pStyle w:val="TextBody"/>
        <w:bidi w:val="0"/>
        <w:spacing w:before="0" w:after="0"/>
        <w:ind w:left="0" w:right="0" w:firstLine="720"/>
        <w:jc w:val="both"/>
        <w:rPr/>
      </w:pPr>
      <w:r>
        <w:rPr/>
        <w:t>​</w:t>
      </w:r>
    </w:p>
    <w:tbl>
      <w:tblPr>
        <w:tblW w:w="3392" w:type="dxa"/>
        <w:jc w:val="left"/>
        <w:tblInd w:w="0" w:type="dxa"/>
        <w:tblLayout w:type="fixed"/>
        <w:tblCellMar>
          <w:top w:w="0" w:type="dxa"/>
          <w:left w:w="0" w:type="dxa"/>
          <w:bottom w:w="0" w:type="dxa"/>
          <w:right w:w="0" w:type="dxa"/>
        </w:tblCellMar>
      </w:tblPr>
      <w:tblGrid>
        <w:gridCol w:w="376"/>
        <w:gridCol w:w="3016"/>
      </w:tblGrid>
      <w:tr>
        <w:trPr/>
        <w:tc>
          <w:tcPr>
            <w:tcW w:w="3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13.</w:t>
            </w:r>
          </w:p>
        </w:tc>
        <w:tc>
          <w:tcPr>
            <w:tcW w:w="301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STOCK-BASED COMPENSATION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two stock-based compensation plans under which shares were available for grant at September 30, 2025: (i) the Monster Beverage Corporation 2020 Omnibus Incentive Plan, including the Monster Beverage Corporation Deferred Compensation Plan as a sub-plan thereunder, and (ii) the Monster Beverage Corporation 2017 Compensation Plan for Non-Employee Directors as Amended and Restated on February 23, 2022, including the Monster Beverage Corporation Deferred Compensation Plan for Non-Employee Directors as a sub-plan thereunder.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bookmarkStart w:id="1633" w:name="Tc_TtDPjv57aU2hrw9y4MeQ5g_6_9"/>
      <w:bookmarkStart w:id="1634" w:name="Tc_rQ83h8YjL0y8CXsZI8IeUg_6_7"/>
      <w:bookmarkStart w:id="1635" w:name="Tc_OZgo9IbVjEeRFq4ShG-yNg_6_5"/>
      <w:bookmarkStart w:id="1636" w:name="Tc_Fx2Zi1xmi0qsgNmfBNJQxg_6_2"/>
      <w:bookmarkStart w:id="1637" w:name="Tc_2gKvUxFjA0-X-yTMCLnbYw_6_0"/>
      <w:bookmarkStart w:id="1638" w:name="Tc_FjqzX9veJ0GaBLAKnpNctw_5_9"/>
      <w:bookmarkStart w:id="1639" w:name="Tc_UYCa8n4FAECz95QlbR5gUg_5_7"/>
      <w:bookmarkStart w:id="1640" w:name="Tc_vkqEsmEYPkGq0na-6OmT1g_5_5"/>
      <w:bookmarkStart w:id="1641" w:name="Tc_IpiVGggcfEGBxDdZCYYSYQ_5_0"/>
      <w:bookmarkStart w:id="1642" w:name="Tc_9vH2fEzdkEiSxAqHhLT2Xg_4_9"/>
      <w:bookmarkStart w:id="1643" w:name="Tc_OJSLcgCCAUGkyO0hSHMGLQ_4_7"/>
      <w:bookmarkStart w:id="1644" w:name="Tc_fiqRTUu0XEyj_AE99N9OQw_4_5"/>
      <w:bookmarkStart w:id="1645" w:name="Tc_bdxytzncRkq0wRZY7dz9kQ_4_0"/>
      <w:bookmarkStart w:id="1646" w:name="Tc_WVIvXJ41j0-5ZfjModajbQ_3_9"/>
      <w:bookmarkStart w:id="1647" w:name="Tc_RUkFHxmnSUW64k47B3fLSA_3_7"/>
      <w:bookmarkStart w:id="1648" w:name="Tc_PHxe3Sx3gU2PEZCpQZ5hgg_3_5"/>
      <w:bookmarkStart w:id="1649" w:name="Tc_3nvqjkdR6EizlnYdy8eicw_3_0"/>
      <w:bookmarkStart w:id="1650" w:name="Tc_bIXBrtQwcEuP-RWJPNjl_Q_2_8"/>
      <w:bookmarkStart w:id="1651" w:name="Tc_1TJqAcdgLUmN8wDv908KUg_2_6"/>
      <w:bookmarkStart w:id="1652" w:name="Tc_7CL7nhIbi0ysOWIRXDPjdg_2_4"/>
      <w:bookmarkStart w:id="1653" w:name="Tc_iPPPnmwESkKj2c3qSQeaww_2_2"/>
      <w:bookmarkStart w:id="1654" w:name="Tc_ujgChKLfxkmY6Pj2FOgQYQ_1_6"/>
      <w:bookmarkStart w:id="1655" w:name="Tc_tPL69DWLMUS69-QLZXF-pA_1_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r>
        <w:rPr>
          <w:rFonts w:ascii="Times New Roman;Times;serif" w:hAnsi="Times New Roman;Times;serif"/>
          <w:sz w:val="20"/>
        </w:rPr>
        <w:t>The Company recorded $32.8 million and $27.5 million of compensation expense relating to outstanding options, restricted stock units, performance share units and other share-based awards during the three-months ended September 30, 2025 and 2024, respectively. The Company recorded $86.7 million and $68.8 million of compensation expense relating to outstanding options, restricted stock units, performance share units and other share-based awards during the nine-months ended September 30, 2025 and 2024,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tax benefit for tax deductions from non-qualified stock option exercises, disqualifying dispositions of incentive stock options and vesting of restricted stock units and performance share units for the three-months ended September 30, 2025 and 2024 was $6.5 million and $1.3 million, respectively. The tax benefit for tax deductions from non-qualified stock option exercises, disqualifying dispositions of incentive stock options and vesting of restricted stock units and performance share units for the nine-months ended September 30, 2025 and 2024 was $20.1 million and $10.3 million, respectively.</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Stock Options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Company’s stock-based compensation plans, all stock options granted as of September 30, 2025 were granted at prices based on the fair value of the Company’s common stock on the date of grant. The Company records compensation expense for stock options based on the estimated fair value of the options on the date of grant using the Black-Scholes-Merton option pricing formula with the assumptions included in the table below. The Company uses historical data to determine the exercise behavior, volatility and forfeiture rate of the options.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weighted-average assumptions were used to estimate the fair value of options granted during:</w:t>
      </w:r>
    </w:p>
    <w:p>
      <w:pPr>
        <w:pStyle w:val="TextBody"/>
        <w:bidi w:val="0"/>
        <w:spacing w:before="0" w:after="0"/>
        <w:ind w:left="0" w:right="0" w:hanging="0"/>
        <w:jc w:val="left"/>
        <w:rPr/>
      </w:pPr>
      <w:r>
        <w:rPr/>
        <w:t>​</w:t>
      </w:r>
    </w:p>
    <w:tbl>
      <w:tblPr>
        <w:tblW w:w="9344" w:type="dxa"/>
        <w:jc w:val="left"/>
        <w:tblInd w:w="0" w:type="dxa"/>
        <w:tblLayout w:type="fixed"/>
        <w:tblCellMar>
          <w:top w:w="0" w:type="dxa"/>
          <w:left w:w="0" w:type="dxa"/>
          <w:bottom w:w="0" w:type="dxa"/>
          <w:right w:w="0" w:type="dxa"/>
        </w:tblCellMar>
      </w:tblPr>
      <w:tblGrid>
        <w:gridCol w:w="1846"/>
        <w:gridCol w:w="326"/>
        <w:gridCol w:w="1174"/>
        <w:gridCol w:w="727"/>
        <w:gridCol w:w="1174"/>
        <w:gridCol w:w="526"/>
        <w:gridCol w:w="1000"/>
        <w:gridCol w:w="1000"/>
        <w:gridCol w:w="1000"/>
        <w:gridCol w:w="571"/>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172210" cy="175260"/>
                      <wp:effectExtent l="0" t="0" r="0" b="0"/>
                      <wp:wrapNone/>
                      <wp:docPr id="288" name="Frame288"/>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07010" cy="175260"/>
                      <wp:effectExtent l="0" t="0" r="0" b="0"/>
                      <wp:wrapNone/>
                      <wp:docPr id="289" name="Frame2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745490" cy="175260"/>
                      <wp:effectExtent l="0" t="0" r="0" b="0"/>
                      <wp:wrapNone/>
                      <wp:docPr id="290" name="Frame290"/>
                      <a:graphic xmlns:a="http://schemas.openxmlformats.org/drawingml/2006/main">
                        <a:graphicData uri="http://schemas.microsoft.com/office/word/2010/wordprocessingShape">
                          <wps:wsp>
                            <wps:cNvSpPr txBox="1"/>
                            <wps:spPr>
                              <a:xfrm>
                                <a:off x="0" y="0"/>
                                <a:ext cx="745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461645" cy="175260"/>
                      <wp:effectExtent l="0" t="0" r="0" b="0"/>
                      <wp:wrapNone/>
                      <wp:docPr id="291" name="Frame291"/>
                      <a:graphic xmlns:a="http://schemas.openxmlformats.org/drawingml/2006/main">
                        <a:graphicData uri="http://schemas.microsoft.com/office/word/2010/wordprocessingShape">
                          <wps:wsp>
                            <wps:cNvSpPr txBox="1"/>
                            <wps:spPr>
                              <a:xfrm>
                                <a:off x="0" y="0"/>
                                <a:ext cx="461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745490" cy="175260"/>
                      <wp:effectExtent l="0" t="0" r="0" b="0"/>
                      <wp:wrapNone/>
                      <wp:docPr id="292" name="Frame292"/>
                      <a:graphic xmlns:a="http://schemas.openxmlformats.org/drawingml/2006/main">
                        <a:graphicData uri="http://schemas.microsoft.com/office/word/2010/wordprocessingShape">
                          <wps:wsp>
                            <wps:cNvSpPr txBox="1"/>
                            <wps:spPr>
                              <a:xfrm>
                                <a:off x="0" y="0"/>
                                <a:ext cx="745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334010" cy="175260"/>
                      <wp:effectExtent l="0" t="0" r="0" b="0"/>
                      <wp:wrapNone/>
                      <wp:docPr id="293" name="Frame293"/>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35000" cy="175260"/>
                      <wp:effectExtent l="0" t="0" r="0" b="0"/>
                      <wp:wrapNone/>
                      <wp:docPr id="294" name="Frame294"/>
                      <a:graphic xmlns:a="http://schemas.openxmlformats.org/drawingml/2006/main">
                        <a:graphicData uri="http://schemas.microsoft.com/office/word/2010/wordprocessingShape">
                          <wps:wsp>
                            <wps:cNvSpPr txBox="1"/>
                            <wps:spPr>
                              <a:xfrm>
                                <a:off x="0" y="0"/>
                                <a:ext cx="635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35000" cy="175260"/>
                      <wp:effectExtent l="0" t="0" r="0" b="0"/>
                      <wp:wrapNone/>
                      <wp:docPr id="295" name="Frame295"/>
                      <a:graphic xmlns:a="http://schemas.openxmlformats.org/drawingml/2006/main">
                        <a:graphicData uri="http://schemas.microsoft.com/office/word/2010/wordprocessingShape">
                          <wps:wsp>
                            <wps:cNvSpPr txBox="1"/>
                            <wps:spPr>
                              <a:xfrm>
                                <a:off x="0" y="0"/>
                                <a:ext cx="635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35000" cy="175260"/>
                      <wp:effectExtent l="0" t="0" r="0" b="0"/>
                      <wp:wrapNone/>
                      <wp:docPr id="296" name="Frame296"/>
                      <a:graphic xmlns:a="http://schemas.openxmlformats.org/drawingml/2006/main">
                        <a:graphicData uri="http://schemas.microsoft.com/office/word/2010/wordprocessingShape">
                          <wps:wsp>
                            <wps:cNvSpPr txBox="1"/>
                            <wps:spPr>
                              <a:xfrm>
                                <a:off x="0" y="0"/>
                                <a:ext cx="635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362585" cy="175260"/>
                      <wp:effectExtent l="0" t="0" r="0" b="0"/>
                      <wp:wrapNone/>
                      <wp:docPr id="297" name="Frame29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7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 September 30, </w:t>
            </w:r>
          </w:p>
        </w:tc>
        <w:tc>
          <w:tcPr>
            <w:tcW w:w="526" w:type="dxa"/>
            <w:tcBorders/>
            <w:vAlign w:val="center"/>
          </w:tcPr>
          <w:p>
            <w:pPr>
              <w:pStyle w:val="TableContents"/>
              <w:bidi w:val="0"/>
              <w:spacing w:before="0" w:after="0"/>
              <w:ind w:left="0" w:right="0" w:hanging="0"/>
              <w:jc w:val="left"/>
              <w:rPr/>
            </w:pPr>
            <w:r>
              <w:rPr/>
              <w:t>​</w:t>
            </w:r>
          </w:p>
        </w:tc>
        <w:tc>
          <w:tcPr>
            <w:tcW w:w="300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Nine-Months Ended September 30, </w:t>
            </w:r>
          </w:p>
        </w:tc>
        <w:tc>
          <w:tcPr>
            <w:tcW w:w="57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7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727" w:type="dxa"/>
            <w:tcBorders/>
            <w:vAlign w:val="center"/>
          </w:tcPr>
          <w:p>
            <w:pPr>
              <w:pStyle w:val="TableContents"/>
              <w:bidi w:val="0"/>
              <w:spacing w:before="0" w:after="0"/>
              <w:ind w:left="0" w:right="0" w:hanging="0"/>
              <w:jc w:val="left"/>
              <w:rPr/>
            </w:pPr>
            <w:r>
              <w:rPr/>
              <w:t>    </w:t>
            </w:r>
          </w:p>
        </w:tc>
        <w:tc>
          <w:tcPr>
            <w:tcW w:w="117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526" w:type="dxa"/>
            <w:tcBorders/>
            <w:vAlign w:val="center"/>
          </w:tcPr>
          <w:p>
            <w:pPr>
              <w:pStyle w:val="TableContents"/>
              <w:bidi w:val="0"/>
              <w:spacing w:before="0" w:after="0"/>
              <w:ind w:left="0" w:right="0" w:hanging="0"/>
              <w:jc w:val="left"/>
              <w:rPr/>
            </w:pPr>
            <w:r>
              <w:rPr/>
              <w:t>    </w:t>
            </w:r>
          </w:p>
        </w:tc>
        <w:tc>
          <w:tcPr>
            <w:tcW w:w="10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1000" w:type="dxa"/>
            <w:tcBorders/>
            <w:vAlign w:val="center"/>
          </w:tcPr>
          <w:p>
            <w:pPr>
              <w:pStyle w:val="TableContents"/>
              <w:bidi w:val="0"/>
              <w:spacing w:before="0" w:after="0"/>
              <w:ind w:left="0" w:right="0" w:hanging="0"/>
              <w:jc w:val="left"/>
              <w:rPr/>
            </w:pPr>
            <w:r>
              <w:rPr/>
              <w:t>    </w:t>
            </w:r>
          </w:p>
        </w:tc>
        <w:tc>
          <w:tcPr>
            <w:tcW w:w="10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571" w:type="dxa"/>
            <w:tcBorders/>
            <w:vAlign w:val="center"/>
          </w:tcPr>
          <w:p>
            <w:pPr>
              <w:pStyle w:val="TableContents"/>
              <w:bidi w:val="0"/>
              <w:spacing w:before="0" w:after="0"/>
              <w:ind w:left="0" w:right="0" w:hanging="0"/>
              <w:jc w:val="left"/>
              <w:rPr/>
            </w:pPr>
            <w:r>
              <w:rPr/>
              <w:t>​</w:t>
            </w:r>
          </w:p>
        </w:tc>
      </w:tr>
      <w:tr>
        <w:trPr/>
        <w:tc>
          <w:tcPr>
            <w:tcW w:w="18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26" w:type="dxa"/>
            <w:tcBorders/>
            <w:shd w:fill="CCEEFF" w:val="clear"/>
            <w:vAlign w:val="center"/>
          </w:tcPr>
          <w:p>
            <w:pPr>
              <w:pStyle w:val="TableContents"/>
              <w:bidi w:val="0"/>
              <w:spacing w:before="0" w:after="0"/>
              <w:ind w:left="0" w:right="0" w:hanging="0"/>
              <w:jc w:val="left"/>
              <w:rPr/>
            </w:pPr>
            <w:r>
              <w:rPr/>
              <w:t>​</w:t>
            </w:r>
          </w:p>
        </w:tc>
        <w:tc>
          <w:tcPr>
            <w:tcW w:w="1174" w:type="dxa"/>
            <w:tcBorders/>
            <w:shd w:fill="CCEEFF" w:val="clear"/>
            <w:vAlign w:val="center"/>
          </w:tcPr>
          <w:p>
            <w:pPr>
              <w:pStyle w:val="TableContents"/>
              <w:bidi w:val="0"/>
              <w:spacing w:before="0" w:after="0"/>
              <w:ind w:left="0" w:right="0" w:hanging="0"/>
              <w:jc w:val="right"/>
              <w:rPr/>
            </w:pPr>
            <w:r>
              <w:rPr/>
              <w:t>—</w:t>
            </w:r>
          </w:p>
        </w:tc>
        <w:tc>
          <w:tcPr>
            <w:tcW w:w="727" w:type="dxa"/>
            <w:tcBorders/>
            <w:shd w:fill="CCEEFF" w:val="clear"/>
            <w:vAlign w:val="center"/>
          </w:tcPr>
          <w:p>
            <w:pPr>
              <w:pStyle w:val="TableContents"/>
              <w:bidi w:val="0"/>
              <w:spacing w:before="0" w:after="0"/>
              <w:ind w:left="0" w:right="0" w:hanging="0"/>
              <w:jc w:val="left"/>
              <w:rPr/>
            </w:pPr>
            <w:r>
              <w:rPr/>
              <w:t>​</w:t>
            </w:r>
          </w:p>
        </w:tc>
        <w:tc>
          <w:tcPr>
            <w:tcW w:w="11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10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26" w:type="dxa"/>
            <w:tcBorders/>
            <w:vAlign w:val="center"/>
          </w:tcPr>
          <w:p>
            <w:pPr>
              <w:pStyle w:val="TableContents"/>
              <w:bidi w:val="0"/>
              <w:spacing w:before="0" w:after="0"/>
              <w:ind w:left="0" w:right="0" w:hanging="0"/>
              <w:jc w:val="left"/>
              <w:rPr/>
            </w:pPr>
            <w:r>
              <w:rPr/>
              <w:t>​</w:t>
            </w:r>
          </w:p>
        </w:tc>
        <w:tc>
          <w:tcPr>
            <w:tcW w:w="1174" w:type="dxa"/>
            <w:tcBorders/>
            <w:vAlign w:val="center"/>
          </w:tcPr>
          <w:p>
            <w:pPr>
              <w:pStyle w:val="TableContents"/>
              <w:bidi w:val="0"/>
              <w:spacing w:before="0" w:after="0"/>
              <w:ind w:left="0" w:right="0" w:hanging="0"/>
              <w:jc w:val="right"/>
              <w:rPr/>
            </w:pPr>
            <w:r>
              <w:rPr/>
              <w:t>—</w:t>
            </w:r>
          </w:p>
        </w:tc>
        <w:tc>
          <w:tcPr>
            <w:tcW w:w="727" w:type="dxa"/>
            <w:tcBorders/>
            <w:vAlign w:val="center"/>
          </w:tcPr>
          <w:p>
            <w:pPr>
              <w:pStyle w:val="TableContents"/>
              <w:bidi w:val="0"/>
              <w:spacing w:before="0" w:after="0"/>
              <w:ind w:left="0" w:right="0" w:hanging="0"/>
              <w:jc w:val="left"/>
              <w:rPr/>
            </w:pPr>
            <w:r>
              <w:rPr/>
              <w:t>​</w:t>
            </w:r>
          </w:p>
        </w:tc>
        <w:tc>
          <w:tcPr>
            <w:tcW w:w="11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w:t>
            </w:r>
          </w:p>
        </w:tc>
        <w:tc>
          <w:tcPr>
            <w:tcW w:w="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10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26" w:type="dxa"/>
            <w:tcBorders/>
            <w:shd w:fill="CCEEFF" w:val="clear"/>
            <w:vAlign w:val="center"/>
          </w:tcPr>
          <w:p>
            <w:pPr>
              <w:pStyle w:val="TableContents"/>
              <w:bidi w:val="0"/>
              <w:spacing w:before="0" w:after="0"/>
              <w:ind w:left="0" w:right="0" w:hanging="0"/>
              <w:jc w:val="left"/>
              <w:rPr/>
            </w:pPr>
            <w:r>
              <w:rPr/>
              <w:t>​</w:t>
            </w:r>
          </w:p>
        </w:tc>
        <w:tc>
          <w:tcPr>
            <w:tcW w:w="1174" w:type="dxa"/>
            <w:tcBorders/>
            <w:shd w:fill="CCEEFF" w:val="clear"/>
            <w:vAlign w:val="center"/>
          </w:tcPr>
          <w:p>
            <w:pPr>
              <w:pStyle w:val="TableContents"/>
              <w:bidi w:val="0"/>
              <w:spacing w:before="0" w:after="0"/>
              <w:ind w:left="0" w:right="0" w:hanging="0"/>
              <w:jc w:val="right"/>
              <w:rPr/>
            </w:pPr>
            <w:r>
              <w:rPr/>
              <w:t>—</w:t>
            </w:r>
          </w:p>
        </w:tc>
        <w:tc>
          <w:tcPr>
            <w:tcW w:w="727" w:type="dxa"/>
            <w:tcBorders/>
            <w:shd w:fill="CCEEFF" w:val="clear"/>
            <w:vAlign w:val="center"/>
          </w:tcPr>
          <w:p>
            <w:pPr>
              <w:pStyle w:val="TableContents"/>
              <w:bidi w:val="0"/>
              <w:spacing w:before="0" w:after="0"/>
              <w:ind w:left="0" w:right="0" w:hanging="0"/>
              <w:jc w:val="left"/>
              <w:rPr/>
            </w:pPr>
            <w:r>
              <w:rPr/>
              <w:t>​</w:t>
            </w:r>
          </w:p>
        </w:tc>
        <w:tc>
          <w:tcPr>
            <w:tcW w:w="11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10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w:t>
            </w:r>
          </w:p>
        </w:tc>
        <w:tc>
          <w:tcPr>
            <w:tcW w:w="326" w:type="dxa"/>
            <w:tcBorders/>
            <w:vAlign w:val="center"/>
          </w:tcPr>
          <w:p>
            <w:pPr>
              <w:pStyle w:val="TableContents"/>
              <w:bidi w:val="0"/>
              <w:spacing w:before="0" w:after="0"/>
              <w:ind w:left="0" w:right="0" w:hanging="0"/>
              <w:jc w:val="left"/>
              <w:rPr/>
            </w:pPr>
            <w:r>
              <w:rPr/>
              <w:t>​</w:t>
            </w:r>
          </w:p>
        </w:tc>
        <w:tc>
          <w:tcPr>
            <w:tcW w:w="1174" w:type="dxa"/>
            <w:tcBorders/>
            <w:vAlign w:val="center"/>
          </w:tcPr>
          <w:p>
            <w:pPr>
              <w:pStyle w:val="TableContents"/>
              <w:bidi w:val="0"/>
              <w:spacing w:before="0" w:after="0"/>
              <w:ind w:left="0" w:right="0" w:hanging="0"/>
              <w:jc w:val="right"/>
              <w:rPr/>
            </w:pPr>
            <w:r>
              <w:rPr/>
              <w:t>—</w:t>
            </w:r>
          </w:p>
        </w:tc>
        <w:tc>
          <w:tcPr>
            <w:tcW w:w="727" w:type="dxa"/>
            <w:tcBorders/>
            <w:vAlign w:val="center"/>
          </w:tcPr>
          <w:p>
            <w:pPr>
              <w:pStyle w:val="TableContents"/>
              <w:bidi w:val="0"/>
              <w:spacing w:before="0" w:after="0"/>
              <w:ind w:left="0" w:right="0" w:hanging="0"/>
              <w:jc w:val="left"/>
              <w:rPr/>
            </w:pPr>
            <w:r>
              <w:rPr/>
              <w:t>​</w:t>
            </w:r>
          </w:p>
        </w:tc>
        <w:tc>
          <w:tcPr>
            <w:tcW w:w="11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c>
          <w:tcPr>
            <w:tcW w:w="10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10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c>
          <w:tcPr>
            <w:tcW w:w="10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r>
    </w:tbl>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Expected Volatility</w:t>
      </w:r>
      <w:r>
        <w:rPr>
          <w:rFonts w:ascii="Times New Roman;Times;serif" w:hAnsi="Times New Roman;Times;serif"/>
          <w:sz w:val="20"/>
        </w:rPr>
        <w:t>: The Company uses historical volatility as it provides a reasonable estimate of the expected volatility. Historical volatility is based on the most recent volatility of the stock price over a period of time equivalent to the expected term of the option.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Risk-Free Interest Rate</w:t>
      </w:r>
      <w:r>
        <w:rPr>
          <w:rFonts w:ascii="Times New Roman;Times;serif" w:hAnsi="Times New Roman;Times;serif"/>
          <w:sz w:val="20"/>
        </w:rPr>
        <w:t>: The risk-free interest rate is based on the U.S. treasury zero-coupon yield curve in effect at the time of grant for the expected term of the option.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Expected Term</w:t>
      </w:r>
      <w:r>
        <w:rPr>
          <w:rFonts w:ascii="Times New Roman;Times;serif" w:hAnsi="Times New Roman;Times;serif"/>
          <w:sz w:val="20"/>
        </w:rPr>
        <w:t>: The Company’s expected term represents the weighted-average period that the Company’s stock options are expected to be outstanding. The expected term is based on the expected time to post-vesting exercise of options by employees. The Company uses historical exercise patterns of previously granted options to derive employee behavioral patterns used to forecast expected exercise patterns.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bookmarkStart w:id="1656" w:name="Tc_SmXTz2Ns7UmRxmUkKxEgBw_15_9"/>
      <w:bookmarkStart w:id="1657" w:name="Tc_KoTVuKJDZk2wngMxGFdCpA_15_4"/>
      <w:bookmarkStart w:id="1658" w:name="Tc_TXe__yBxkE2x0h92130r6Q_15_0"/>
      <w:bookmarkStart w:id="1659" w:name="Tc_2pam5L_bCUuCQW8PnrJXiw_14_9"/>
      <w:bookmarkStart w:id="1660" w:name="Tc_qtj3uqWs1Euf4kiPy7DZ-A_14_4"/>
      <w:bookmarkStart w:id="1661" w:name="Tc_Jkqyq-ileUSXNlxT0HCZxg_14_0"/>
      <w:bookmarkStart w:id="1662" w:name="Tc_nSEc6-io8UGWh4x9XYOWEQ_13_9"/>
      <w:bookmarkStart w:id="1663" w:name="Tc_w1p6HfSg40mvGTbJZiziyw_13_4"/>
      <w:bookmarkStart w:id="1664" w:name="Tc_kwKUpnrL2ECJTcDQ9ZZ16w_13_0"/>
      <w:bookmarkStart w:id="1665" w:name="Tc_lfUMmHed8EaNj_kodznurw_12_4"/>
      <w:bookmarkStart w:id="1666" w:name="Tc_nfFswO0r90ye11ufCH0Png_12_0"/>
      <w:bookmarkStart w:id="1667" w:name="Tc_eYUYTqJ4Z0ajBfDmXbRw_A_11_4"/>
      <w:bookmarkStart w:id="1668" w:name="Tc_CApO8JiiF0SzwX_D0qc8mg_11_0"/>
      <w:bookmarkStart w:id="1669" w:name="Tc_dqSphPbaVk-l2nJ66MpoTg_10_4"/>
      <w:bookmarkStart w:id="1670" w:name="Tc_z9TaYfLCjEG59iYwmdAkUA_10_0"/>
      <w:bookmarkStart w:id="1671" w:name="Tc_m1Vs0fT3M0uSLgA1-rzsOA_9_4"/>
      <w:bookmarkStart w:id="1672" w:name="Tc_K5BLwsvvIECVUnzkJv1clQ_9_0"/>
      <w:bookmarkStart w:id="1673" w:name="Tc_IGS_QztzTES-hzL4Sp6uPQ_8_4"/>
      <w:bookmarkStart w:id="1674" w:name="Tc_oeBpzi9Wj0KTuvsnvBsyRA_8_0"/>
      <w:bookmarkStart w:id="1675" w:name="Tc_aJL8Voo04EyGOMsUzgRk9Q_7_9"/>
      <w:bookmarkStart w:id="1676" w:name="Tc_zl1U96oJhUuS3ZHoL6b18Q_7_4"/>
      <w:bookmarkStart w:id="1677" w:name="Tc_JpcSPAx_Hku78-H_aPwmPg_7_0"/>
      <w:bookmarkStart w:id="1678" w:name="Tc_oFadnRBGzUGLp22bK52j9Q_6_9"/>
      <w:bookmarkStart w:id="1679" w:name="Tc_BTmqWK-nt0OSE779h_qObQ_6_7"/>
      <w:bookmarkStart w:id="1680" w:name="Tc_iVSpSAJ5f0Op5kX0qRv8gA_6_4"/>
      <w:bookmarkStart w:id="1681" w:name="Tc_ppx3CGc4S0eyJvFHZczGsg_6_2"/>
      <w:bookmarkStart w:id="1682" w:name="Tc_GOgq5SmM2k-pSGEEunnjpQ_6_0"/>
      <w:bookmarkStart w:id="1683" w:name="Tc_IQl8WCl6K0GUssciUVep6A_5_9"/>
      <w:bookmarkStart w:id="1684" w:name="Tc_I_ZmLIwxfUqj_IdKxCRbcA_5_7"/>
      <w:bookmarkStart w:id="1685" w:name="Tc_Cj31M7HkVUaoFT57gpcyJw_5_4"/>
      <w:bookmarkStart w:id="1686" w:name="Tc_CtHeeHOUV0q9B1BuC_aAqA_5_2"/>
      <w:bookmarkStart w:id="1687" w:name="Tc_L72QhK6NaUSRae3sfdNaEg_4_9"/>
      <w:bookmarkStart w:id="1688" w:name="Tc_PB3Fwdi_1kmBdt-ziPPj-w_4_7"/>
      <w:bookmarkStart w:id="1689" w:name="Tc_RZ6hMZ_kqUmayFb-Ki3nlg_4_4"/>
      <w:bookmarkStart w:id="1690" w:name="Tc_Flx8LTlCQk2maqz-gmbquA_4_2"/>
      <w:bookmarkStart w:id="1691" w:name="Tc_vubqHoQH0kiAMc_E5IOFFQ_3_7"/>
      <w:bookmarkStart w:id="1692" w:name="Tc_yb5d8ImJjEalkdZvlBt2sA_3_4"/>
      <w:bookmarkStart w:id="1693" w:name="Tc_8OFu6ta-20eEVCAlrvBK5g_2_7"/>
      <w:bookmarkStart w:id="1694" w:name="Tc_AGqKEnuBNEGOR-TQzqXpHQ_1_7"/>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r>
        <w:rPr>
          <w:rFonts w:ascii="Times New Roman;Times;serif" w:hAnsi="Times New Roman;Times;serif"/>
          <w:sz w:val="20"/>
        </w:rPr>
        <w:t>The following table summarizes the Company’s activities with respect to its stock option plans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399"/>
        <w:gridCol w:w="326"/>
        <w:gridCol w:w="1178"/>
        <w:gridCol w:w="326"/>
        <w:gridCol w:w="312"/>
        <w:gridCol w:w="846"/>
        <w:gridCol w:w="326"/>
        <w:gridCol w:w="1066"/>
        <w:gridCol w:w="326"/>
        <w:gridCol w:w="211"/>
        <w:gridCol w:w="889"/>
      </w:tblGrid>
      <w:tr>
        <w:trPr/>
        <w:tc>
          <w:tcPr>
            <w:tcW w:w="43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793365" cy="175260"/>
                      <wp:effectExtent l="0" t="0" r="0" b="0"/>
                      <wp:wrapNone/>
                      <wp:docPr id="298" name="Frame298"/>
                      <a:graphic xmlns:a="http://schemas.openxmlformats.org/drawingml/2006/main">
                        <a:graphicData uri="http://schemas.microsoft.com/office/word/2010/wordprocessingShape">
                          <wps:wsp>
                            <wps:cNvSpPr txBox="1"/>
                            <wps:spPr>
                              <a:xfrm>
                                <a:off x="0" y="0"/>
                                <a:ext cx="2793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07010" cy="175260"/>
                      <wp:effectExtent l="0" t="0" r="0" b="0"/>
                      <wp:wrapNone/>
                      <wp:docPr id="299" name="Frame2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748030" cy="175260"/>
                      <wp:effectExtent l="0" t="0" r="0" b="0"/>
                      <wp:wrapNone/>
                      <wp:docPr id="300" name="Frame300"/>
                      <a:graphic xmlns:a="http://schemas.openxmlformats.org/drawingml/2006/main">
                        <a:graphicData uri="http://schemas.microsoft.com/office/word/2010/wordprocessingShape">
                          <wps:wsp>
                            <wps:cNvSpPr txBox="1"/>
                            <wps:spPr>
                              <a:xfrm>
                                <a:off x="0" y="0"/>
                                <a:ext cx="748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07010" cy="175260"/>
                      <wp:effectExtent l="0" t="0" r="0" b="0"/>
                      <wp:wrapNone/>
                      <wp:docPr id="301" name="Frame3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98120" cy="175260"/>
                      <wp:effectExtent l="0" t="0" r="0" b="0"/>
                      <wp:wrapNone/>
                      <wp:docPr id="302" name="Frame302"/>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537210" cy="175260"/>
                      <wp:effectExtent l="0" t="0" r="0" b="0"/>
                      <wp:wrapNone/>
                      <wp:docPr id="303" name="Frame303"/>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07010" cy="175260"/>
                      <wp:effectExtent l="0" t="0" r="0" b="0"/>
                      <wp:wrapNone/>
                      <wp:docPr id="304" name="Frame3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76910" cy="175260"/>
                      <wp:effectExtent l="0" t="0" r="0" b="0"/>
                      <wp:wrapNone/>
                      <wp:docPr id="305" name="Frame305"/>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07010" cy="175260"/>
                      <wp:effectExtent l="0" t="0" r="0" b="0"/>
                      <wp:wrapNone/>
                      <wp:docPr id="306" name="Frame3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33985" cy="175260"/>
                      <wp:effectExtent l="0" t="0" r="0" b="0"/>
                      <wp:wrapNone/>
                      <wp:docPr id="307" name="Frame3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564515" cy="175260"/>
                      <wp:effectExtent l="0" t="0" r="0" b="0"/>
                      <wp:wrapNone/>
                      <wp:docPr id="308" name="Frame308"/>
                      <a:graphic xmlns:a="http://schemas.openxmlformats.org/drawingml/2006/main">
                        <a:graphicData uri="http://schemas.microsoft.com/office/word/2010/wordprocessingShape">
                          <wps:wsp>
                            <wps:cNvSpPr txBox="1"/>
                            <wps:spPr>
                              <a:xfrm>
                                <a:off x="0" y="0"/>
                                <a:ext cx="564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9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7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Weighted-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center"/>
              <w:rPr/>
            </w:pPr>
            <w:r>
              <w:rPr/>
              <w:t>​</w:t>
            </w:r>
          </w:p>
        </w:tc>
      </w:tr>
      <w:tr>
        <w:trPr/>
        <w:tc>
          <w:tcPr>
            <w:tcW w:w="439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7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58"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Average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center"/>
              <w:rPr/>
            </w:pPr>
            <w:r>
              <w:rPr/>
              <w:t>​</w:t>
            </w:r>
          </w:p>
        </w:tc>
      </w:tr>
      <w:tr>
        <w:trPr/>
        <w:tc>
          <w:tcPr>
            <w:tcW w:w="439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7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58"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Weighted-</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Remaining</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center"/>
              <w:rPr/>
            </w:pPr>
            <w:r>
              <w:rPr/>
              <w:t>​</w:t>
            </w:r>
          </w:p>
        </w:tc>
      </w:tr>
      <w:tr>
        <w:trPr/>
        <w:tc>
          <w:tcPr>
            <w:tcW w:w="439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7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Number of</w:t>
            </w:r>
          </w:p>
        </w:tc>
        <w:tc>
          <w:tcPr>
            <w:tcW w:w="326" w:type="dxa"/>
            <w:tcBorders/>
            <w:vAlign w:val="center"/>
          </w:tcPr>
          <w:p>
            <w:pPr>
              <w:pStyle w:val="TableContents"/>
              <w:bidi w:val="0"/>
              <w:spacing w:before="0" w:after="0"/>
              <w:ind w:left="0" w:right="0" w:hanging="0"/>
              <w:jc w:val="left"/>
              <w:rPr/>
            </w:pPr>
            <w:r>
              <w:rPr/>
              <w:t>​</w:t>
            </w:r>
          </w:p>
        </w:tc>
        <w:tc>
          <w:tcPr>
            <w:tcW w:w="1158"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Average</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Contractual</w:t>
            </w:r>
          </w:p>
        </w:tc>
        <w:tc>
          <w:tcPr>
            <w:tcW w:w="326" w:type="dxa"/>
            <w:tcBorders/>
            <w:vAlign w:val="center"/>
          </w:tcPr>
          <w:p>
            <w:pPr>
              <w:pStyle w:val="TableContents"/>
              <w:bidi w:val="0"/>
              <w:spacing w:before="0" w:after="0"/>
              <w:ind w:left="0" w:right="0" w:hanging="0"/>
              <w:jc w:val="left"/>
              <w:rPr/>
            </w:pPr>
            <w:r>
              <w:rPr/>
              <w:t>​</w:t>
            </w:r>
          </w:p>
        </w:tc>
        <w:tc>
          <w:tcPr>
            <w:tcW w:w="110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Aggregate</w:t>
            </w:r>
          </w:p>
        </w:tc>
      </w:tr>
      <w:tr>
        <w:trPr/>
        <w:tc>
          <w:tcPr>
            <w:tcW w:w="439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7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Shares</w:t>
            </w:r>
          </w:p>
        </w:tc>
        <w:tc>
          <w:tcPr>
            <w:tcW w:w="326" w:type="dxa"/>
            <w:tcBorders/>
            <w:vAlign w:val="center"/>
          </w:tcPr>
          <w:p>
            <w:pPr>
              <w:pStyle w:val="TableContents"/>
              <w:bidi w:val="0"/>
              <w:spacing w:before="0" w:after="0"/>
              <w:ind w:left="0" w:right="0" w:hanging="0"/>
              <w:jc w:val="left"/>
              <w:rPr/>
            </w:pPr>
            <w:r>
              <w:rPr/>
              <w:t>​</w:t>
            </w:r>
          </w:p>
        </w:tc>
        <w:tc>
          <w:tcPr>
            <w:tcW w:w="1158"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Exercise Price</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Term</w:t>
            </w:r>
          </w:p>
        </w:tc>
        <w:tc>
          <w:tcPr>
            <w:tcW w:w="326" w:type="dxa"/>
            <w:tcBorders/>
            <w:vAlign w:val="center"/>
          </w:tcPr>
          <w:p>
            <w:pPr>
              <w:pStyle w:val="TableContents"/>
              <w:bidi w:val="0"/>
              <w:spacing w:before="0" w:after="0"/>
              <w:ind w:left="0" w:right="0" w:hanging="0"/>
              <w:jc w:val="left"/>
              <w:rPr/>
            </w:pPr>
            <w:r>
              <w:rPr/>
              <w:t>​</w:t>
            </w:r>
          </w:p>
        </w:tc>
        <w:tc>
          <w:tcPr>
            <w:tcW w:w="110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Intrinsic</w:t>
            </w:r>
          </w:p>
        </w:tc>
      </w:tr>
      <w:tr>
        <w:trPr/>
        <w:tc>
          <w:tcPr>
            <w:tcW w:w="43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Options</w:t>
            </w:r>
          </w:p>
        </w:tc>
        <w:tc>
          <w:tcPr>
            <w:tcW w:w="326" w:type="dxa"/>
            <w:tcBorders/>
            <w:vAlign w:val="center"/>
          </w:tcPr>
          <w:p>
            <w:pPr>
              <w:pStyle w:val="TableContents"/>
              <w:bidi w:val="0"/>
              <w:spacing w:before="0" w:after="0"/>
              <w:ind w:left="0" w:right="0" w:hanging="0"/>
              <w:jc w:val="left"/>
              <w:rPr/>
            </w:pPr>
            <w:r>
              <w:rPr/>
              <w:t>    </w:t>
            </w:r>
          </w:p>
        </w:tc>
        <w:tc>
          <w:tcPr>
            <w:tcW w:w="117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thousands)</w:t>
            </w:r>
          </w:p>
        </w:tc>
        <w:tc>
          <w:tcPr>
            <w:tcW w:w="326" w:type="dxa"/>
            <w:tcBorders/>
            <w:vAlign w:val="center"/>
          </w:tcPr>
          <w:p>
            <w:pPr>
              <w:pStyle w:val="TableContents"/>
              <w:bidi w:val="0"/>
              <w:spacing w:before="0" w:after="0"/>
              <w:ind w:left="0" w:right="0" w:hanging="0"/>
              <w:jc w:val="left"/>
              <w:rPr/>
            </w:pPr>
            <w:r>
              <w:rPr/>
              <w:t>    </w:t>
            </w:r>
          </w:p>
        </w:tc>
        <w:tc>
          <w:tcPr>
            <w:tcW w:w="11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 Share</w:t>
            </w:r>
          </w:p>
        </w:tc>
        <w:tc>
          <w:tcPr>
            <w:tcW w:w="326" w:type="dxa"/>
            <w:tcBorders/>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years)</w:t>
            </w:r>
          </w:p>
        </w:tc>
        <w:tc>
          <w:tcPr>
            <w:tcW w:w="326" w:type="dxa"/>
            <w:tcBorders/>
            <w:vAlign w:val="center"/>
          </w:tcPr>
          <w:p>
            <w:pPr>
              <w:pStyle w:val="TableContents"/>
              <w:bidi w:val="0"/>
              <w:spacing w:before="0" w:after="0"/>
              <w:ind w:left="0" w:right="0" w:hanging="0"/>
              <w:jc w:val="left"/>
              <w:rPr/>
            </w:pPr>
            <w:r>
              <w:rPr/>
              <w:t>    </w:t>
            </w:r>
          </w:p>
        </w:tc>
        <w:tc>
          <w:tcPr>
            <w:tcW w:w="11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Value</w:t>
            </w:r>
          </w:p>
        </w:tc>
      </w:tr>
      <w:tr>
        <w:trPr/>
        <w:tc>
          <w:tcPr>
            <w:tcW w:w="43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January 1, 2025</w:t>
            </w:r>
          </w:p>
        </w:tc>
        <w:tc>
          <w:tcPr>
            <w:tcW w:w="326" w:type="dxa"/>
            <w:tcBorders/>
            <w:shd w:fill="CCEEFF" w:val="clear"/>
            <w:vAlign w:val="center"/>
          </w:tcPr>
          <w:p>
            <w:pPr>
              <w:pStyle w:val="TableContents"/>
              <w:bidi w:val="0"/>
              <w:spacing w:before="0" w:after="0"/>
              <w:ind w:left="0" w:right="0" w:hanging="0"/>
              <w:jc w:val="left"/>
              <w:rPr/>
            </w:pPr>
            <w:r>
              <w:rPr/>
              <w:t> </w:t>
            </w:r>
          </w:p>
        </w:tc>
        <w:tc>
          <w:tcPr>
            <w:tcW w:w="11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27,088</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38.98</w:t>
            </w:r>
          </w:p>
        </w:tc>
        <w:tc>
          <w:tcPr>
            <w:tcW w:w="32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400,207</w:t>
            </w:r>
          </w:p>
        </w:tc>
      </w:tr>
      <w:tr>
        <w:trPr/>
        <w:tc>
          <w:tcPr>
            <w:tcW w:w="43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 01/01/25 - 03/31/25</w:t>
            </w:r>
          </w:p>
        </w:tc>
        <w:tc>
          <w:tcPr>
            <w:tcW w:w="326" w:type="dxa"/>
            <w:tcBorders/>
            <w:vAlign w:val="center"/>
          </w:tcPr>
          <w:p>
            <w:pPr>
              <w:pStyle w:val="TableContents"/>
              <w:bidi w:val="0"/>
              <w:spacing w:before="0" w:after="0"/>
              <w:ind w:left="0" w:right="0" w:hanging="0"/>
              <w:jc w:val="left"/>
              <w:rPr/>
            </w:pPr>
            <w:r>
              <w:rPr/>
              <w:t> </w:t>
            </w:r>
          </w:p>
        </w:tc>
        <w:tc>
          <w:tcPr>
            <w:tcW w:w="11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1,299</w:t>
            </w:r>
          </w:p>
        </w:tc>
        <w:tc>
          <w:tcPr>
            <w:tcW w:w="32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55.09</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pPr>
            <w:r>
              <w:rPr/>
              <w:t>​</w:t>
            </w:r>
          </w:p>
        </w:tc>
      </w:tr>
      <w:tr>
        <w:trPr/>
        <w:tc>
          <w:tcPr>
            <w:tcW w:w="43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 04/01/25 - 06/30/25</w:t>
            </w:r>
          </w:p>
        </w:tc>
        <w:tc>
          <w:tcPr>
            <w:tcW w:w="326" w:type="dxa"/>
            <w:tcBorders/>
            <w:shd w:fill="CCEEFF" w:val="clear"/>
            <w:vAlign w:val="center"/>
          </w:tcPr>
          <w:p>
            <w:pPr>
              <w:pStyle w:val="TableContents"/>
              <w:bidi w:val="0"/>
              <w:spacing w:before="0" w:after="0"/>
              <w:ind w:left="0" w:right="0" w:hanging="0"/>
              <w:jc w:val="left"/>
              <w:rPr/>
            </w:pPr>
            <w:r>
              <w:rPr/>
              <w:t> </w:t>
            </w:r>
          </w:p>
        </w:tc>
        <w:tc>
          <w:tcPr>
            <w:tcW w:w="11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60.28</w:t>
            </w:r>
          </w:p>
        </w:tc>
        <w:tc>
          <w:tcPr>
            <w:tcW w:w="32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pPr>
            <w:r>
              <w:rPr/>
              <w:t>​</w:t>
            </w:r>
          </w:p>
        </w:tc>
      </w:tr>
      <w:tr>
        <w:trPr/>
        <w:tc>
          <w:tcPr>
            <w:tcW w:w="43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 07/01/25 - 09/30/25</w:t>
            </w:r>
          </w:p>
        </w:tc>
        <w:tc>
          <w:tcPr>
            <w:tcW w:w="326" w:type="dxa"/>
            <w:tcBorders/>
            <w:vAlign w:val="center"/>
          </w:tcPr>
          <w:p>
            <w:pPr>
              <w:pStyle w:val="TableContents"/>
              <w:bidi w:val="0"/>
              <w:spacing w:before="0" w:after="0"/>
              <w:ind w:left="0" w:right="0" w:hanging="0"/>
              <w:jc w:val="left"/>
              <w:rPr/>
            </w:pPr>
            <w:r>
              <w:rPr/>
              <w:t> </w:t>
            </w:r>
          </w:p>
        </w:tc>
        <w:tc>
          <w:tcPr>
            <w:tcW w:w="117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pPr>
            <w:r>
              <w:rPr/>
              <w:t>​</w:t>
            </w:r>
          </w:p>
        </w:tc>
      </w:tr>
      <w:tr>
        <w:trPr/>
        <w:tc>
          <w:tcPr>
            <w:tcW w:w="43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bidi w:val="0"/>
              <w:spacing w:before="0" w:after="0"/>
              <w:ind w:left="0" w:right="0" w:hanging="0"/>
              <w:jc w:val="left"/>
              <w:rPr/>
            </w:pPr>
            <w:r>
              <w:rPr/>
              <w:t> </w:t>
            </w:r>
          </w:p>
        </w:tc>
        <w:tc>
          <w:tcPr>
            <w:tcW w:w="11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(4,017)</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28.47</w:t>
            </w:r>
          </w:p>
        </w:tc>
        <w:tc>
          <w:tcPr>
            <w:tcW w:w="32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pPr>
            <w:r>
              <w:rPr/>
              <w:t>​</w:t>
            </w:r>
          </w:p>
        </w:tc>
      </w:tr>
      <w:tr>
        <w:trPr/>
        <w:tc>
          <w:tcPr>
            <w:tcW w:w="43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Cancelled or forfeited</w:t>
            </w:r>
          </w:p>
        </w:tc>
        <w:tc>
          <w:tcPr>
            <w:tcW w:w="326" w:type="dxa"/>
            <w:tcBorders/>
            <w:vAlign w:val="center"/>
          </w:tcPr>
          <w:p>
            <w:pPr>
              <w:pStyle w:val="TableContents"/>
              <w:bidi w:val="0"/>
              <w:spacing w:before="0" w:after="0"/>
              <w:ind w:left="0" w:right="0" w:hanging="0"/>
              <w:jc w:val="left"/>
              <w:rPr/>
            </w:pPr>
            <w:r>
              <w:rPr/>
              <w:t> </w:t>
            </w:r>
          </w:p>
        </w:tc>
        <w:tc>
          <w:tcPr>
            <w:tcW w:w="11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w:t>
            </w:r>
          </w:p>
        </w:tc>
        <w:tc>
          <w:tcPr>
            <w:tcW w:w="32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52.53</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pPr>
            <w:r>
              <w:rPr/>
              <w:t>​</w:t>
            </w:r>
          </w:p>
        </w:tc>
      </w:tr>
      <w:tr>
        <w:trPr/>
        <w:tc>
          <w:tcPr>
            <w:tcW w:w="43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September 30, 2025</w:t>
            </w:r>
          </w:p>
        </w:tc>
        <w:tc>
          <w:tcPr>
            <w:tcW w:w="326" w:type="dxa"/>
            <w:tcBorders/>
            <w:shd w:fill="CCEEFF" w:val="clear"/>
            <w:vAlign w:val="center"/>
          </w:tcPr>
          <w:p>
            <w:pPr>
              <w:pStyle w:val="TableContents"/>
              <w:bidi w:val="0"/>
              <w:spacing w:before="0" w:after="0"/>
              <w:ind w:left="0" w:right="0" w:hanging="0"/>
              <w:jc w:val="left"/>
              <w:rPr/>
            </w:pPr>
            <w:r>
              <w:rPr/>
              <w:t> </w:t>
            </w:r>
          </w:p>
        </w:tc>
        <w:tc>
          <w:tcPr>
            <w:tcW w:w="11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24,074</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41.45</w:t>
            </w:r>
          </w:p>
        </w:tc>
        <w:tc>
          <w:tcPr>
            <w:tcW w:w="32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622,667</w:t>
            </w:r>
          </w:p>
        </w:tc>
      </w:tr>
      <w:tr>
        <w:trPr/>
        <w:tc>
          <w:tcPr>
            <w:tcW w:w="43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and expected to vest in the future at September 30, 2025</w:t>
            </w:r>
          </w:p>
        </w:tc>
        <w:tc>
          <w:tcPr>
            <w:tcW w:w="326" w:type="dxa"/>
            <w:tcBorders/>
            <w:vAlign w:val="center"/>
          </w:tcPr>
          <w:p>
            <w:pPr>
              <w:pStyle w:val="TableContents"/>
              <w:bidi w:val="0"/>
              <w:spacing w:before="0" w:after="0"/>
              <w:ind w:left="0" w:right="0" w:hanging="0"/>
              <w:jc w:val="left"/>
              <w:rPr/>
            </w:pPr>
            <w:r>
              <w:rPr/>
              <w:t>​</w:t>
            </w:r>
          </w:p>
        </w:tc>
        <w:tc>
          <w:tcPr>
            <w:tcW w:w="11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23,366</w:t>
            </w:r>
          </w:p>
        </w:tc>
        <w:tc>
          <w:tcPr>
            <w:tcW w:w="32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41.09</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612,710</w:t>
            </w:r>
          </w:p>
        </w:tc>
      </w:tr>
      <w:tr>
        <w:trPr/>
        <w:tc>
          <w:tcPr>
            <w:tcW w:w="43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at September 30, 2025</w:t>
            </w:r>
          </w:p>
        </w:tc>
        <w:tc>
          <w:tcPr>
            <w:tcW w:w="326" w:type="dxa"/>
            <w:tcBorders/>
            <w:shd w:fill="CCEEFF" w:val="clear"/>
            <w:vAlign w:val="center"/>
          </w:tcPr>
          <w:p>
            <w:pPr>
              <w:pStyle w:val="TableContents"/>
              <w:bidi w:val="0"/>
              <w:spacing w:before="0" w:after="0"/>
              <w:ind w:left="0" w:right="0" w:hanging="0"/>
              <w:jc w:val="left"/>
              <w:rPr/>
            </w:pPr>
            <w:r>
              <w:rPr/>
              <w:t>​</w:t>
            </w:r>
          </w:p>
        </w:tc>
        <w:tc>
          <w:tcPr>
            <w:tcW w:w="11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13,120</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33.17</w:t>
            </w:r>
          </w:p>
        </w:tc>
        <w:tc>
          <w:tcPr>
            <w:tcW w:w="32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447,884</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 options were granted during the three-months ended September 30, 2025. The weighted-average grant-date fair value of options granted during the three-months ended September 30, 2024 was $17.01 per share. The weighted-average grant-date fair value of options granted during the nine-months ended September 30, 2025 and 2024 was $19.85 per share and $21.41 per share,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total intrinsic value of options exercised during the three-months ended September 30, 2025 and 2024 was $38.2 million and $8.2 million, respectively. The total intrinsic value of options exercised during the nine-months ended September 30, 2025 and 2024 was $124.3 million and $66.0 million,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Cash received from option exercises under all plans for the three-months ended September 30, 2025 and 2024 was $26.7 million and $10.0 million, respectively. Cash received from option exercises under all plans for the nine-months ended September 30, 2025 and 2024 was $114.4 million and $62.1 million,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September 30, 2025, there was $128.0 million of total unrecognized compensation expense related to non-vested options granted to employees under the Company’s stock-based compensation plans. That cost is expected to be recognized over a weighted-average period of 2.6 years.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Restricted Stock Units and Performance Share Units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cost of stock-based compensation for restricted stock units and performance share units is measured based on the closing fair market value of the Company’s common stock at the date of grant. In the event that the Company has the option and intent to settle a restricted stock unit or performance share unit in cash, the award is classified as a liability and revalued at each balance sheet date.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bookmarkStart w:id="1695" w:name="Tc_fxE4R5ZCEEOr7hLBLtmRnA_9_4"/>
      <w:bookmarkStart w:id="1696" w:name="Tc_pGnu1O2MVUebe6vbmsn9fA_9_0"/>
      <w:bookmarkStart w:id="1697" w:name="Tc_nZUvkJDDc0KPsuZNzadW0w_8_4"/>
      <w:bookmarkStart w:id="1698" w:name="Tc_l85o3ovrOkSONERYLvyS3g_8_0"/>
      <w:bookmarkStart w:id="1699" w:name="Tc_A6yaptXjhkufKqm2RFsmkA_7_4"/>
      <w:bookmarkStart w:id="1700" w:name="Tc_k9ThWZZQFEedBpRrf1rOrw_7_0"/>
      <w:bookmarkStart w:id="1701" w:name="Tc_zRK9jfiVGkOGhMEnVrS1VQ_6_4"/>
      <w:bookmarkStart w:id="1702" w:name="Tc_29RcSGtDmkaUGtByMAKwOw_6_0"/>
      <w:bookmarkStart w:id="1703" w:name="Tc_Jo2Pl4HdgU254hzgK7xS2Q_5_4"/>
      <w:bookmarkStart w:id="1704" w:name="Tc_GBTlD009jUCYAIN-62lchw_5_0"/>
      <w:bookmarkStart w:id="1705" w:name="Tc_wnCUOkPm60mG5wJ_bepWBw_4_4"/>
      <w:bookmarkStart w:id="1706" w:name="Tc_XpKepId0YkuqjP6rw6YA_A_4_0"/>
      <w:bookmarkStart w:id="1707" w:name="Tc_lTxPONWtCk6X1ON5jsqVyQ_3_4"/>
      <w:bookmarkStart w:id="1708" w:name="Tc_dft5xrRzgEG_KnWhAGeVGw_3_0"/>
      <w:bookmarkStart w:id="1709" w:name="Tc_fD43RVbsxk-i8AFFR4qEDQ_2_4"/>
      <w:bookmarkStart w:id="1710" w:name="Tc_iSBwajxsS0ilQr4wZYl9VQ_2_2"/>
      <w:bookmarkStart w:id="1711" w:name="Tc_bXjso_YQ2U2aVdAhLvDsRA_1_4"/>
      <w:bookmarkStart w:id="1712" w:name="Tc_WflITAlj30qvOfC3-nZclQ_1_2"/>
      <w:bookmarkStart w:id="1713" w:name="_ca0314b6_f814_41ad_8c96_66c4002846ac"/>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r>
        <w:rPr>
          <w:rFonts w:ascii="Times New Roman;Times;serif" w:hAnsi="Times New Roman;Times;serif"/>
          <w:sz w:val="20"/>
        </w:rPr>
        <w:t>The following table summarizes the Company’s activities with respect to non-vested restricted stock units and performance share units as follows:</w:t>
      </w:r>
    </w:p>
    <w:p>
      <w:pPr>
        <w:pStyle w:val="TextBody"/>
        <w:bidi w:val="0"/>
        <w:spacing w:before="0" w:after="0"/>
        <w:ind w:left="0" w:right="0" w:firstLine="720"/>
        <w:jc w:val="both"/>
        <w:rPr/>
      </w:pPr>
      <w:r>
        <w:rPr/>
        <w:t>​</w:t>
      </w:r>
    </w:p>
    <w:tbl>
      <w:tblPr>
        <w:tblW w:w="7014" w:type="dxa"/>
        <w:jc w:val="left"/>
        <w:tblInd w:w="0" w:type="dxa"/>
        <w:tblLayout w:type="fixed"/>
        <w:tblCellMar>
          <w:top w:w="0" w:type="dxa"/>
          <w:left w:w="0" w:type="dxa"/>
          <w:bottom w:w="0" w:type="dxa"/>
          <w:right w:w="0" w:type="dxa"/>
        </w:tblCellMar>
      </w:tblPr>
      <w:tblGrid>
        <w:gridCol w:w="2911"/>
        <w:gridCol w:w="326"/>
        <w:gridCol w:w="1531"/>
        <w:gridCol w:w="326"/>
        <w:gridCol w:w="455"/>
        <w:gridCol w:w="1465"/>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848485" cy="175260"/>
                      <wp:effectExtent l="0" t="0" r="0" b="0"/>
                      <wp:wrapNone/>
                      <wp:docPr id="309" name="Frame309"/>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07010" cy="175260"/>
                      <wp:effectExtent l="0" t="0" r="0" b="0"/>
                      <wp:wrapNone/>
                      <wp:docPr id="310" name="Frame3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972185" cy="175260"/>
                      <wp:effectExtent l="0" t="0" r="0" b="0"/>
                      <wp:wrapNone/>
                      <wp:docPr id="311" name="Frame311"/>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07010" cy="175260"/>
                      <wp:effectExtent l="0" t="0" r="0" b="0"/>
                      <wp:wrapNone/>
                      <wp:docPr id="312" name="Frame3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88925" cy="175260"/>
                      <wp:effectExtent l="0" t="0" r="0" b="0"/>
                      <wp:wrapNone/>
                      <wp:docPr id="313" name="Frame313"/>
                      <a:graphic xmlns:a="http://schemas.openxmlformats.org/drawingml/2006/main">
                        <a:graphicData uri="http://schemas.microsoft.com/office/word/2010/wordprocessingShape">
                          <wps:wsp>
                            <wps:cNvSpPr txBox="1"/>
                            <wps:spPr>
                              <a:xfrm>
                                <a:off x="0" y="0"/>
                                <a:ext cx="288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930275" cy="175260"/>
                      <wp:effectExtent l="0" t="0" r="0" b="0"/>
                      <wp:wrapNone/>
                      <wp:docPr id="314" name="Frame314"/>
                      <a:graphic xmlns:a="http://schemas.openxmlformats.org/drawingml/2006/main">
                        <a:graphicData uri="http://schemas.microsoft.com/office/word/2010/wordprocessingShape">
                          <wps:wsp>
                            <wps:cNvSpPr txBox="1"/>
                            <wps:spPr>
                              <a:xfrm>
                                <a:off x="0" y="0"/>
                                <a:ext cx="930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Number of Shares</w:t>
            </w:r>
          </w:p>
        </w:tc>
        <w:tc>
          <w:tcPr>
            <w:tcW w:w="326" w:type="dxa"/>
            <w:tcBorders/>
            <w:vAlign w:val="center"/>
          </w:tcPr>
          <w:p>
            <w:pPr>
              <w:pStyle w:val="TableContents"/>
              <w:bidi w:val="0"/>
              <w:spacing w:before="0" w:after="0"/>
              <w:ind w:left="0" w:right="0" w:hanging="0"/>
              <w:jc w:val="left"/>
              <w:rPr/>
            </w:pPr>
            <w:r>
              <w:rPr/>
              <w:t>​</w:t>
            </w:r>
          </w:p>
        </w:tc>
        <w:tc>
          <w:tcPr>
            <w:tcW w:w="192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Weighted-Average</w: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thousands)</w:t>
            </w:r>
          </w:p>
        </w:tc>
        <w:tc>
          <w:tcPr>
            <w:tcW w:w="326" w:type="dxa"/>
            <w:tcBorders/>
            <w:vAlign w:val="center"/>
          </w:tcPr>
          <w:p>
            <w:pPr>
              <w:pStyle w:val="TableContents"/>
              <w:bidi w:val="0"/>
              <w:spacing w:before="0" w:after="0"/>
              <w:ind w:left="0" w:right="0" w:hanging="0"/>
              <w:jc w:val="left"/>
              <w:rPr/>
            </w:pPr>
            <w:r>
              <w:rPr/>
              <w:t>    </w:t>
            </w:r>
          </w:p>
        </w:tc>
        <w:tc>
          <w:tcPr>
            <w:tcW w:w="1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Grant-Date Fair Value</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January 1, 2025</w:t>
            </w:r>
          </w:p>
        </w:tc>
        <w:tc>
          <w:tcPr>
            <w:tcW w:w="32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1,682</w:t>
            </w:r>
          </w:p>
        </w:tc>
        <w:tc>
          <w:tcPr>
            <w:tcW w:w="326" w:type="dxa"/>
            <w:tcBorders/>
            <w:shd w:fill="CCEEFF" w:val="clear"/>
            <w:vAlign w:val="center"/>
          </w:tcPr>
          <w:p>
            <w:pPr>
              <w:pStyle w:val="TableContents"/>
              <w:bidi w:val="0"/>
              <w:spacing w:before="0" w:after="0"/>
              <w:ind w:left="0" w:right="0" w:hanging="0"/>
              <w:jc w:val="left"/>
              <w:rPr/>
            </w:pPr>
            <w:r>
              <w:rPr/>
              <w:t>​</w:t>
            </w:r>
          </w:p>
        </w:tc>
        <w:tc>
          <w:tcPr>
            <w:tcW w:w="4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46.16</w:t>
            </w:r>
          </w:p>
        </w:tc>
      </w:tr>
      <w:tr>
        <w:trPr/>
        <w:tc>
          <w:tcPr>
            <w:tcW w:w="291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Granted 01/01/25 - 03/31/25</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1,017</w:t>
            </w:r>
          </w:p>
        </w:tc>
        <w:tc>
          <w:tcPr>
            <w:tcW w:w="326" w:type="dxa"/>
            <w:tcBorders/>
            <w:vAlign w:val="center"/>
          </w:tcPr>
          <w:p>
            <w:pPr>
              <w:pStyle w:val="TableContents"/>
              <w:bidi w:val="0"/>
              <w:spacing w:before="0" w:after="0"/>
              <w:ind w:left="0" w:right="0" w:hanging="0"/>
              <w:jc w:val="left"/>
              <w:rPr/>
            </w:pPr>
            <w:r>
              <w:rPr/>
              <w:t>​</w:t>
            </w:r>
          </w:p>
        </w:tc>
        <w:tc>
          <w:tcPr>
            <w:tcW w:w="4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55.08</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 04/01/25 - 06/30/25</w:t>
            </w:r>
          </w:p>
        </w:tc>
        <w:tc>
          <w:tcPr>
            <w:tcW w:w="32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shd w:fill="CCEEFF" w:val="clear"/>
            <w:vAlign w:val="center"/>
          </w:tcPr>
          <w:p>
            <w:pPr>
              <w:pStyle w:val="TableContents"/>
              <w:bidi w:val="0"/>
              <w:spacing w:before="0" w:after="0"/>
              <w:ind w:left="0" w:right="0" w:hanging="0"/>
              <w:jc w:val="left"/>
              <w:rPr/>
            </w:pPr>
            <w:r>
              <w:rPr/>
              <w:t>​</w:t>
            </w:r>
          </w:p>
        </w:tc>
        <w:tc>
          <w:tcPr>
            <w:tcW w:w="4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62.68</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 07/01/25 - 09/30/25</w:t>
            </w:r>
          </w:p>
        </w:tc>
        <w:tc>
          <w:tcPr>
            <w:tcW w:w="32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4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61.59</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w:t>
            </w:r>
          </w:p>
        </w:tc>
        <w:tc>
          <w:tcPr>
            <w:tcW w:w="326" w:type="dxa"/>
            <w:tcBorders/>
            <w:shd w:fill="CCEEFF" w:val="clear"/>
            <w:vAlign w:val="center"/>
          </w:tcPr>
          <w:p>
            <w:pPr>
              <w:pStyle w:val="TableContents"/>
              <w:bidi w:val="0"/>
              <w:spacing w:before="0" w:after="0"/>
              <w:ind w:left="0" w:right="0" w:hanging="0"/>
              <w:jc w:val="left"/>
              <w:rPr/>
            </w:pPr>
            <w:r>
              <w:rPr/>
              <w:t>​</w:t>
            </w:r>
          </w:p>
        </w:tc>
        <w:tc>
          <w:tcPr>
            <w:tcW w:w="4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39.40</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Forfeited/cancelled </w:t>
            </w:r>
          </w:p>
        </w:tc>
        <w:tc>
          <w:tcPr>
            <w:tcW w:w="326" w:type="dxa"/>
            <w:tcBorders/>
            <w:vAlign w:val="center"/>
          </w:tcPr>
          <w:p>
            <w:pPr>
              <w:pStyle w:val="TableContents"/>
              <w:bidi w:val="0"/>
              <w:spacing w:before="0" w:after="0"/>
              <w:ind w:left="0" w:right="0" w:hanging="0"/>
              <w:jc w:val="left"/>
              <w:rPr/>
            </w:pPr>
            <w:r>
              <w:rPr/>
              <w:t>​</w:t>
            </w:r>
          </w:p>
        </w:tc>
        <w:tc>
          <w:tcPr>
            <w:tcW w:w="15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vAlign w:val="center"/>
          </w:tcPr>
          <w:p>
            <w:pPr>
              <w:pStyle w:val="TableContents"/>
              <w:bidi w:val="0"/>
              <w:spacing w:before="0" w:after="0"/>
              <w:ind w:left="0" w:right="0" w:hanging="0"/>
              <w:jc w:val="left"/>
              <w:rPr/>
            </w:pPr>
            <w:r>
              <w:rPr/>
              <w:t>​</w:t>
            </w:r>
          </w:p>
        </w:tc>
        <w:tc>
          <w:tcPr>
            <w:tcW w:w="4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42.44</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September 30, 2025</w:t>
            </w:r>
          </w:p>
        </w:tc>
        <w:tc>
          <w:tcPr>
            <w:tcW w:w="326" w:type="dxa"/>
            <w:tcBorders/>
            <w:shd w:fill="CCEEFF" w:val="clear"/>
            <w:vAlign w:val="center"/>
          </w:tcPr>
          <w:p>
            <w:pPr>
              <w:pStyle w:val="TableContents"/>
              <w:bidi w:val="0"/>
              <w:spacing w:before="0" w:after="0"/>
              <w:ind w:left="0" w:right="0" w:hanging="0"/>
              <w:jc w:val="left"/>
              <w:rPr/>
            </w:pPr>
            <w:r>
              <w:rPr/>
              <w:t>​</w:t>
            </w:r>
          </w:p>
        </w:tc>
        <w:tc>
          <w:tcPr>
            <w:tcW w:w="15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2,039</w:t>
            </w:r>
          </w:p>
        </w:tc>
        <w:tc>
          <w:tcPr>
            <w:tcW w:w="326" w:type="dxa"/>
            <w:tcBorders/>
            <w:shd w:fill="CCEEFF" w:val="clear"/>
            <w:vAlign w:val="center"/>
          </w:tcPr>
          <w:p>
            <w:pPr>
              <w:pStyle w:val="TableContents"/>
              <w:bidi w:val="0"/>
              <w:spacing w:before="0" w:after="0"/>
              <w:ind w:left="0" w:right="0" w:hanging="0"/>
              <w:jc w:val="left"/>
              <w:rPr/>
            </w:pPr>
            <w:r>
              <w:rPr/>
              <w:t>​</w:t>
            </w:r>
          </w:p>
        </w:tc>
        <w:tc>
          <w:tcPr>
            <w:tcW w:w="4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65"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53.09</w:t>
            </w:r>
          </w:p>
        </w:tc>
      </w:tr>
    </w:tbl>
    <w:p>
      <w:pPr>
        <w:pStyle w:val="TextBody"/>
        <w:bidi w:val="0"/>
        <w:spacing w:before="0" w:after="0"/>
        <w:ind w:left="1080" w:right="0" w:hanging="0"/>
        <w:jc w:val="left"/>
        <w:rPr/>
      </w:pPr>
      <w:r>
        <w:rPr/>
        <w:t>​</w:t>
      </w:r>
    </w:p>
    <w:p>
      <w:pPr>
        <w:pStyle w:val="TextBody"/>
        <w:bidi w:val="0"/>
        <w:spacing w:lineRule="auto" w:line="240" w:before="0" w:after="240"/>
        <w:ind w:left="1080" w:right="1080" w:hanging="0"/>
        <w:jc w:val="both"/>
        <w:rPr>
          <w:rFonts w:ascii="Times New Roman;Times;serif" w:hAnsi="Times New Roman;Times;serif"/>
          <w:sz w:val="18"/>
        </w:rPr>
      </w:pPr>
      <w:r>
        <w:rPr>
          <w:rFonts w:ascii="Times New Roman;Times;serif" w:hAnsi="Times New Roman;Times;serif"/>
          <w:i/>
          <w:sz w:val="14"/>
        </w:rPr>
        <w:t>1</w:t>
      </w:r>
      <w:r>
        <w:rPr>
          <w:rFonts w:ascii="Times New Roman;Times;serif" w:hAnsi="Times New Roman;Times;serif"/>
          <w:i/>
          <w:sz w:val="18"/>
        </w:rPr>
        <w:t>The grant activity for performance share units is recorded based on the target performance level earning 100%</w:t>
      </w:r>
      <w:r>
        <w:rPr>
          <w:rFonts w:ascii="Times New Roman;Times;serif" w:hAnsi="Times New Roman;Times;serif"/>
          <w:sz w:val="18"/>
        </w:rPr>
        <w:t xml:space="preserve"> </w:t>
      </w:r>
      <w:r>
        <w:rPr>
          <w:rFonts w:ascii="Times New Roman;Times;serif" w:hAnsi="Times New Roman;Times;serif"/>
          <w:i/>
          <w:sz w:val="18"/>
        </w:rPr>
        <w:t>of target performance share units. The actual number of performance share units earned could range from 0%</w:t>
      </w:r>
      <w:r>
        <w:rPr>
          <w:rFonts w:ascii="Times New Roman;Times;serif" w:hAnsi="Times New Roman;Times;serif"/>
          <w:sz w:val="18"/>
        </w:rPr>
        <w:t xml:space="preserve"> </w:t>
      </w:r>
      <w:r>
        <w:rPr>
          <w:rFonts w:ascii="Times New Roman;Times;serif" w:hAnsi="Times New Roman;Times;serif"/>
          <w:i/>
          <w:sz w:val="18"/>
        </w:rPr>
        <w:t>to 200%</w:t>
      </w:r>
      <w:r>
        <w:rPr>
          <w:rFonts w:ascii="Times New Roman;Times;serif" w:hAnsi="Times New Roman;Times;serif"/>
          <w:sz w:val="18"/>
        </w:rPr>
        <w:t xml:space="preserve"> </w:t>
      </w:r>
      <w:r>
        <w:rPr>
          <w:rFonts w:ascii="Times New Roman;Times;serif" w:hAnsi="Times New Roman;Times;serif"/>
          <w:i/>
          <w:sz w:val="18"/>
        </w:rPr>
        <w:t>of target depending on the achievement of pre-established performance goals.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weighted-average grant-date fair value of restricted stock units and/or performance share units granted during the three-months ended September 30, 2025 and 2024 was $61.59 and $48.40 per share, respectively. The weighted-average grant-date fair value of restricted stock units and/or performance share units granted during the nine-months ended September 30, 2025 and 2024 was $55.33 and $58.80 per share,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September 30, 2025, 2.0 million restricted stock units and performance share units are expected to vest over their respective terms.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September 30, 2025, total unrecognized compensation expense relating to non-vested restricted stock units and performance share units was $55.3 million, which is expected to be recognized over a weighted-average period of 2.0 years.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Other Share-Based Awards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granted other share-based awards to certain employees that are payable in cash. These awards are classified as liabilities and are valued based on the fair value of the award at the grant date and are remeasured at each reporting date until settlement, with compensation expense being recognized in proportion to the completed requisite service period up until date of settlement. At September 30, 2025, other share-based awards outstanding included grants that vest over three years payable in the first quarters of 2026, 2027 and 2028.</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At September 30, 2025, there was $1.2 million of unrecognized compensation expense related to non-vested other share-based awards granted to employees under the Company’s stock-based compensation plans. That cost is expected to be recognized over a weighted-average period of 1.8 years.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714" w:name="Tc_c9wqV6D6z0eEuRtfEj6xLg_7_2"/>
      <w:bookmarkStart w:id="1715" w:name="Tc_37PdqgvXgU6IHsshmj4I-w_7_0"/>
      <w:bookmarkStart w:id="1716" w:name="Tc_Im9qmymwJkKUNa-_8B9QlA_6_0"/>
      <w:bookmarkStart w:id="1717" w:name="Tc_WCfY9IgciU2juHVg61mZWA_5_0"/>
      <w:bookmarkStart w:id="1718" w:name="Tc_Qn7zkHrwnU62sqwML5ul8g_4_0"/>
      <w:bookmarkStart w:id="1719" w:name="Tc_IaXLFVycG0-oEIKgbQA6JA_3_2"/>
      <w:bookmarkStart w:id="1720" w:name="Tc_NgQue7TqsE24UfC9IoYbfQ_3_0"/>
      <w:bookmarkStart w:id="1721" w:name="Tc_c6PqROyu3UOzlbQt6PyEMw_2_2"/>
      <w:bookmarkStart w:id="1722" w:name="Tc_OvAmV-1E0U2UFsMJS-EqsQ_1_2"/>
      <w:bookmarkStart w:id="1723" w:name="Tc_c9wqV6D6z0eEuRtfEj6xLg_7_2"/>
      <w:bookmarkStart w:id="1724" w:name="Tc_37PdqgvXgU6IHsshmj4I-w_7_0"/>
      <w:bookmarkStart w:id="1725" w:name="Tc_Im9qmymwJkKUNa-_8B9QlA_6_0"/>
      <w:bookmarkStart w:id="1726" w:name="Tc_WCfY9IgciU2juHVg61mZWA_5_0"/>
      <w:bookmarkStart w:id="1727" w:name="Tc_Qn7zkHrwnU62sqwML5ul8g_4_0"/>
      <w:bookmarkStart w:id="1728" w:name="Tc_IaXLFVycG0-oEIKgbQA6JA_3_2"/>
      <w:bookmarkStart w:id="1729" w:name="Tc_NgQue7TqsE24UfC9IoYbfQ_3_0"/>
      <w:bookmarkStart w:id="1730" w:name="Tc_c6PqROyu3UOzlbQt6PyEMw_2_2"/>
      <w:bookmarkStart w:id="1731" w:name="Tc_OvAmV-1E0U2UFsMJS-EqsQ_1_2"/>
      <w:bookmarkEnd w:id="1723"/>
      <w:bookmarkEnd w:id="1724"/>
      <w:bookmarkEnd w:id="1725"/>
      <w:bookmarkEnd w:id="1726"/>
      <w:bookmarkEnd w:id="1727"/>
      <w:bookmarkEnd w:id="1728"/>
      <w:bookmarkEnd w:id="1729"/>
      <w:bookmarkEnd w:id="1730"/>
      <w:bookmarkEnd w:id="1731"/>
    </w:p>
    <w:tbl>
      <w:tblPr>
        <w:tblW w:w="1952" w:type="dxa"/>
        <w:jc w:val="left"/>
        <w:tblInd w:w="0" w:type="dxa"/>
        <w:tblLayout w:type="fixed"/>
        <w:tblCellMar>
          <w:top w:w="0" w:type="dxa"/>
          <w:left w:w="0" w:type="dxa"/>
          <w:bottom w:w="0" w:type="dxa"/>
          <w:right w:w="0" w:type="dxa"/>
        </w:tblCellMar>
      </w:tblPr>
      <w:tblGrid>
        <w:gridCol w:w="376"/>
        <w:gridCol w:w="1576"/>
      </w:tblGrid>
      <w:tr>
        <w:trPr/>
        <w:tc>
          <w:tcPr>
            <w:tcW w:w="3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14.</w:t>
            </w:r>
          </w:p>
        </w:tc>
        <w:tc>
          <w:tcPr>
            <w:tcW w:w="15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INCOME TAXES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is a roll-forward of the Company’s total gross unrecognized tax benefits, not including interest and penalties, for the nine-months ended September 30, 2025:</w:t>
      </w:r>
    </w:p>
    <w:p>
      <w:pPr>
        <w:pStyle w:val="TextBody"/>
        <w:bidi w:val="0"/>
        <w:spacing w:before="0" w:after="0"/>
        <w:ind w:left="0" w:right="0" w:hanging="0"/>
        <w:jc w:val="left"/>
        <w:rPr/>
      </w:pPr>
      <w:r>
        <w:rPr/>
        <w:t>​</w:t>
      </w:r>
    </w:p>
    <w:tbl>
      <w:tblPr>
        <w:tblW w:w="6883" w:type="dxa"/>
        <w:jc w:val="left"/>
        <w:tblInd w:w="0" w:type="dxa"/>
        <w:tblLayout w:type="fixed"/>
        <w:tblCellMar>
          <w:top w:w="0" w:type="dxa"/>
          <w:left w:w="0" w:type="dxa"/>
          <w:bottom w:w="0" w:type="dxa"/>
          <w:right w:w="0" w:type="dxa"/>
        </w:tblCellMar>
      </w:tblPr>
      <w:tblGrid>
        <w:gridCol w:w="4411"/>
        <w:gridCol w:w="326"/>
        <w:gridCol w:w="510"/>
        <w:gridCol w:w="1636"/>
      </w:tblGrid>
      <w:tr>
        <w:trPr/>
        <w:tc>
          <w:tcPr>
            <w:tcW w:w="4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800985" cy="175260"/>
                      <wp:effectExtent l="0" t="0" r="0" b="0"/>
                      <wp:wrapNone/>
                      <wp:docPr id="315" name="Frame315"/>
                      <a:graphic xmlns:a="http://schemas.openxmlformats.org/drawingml/2006/main">
                        <a:graphicData uri="http://schemas.microsoft.com/office/word/2010/wordprocessingShape">
                          <wps:wsp>
                            <wps:cNvSpPr txBox="1"/>
                            <wps:spPr>
                              <a:xfrm>
                                <a:off x="0" y="0"/>
                                <a:ext cx="2800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07010" cy="175260"/>
                      <wp:effectExtent l="0" t="0" r="0" b="0"/>
                      <wp:wrapNone/>
                      <wp:docPr id="316" name="Frame3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323850" cy="175260"/>
                      <wp:effectExtent l="0" t="0" r="0" b="0"/>
                      <wp:wrapNone/>
                      <wp:docPr id="317" name="Frame317"/>
                      <a:graphic xmlns:a="http://schemas.openxmlformats.org/drawingml/2006/main">
                        <a:graphicData uri="http://schemas.microsoft.com/office/word/2010/wordprocessingShape">
                          <wps:wsp>
                            <wps:cNvSpPr txBox="1"/>
                            <wps:spPr>
                              <a:xfrm>
                                <a:off x="0" y="0"/>
                                <a:ext cx="323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038860" cy="175260"/>
                      <wp:effectExtent l="0" t="0" r="0" b="0"/>
                      <wp:wrapNone/>
                      <wp:docPr id="318" name="Frame318"/>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4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Gross Unrecognized Tax</w:t>
            </w:r>
          </w:p>
        </w:tc>
      </w:tr>
      <w:tr>
        <w:trPr/>
        <w:tc>
          <w:tcPr>
            <w:tcW w:w="4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Benefits</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5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2,626</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for tax positions related to the current year</w:t>
            </w:r>
          </w:p>
        </w:tc>
        <w:tc>
          <w:tcPr>
            <w:tcW w:w="326" w:type="dxa"/>
            <w:tcBorders/>
            <w:vAlign w:val="center"/>
          </w:tcPr>
          <w:p>
            <w:pPr>
              <w:pStyle w:val="TableContents"/>
              <w:bidi w:val="0"/>
              <w:spacing w:before="0" w:after="0"/>
              <w:ind w:left="0" w:right="0" w:hanging="0"/>
              <w:jc w:val="left"/>
              <w:rPr/>
            </w:pPr>
            <w:r>
              <w:rPr/>
              <w:t>​</w:t>
            </w:r>
          </w:p>
        </w:tc>
        <w:tc>
          <w:tcPr>
            <w:tcW w:w="510" w:type="dxa"/>
            <w:tcBorders/>
            <w:vAlign w:val="center"/>
          </w:tcPr>
          <w:p>
            <w:pPr>
              <w:pStyle w:val="TableContents"/>
              <w:bidi w:val="0"/>
              <w:spacing w:before="0" w:after="0"/>
              <w:ind w:left="0" w:right="0" w:hanging="0"/>
              <w:jc w:val="left"/>
              <w:rPr/>
            </w:pPr>
            <w:r>
              <w:rPr/>
              <w:t> </w:t>
            </w:r>
          </w:p>
        </w:tc>
        <w:tc>
          <w:tcPr>
            <w:tcW w:w="1636" w:type="dxa"/>
            <w:tcBorders/>
            <w:vAlign w:val="center"/>
          </w:tcPr>
          <w:p>
            <w:pPr>
              <w:pStyle w:val="TableContents"/>
              <w:bidi w:val="0"/>
              <w:spacing w:before="0" w:after="0"/>
              <w:ind w:left="0" w:right="0" w:hanging="0"/>
              <w:jc w:val="righ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for tax positions related to the prior years</w:t>
            </w:r>
          </w:p>
        </w:tc>
        <w:tc>
          <w:tcPr>
            <w:tcW w:w="326" w:type="dxa"/>
            <w:tcBorders/>
            <w:shd w:fill="CCEEFF" w:val="clear"/>
            <w:vAlign w:val="center"/>
          </w:tcPr>
          <w:p>
            <w:pPr>
              <w:pStyle w:val="TableContents"/>
              <w:bidi w:val="0"/>
              <w:spacing w:before="0" w:after="0"/>
              <w:ind w:left="0" w:right="0" w:hanging="0"/>
              <w:jc w:val="left"/>
              <w:rPr/>
            </w:pPr>
            <w:r>
              <w:rPr/>
              <w:t>​</w:t>
            </w:r>
          </w:p>
        </w:tc>
        <w:tc>
          <w:tcPr>
            <w:tcW w:w="510" w:type="dxa"/>
            <w:tcBorders/>
            <w:shd w:fill="CCEEFF" w:val="clear"/>
            <w:vAlign w:val="center"/>
          </w:tcPr>
          <w:p>
            <w:pPr>
              <w:pStyle w:val="TableContents"/>
              <w:bidi w:val="0"/>
              <w:spacing w:before="0" w:after="0"/>
              <w:ind w:left="0" w:right="0" w:hanging="0"/>
              <w:jc w:val="left"/>
              <w:rPr/>
            </w:pPr>
            <w:r>
              <w:rPr/>
              <w:t> </w:t>
            </w:r>
          </w:p>
        </w:tc>
        <w:tc>
          <w:tcPr>
            <w:tcW w:w="16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1,440</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Decreases for tax positions related to the prior years</w:t>
            </w:r>
          </w:p>
        </w:tc>
        <w:tc>
          <w:tcPr>
            <w:tcW w:w="326" w:type="dxa"/>
            <w:tcBorders/>
            <w:vAlign w:val="center"/>
          </w:tcPr>
          <w:p>
            <w:pPr>
              <w:pStyle w:val="TableContents"/>
              <w:bidi w:val="0"/>
              <w:spacing w:before="0" w:after="0"/>
              <w:ind w:left="0" w:right="0" w:hanging="0"/>
              <w:jc w:val="left"/>
              <w:rPr/>
            </w:pPr>
            <w:r>
              <w:rPr/>
              <w:t>​</w:t>
            </w:r>
          </w:p>
        </w:tc>
        <w:tc>
          <w:tcPr>
            <w:tcW w:w="5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6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September 30, 2025</w:t>
            </w:r>
          </w:p>
        </w:tc>
        <w:tc>
          <w:tcPr>
            <w:tcW w:w="326" w:type="dxa"/>
            <w:tcBorders/>
            <w:shd w:fill="CCEEFF" w:val="clear"/>
            <w:vAlign w:val="center"/>
          </w:tcPr>
          <w:p>
            <w:pPr>
              <w:pStyle w:val="TableContents"/>
              <w:bidi w:val="0"/>
              <w:spacing w:before="0" w:after="0"/>
              <w:ind w:left="0" w:right="0" w:hanging="0"/>
              <w:jc w:val="left"/>
              <w:rPr/>
            </w:pPr>
            <w:r>
              <w:rPr/>
              <w:t>​</w:t>
            </w:r>
          </w:p>
        </w:tc>
        <w:tc>
          <w:tcPr>
            <w:tcW w:w="5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4,066</w:t>
            </w:r>
          </w:p>
        </w:tc>
      </w:tr>
    </w:tbl>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recognizes accrued interest and penalties related to unrecognized tax benefits in the provision for income taxes in the Company’s condensed consolidated financial statements. As of September 30, 2025, the Company had approximately $1.0 million in accrued interest and penalties related to unrecognized tax benefits. If the Company were to prevail on all uncertain tax positions, the resultant impact on the Company’s effective tax rate would not be significant. It is expected that any change in the amount of unrecognized tax benefits within the next 12 months will not be significant.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is subject to U.S. federal income tax as well as to income tax in multiple state and foreign jurisdictions.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is in various stages of examination with certain states and certain foreign jurisdictions. The Company’s 2022 through 2024 U.S. federal income tax returns are subject to examination by the IRS. The Company’s state income tax returns are subject to examination for the 2020 through 2024 tax years. The United Kingdom and Ireland income tax returns are subject to examination for the 2020 through 2024 tax years.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One Big Beautiful Bill Act (the “OBBBA”), which includes a broad range of tax reform provisions, was signed into law in the United States on July 4, 2025. The OBBBA does not materially impact the Company’s effective tax rate or cash flows in 2025.</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732" w:name="Tc_6nU5fgr-8ky-bfEJD3cM9w_7_0"/>
      <w:bookmarkStart w:id="1733" w:name="Tc_wvtb1Wdl1UCnzVekXySPaQ_6_0"/>
      <w:bookmarkStart w:id="1734" w:name="Tc_nWU3qH46jEqKBGkUvpZLag_5_0"/>
      <w:bookmarkStart w:id="1735" w:name="Tc_599QAGQtQUWDsai_DuMmrg_4_0"/>
      <w:bookmarkStart w:id="1736" w:name="Tc_Hgrj3O0ReUWG8xdHnnsd-g_3_8"/>
      <w:bookmarkStart w:id="1737" w:name="Tc_0GINItXPCkK5osu3r0CYpQ_3_6"/>
      <w:bookmarkStart w:id="1738" w:name="Tc_LIrz_8GSRUue_YPIvU9r_w_3_4"/>
      <w:bookmarkStart w:id="1739" w:name="Tc_E_MSSHjLG0GzwK-WkM_4xg_3_2"/>
      <w:bookmarkStart w:id="1740" w:name="Tc_Snzh4vibykW31V-GCDO2Kg_2_6"/>
      <w:bookmarkStart w:id="1741" w:name="Tc_RqGF4ijOZEiG_hPvkcI6IQ_2_2"/>
      <w:bookmarkStart w:id="1742" w:name="Tc_P4ziwz_Dxk2beoFzO2dWZw_1_6"/>
      <w:bookmarkStart w:id="1743" w:name="Tc_F4c_gTJ1iEevYhUG0kKQ3g_1_2"/>
      <w:bookmarkStart w:id="1744" w:name="_eddd514f_331a_4132_8b29_0f5b0858f646"/>
      <w:bookmarkStart w:id="1745" w:name="Tc_6nU5fgr-8ky-bfEJD3cM9w_7_0"/>
      <w:bookmarkStart w:id="1746" w:name="Tc_wvtb1Wdl1UCnzVekXySPaQ_6_0"/>
      <w:bookmarkStart w:id="1747" w:name="Tc_nWU3qH46jEqKBGkUvpZLag_5_0"/>
      <w:bookmarkStart w:id="1748" w:name="Tc_599QAGQtQUWDsai_DuMmrg_4_0"/>
      <w:bookmarkStart w:id="1749" w:name="Tc_Hgrj3O0ReUWG8xdHnnsd-g_3_8"/>
      <w:bookmarkStart w:id="1750" w:name="Tc_0GINItXPCkK5osu3r0CYpQ_3_6"/>
      <w:bookmarkStart w:id="1751" w:name="Tc_LIrz_8GSRUue_YPIvU9r_w_3_4"/>
      <w:bookmarkStart w:id="1752" w:name="Tc_E_MSSHjLG0GzwK-WkM_4xg_3_2"/>
      <w:bookmarkStart w:id="1753" w:name="Tc_Snzh4vibykW31V-GCDO2Kg_2_6"/>
      <w:bookmarkStart w:id="1754" w:name="Tc_RqGF4ijOZEiG_hPvkcI6IQ_2_2"/>
      <w:bookmarkStart w:id="1755" w:name="Tc_P4ziwz_Dxk2beoFzO2dWZw_1_6"/>
      <w:bookmarkStart w:id="1756" w:name="Tc_F4c_gTJ1iEevYhUG0kKQ3g_1_2"/>
      <w:bookmarkStart w:id="1757" w:name="_eddd514f_331a_4132_8b29_0f5b0858f646"/>
      <w:bookmarkEnd w:id="1745"/>
      <w:bookmarkEnd w:id="1746"/>
      <w:bookmarkEnd w:id="1747"/>
      <w:bookmarkEnd w:id="1748"/>
      <w:bookmarkEnd w:id="1749"/>
      <w:bookmarkEnd w:id="1750"/>
      <w:bookmarkEnd w:id="1751"/>
      <w:bookmarkEnd w:id="1752"/>
      <w:bookmarkEnd w:id="1753"/>
      <w:bookmarkEnd w:id="1754"/>
      <w:bookmarkEnd w:id="1755"/>
      <w:bookmarkEnd w:id="1756"/>
      <w:bookmarkEnd w:id="1757"/>
    </w:p>
    <w:tbl>
      <w:tblPr>
        <w:tblW w:w="2567" w:type="dxa"/>
        <w:jc w:val="left"/>
        <w:tblInd w:w="0" w:type="dxa"/>
        <w:tblLayout w:type="fixed"/>
        <w:tblCellMar>
          <w:top w:w="0" w:type="dxa"/>
          <w:left w:w="0" w:type="dxa"/>
          <w:bottom w:w="0" w:type="dxa"/>
          <w:right w:w="0" w:type="dxa"/>
        </w:tblCellMar>
      </w:tblPr>
      <w:tblGrid>
        <w:gridCol w:w="376"/>
        <w:gridCol w:w="2191"/>
      </w:tblGrid>
      <w:tr>
        <w:trPr/>
        <w:tc>
          <w:tcPr>
            <w:tcW w:w="3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15.</w:t>
            </w:r>
          </w:p>
        </w:tc>
        <w:tc>
          <w:tcPr>
            <w:tcW w:w="219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EARNINGS PER SHARE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reconciliation of the weighted-average shares used in the basic and diluted earnings per common share computations is presented below (in thousands):</w:t>
      </w:r>
    </w:p>
    <w:tbl>
      <w:tblPr>
        <w:tblW w:w="7909" w:type="dxa"/>
        <w:jc w:val="left"/>
        <w:tblInd w:w="0" w:type="dxa"/>
        <w:tblLayout w:type="fixed"/>
        <w:tblCellMar>
          <w:top w:w="0" w:type="dxa"/>
          <w:left w:w="0" w:type="dxa"/>
          <w:bottom w:w="0" w:type="dxa"/>
          <w:right w:w="0" w:type="dxa"/>
        </w:tblCellMar>
      </w:tblPr>
      <w:tblGrid>
        <w:gridCol w:w="3226"/>
        <w:gridCol w:w="326"/>
        <w:gridCol w:w="781"/>
        <w:gridCol w:w="326"/>
        <w:gridCol w:w="781"/>
        <w:gridCol w:w="326"/>
        <w:gridCol w:w="781"/>
        <w:gridCol w:w="326"/>
        <w:gridCol w:w="1036"/>
      </w:tblGrid>
      <w:tr>
        <w:trPr/>
        <w:tc>
          <w:tcPr>
            <w:tcW w:w="3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048510" cy="175260"/>
                      <wp:effectExtent l="0" t="0" r="0" b="0"/>
                      <wp:wrapNone/>
                      <wp:docPr id="319" name="Frame319"/>
                      <a:graphic xmlns:a="http://schemas.openxmlformats.org/drawingml/2006/main">
                        <a:graphicData uri="http://schemas.microsoft.com/office/word/2010/wordprocessingShape">
                          <wps:wsp>
                            <wps:cNvSpPr txBox="1"/>
                            <wps:spPr>
                              <a:xfrm>
                                <a:off x="0" y="0"/>
                                <a:ext cx="2048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07010" cy="175260"/>
                      <wp:effectExtent l="0" t="0" r="0" b="0"/>
                      <wp:wrapNone/>
                      <wp:docPr id="320" name="Frame3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495935" cy="175260"/>
                      <wp:effectExtent l="0" t="0" r="0" b="0"/>
                      <wp:wrapNone/>
                      <wp:docPr id="321" name="Frame32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07010" cy="175260"/>
                      <wp:effectExtent l="0" t="0" r="0" b="0"/>
                      <wp:wrapNone/>
                      <wp:docPr id="322" name="Frame3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495935" cy="175260"/>
                      <wp:effectExtent l="0" t="0" r="0" b="0"/>
                      <wp:wrapNone/>
                      <wp:docPr id="323" name="Frame32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07010" cy="175260"/>
                      <wp:effectExtent l="0" t="0" r="0" b="0"/>
                      <wp:wrapNone/>
                      <wp:docPr id="324" name="Frame3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495935" cy="175260"/>
                      <wp:effectExtent l="0" t="0" r="0" b="0"/>
                      <wp:wrapNone/>
                      <wp:docPr id="325" name="Frame32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07010" cy="175260"/>
                      <wp:effectExtent l="0" t="0" r="0" b="0"/>
                      <wp:wrapNone/>
                      <wp:docPr id="326" name="Frame3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57860" cy="175260"/>
                      <wp:effectExtent l="0" t="0" r="0" b="0"/>
                      <wp:wrapNone/>
                      <wp:docPr id="327" name="Frame32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88"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Three-Months Ended </w:t>
            </w:r>
          </w:p>
        </w:tc>
        <w:tc>
          <w:tcPr>
            <w:tcW w:w="326" w:type="dxa"/>
            <w:tcBorders/>
            <w:vAlign w:val="center"/>
          </w:tcPr>
          <w:p>
            <w:pPr>
              <w:pStyle w:val="TableContents"/>
              <w:bidi w:val="0"/>
              <w:spacing w:before="0" w:after="0"/>
              <w:ind w:left="0" w:right="0" w:hanging="0"/>
              <w:jc w:val="center"/>
              <w:rPr/>
            </w:pPr>
            <w:r>
              <w:rPr/>
              <w:t>​</w:t>
            </w:r>
          </w:p>
        </w:tc>
        <w:tc>
          <w:tcPr>
            <w:tcW w:w="2143"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Nine-Months Ended </w:t>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8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 </w:t>
            </w:r>
          </w:p>
        </w:tc>
        <w:tc>
          <w:tcPr>
            <w:tcW w:w="326" w:type="dxa"/>
            <w:tcBorders/>
            <w:vAlign w:val="center"/>
          </w:tcPr>
          <w:p>
            <w:pPr>
              <w:pStyle w:val="TableContents"/>
              <w:bidi w:val="0"/>
              <w:spacing w:before="0" w:after="0"/>
              <w:ind w:left="0" w:right="0" w:hanging="0"/>
              <w:jc w:val="center"/>
              <w:rPr/>
            </w:pPr>
            <w:r>
              <w:rPr/>
              <w:t>​</w:t>
            </w:r>
          </w:p>
        </w:tc>
        <w:tc>
          <w:tcPr>
            <w:tcW w:w="214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 </w:t>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976,608</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975,841</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975,337</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1,015,252</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8,358</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7,330</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8,195</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8,660</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984,966</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983,171</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983,532</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1,023,912</w:t>
            </w:r>
          </w:p>
        </w:tc>
      </w:tr>
    </w:tbl>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the three-months ended September 30, 2025 and 2024, options and awards outstanding totaling 5.5 million shares and 9.2 million shares, respectively, were excluded from the calculations as their effect would have been antidilutive. For the nine-months ended September 30, 2025 and 2024, options and awards outstanding totaling 9.5 million shares and 7.6 million shares, respectively, were excluded from the calculations as their effect would have been antidilutive.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tbl>
      <w:tblPr>
        <w:tblW w:w="2822" w:type="dxa"/>
        <w:jc w:val="left"/>
        <w:tblInd w:w="0" w:type="dxa"/>
        <w:tblLayout w:type="fixed"/>
        <w:tblCellMar>
          <w:top w:w="0" w:type="dxa"/>
          <w:left w:w="0" w:type="dxa"/>
          <w:bottom w:w="0" w:type="dxa"/>
          <w:right w:w="0" w:type="dxa"/>
        </w:tblCellMar>
      </w:tblPr>
      <w:tblGrid>
        <w:gridCol w:w="376"/>
        <w:gridCol w:w="2446"/>
      </w:tblGrid>
      <w:tr>
        <w:trPr/>
        <w:tc>
          <w:tcPr>
            <w:tcW w:w="3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16.</w:t>
            </w:r>
          </w:p>
        </w:tc>
        <w:tc>
          <w:tcPr>
            <w:tcW w:w="244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SEGMENT INFORMATION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four operating and reportable segments: (i) Monster Energy® Drinks segment, which is primarily comprised of the Company’s Monster Energy® drinks, Reign Total Body Fuel® high performance energy drinks, Reign Storm® total wellness energy drinks and Bang Energy® drinks, (ii) Strategic Brands segment, which is primarily comprised of the various energy drink brands acquired from TCCC in 2015 as well as the Company’s affordable energy brands, Predator® and Fury®, (iii) Alcohol Brands segment, which is comprised of various craft beers, FMBs and hard seltzers and (iv) Other segment, which is comprised of the AFF Third-Party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Monster Energy® Drinks segment primarily generates net operating revenues by selling ready-to-drink packaged drinks primarily to bottlers/distributors. In some cases, the Company sells ready-to-drink packaged drinks directly to retail grocery and specialty chains, wholesalers, club stores, mass merchandisers, convenience and gas chains, drug stores, foodservice customers, value stores, e-commerce retailers and the military.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bottlers/distributors and to retail grocery and specialty chains, wholesalers, club stores, mass merchandisers, convenience and gas chains, foodservice customers, drug stores, value stores, e-commerce retailers and the military. To a lesser extent, the Strategic Brands segment generates net operating revenues by selling certain ready-to-drink packaged energy drinks to bottlers/distributors.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Generally, the Monster Energy® Drinks segment generates higher per case net operating revenues, but lower per case gross profit margin percentages than the Strategic Brands segment.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Alcohol Brands segment primarily generates operating revenues by selling kegged and ready-to-drink canned beers, FMBs and hard seltzers primarily to beer distributors in the United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Generally, the Alcohol Brands segment has lower gross profit margin percentages than the Monster Energy® Drinks segment.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Corporate and unallocated amounts that do not relate to a reportable segment have been allocated to “Corporate &amp; Unallocated.” No asset information, other than goodwill and other intangible assets, has been provided in the Company’s reportable segments, as management does not measure or allocate such assets on a segment basis.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chief operating decision maker is the chief executive officer (the “CEO”). The CEO assesses segments’ performance by using each segment’s operating income and considers budget-to-actual variances on a periodic basis (at least quarterly) when making decisions about operational planning, including resource allocation. Further, the CEO uses segments’ operating income when comparing the results of each segment with one another.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bookmarkStart w:id="1758" w:name="Tc_gTcW4nWRqk67BTBYN3JjHg_19_17"/>
      <w:bookmarkStart w:id="1759" w:name="Tc_WAA7XiU1I0OTL7ywddK3bQ_19_14"/>
      <w:bookmarkStart w:id="1760" w:name="Tc_i6CpwAThl0qlssqHNOAXPQ_19_11"/>
      <w:bookmarkStart w:id="1761" w:name="Tc_DFpnm45jLE695ECaAX5jJw_19_8"/>
      <w:bookmarkStart w:id="1762" w:name="Tc_u2vskf_PBkO4bbddKVo9gA_19_5"/>
      <w:bookmarkStart w:id="1763" w:name="Tc_iQvYtu1Li0mwtHwolMRpug_19_2"/>
      <w:bookmarkStart w:id="1764" w:name="Tc_BS4Ae8NoWUCizuu-knD7Zw_19_0"/>
      <w:bookmarkStart w:id="1765" w:name="Tc_h7GXC7KfgkqmTY3a84F4nw_17_17"/>
      <w:bookmarkStart w:id="1766" w:name="Tc_GrVjLTWVaUexBVqzOoc5Yw_17_0"/>
      <w:bookmarkStart w:id="1767" w:name="Tc_EjCJ_OkFT0CwumkDM7Ck8Q_15_0"/>
      <w:bookmarkStart w:id="1768" w:name="Tc_xqM7URNfN0SOIQGhA6cwWg_13_0"/>
      <w:bookmarkStart w:id="1769" w:name="Tc_Yqzi8kHESkGzqCd8FG2QCw_12_0"/>
      <w:bookmarkStart w:id="1770" w:name="Tc_FsvWuOquvEeBS2OGC0S0Yw_11_0"/>
      <w:bookmarkStart w:id="1771" w:name="Tc_pCZwzaFpbE2Ng7H7l7QRlg_10_15"/>
      <w:bookmarkStart w:id="1772" w:name="Tc_LA4IKgssZUGKieLUKrkGUQ_10_0"/>
      <w:bookmarkStart w:id="1773" w:name="Tc_HSZ_qqkqLk2LV9hO8uslig_9_15"/>
      <w:bookmarkStart w:id="1774" w:name="Tc_1ckR5j48PUi17XCS29cXBA_9_12"/>
      <w:bookmarkStart w:id="1775" w:name="Tc_zwon1KmIgEqxurDj_4jbrw_9_0"/>
      <w:bookmarkStart w:id="1776" w:name="Tc_0FyELwsvTEquun-Uy_vHYQ_7_15"/>
      <w:bookmarkStart w:id="1777" w:name="Tc_c3iFLaeNpkuBjqe_YhSlHA_7_0"/>
      <w:bookmarkStart w:id="1778" w:name="Tc_QAYP881ZP0-ZmLCl6GHSqg_6_15"/>
      <w:bookmarkStart w:id="1779" w:name="Tc_Oh91cJha70i4BgrPHRd1tA_6_0"/>
      <w:bookmarkStart w:id="1780" w:name="Tc_qKxnGylzP0myk0hdUq8TjQ_4_17"/>
      <w:bookmarkStart w:id="1781" w:name="Tc_LqeN_8Rqd0SJvYyceyuwTg_4_15"/>
      <w:bookmarkStart w:id="1782" w:name="Tc_lEnUPCYSVkW8diEgkA7TJw_4_14"/>
      <w:bookmarkStart w:id="1783" w:name="Tc_Z6avxsh8Bk2RQ2c02vbSzg_4_11"/>
      <w:bookmarkStart w:id="1784" w:name="Tc_tfB2Q_Jwt0-gpcJDtM_zrw_4_8"/>
      <w:bookmarkStart w:id="1785" w:name="Tc_0kIZtvgFYkGdEOZFxZeZgQ_4_5"/>
      <w:bookmarkStart w:id="1786" w:name="Tc_S5q20iDum0O30NUw2l8_IA_4_2"/>
      <w:bookmarkStart w:id="1787" w:name="Tc_MSPjYm9CNk2XnRtkXjPVOA_4_0"/>
      <w:bookmarkStart w:id="1788" w:name="Tc_dbiBCQY-XEeaotthTcTrUA_3_17"/>
      <w:bookmarkStart w:id="1789" w:name="Tc_2DKYU1CNukSihloPhyr0nw_3_14"/>
      <w:bookmarkStart w:id="1790" w:name="Tc_CM777RmCf0G8qkkKAFjaxQ_3_11"/>
      <w:bookmarkStart w:id="1791" w:name="Tc_JN0Q5ClngkWMT4W02FO4wQ_3_8"/>
      <w:bookmarkStart w:id="1792" w:name="Tc_9pIT_g1c_kCPqEBbBK3MTw_3_5"/>
      <w:bookmarkStart w:id="1793" w:name="Tc_QUld4OLYKUOsRo0Wj2kxTw_3_2"/>
      <w:bookmarkStart w:id="1794" w:name="Tc_zFXibWMClk2IMJVF3gdkLQ_2_14"/>
      <w:bookmarkStart w:id="1795" w:name="Tc_iN2IkiWjkkms4aEwDw-50A_2_8"/>
      <w:bookmarkStart w:id="1796" w:name="Tc_0CKXG9MZ0ketUhgS3fSIhA_2_5"/>
      <w:bookmarkStart w:id="1797" w:name="Tc_kd7qbdB8p0SiakGox1p_gw_2_2"/>
      <w:bookmarkStart w:id="1798" w:name="Tc_lSUWr3x5uku5ivEmUaFAmg_1_2"/>
      <w:bookmarkStart w:id="1799" w:name="_dde2e7e6_9afc_434f_913b_af5a2c3abdeb"/>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r>
        <w:rPr>
          <w:rFonts w:ascii="Times New Roman;Times;serif" w:hAnsi="Times New Roman;Times;serif"/>
          <w:sz w:val="20"/>
        </w:rPr>
        <w:t>The tables below provide information about the Company’s reportable segments, including the corporate and unallocated category.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Three-Months Ended September 30, 2025</w:t>
      </w:r>
    </w:p>
    <w:tbl>
      <w:tblPr>
        <w:tblW w:w="10205" w:type="dxa"/>
        <w:jc w:val="left"/>
        <w:tblInd w:w="0" w:type="dxa"/>
        <w:tblLayout w:type="fixed"/>
        <w:tblCellMar>
          <w:top w:w="0" w:type="dxa"/>
          <w:left w:w="0" w:type="dxa"/>
          <w:bottom w:w="0" w:type="dxa"/>
          <w:right w:w="0" w:type="dxa"/>
        </w:tblCellMar>
      </w:tblPr>
      <w:tblGrid>
        <w:gridCol w:w="1871"/>
        <w:gridCol w:w="326"/>
        <w:gridCol w:w="211"/>
        <w:gridCol w:w="931"/>
        <w:gridCol w:w="326"/>
        <w:gridCol w:w="211"/>
        <w:gridCol w:w="781"/>
        <w:gridCol w:w="326"/>
        <w:gridCol w:w="211"/>
        <w:gridCol w:w="743"/>
        <w:gridCol w:w="326"/>
        <w:gridCol w:w="211"/>
        <w:gridCol w:w="571"/>
        <w:gridCol w:w="326"/>
        <w:gridCol w:w="252"/>
        <w:gridCol w:w="1009"/>
        <w:gridCol w:w="326"/>
        <w:gridCol w:w="221"/>
        <w:gridCol w:w="1026"/>
      </w:tblGrid>
      <w:tr>
        <w:trPr/>
        <w:tc>
          <w:tcPr>
            <w:tcW w:w="1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188085" cy="175260"/>
                      <wp:effectExtent l="0" t="0" r="0" b="0"/>
                      <wp:wrapNone/>
                      <wp:docPr id="328" name="Frame328"/>
                      <a:graphic xmlns:a="http://schemas.openxmlformats.org/drawingml/2006/main">
                        <a:graphicData uri="http://schemas.microsoft.com/office/word/2010/wordprocessingShape">
                          <wps:wsp>
                            <wps:cNvSpPr txBox="1"/>
                            <wps:spPr>
                              <a:xfrm>
                                <a:off x="0" y="0"/>
                                <a:ext cx="1188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07010" cy="175260"/>
                      <wp:effectExtent l="0" t="0" r="0" b="0"/>
                      <wp:wrapNone/>
                      <wp:docPr id="329" name="Frame3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33985" cy="175260"/>
                      <wp:effectExtent l="0" t="0" r="0" b="0"/>
                      <wp:wrapNone/>
                      <wp:docPr id="330" name="Frame3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591185" cy="175260"/>
                      <wp:effectExtent l="0" t="0" r="0" b="0"/>
                      <wp:wrapNone/>
                      <wp:docPr id="331" name="Frame33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07010" cy="175260"/>
                      <wp:effectExtent l="0" t="0" r="0" b="0"/>
                      <wp:wrapNone/>
                      <wp:docPr id="332" name="Frame3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33985" cy="175260"/>
                      <wp:effectExtent l="0" t="0" r="0" b="0"/>
                      <wp:wrapNone/>
                      <wp:docPr id="333" name="Frame3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495935" cy="175260"/>
                      <wp:effectExtent l="0" t="0" r="0" b="0"/>
                      <wp:wrapNone/>
                      <wp:docPr id="334" name="Frame33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07010" cy="175260"/>
                      <wp:effectExtent l="0" t="0" r="0" b="0"/>
                      <wp:wrapNone/>
                      <wp:docPr id="335" name="Frame3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33985" cy="175260"/>
                      <wp:effectExtent l="0" t="0" r="0" b="0"/>
                      <wp:wrapNone/>
                      <wp:docPr id="336" name="Frame3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471805" cy="175260"/>
                      <wp:effectExtent l="0" t="0" r="0" b="0"/>
                      <wp:wrapNone/>
                      <wp:docPr id="337" name="Frame337"/>
                      <a:graphic xmlns:a="http://schemas.openxmlformats.org/drawingml/2006/main">
                        <a:graphicData uri="http://schemas.microsoft.com/office/word/2010/wordprocessingShape">
                          <wps:wsp>
                            <wps:cNvSpPr txBox="1"/>
                            <wps:spPr>
                              <a:xfrm>
                                <a:off x="0" y="0"/>
                                <a:ext cx="471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07010" cy="175260"/>
                      <wp:effectExtent l="0" t="0" r="0" b="0"/>
                      <wp:wrapNone/>
                      <wp:docPr id="338" name="Frame3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33985" cy="175260"/>
                      <wp:effectExtent l="0" t="0" r="0" b="0"/>
                      <wp:wrapNone/>
                      <wp:docPr id="339" name="Frame3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362585" cy="175260"/>
                      <wp:effectExtent l="0" t="0" r="0" b="0"/>
                      <wp:wrapNone/>
                      <wp:docPr id="340" name="Frame34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07010" cy="175260"/>
                      <wp:effectExtent l="0" t="0" r="0" b="0"/>
                      <wp:wrapNone/>
                      <wp:docPr id="341" name="Frame3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60020" cy="175260"/>
                      <wp:effectExtent l="0" t="0" r="0" b="0"/>
                      <wp:wrapNone/>
                      <wp:docPr id="342" name="Frame342"/>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40715" cy="175260"/>
                      <wp:effectExtent l="0" t="0" r="0" b="0"/>
                      <wp:wrapNone/>
                      <wp:docPr id="343" name="Frame343"/>
                      <a:graphic xmlns:a="http://schemas.openxmlformats.org/drawingml/2006/main">
                        <a:graphicData uri="http://schemas.microsoft.com/office/word/2010/wordprocessingShape">
                          <wps:wsp>
                            <wps:cNvSpPr txBox="1"/>
                            <wps:spPr>
                              <a:xfrm>
                                <a:off x="0" y="0"/>
                                <a:ext cx="640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07010" cy="175260"/>
                      <wp:effectExtent l="0" t="0" r="0" b="0"/>
                      <wp:wrapNone/>
                      <wp:docPr id="344" name="Frame3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40335" cy="175260"/>
                      <wp:effectExtent l="0" t="0" r="0" b="0"/>
                      <wp:wrapNone/>
                      <wp:docPr id="345" name="Frame345"/>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51510" cy="175260"/>
                      <wp:effectExtent l="0" t="0" r="0" b="0"/>
                      <wp:wrapNone/>
                      <wp:docPr id="346" name="Frame346"/>
                      <a:graphic xmlns:a="http://schemas.openxmlformats.org/drawingml/2006/main">
                        <a:graphicData uri="http://schemas.microsoft.com/office/word/2010/wordprocessingShape">
                          <wps:wsp>
                            <wps:cNvSpPr txBox="1"/>
                            <wps:spPr>
                              <a:xfrm>
                                <a:off x="0" y="0"/>
                                <a:ext cx="651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Monster</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26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center"/>
              <w:rPr/>
            </w:pPr>
            <w:r>
              <w:rPr/>
              <w:t>​</w:t>
            </w:r>
          </w:p>
        </w:tc>
      </w:tr>
      <w:tr>
        <w:trPr/>
        <w:tc>
          <w:tcPr>
            <w:tcW w:w="1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Energy® </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Strategic</w:t>
            </w:r>
          </w:p>
        </w:tc>
        <w:tc>
          <w:tcPr>
            <w:tcW w:w="326" w:type="dxa"/>
            <w:tcBorders/>
            <w:vAlign w:val="center"/>
          </w:tcPr>
          <w:p>
            <w:pPr>
              <w:pStyle w:val="TableContents"/>
              <w:bidi w:val="0"/>
              <w:spacing w:before="0" w:after="0"/>
              <w:ind w:left="0" w:right="0" w:hanging="0"/>
              <w:jc w:val="left"/>
              <w:rPr/>
            </w:pPr>
            <w:r>
              <w:rPr/>
              <w:t>​</w:t>
            </w:r>
          </w:p>
        </w:tc>
        <w:tc>
          <w:tcPr>
            <w:tcW w:w="954"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Alcohol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Corporate and</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center"/>
              <w:rPr/>
            </w:pPr>
            <w:r>
              <w:rPr/>
              <w:t>​</w:t>
            </w:r>
          </w:p>
        </w:tc>
      </w:tr>
      <w:tr>
        <w:trPr/>
        <w:tc>
          <w:tcPr>
            <w:tcW w:w="1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Drinks</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vAlign w:val="center"/>
          </w:tcPr>
          <w:p>
            <w:pPr>
              <w:pStyle w:val="TableContents"/>
              <w:bidi w:val="0"/>
              <w:spacing w:before="0" w:after="0"/>
              <w:ind w:left="0" w:right="0" w:hanging="0"/>
              <w:jc w:val="left"/>
              <w:rPr/>
            </w:pPr>
            <w:r>
              <w:rPr/>
              <w:t>    </w:t>
            </w:r>
          </w:p>
        </w:tc>
        <w:tc>
          <w:tcPr>
            <w:tcW w:w="9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Unallocated</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Consolidated</w:t>
            </w:r>
          </w:p>
        </w:tc>
      </w:tr>
      <w:tr>
        <w:trPr/>
        <w:tc>
          <w:tcPr>
            <w:tcW w:w="18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Net sales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2,026,843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130,501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6,786</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2,197,139</w:t>
            </w:r>
          </w:p>
        </w:tc>
      </w:tr>
      <w:tr>
        <w:trPr/>
        <w:tc>
          <w:tcPr>
            <w:tcW w:w="1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10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left"/>
              <w:rPr/>
            </w:pPr>
            <w:r>
              <w:rPr/>
              <w:t>​</w:t>
            </w:r>
          </w:p>
        </w:tc>
      </w:tr>
      <w:tr>
        <w:trPr/>
        <w:tc>
          <w:tcPr>
            <w:tcW w:w="1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902,094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41,546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24,694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4,319</w:t>
            </w:r>
          </w:p>
        </w:tc>
        <w:tc>
          <w:tcPr>
            <w:tcW w:w="326" w:type="dxa"/>
            <w:tcBorders/>
            <w:shd w:fill="CCEEFF" w:val="clear"/>
            <w:vAlign w:val="center"/>
          </w:tcPr>
          <w:p>
            <w:pPr>
              <w:pStyle w:val="TableContents"/>
              <w:bidi w:val="0"/>
              <w:spacing w:before="0" w:after="0"/>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r>
      <w:tr>
        <w:trPr/>
        <w:tc>
          <w:tcPr>
            <w:tcW w:w="1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1,124,749</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88,955</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8,315</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2,467</w:t>
            </w:r>
          </w:p>
        </w:tc>
        <w:tc>
          <w:tcPr>
            <w:tcW w:w="32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w:t>
            </w:r>
          </w:p>
        </w:tc>
        <w:tc>
          <w:tcPr>
            <w:tcW w:w="10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1,224,486</w:t>
            </w:r>
          </w:p>
        </w:tc>
      </w:tr>
      <w:tr>
        <w:trPr/>
        <w:tc>
          <w:tcPr>
            <w:tcW w:w="18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10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left"/>
              <w:rPr/>
            </w:pPr>
            <w:r>
              <w:rPr/>
              <w:t>​</w:t>
            </w:r>
          </w:p>
        </w:tc>
      </w:tr>
      <w:tr>
        <w:trPr/>
        <w:tc>
          <w:tcPr>
            <w:tcW w:w="1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 expense</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78,569</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1,704</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2,341</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w:t>
            </w:r>
          </w:p>
        </w:tc>
        <w:tc>
          <w:tcPr>
            <w:tcW w:w="10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right"/>
              <w:rPr/>
            </w:pPr>
            <w:r>
              <w:rPr/>
              <w:t>  </w:t>
            </w:r>
          </w:p>
        </w:tc>
      </w:tr>
      <w:tr>
        <w:trPr/>
        <w:tc>
          <w:tcPr>
            <w:tcW w:w="1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189,136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17,339</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7,976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26"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left"/>
              <w:rPr/>
            </w:pPr>
            <w:r>
              <w:rPr/>
              <w:t>​</w:t>
            </w:r>
          </w:p>
        </w:tc>
        <w:tc>
          <w:tcPr>
            <w:tcW w:w="10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right"/>
              <w:rPr/>
            </w:pPr>
            <w:r>
              <w:rPr/>
              <w:t>  </w:t>
            </w:r>
          </w:p>
        </w:tc>
      </w:tr>
      <w:tr>
        <w:trPr/>
        <w:tc>
          <w:tcPr>
            <w:tcW w:w="1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Nonmanufacturing payroll expense</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43,684</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2,711</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8,908</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w:t>
            </w:r>
          </w:p>
        </w:tc>
        <w:tc>
          <w:tcPr>
            <w:tcW w:w="32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112,924</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right"/>
              <w:rPr/>
            </w:pPr>
            <w:r>
              <w:rPr/>
              <w:t>  </w:t>
            </w:r>
          </w:p>
        </w:tc>
      </w:tr>
      <w:tr>
        <w:trPr/>
        <w:tc>
          <w:tcPr>
            <w:tcW w:w="18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segment items</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22,880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6,941</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326" w:type="dxa"/>
            <w:tcBorders/>
            <w:shd w:fill="CCEEFF" w:val="clear"/>
            <w:vAlign w:val="center"/>
          </w:tcPr>
          <w:p>
            <w:pPr>
              <w:pStyle w:val="TableContents"/>
              <w:bidi w:val="0"/>
              <w:spacing w:before="0" w:after="0"/>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52,253</w:t>
            </w:r>
          </w:p>
        </w:tc>
        <w:tc>
          <w:tcPr>
            <w:tcW w:w="326" w:type="dxa"/>
            <w:tcBorders/>
            <w:shd w:fill="CCEEFF" w:val="clear"/>
            <w:vAlign w:val="center"/>
          </w:tcPr>
          <w:p>
            <w:pPr>
              <w:pStyle w:val="TableContents"/>
              <w:bidi w:val="0"/>
              <w:spacing w:before="0" w:after="0"/>
              <w:ind w:left="0" w:right="0" w:hanging="0"/>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r>
      <w:tr>
        <w:trPr/>
        <w:tc>
          <w:tcPr>
            <w:tcW w:w="187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Operating income (loss)</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790,480</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66,282</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(17,851)</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1,618</w:t>
            </w:r>
          </w:p>
        </w:tc>
        <w:tc>
          <w:tcPr>
            <w:tcW w:w="32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(165,177)</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675,352</w:t>
            </w:r>
          </w:p>
        </w:tc>
      </w:tr>
      <w:tr>
        <w:trPr/>
        <w:tc>
          <w:tcPr>
            <w:tcW w:w="18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10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left"/>
              <w:rPr/>
            </w:pPr>
            <w:r>
              <w:rPr/>
              <w:t>​</w:t>
            </w:r>
          </w:p>
        </w:tc>
      </w:tr>
      <w:tr>
        <w:trPr/>
        <w:tc>
          <w:tcPr>
            <w:tcW w:w="1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other income (expense),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10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14,185</w:t>
            </w:r>
          </w:p>
        </w:tc>
      </w:tr>
      <w:tr>
        <w:trPr/>
        <w:tc>
          <w:tcPr>
            <w:tcW w:w="18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10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1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provision for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10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689,537</w:t>
            </w:r>
          </w:p>
        </w:tc>
      </w:tr>
      <w:tr>
        <w:trPr/>
        <w:tc>
          <w:tcPr>
            <w:tcW w:w="18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10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left"/>
              <w:rPr/>
            </w:pPr>
            <w:r>
              <w:rPr/>
              <w:t>​</w:t>
            </w:r>
          </w:p>
        </w:tc>
      </w:tr>
      <w:tr>
        <w:trPr/>
        <w:tc>
          <w:tcPr>
            <w:tcW w:w="1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20,835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3,306</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29,618</w:t>
            </w:r>
          </w:p>
        </w:tc>
      </w:tr>
    </w:tbl>
    <w:p>
      <w:pPr>
        <w:pStyle w:val="TextBody"/>
        <w:bidi w:val="0"/>
        <w:spacing w:before="0" w:after="0"/>
        <w:ind w:left="0" w:right="0" w:hanging="0"/>
        <w:jc w:val="left"/>
        <w:rPr/>
      </w:pPr>
      <w:r>
        <w:rPr/>
        <w:t>​</w:t>
      </w:r>
    </w:p>
    <w:p>
      <w:pPr>
        <w:pStyle w:val="TextBody"/>
        <w:bidi w:val="0"/>
        <w:spacing w:lineRule="auto" w:line="240" w:before="0" w:after="240"/>
        <w:ind w:left="0" w:right="0" w:hanging="0"/>
        <w:jc w:val="both"/>
        <w:rPr>
          <w:rFonts w:ascii="Times New Roman;Times;serif" w:hAnsi="Times New Roman;Times;serif"/>
          <w:sz w:val="18"/>
        </w:rPr>
      </w:pPr>
      <w:r>
        <w:rPr>
          <w:rFonts w:ascii="Times New Roman;Times;serif" w:hAnsi="Times New Roman;Times;serif"/>
          <w:i/>
          <w:sz w:val="14"/>
        </w:rPr>
        <w:t>1</w:t>
      </w:r>
      <w:r>
        <w:rPr>
          <w:rFonts w:ascii="Times New Roman;Times;serif" w:hAnsi="Times New Roman;Times;serif"/>
          <w:i/>
          <w:sz w:val="18"/>
        </w:rPr>
        <w:t>For the Monster Energy® Drinks segment, includes $10.1</w:t>
      </w:r>
      <w:r>
        <w:rPr>
          <w:rFonts w:ascii="Times New Roman;Times;serif" w:hAnsi="Times New Roman;Times;serif"/>
          <w:sz w:val="18"/>
        </w:rPr>
        <w:t xml:space="preserve"> </w:t>
      </w:r>
      <w:r>
        <w:rPr>
          <w:rFonts w:ascii="Times New Roman;Times;serif" w:hAnsi="Times New Roman;Times;serif"/>
          <w:i/>
          <w:sz w:val="18"/>
        </w:rPr>
        <w:t>million related to the recognition of deferred revenue.</w:t>
      </w:r>
    </w:p>
    <w:p>
      <w:pPr>
        <w:pStyle w:val="TextBody"/>
        <w:bidi w:val="0"/>
        <w:spacing w:lineRule="auto" w:line="240" w:before="0" w:after="0"/>
        <w:ind w:left="0" w:right="0" w:hanging="0"/>
        <w:jc w:val="both"/>
        <w:rPr>
          <w:rFonts w:ascii="Times New Roman;Times;serif" w:hAnsi="Times New Roman;Times;serif"/>
          <w:sz w:val="18"/>
        </w:rPr>
      </w:pPr>
      <w:r>
        <w:rPr>
          <w:rFonts w:ascii="Times New Roman;Times;serif" w:hAnsi="Times New Roman;Times;serif"/>
          <w:i/>
          <w:sz w:val="14"/>
        </w:rPr>
        <w:t>2</w:t>
      </w:r>
      <w:r>
        <w:rPr>
          <w:rFonts w:ascii="Times New Roman;Times;serif" w:hAnsi="Times New Roman;Times;serif"/>
          <w:i/>
          <w:sz w:val="18"/>
        </w:rPr>
        <w:t>Other segment items for each reportable segment include:</w:t>
      </w:r>
    </w:p>
    <w:p>
      <w:pPr>
        <w:pStyle w:val="TextBody"/>
        <w:bidi w:val="0"/>
        <w:spacing w:before="0" w:after="0"/>
        <w:ind w:left="0" w:right="0" w:firstLine="216"/>
        <w:jc w:val="both"/>
        <w:rPr>
          <w:rFonts w:ascii="Times New Roman;Times;serif" w:hAnsi="Times New Roman;Times;serif"/>
          <w:i/>
          <w:sz w:val="18"/>
        </w:rPr>
      </w:pPr>
      <w:r>
        <w:rPr>
          <w:rFonts w:ascii="Times New Roman;Times;serif" w:hAnsi="Times New Roman;Times;serif"/>
          <w:i/>
          <w:sz w:val="18"/>
        </w:rPr>
        <w:t>Monster Energy® Drinks - travel and entertainment expense, professional services expense, and certain overhead expenses</w:t>
      </w:r>
    </w:p>
    <w:p>
      <w:pPr>
        <w:pStyle w:val="TextBody"/>
        <w:bidi w:val="0"/>
        <w:spacing w:before="0" w:after="0"/>
        <w:ind w:left="0" w:right="0" w:firstLine="216"/>
        <w:jc w:val="both"/>
        <w:rPr>
          <w:rFonts w:ascii="Times New Roman;Times;serif" w:hAnsi="Times New Roman;Times;serif"/>
          <w:i/>
          <w:sz w:val="18"/>
        </w:rPr>
      </w:pPr>
      <w:r>
        <w:rPr>
          <w:rFonts w:ascii="Times New Roman;Times;serif" w:hAnsi="Times New Roman;Times;serif"/>
          <w:i/>
          <w:sz w:val="18"/>
        </w:rPr>
        <w:t>Strategic Brands - travel and entertainment expense, and certain overhead expenses</w:t>
      </w:r>
    </w:p>
    <w:p>
      <w:pPr>
        <w:pStyle w:val="TextBody"/>
        <w:bidi w:val="0"/>
        <w:spacing w:before="0" w:after="0"/>
        <w:ind w:left="0" w:right="0" w:firstLine="216"/>
        <w:jc w:val="both"/>
        <w:rPr>
          <w:rFonts w:ascii="Times New Roman;Times;serif" w:hAnsi="Times New Roman;Times;serif"/>
          <w:i/>
          <w:sz w:val="18"/>
        </w:rPr>
      </w:pPr>
      <w:r>
        <w:rPr>
          <w:rFonts w:ascii="Times New Roman;Times;serif" w:hAnsi="Times New Roman;Times;serif"/>
          <w:i/>
          <w:sz w:val="18"/>
        </w:rPr>
        <w:t>Alcohol Brands - depreciation and amortization expense, travel and entertainment expense, and certain overhead expenses</w:t>
      </w:r>
    </w:p>
    <w:p>
      <w:pPr>
        <w:pStyle w:val="TextBody"/>
        <w:bidi w:val="0"/>
        <w:spacing w:before="0" w:after="240"/>
        <w:ind w:left="0" w:right="0" w:firstLine="216"/>
        <w:jc w:val="both"/>
        <w:rPr>
          <w:rFonts w:ascii="Times New Roman;Times;serif" w:hAnsi="Times New Roman;Times;serif"/>
          <w:i/>
          <w:sz w:val="18"/>
        </w:rPr>
      </w:pPr>
      <w:r>
        <w:rPr>
          <w:rFonts w:ascii="Times New Roman;Times;serif" w:hAnsi="Times New Roman;Times;serif"/>
          <w:i/>
          <w:sz w:val="18"/>
        </w:rPr>
        <w:t>Other - certain overhead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bookmarkStart w:id="1800" w:name="Tc_UXFTsQFUD0qhFJqOkWDZRw_19_17"/>
      <w:bookmarkStart w:id="1801" w:name="Tc_DfHGncsntUu2a6XOIVnY1A_19_14"/>
      <w:bookmarkStart w:id="1802" w:name="Tc_m5czc9PXnkKYQ5YQHiC2rg_19_11"/>
      <w:bookmarkStart w:id="1803" w:name="Tc_zrJg39HMcU6Ff-KlwMf_xQ_19_8"/>
      <w:bookmarkStart w:id="1804" w:name="Tc_oySRQGHdgUehl83ha6gcdQ_19_5"/>
      <w:bookmarkStart w:id="1805" w:name="Tc_uR9XNjeoS0OU_Hp-AH71LQ_19_2"/>
      <w:bookmarkStart w:id="1806" w:name="Tc_t_UXObf8W0Csst-ohzOg6g_19_0"/>
      <w:bookmarkStart w:id="1807" w:name="Tc_ZcSQ24bpuUqRbZRi9j4JFQ_17_17"/>
      <w:bookmarkStart w:id="1808" w:name="Tc_VKen_LbMNEOjUNtPn8c27A_17_0"/>
      <w:bookmarkStart w:id="1809" w:name="Tc_AG5XNdrPk0eQ_qGTbwFnDQ_15_0"/>
      <w:bookmarkStart w:id="1810" w:name="Tc_cZs0w42trUqbOrxEnW30-g_13_0"/>
      <w:bookmarkStart w:id="1811" w:name="Tc_KIDfExNSKkqd0v1v4vEE9A_12_0"/>
      <w:bookmarkStart w:id="1812" w:name="Tc_YZ6HhORrVUaNjvo-qYSLpQ_11_0"/>
      <w:bookmarkStart w:id="1813" w:name="Tc_XlG6BRSdp0SWsaB5uL6V5g_10_15"/>
      <w:bookmarkStart w:id="1814" w:name="Tc_3kGUqcdul06lP7NJArz2JQ_10_0"/>
      <w:bookmarkStart w:id="1815" w:name="Tc_RCihIxAPMUaA6hJbfdCGfg_9_15"/>
      <w:bookmarkStart w:id="1816" w:name="Tc_DG74PqBHh0mUT7WDNK8OfQ_9_0"/>
      <w:bookmarkStart w:id="1817" w:name="Tc_KvPSmHbs9EqnIbS5PjJ6_A_7_15"/>
      <w:bookmarkStart w:id="1818" w:name="Tc_3mc3TE6m6kuQfK4wloOoqw_7_0"/>
      <w:bookmarkStart w:id="1819" w:name="Tc_f9k12_dVWkOLTinmw1tCQw_6_15"/>
      <w:bookmarkStart w:id="1820" w:name="Tc__hWSdPjO00mHtCMdPNzWQw_6_0"/>
      <w:bookmarkStart w:id="1821" w:name="Tc_EE1RDOJfu0-hBSRPZfXXzg_4_17"/>
      <w:bookmarkStart w:id="1822" w:name="Tc_pFisalHq60OY-9FujEn0Xw_4_15"/>
      <w:bookmarkStart w:id="1823" w:name="Tc_4zv4iWTJA0WCFoz04kz72w_4_14"/>
      <w:bookmarkStart w:id="1824" w:name="Tc_0xSZjq4Fnk-FhaWGsyQrYw_4_11"/>
      <w:bookmarkStart w:id="1825" w:name="Tc_TpZNGx-GbUudSOzEou1HIw_4_8"/>
      <w:bookmarkStart w:id="1826" w:name="Tc_W0AniQtK40yzffkHEJlPiA_4_5"/>
      <w:bookmarkStart w:id="1827" w:name="Tc_ZTqK2a43E0izOhVouBx37g_4_2"/>
      <w:bookmarkStart w:id="1828" w:name="Tc_cuvw1z459U6tpJZCrGlD8A_4_0"/>
      <w:bookmarkStart w:id="1829" w:name="Tc_98HuDxKd5UuJi68Mn6MjSg_3_17"/>
      <w:bookmarkStart w:id="1830" w:name="Tc_qO_qzdHfuEy_WQx1UAEVyQ_3_14"/>
      <w:bookmarkStart w:id="1831" w:name="Tc_waqumgaw9EujinKOb0L6Yg_3_11"/>
      <w:bookmarkStart w:id="1832" w:name="Tc_oWFvFd7pqESzRvyvcEkx4g_3_8"/>
      <w:bookmarkStart w:id="1833" w:name="Tc_smKqsyVkdEGmZjWZb8-V7Q_3_5"/>
      <w:bookmarkStart w:id="1834" w:name="Tc_rxuLK0WavUaCZUlB0poCgg_3_2"/>
      <w:bookmarkStart w:id="1835" w:name="Tc_gqbnaY8N9kK-9Pd08JnqjA_2_14"/>
      <w:bookmarkStart w:id="1836" w:name="Tc_xteQnbWuWE-w1ZeDj4dIRw_2_8"/>
      <w:bookmarkStart w:id="1837" w:name="Tc_CqDgGxB9RUKqbXjFVZPWyQ_2_5"/>
      <w:bookmarkStart w:id="1838" w:name="Tc_hdh9F4U7OECOk6boJKdIMg_2_2"/>
      <w:bookmarkStart w:id="1839" w:name="Tc_6BYZtK_IAUelan3O-NM94w_1_2"/>
      <w:bookmarkStart w:id="1840" w:name="_9d172c6c_b8f5_43a0_8c87_cd4315f3b884"/>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r>
        <w:rPr>
          <w:rFonts w:ascii="Times New Roman;Times;serif" w:hAnsi="Times New Roman;Times;serif"/>
          <w:sz w:val="20"/>
        </w:rPr>
        <w:t>Three-Months Ended September 30, 2024</w:t>
      </w:r>
    </w:p>
    <w:tbl>
      <w:tblPr>
        <w:tblW w:w="10205" w:type="dxa"/>
        <w:jc w:val="left"/>
        <w:tblInd w:w="0" w:type="dxa"/>
        <w:tblLayout w:type="fixed"/>
        <w:tblCellMar>
          <w:top w:w="0" w:type="dxa"/>
          <w:left w:w="0" w:type="dxa"/>
          <w:bottom w:w="0" w:type="dxa"/>
          <w:right w:w="0" w:type="dxa"/>
        </w:tblCellMar>
      </w:tblPr>
      <w:tblGrid>
        <w:gridCol w:w="2001"/>
        <w:gridCol w:w="326"/>
        <w:gridCol w:w="211"/>
        <w:gridCol w:w="931"/>
        <w:gridCol w:w="326"/>
        <w:gridCol w:w="211"/>
        <w:gridCol w:w="781"/>
        <w:gridCol w:w="326"/>
        <w:gridCol w:w="211"/>
        <w:gridCol w:w="747"/>
        <w:gridCol w:w="326"/>
        <w:gridCol w:w="211"/>
        <w:gridCol w:w="571"/>
        <w:gridCol w:w="326"/>
        <w:gridCol w:w="239"/>
        <w:gridCol w:w="888"/>
        <w:gridCol w:w="326"/>
        <w:gridCol w:w="221"/>
        <w:gridCol w:w="1026"/>
      </w:tblGrid>
      <w:tr>
        <w:trPr/>
        <w:tc>
          <w:tcPr>
            <w:tcW w:w="2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270635" cy="175260"/>
                      <wp:effectExtent l="0" t="0" r="0" b="0"/>
                      <wp:wrapNone/>
                      <wp:docPr id="347" name="Frame347"/>
                      <a:graphic xmlns:a="http://schemas.openxmlformats.org/drawingml/2006/main">
                        <a:graphicData uri="http://schemas.microsoft.com/office/word/2010/wordprocessingShape">
                          <wps:wsp>
                            <wps:cNvSpPr txBox="1"/>
                            <wps:spPr>
                              <a:xfrm>
                                <a:off x="0" y="0"/>
                                <a:ext cx="1270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07010" cy="175260"/>
                      <wp:effectExtent l="0" t="0" r="0" b="0"/>
                      <wp:wrapNone/>
                      <wp:docPr id="348" name="Frame3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33985" cy="175260"/>
                      <wp:effectExtent l="0" t="0" r="0" b="0"/>
                      <wp:wrapNone/>
                      <wp:docPr id="349" name="Frame3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591185" cy="175260"/>
                      <wp:effectExtent l="0" t="0" r="0" b="0"/>
                      <wp:wrapNone/>
                      <wp:docPr id="350" name="Frame35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07010" cy="175260"/>
                      <wp:effectExtent l="0" t="0" r="0" b="0"/>
                      <wp:wrapNone/>
                      <wp:docPr id="351" name="Frame3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33985" cy="175260"/>
                      <wp:effectExtent l="0" t="0" r="0" b="0"/>
                      <wp:wrapNone/>
                      <wp:docPr id="352" name="Frame3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495935" cy="175260"/>
                      <wp:effectExtent l="0" t="0" r="0" b="0"/>
                      <wp:wrapNone/>
                      <wp:docPr id="353" name="Frame35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07010" cy="175260"/>
                      <wp:effectExtent l="0" t="0" r="0" b="0"/>
                      <wp:wrapNone/>
                      <wp:docPr id="354" name="Frame3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33985" cy="175260"/>
                      <wp:effectExtent l="0" t="0" r="0" b="0"/>
                      <wp:wrapNone/>
                      <wp:docPr id="355" name="Frame3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474345" cy="175260"/>
                      <wp:effectExtent l="0" t="0" r="0" b="0"/>
                      <wp:wrapNone/>
                      <wp:docPr id="356" name="Frame356"/>
                      <a:graphic xmlns:a="http://schemas.openxmlformats.org/drawingml/2006/main">
                        <a:graphicData uri="http://schemas.microsoft.com/office/word/2010/wordprocessingShape">
                          <wps:wsp>
                            <wps:cNvSpPr txBox="1"/>
                            <wps:spPr>
                              <a:xfrm>
                                <a:off x="0" y="0"/>
                                <a:ext cx="474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07010" cy="175260"/>
                      <wp:effectExtent l="0" t="0" r="0" b="0"/>
                      <wp:wrapNone/>
                      <wp:docPr id="357" name="Frame3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133985" cy="175260"/>
                      <wp:effectExtent l="0" t="0" r="0" b="0"/>
                      <wp:wrapNone/>
                      <wp:docPr id="358" name="Frame3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362585" cy="175260"/>
                      <wp:effectExtent l="0" t="0" r="0" b="0"/>
                      <wp:wrapNone/>
                      <wp:docPr id="359" name="Frame35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07010" cy="175260"/>
                      <wp:effectExtent l="0" t="0" r="0" b="0"/>
                      <wp:wrapNone/>
                      <wp:docPr id="360" name="Frame3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51765" cy="175260"/>
                      <wp:effectExtent l="0" t="0" r="0" b="0"/>
                      <wp:wrapNone/>
                      <wp:docPr id="361" name="Frame361"/>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563880" cy="175260"/>
                      <wp:effectExtent l="0" t="0" r="0" b="0"/>
                      <wp:wrapNone/>
                      <wp:docPr id="362" name="Frame362"/>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07010" cy="175260"/>
                      <wp:effectExtent l="0" t="0" r="0" b="0"/>
                      <wp:wrapNone/>
                      <wp:docPr id="363" name="Frame3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40335" cy="175260"/>
                      <wp:effectExtent l="0" t="0" r="0" b="0"/>
                      <wp:wrapNone/>
                      <wp:docPr id="364" name="Frame364"/>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51510" cy="175260"/>
                      <wp:effectExtent l="0" t="0" r="0" b="0"/>
                      <wp:wrapNone/>
                      <wp:docPr id="365" name="Frame365"/>
                      <a:graphic xmlns:a="http://schemas.openxmlformats.org/drawingml/2006/main">
                        <a:graphicData uri="http://schemas.microsoft.com/office/word/2010/wordprocessingShape">
                          <wps:wsp>
                            <wps:cNvSpPr txBox="1"/>
                            <wps:spPr>
                              <a:xfrm>
                                <a:off x="0" y="0"/>
                                <a:ext cx="651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Monster </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127"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center"/>
              <w:rPr/>
            </w:pPr>
            <w:r>
              <w:rPr/>
              <w:t>​</w:t>
            </w:r>
          </w:p>
        </w:tc>
      </w:tr>
      <w:tr>
        <w:trPr/>
        <w:tc>
          <w:tcPr>
            <w:tcW w:w="2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 xml:space="preserve">Energy® </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Strategic</w:t>
            </w:r>
          </w:p>
        </w:tc>
        <w:tc>
          <w:tcPr>
            <w:tcW w:w="326" w:type="dxa"/>
            <w:tcBorders/>
            <w:vAlign w:val="center"/>
          </w:tcPr>
          <w:p>
            <w:pPr>
              <w:pStyle w:val="TableContents"/>
              <w:bidi w:val="0"/>
              <w:spacing w:before="0" w:after="0"/>
              <w:ind w:left="0" w:right="0" w:hanging="0"/>
              <w:jc w:val="left"/>
              <w:rPr/>
            </w:pPr>
            <w:r>
              <w:rPr/>
              <w:t>​</w:t>
            </w:r>
          </w:p>
        </w:tc>
        <w:tc>
          <w:tcPr>
            <w:tcW w:w="958"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Alcohol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2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Corporate and</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center"/>
              <w:rPr/>
            </w:pPr>
            <w:r>
              <w:rPr/>
              <w:t>​</w:t>
            </w:r>
          </w:p>
        </w:tc>
      </w:tr>
      <w:tr>
        <w:trPr/>
        <w:tc>
          <w:tcPr>
            <w:tcW w:w="2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Drinks</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vAlign w:val="center"/>
          </w:tcPr>
          <w:p>
            <w:pPr>
              <w:pStyle w:val="TableContents"/>
              <w:bidi w:val="0"/>
              <w:spacing w:before="0" w:after="0"/>
              <w:ind w:left="0" w:right="0" w:hanging="0"/>
              <w:jc w:val="left"/>
              <w:rPr/>
            </w:pPr>
            <w:r>
              <w:rPr/>
              <w:t>    </w:t>
            </w:r>
          </w:p>
        </w:tc>
        <w:tc>
          <w:tcPr>
            <w:tcW w:w="9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Unallocated</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Consolidated</w:t>
            </w:r>
          </w:p>
        </w:tc>
      </w:tr>
      <w:tr>
        <w:trPr/>
        <w:tc>
          <w:tcPr>
            <w:tcW w:w="20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Net sales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1,722,693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112,566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5,930</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1,880,973</w:t>
            </w:r>
          </w:p>
        </w:tc>
      </w:tr>
      <w:tr>
        <w:trPr/>
        <w:tc>
          <w:tcPr>
            <w:tcW w:w="2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center"/>
              <w:rPr/>
            </w:pPr>
            <w:r>
              <w:rPr/>
              <w:t>​</w:t>
            </w:r>
          </w:p>
        </w:tc>
      </w:tr>
      <w:tr>
        <w:trPr/>
        <w:tc>
          <w:tcPr>
            <w:tcW w:w="2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810,604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31,750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35,056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3,764</w:t>
            </w:r>
          </w:p>
        </w:tc>
        <w:tc>
          <w:tcPr>
            <w:tcW w:w="326" w:type="dxa"/>
            <w:tcBorders/>
            <w:shd w:fill="CCEEFF" w:val="clear"/>
            <w:vAlign w:val="center"/>
          </w:tcPr>
          <w:p>
            <w:pPr>
              <w:pStyle w:val="TableContents"/>
              <w:bidi w:val="0"/>
              <w:spacing w:before="0" w:after="0"/>
              <w:ind w:left="0" w:right="0" w:hanging="0"/>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912,089</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80,816</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4,728</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2,166</w:t>
            </w:r>
          </w:p>
        </w:tc>
        <w:tc>
          <w:tcPr>
            <w:tcW w:w="32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999,799</w:t>
            </w:r>
          </w:p>
        </w:tc>
      </w:tr>
      <w:tr>
        <w:trPr/>
        <w:tc>
          <w:tcPr>
            <w:tcW w:w="20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left"/>
              <w:rPr/>
            </w:pPr>
            <w:r>
              <w:rPr/>
              <w:t>​</w:t>
            </w:r>
          </w:p>
        </w:tc>
      </w:tr>
      <w:tr>
        <w:trPr/>
        <w:tc>
          <w:tcPr>
            <w:tcW w:w="2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 expense</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78,089</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1,555</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3,067</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right"/>
              <w:rPr/>
            </w:pPr>
            <w:r>
              <w:rPr/>
              <w:t>  </w:t>
            </w:r>
          </w:p>
        </w:tc>
      </w:tr>
      <w:tr>
        <w:trPr/>
        <w:tc>
          <w:tcPr>
            <w:tcW w:w="2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170,718</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16,436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8,918</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26" w:type="dxa"/>
            <w:tcBorders/>
            <w:shd w:fill="CCEEFF" w:val="clear"/>
            <w:vAlign w:val="center"/>
          </w:tcPr>
          <w:p>
            <w:pPr>
              <w:pStyle w:val="TableContents"/>
              <w:bidi w:val="0"/>
              <w:spacing w:before="0" w:after="0"/>
              <w:ind w:left="0" w:right="0" w:hanging="0"/>
              <w:jc w:val="left"/>
              <w:rPr/>
            </w:pPr>
            <w:r>
              <w:rPr/>
              <w:t> </w:t>
            </w:r>
          </w:p>
        </w:tc>
        <w:tc>
          <w:tcPr>
            <w:tcW w:w="239"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right"/>
              <w:rPr/>
            </w:pPr>
            <w:r>
              <w:rPr/>
              <w:t>  </w:t>
            </w:r>
          </w:p>
        </w:tc>
      </w:tr>
      <w:tr>
        <w:trPr/>
        <w:tc>
          <w:tcPr>
            <w:tcW w:w="2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Nonmanufacturing payroll expense</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42,362</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2,090</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8,988</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w:t>
            </w:r>
          </w:p>
        </w:tc>
        <w:tc>
          <w:tcPr>
            <w:tcW w:w="32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96,588</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right"/>
              <w:rPr/>
            </w:pPr>
            <w:r>
              <w:rPr/>
              <w:t>  </w:t>
            </w:r>
          </w:p>
        </w:tc>
      </w:tr>
      <w:tr>
        <w:trPr/>
        <w:tc>
          <w:tcPr>
            <w:tcW w:w="20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segment items</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19,232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26" w:type="dxa"/>
            <w:tcBorders/>
            <w:shd w:fill="CCEEFF" w:val="clear"/>
            <w:vAlign w:val="center"/>
          </w:tcPr>
          <w:p>
            <w:pPr>
              <w:pStyle w:val="TableContents"/>
              <w:bidi w:val="0"/>
              <w:spacing w:before="0" w:after="0"/>
              <w:ind w:left="0" w:right="0" w:hanging="0"/>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64,176</w:t>
            </w:r>
          </w:p>
        </w:tc>
        <w:tc>
          <w:tcPr>
            <w:tcW w:w="326" w:type="dxa"/>
            <w:tcBorders/>
            <w:shd w:fill="CCEEFF" w:val="clear"/>
            <w:vAlign w:val="center"/>
          </w:tcPr>
          <w:p>
            <w:pPr>
              <w:pStyle w:val="TableContents"/>
              <w:bidi w:val="0"/>
              <w:spacing w:before="0" w:after="0"/>
              <w:ind w:left="0" w:right="0" w:hanging="0"/>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r>
      <w:tr>
        <w:trPr/>
        <w:tc>
          <w:tcPr>
            <w:tcW w:w="200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Operating income (loss)</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601,688</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60,091</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(22,609)</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1,510</w:t>
            </w:r>
          </w:p>
        </w:tc>
        <w:tc>
          <w:tcPr>
            <w:tcW w:w="32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(160,764)</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479,916</w:t>
            </w:r>
          </w:p>
        </w:tc>
      </w:tr>
      <w:tr>
        <w:trPr/>
        <w:tc>
          <w:tcPr>
            <w:tcW w:w="20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left"/>
              <w:rPr/>
            </w:pPr>
            <w:r>
              <w:rPr/>
              <w:t>​</w:t>
            </w:r>
          </w:p>
        </w:tc>
      </w:tr>
      <w:tr>
        <w:trPr/>
        <w:tc>
          <w:tcPr>
            <w:tcW w:w="2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other income (expense), net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(5,820)</w:t>
            </w:r>
          </w:p>
        </w:tc>
      </w:tr>
      <w:tr>
        <w:trPr/>
        <w:tc>
          <w:tcPr>
            <w:tcW w:w="20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2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provision for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474,096</w:t>
            </w:r>
          </w:p>
        </w:tc>
      </w:tr>
      <w:tr>
        <w:trPr/>
        <w:tc>
          <w:tcPr>
            <w:tcW w:w="20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left"/>
              <w:rPr/>
            </w:pPr>
            <w:r>
              <w:rPr/>
              <w:t>​</w:t>
            </w:r>
          </w:p>
        </w:tc>
      </w:tr>
      <w:tr>
        <w:trPr/>
        <w:tc>
          <w:tcPr>
            <w:tcW w:w="2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13,330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2,875</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19,909</w:t>
            </w:r>
          </w:p>
        </w:tc>
      </w:tr>
    </w:tbl>
    <w:p>
      <w:pPr>
        <w:pStyle w:val="TextBody"/>
        <w:bidi w:val="0"/>
        <w:spacing w:before="0" w:after="0"/>
        <w:ind w:left="0" w:right="0" w:hanging="0"/>
        <w:jc w:val="left"/>
        <w:rPr/>
      </w:pPr>
      <w:r>
        <w:rPr/>
        <w:t>​</w:t>
      </w:r>
    </w:p>
    <w:p>
      <w:pPr>
        <w:pStyle w:val="TextBody"/>
        <w:bidi w:val="0"/>
        <w:spacing w:lineRule="auto" w:line="240" w:before="0" w:after="200"/>
        <w:ind w:left="0" w:right="0" w:hanging="0"/>
        <w:jc w:val="both"/>
        <w:rPr>
          <w:rFonts w:ascii="Times New Roman;Times;serif" w:hAnsi="Times New Roman;Times;serif"/>
          <w:sz w:val="18"/>
        </w:rPr>
      </w:pPr>
      <w:r>
        <w:rPr>
          <w:rFonts w:ascii="Times New Roman;Times;serif" w:hAnsi="Times New Roman;Times;serif"/>
          <w:i/>
          <w:sz w:val="14"/>
        </w:rPr>
        <w:t>1</w:t>
      </w:r>
      <w:r>
        <w:rPr>
          <w:rFonts w:ascii="Times New Roman;Times;serif" w:hAnsi="Times New Roman;Times;serif"/>
          <w:i/>
          <w:sz w:val="18"/>
        </w:rPr>
        <w:t>For the Monster Energy® Drinks segment, includes $10.0</w:t>
      </w:r>
      <w:r>
        <w:rPr>
          <w:rFonts w:ascii="Times New Roman;Times;serif" w:hAnsi="Times New Roman;Times;serif"/>
          <w:sz w:val="18"/>
        </w:rPr>
        <w:t xml:space="preserve"> </w:t>
      </w:r>
      <w:r>
        <w:rPr>
          <w:rFonts w:ascii="Times New Roman;Times;serif" w:hAnsi="Times New Roman;Times;serif"/>
          <w:i/>
          <w:sz w:val="18"/>
        </w:rPr>
        <w:t>million related to the recognition of deferred revenue.</w:t>
      </w:r>
    </w:p>
    <w:p>
      <w:pPr>
        <w:pStyle w:val="TextBody"/>
        <w:bidi w:val="0"/>
        <w:spacing w:lineRule="auto" w:line="240" w:before="0" w:after="0"/>
        <w:ind w:left="0" w:right="0" w:hanging="0"/>
        <w:jc w:val="both"/>
        <w:rPr>
          <w:rFonts w:ascii="Times New Roman;Times;serif" w:hAnsi="Times New Roman;Times;serif"/>
          <w:sz w:val="18"/>
        </w:rPr>
      </w:pPr>
      <w:r>
        <w:rPr>
          <w:rFonts w:ascii="Times New Roman;Times;serif" w:hAnsi="Times New Roman;Times;serif"/>
          <w:i/>
          <w:sz w:val="14"/>
        </w:rPr>
        <w:t>2</w:t>
      </w:r>
      <w:r>
        <w:rPr>
          <w:rFonts w:ascii="Times New Roman;Times;serif" w:hAnsi="Times New Roman;Times;serif"/>
          <w:i/>
          <w:sz w:val="18"/>
        </w:rPr>
        <w:t>Other segment items for each reportable segment include:</w:t>
      </w:r>
    </w:p>
    <w:p>
      <w:pPr>
        <w:pStyle w:val="TextBody"/>
        <w:bidi w:val="0"/>
        <w:spacing w:before="0" w:after="0"/>
        <w:ind w:left="0" w:right="0" w:firstLine="216"/>
        <w:jc w:val="both"/>
        <w:rPr>
          <w:rFonts w:ascii="Times New Roman;Times;serif" w:hAnsi="Times New Roman;Times;serif"/>
          <w:i/>
          <w:sz w:val="18"/>
        </w:rPr>
      </w:pPr>
      <w:r>
        <w:rPr>
          <w:rFonts w:ascii="Times New Roman;Times;serif" w:hAnsi="Times New Roman;Times;serif"/>
          <w:i/>
          <w:sz w:val="18"/>
        </w:rPr>
        <w:t>Monster Energy® Drinks - travel and entertainment expense, and certain overhead expenses</w:t>
      </w:r>
    </w:p>
    <w:p>
      <w:pPr>
        <w:pStyle w:val="TextBody"/>
        <w:bidi w:val="0"/>
        <w:spacing w:before="0" w:after="0"/>
        <w:ind w:left="0" w:right="0" w:firstLine="216"/>
        <w:jc w:val="both"/>
        <w:rPr>
          <w:rFonts w:ascii="Times New Roman;Times;serif" w:hAnsi="Times New Roman;Times;serif"/>
          <w:i/>
          <w:sz w:val="18"/>
        </w:rPr>
      </w:pPr>
      <w:r>
        <w:rPr>
          <w:rFonts w:ascii="Times New Roman;Times;serif" w:hAnsi="Times New Roman;Times;serif"/>
          <w:i/>
          <w:sz w:val="18"/>
        </w:rPr>
        <w:t>Strategic Brands - travel and entertainment expense, and certain overhead expenses</w:t>
      </w:r>
    </w:p>
    <w:p>
      <w:pPr>
        <w:pStyle w:val="TextBody"/>
        <w:bidi w:val="0"/>
        <w:spacing w:before="0" w:after="0"/>
        <w:ind w:left="0" w:right="0" w:firstLine="216"/>
        <w:jc w:val="both"/>
        <w:rPr>
          <w:rFonts w:ascii="Times New Roman;Times;serif" w:hAnsi="Times New Roman;Times;serif"/>
          <w:i/>
          <w:sz w:val="18"/>
        </w:rPr>
      </w:pPr>
      <w:r>
        <w:rPr>
          <w:rFonts w:ascii="Times New Roman;Times;serif" w:hAnsi="Times New Roman;Times;serif"/>
          <w:i/>
          <w:sz w:val="18"/>
        </w:rPr>
        <w:t>Alcohol Brands - depreciation and amortization expense, travel and entertainment expense, and certain overhead expenses</w:t>
      </w:r>
    </w:p>
    <w:p>
      <w:pPr>
        <w:pStyle w:val="TextBody"/>
        <w:bidi w:val="0"/>
        <w:spacing w:before="0" w:after="200"/>
        <w:ind w:left="0" w:right="0" w:firstLine="216"/>
        <w:jc w:val="both"/>
        <w:rPr>
          <w:rFonts w:ascii="Times New Roman;Times;serif" w:hAnsi="Times New Roman;Times;serif"/>
          <w:i/>
          <w:sz w:val="18"/>
        </w:rPr>
      </w:pPr>
      <w:r>
        <w:rPr>
          <w:rFonts w:ascii="Times New Roman;Times;serif" w:hAnsi="Times New Roman;Times;serif"/>
          <w:i/>
          <w:sz w:val="18"/>
        </w:rPr>
        <w:t>Other - certain overhead expenses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1841" w:name="Tc_BuHrV0i9o0OPjdNwJJ1a9Q_19_17"/>
      <w:bookmarkStart w:id="1842" w:name="Tc_0dU7Ys6-l0e6lyzUdW6x6g_19_14"/>
      <w:bookmarkStart w:id="1843" w:name="Tc_qw82az7cXEqIbDEtNDcTJQ_19_11"/>
      <w:bookmarkStart w:id="1844" w:name="Tc_v67ToCpCP0G1O10AZkFg_A_19_8"/>
      <w:bookmarkStart w:id="1845" w:name="Tc_dKoEi1aUaU2gWonkONtWnQ_19_5"/>
      <w:bookmarkStart w:id="1846" w:name="Tc_d6wITiOWoUWPlEo-4ISOWQ_19_2"/>
      <w:bookmarkStart w:id="1847" w:name="Tc_HBWRBRrGiUKnLSYsfGSGMw_19_0"/>
      <w:bookmarkStart w:id="1848" w:name="Tc_wHBb8402eEm3UngvtGqatQ_17_17"/>
      <w:bookmarkStart w:id="1849" w:name="Tc_MW79SQl5UEKacULXgV9Rlg_17_0"/>
      <w:bookmarkStart w:id="1850" w:name="Tc_qrJl0Wxf9Uu0AMY69MA-NA_15_0"/>
      <w:bookmarkStart w:id="1851" w:name="Tc_d4rywm3kZE6JTEW9tDzkcQ_13_0"/>
      <w:bookmarkStart w:id="1852" w:name="Tc_3lIi8105Skai8ECeTbqduQ_12_0"/>
      <w:bookmarkStart w:id="1853" w:name="Tc_uVqBinkYokWCFsIBzssszQ_11_0"/>
      <w:bookmarkStart w:id="1854" w:name="Tc_Od7yF3zPrEKF43cCqrIj0g_10_15"/>
      <w:bookmarkStart w:id="1855" w:name="Tc_E_Q4gezA7E6Vwi7lZMP5NA_10_0"/>
      <w:bookmarkStart w:id="1856" w:name="Tc_fS4LmVyH5UqNd8_lZkZZ7g_9_15"/>
      <w:bookmarkStart w:id="1857" w:name="Tc_g8TOlKuVtk-XJv8YjVquRA_9_0"/>
      <w:bookmarkStart w:id="1858" w:name="Tc_Fc6p_ScVpE2tq8CapVuMJQ_7_15"/>
      <w:bookmarkStart w:id="1859" w:name="Tc_n88IkuaIM02Hw3OFOvAYMw_7_0"/>
      <w:bookmarkStart w:id="1860" w:name="Tc_76HVUqwRLkemFCvTvXINWg_6_15"/>
      <w:bookmarkStart w:id="1861" w:name="Tc_oYk7UWaC8UebOm0r8W6heQ_6_0"/>
      <w:bookmarkStart w:id="1862" w:name="Tc_6cBkJBdaRUae8SKkFhOCTA_4_17"/>
      <w:bookmarkStart w:id="1863" w:name="Tc_3CyZllEj-EurUMYyZlgBEQ_4_15"/>
      <w:bookmarkStart w:id="1864" w:name="Tc_hun-earB40Gddzx6MRIpeQ_4_14"/>
      <w:bookmarkStart w:id="1865" w:name="Tc_boyIbBPtBEiPbyYs4n0YPA_4_11"/>
      <w:bookmarkStart w:id="1866" w:name="Tc_vSkPL25tIUer9Q0-qOSJrw_4_8"/>
      <w:bookmarkStart w:id="1867" w:name="Tc_h5AAYULqSE2NVYd8qfTBaQ_4_5"/>
      <w:bookmarkStart w:id="1868" w:name="Tc_bcEv8f6QzEiDdFvx_EbrSw_4_2"/>
      <w:bookmarkStart w:id="1869" w:name="Tc_lvf01p5S4k6ims8OQrycHA_4_0"/>
      <w:bookmarkStart w:id="1870" w:name="Tc_CsNzccpOdUO50-ZjoODUaA_3_17"/>
      <w:bookmarkStart w:id="1871" w:name="Tc_PMT_Cwq5OUWDe_GwtgZ8yg_3_14"/>
      <w:bookmarkStart w:id="1872" w:name="Tc_3rowTcnXBE2XKpKamNDi6g_3_11"/>
      <w:bookmarkStart w:id="1873" w:name="Tc_Q8Bi6EZM90qyPb0agAHrYg_3_8"/>
      <w:bookmarkStart w:id="1874" w:name="Tc_8vOYRLYw5UWQ4T8_4HW1Ww_3_5"/>
      <w:bookmarkStart w:id="1875" w:name="Tc_QjGwFpOD00uCNoz34468og_3_2"/>
      <w:bookmarkStart w:id="1876" w:name="Tc_BNVDl5FQUU-zeCYm5-2HIA_2_14"/>
      <w:bookmarkStart w:id="1877" w:name="Tc_1h5e7NduZkuVjulmAKWogA_2_8"/>
      <w:bookmarkStart w:id="1878" w:name="Tc_chmbBnnpb0-daiAXfmHb4A_2_5"/>
      <w:bookmarkStart w:id="1879" w:name="Tc_d_WTl0ytAEGGMwDO7h2Pkg_2_2"/>
      <w:bookmarkStart w:id="1880" w:name="Tc_GPLEtVGW0Eu6OUT-hVlrJA_1_2"/>
      <w:bookmarkStart w:id="1881" w:name="_63a009d7_5d16_41fc_8e0a_a1fc4a305334"/>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r>
        <w:rPr>
          <w:rFonts w:ascii="Times New Roman;Times;serif" w:hAnsi="Times New Roman;Times;serif"/>
          <w:sz w:val="20"/>
        </w:rPr>
        <w:t>Nine-Months Ended September 30, 2025</w:t>
      </w:r>
    </w:p>
    <w:tbl>
      <w:tblPr>
        <w:tblW w:w="10205" w:type="dxa"/>
        <w:jc w:val="left"/>
        <w:tblInd w:w="0" w:type="dxa"/>
        <w:tblLayout w:type="fixed"/>
        <w:tblCellMar>
          <w:top w:w="0" w:type="dxa"/>
          <w:left w:w="0" w:type="dxa"/>
          <w:bottom w:w="0" w:type="dxa"/>
          <w:right w:w="0" w:type="dxa"/>
        </w:tblCellMar>
      </w:tblPr>
      <w:tblGrid>
        <w:gridCol w:w="1872"/>
        <w:gridCol w:w="326"/>
        <w:gridCol w:w="211"/>
        <w:gridCol w:w="931"/>
        <w:gridCol w:w="326"/>
        <w:gridCol w:w="211"/>
        <w:gridCol w:w="781"/>
        <w:gridCol w:w="326"/>
        <w:gridCol w:w="211"/>
        <w:gridCol w:w="782"/>
        <w:gridCol w:w="326"/>
        <w:gridCol w:w="211"/>
        <w:gridCol w:w="676"/>
        <w:gridCol w:w="326"/>
        <w:gridCol w:w="239"/>
        <w:gridCol w:w="876"/>
        <w:gridCol w:w="326"/>
        <w:gridCol w:w="221"/>
        <w:gridCol w:w="1027"/>
      </w:tblGrid>
      <w:tr>
        <w:trPr/>
        <w:tc>
          <w:tcPr>
            <w:tcW w:w="18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188720" cy="175260"/>
                      <wp:effectExtent l="0" t="0" r="0" b="0"/>
                      <wp:wrapNone/>
                      <wp:docPr id="366" name="Frame366"/>
                      <a:graphic xmlns:a="http://schemas.openxmlformats.org/drawingml/2006/main">
                        <a:graphicData uri="http://schemas.microsoft.com/office/word/2010/wordprocessingShape">
                          <wps:wsp>
                            <wps:cNvSpPr txBox="1"/>
                            <wps:spPr>
                              <a:xfrm>
                                <a:off x="0" y="0"/>
                                <a:ext cx="1188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07010" cy="175260"/>
                      <wp:effectExtent l="0" t="0" r="0" b="0"/>
                      <wp:wrapNone/>
                      <wp:docPr id="367" name="Frame3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133985" cy="175260"/>
                      <wp:effectExtent l="0" t="0" r="0" b="0"/>
                      <wp:wrapNone/>
                      <wp:docPr id="368" name="Frame3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591185" cy="175260"/>
                      <wp:effectExtent l="0" t="0" r="0" b="0"/>
                      <wp:wrapNone/>
                      <wp:docPr id="369" name="Frame36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07010" cy="175260"/>
                      <wp:effectExtent l="0" t="0" r="0" b="0"/>
                      <wp:wrapNone/>
                      <wp:docPr id="370" name="Frame3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33985" cy="175260"/>
                      <wp:effectExtent l="0" t="0" r="0" b="0"/>
                      <wp:wrapNone/>
                      <wp:docPr id="371" name="Frame3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495935" cy="175260"/>
                      <wp:effectExtent l="0" t="0" r="0" b="0"/>
                      <wp:wrapNone/>
                      <wp:docPr id="372" name="Frame37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07010" cy="175260"/>
                      <wp:effectExtent l="0" t="0" r="0" b="0"/>
                      <wp:wrapNone/>
                      <wp:docPr id="373" name="Frame3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133985" cy="175260"/>
                      <wp:effectExtent l="0" t="0" r="0" b="0"/>
                      <wp:wrapNone/>
                      <wp:docPr id="374" name="Frame3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496570" cy="175260"/>
                      <wp:effectExtent l="0" t="0" r="0" b="0"/>
                      <wp:wrapNone/>
                      <wp:docPr id="375" name="Frame375"/>
                      <a:graphic xmlns:a="http://schemas.openxmlformats.org/drawingml/2006/main">
                        <a:graphicData uri="http://schemas.microsoft.com/office/word/2010/wordprocessingShape">
                          <wps:wsp>
                            <wps:cNvSpPr txBox="1"/>
                            <wps:spPr>
                              <a:xfrm>
                                <a:off x="0" y="0"/>
                                <a:ext cx="496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07010" cy="175260"/>
                      <wp:effectExtent l="0" t="0" r="0" b="0"/>
                      <wp:wrapNone/>
                      <wp:docPr id="376" name="Frame3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133985" cy="175260"/>
                      <wp:effectExtent l="0" t="0" r="0" b="0"/>
                      <wp:wrapNone/>
                      <wp:docPr id="377" name="Frame3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429260" cy="175260"/>
                      <wp:effectExtent l="0" t="0" r="0" b="0"/>
                      <wp:wrapNone/>
                      <wp:docPr id="378" name="Frame37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07010" cy="175260"/>
                      <wp:effectExtent l="0" t="0" r="0" b="0"/>
                      <wp:wrapNone/>
                      <wp:docPr id="379" name="Frame3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151765" cy="175260"/>
                      <wp:effectExtent l="0" t="0" r="0" b="0"/>
                      <wp:wrapNone/>
                      <wp:docPr id="380" name="Frame380"/>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556260" cy="175260"/>
                      <wp:effectExtent l="0" t="0" r="0" b="0"/>
                      <wp:wrapNone/>
                      <wp:docPr id="381" name="Frame381"/>
                      <a:graphic xmlns:a="http://schemas.openxmlformats.org/drawingml/2006/main">
                        <a:graphicData uri="http://schemas.microsoft.com/office/word/2010/wordprocessingShape">
                          <wps:wsp>
                            <wps:cNvSpPr txBox="1"/>
                            <wps:spPr>
                              <a:xfrm>
                                <a:off x="0" y="0"/>
                                <a:ext cx="556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07010" cy="175260"/>
                      <wp:effectExtent l="0" t="0" r="0" b="0"/>
                      <wp:wrapNone/>
                      <wp:docPr id="382" name="Frame3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140335" cy="175260"/>
                      <wp:effectExtent l="0" t="0" r="0" b="0"/>
                      <wp:wrapNone/>
                      <wp:docPr id="383" name="Frame383"/>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52145" cy="175260"/>
                      <wp:effectExtent l="0" t="0" r="0" b="0"/>
                      <wp:wrapNone/>
                      <wp:docPr id="384" name="Frame384"/>
                      <a:graphic xmlns:a="http://schemas.openxmlformats.org/drawingml/2006/main">
                        <a:graphicData uri="http://schemas.microsoft.com/office/word/2010/wordprocessingShape">
                          <wps:wsp>
                            <wps:cNvSpPr txBox="1"/>
                            <wps:spPr>
                              <a:xfrm>
                                <a:off x="0" y="0"/>
                                <a:ext cx="652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Monster</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93"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115"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248" w:type="dxa"/>
            <w:gridSpan w:val="2"/>
            <w:tcBorders/>
            <w:vAlign w:val="center"/>
          </w:tcPr>
          <w:p>
            <w:pPr>
              <w:pStyle w:val="TableContents"/>
              <w:bidi w:val="0"/>
              <w:spacing w:before="0" w:after="0"/>
              <w:ind w:left="0" w:right="0" w:hanging="0"/>
              <w:jc w:val="center"/>
              <w:rPr/>
            </w:pPr>
            <w:r>
              <w:rPr/>
              <w:t>​</w:t>
            </w:r>
          </w:p>
        </w:tc>
      </w:tr>
      <w:tr>
        <w:trPr/>
        <w:tc>
          <w:tcPr>
            <w:tcW w:w="18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Energy® </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Strategic</w:t>
            </w:r>
          </w:p>
        </w:tc>
        <w:tc>
          <w:tcPr>
            <w:tcW w:w="326" w:type="dxa"/>
            <w:tcBorders/>
            <w:vAlign w:val="center"/>
          </w:tcPr>
          <w:p>
            <w:pPr>
              <w:pStyle w:val="TableContents"/>
              <w:bidi w:val="0"/>
              <w:spacing w:before="0" w:after="0"/>
              <w:ind w:left="0" w:right="0" w:hanging="0"/>
              <w:jc w:val="left"/>
              <w:rPr/>
            </w:pPr>
            <w:r>
              <w:rPr/>
              <w:t>​</w:t>
            </w:r>
          </w:p>
        </w:tc>
        <w:tc>
          <w:tcPr>
            <w:tcW w:w="993"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Alcohol</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1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Corporate and</w:t>
            </w:r>
          </w:p>
        </w:tc>
        <w:tc>
          <w:tcPr>
            <w:tcW w:w="326" w:type="dxa"/>
            <w:tcBorders/>
            <w:vAlign w:val="center"/>
          </w:tcPr>
          <w:p>
            <w:pPr>
              <w:pStyle w:val="TableContents"/>
              <w:bidi w:val="0"/>
              <w:spacing w:before="0" w:after="0"/>
              <w:ind w:left="0" w:right="0" w:hanging="0"/>
              <w:jc w:val="left"/>
              <w:rPr/>
            </w:pPr>
            <w:r>
              <w:rPr/>
              <w:t>​</w:t>
            </w:r>
          </w:p>
        </w:tc>
        <w:tc>
          <w:tcPr>
            <w:tcW w:w="1248" w:type="dxa"/>
            <w:gridSpan w:val="2"/>
            <w:tcBorders/>
            <w:vAlign w:val="center"/>
          </w:tcPr>
          <w:p>
            <w:pPr>
              <w:pStyle w:val="TableContents"/>
              <w:bidi w:val="0"/>
              <w:spacing w:before="0" w:after="0"/>
              <w:ind w:left="0" w:right="0" w:hanging="0"/>
              <w:jc w:val="center"/>
              <w:rPr/>
            </w:pPr>
            <w:r>
              <w:rPr/>
              <w:t>​</w:t>
            </w:r>
          </w:p>
        </w:tc>
      </w:tr>
      <w:tr>
        <w:trPr/>
        <w:tc>
          <w:tcPr>
            <w:tcW w:w="18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Drinks</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vAlign w:val="center"/>
          </w:tcPr>
          <w:p>
            <w:pPr>
              <w:pStyle w:val="TableContents"/>
              <w:bidi w:val="0"/>
              <w:spacing w:before="0" w:after="0"/>
              <w:ind w:left="0" w:right="0" w:hanging="0"/>
              <w:jc w:val="left"/>
              <w:rPr/>
            </w:pPr>
            <w:r>
              <w:rPr/>
              <w:t>    </w:t>
            </w:r>
          </w:p>
        </w:tc>
        <w:tc>
          <w:tcPr>
            <w:tcW w:w="9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    </w:t>
            </w:r>
          </w:p>
        </w:tc>
        <w:tc>
          <w:tcPr>
            <w:tcW w:w="11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Unallocated</w:t>
            </w:r>
          </w:p>
        </w:tc>
        <w:tc>
          <w:tcPr>
            <w:tcW w:w="326" w:type="dxa"/>
            <w:tcBorders/>
            <w:vAlign w:val="center"/>
          </w:tcPr>
          <w:p>
            <w:pPr>
              <w:pStyle w:val="TableContents"/>
              <w:bidi w:val="0"/>
              <w:spacing w:before="0" w:after="0"/>
              <w:ind w:left="0" w:right="0" w:hanging="0"/>
              <w:jc w:val="left"/>
              <w:rPr/>
            </w:pPr>
            <w:r>
              <w:rPr/>
              <w:t>    </w:t>
            </w:r>
          </w:p>
        </w:tc>
        <w:tc>
          <w:tcPr>
            <w:tcW w:w="12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Consolidated</w:t>
            </w:r>
          </w:p>
        </w:tc>
      </w:tr>
      <w:tr>
        <w:trPr/>
        <w:tc>
          <w:tcPr>
            <w:tcW w:w="1872"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Net sales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5,679,711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358,727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105,683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19,169</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6,163,290</w:t>
            </w:r>
          </w:p>
        </w:tc>
      </w:tr>
      <w:tr>
        <w:trPr/>
        <w:tc>
          <w:tcPr>
            <w:tcW w:w="18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right"/>
              <w:rPr/>
            </w:pPr>
            <w:r>
              <w:rPr/>
              <w:t>​</w:t>
            </w:r>
          </w:p>
        </w:tc>
      </w:tr>
      <w:tr>
        <w:trPr/>
        <w:tc>
          <w:tcPr>
            <w:tcW w:w="18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2,509,309</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114,165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77,364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13,590</w:t>
            </w:r>
          </w:p>
        </w:tc>
        <w:tc>
          <w:tcPr>
            <w:tcW w:w="326" w:type="dxa"/>
            <w:tcBorders/>
            <w:shd w:fill="CCEEFF" w:val="clear"/>
            <w:vAlign w:val="center"/>
          </w:tcPr>
          <w:p>
            <w:pPr>
              <w:pStyle w:val="TableContents"/>
              <w:bidi w:val="0"/>
              <w:spacing w:before="0" w:after="0"/>
              <w:ind w:left="0" w:right="0" w:hanging="0"/>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r>
      <w:tr>
        <w:trPr/>
        <w:tc>
          <w:tcPr>
            <w:tcW w:w="18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3,170,402</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244,562</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28,319</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5,579</w:t>
            </w:r>
          </w:p>
        </w:tc>
        <w:tc>
          <w:tcPr>
            <w:tcW w:w="32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3,448,862</w:t>
            </w:r>
          </w:p>
        </w:tc>
      </w:tr>
      <w:tr>
        <w:trPr/>
        <w:tc>
          <w:tcPr>
            <w:tcW w:w="187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1027" w:type="dxa"/>
            <w:tcBorders/>
            <w:shd w:fill="CCEEFF" w:val="clear"/>
            <w:vAlign w:val="center"/>
          </w:tcPr>
          <w:p>
            <w:pPr>
              <w:pStyle w:val="TableContents"/>
              <w:bidi w:val="0"/>
              <w:spacing w:before="0" w:after="0"/>
              <w:ind w:left="0" w:right="0" w:hanging="0"/>
              <w:jc w:val="right"/>
              <w:rPr/>
            </w:pPr>
            <w:r>
              <w:rPr/>
              <w:t>​</w:t>
            </w:r>
          </w:p>
        </w:tc>
      </w:tr>
      <w:tr>
        <w:trPr/>
        <w:tc>
          <w:tcPr>
            <w:tcW w:w="18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 expense</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229,826</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4,403</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7,968</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right"/>
              <w:rPr/>
            </w:pPr>
            <w:r>
              <w:rPr/>
              <w:t>  </w:t>
            </w:r>
          </w:p>
        </w:tc>
      </w:tr>
      <w:tr>
        <w:trPr/>
        <w:tc>
          <w:tcPr>
            <w:tcW w:w="18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518,439</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44,241</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20,777</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w:t>
            </w:r>
          </w:p>
        </w:tc>
        <w:tc>
          <w:tcPr>
            <w:tcW w:w="326" w:type="dxa"/>
            <w:tcBorders/>
            <w:shd w:fill="CCEEFF" w:val="clear"/>
            <w:vAlign w:val="center"/>
          </w:tcPr>
          <w:p>
            <w:pPr>
              <w:pStyle w:val="TableContents"/>
              <w:bidi w:val="0"/>
              <w:spacing w:before="0" w:after="0"/>
              <w:ind w:left="0" w:right="0" w:hanging="0"/>
              <w:jc w:val="left"/>
              <w:rPr/>
            </w:pPr>
            <w:r>
              <w:rPr/>
              <w:t> </w:t>
            </w:r>
          </w:p>
        </w:tc>
        <w:tc>
          <w:tcPr>
            <w:tcW w:w="239" w:type="dxa"/>
            <w:tcBorders/>
            <w:shd w:fill="CCEEFF" w:val="clear"/>
            <w:vAlign w:val="center"/>
          </w:tcPr>
          <w:p>
            <w:pPr>
              <w:pStyle w:val="TableContents"/>
              <w:bidi w:val="0"/>
              <w:spacing w:before="0" w:after="0"/>
              <w:ind w:left="0" w:right="0" w:hanging="0"/>
              <w:jc w:val="left"/>
              <w:rPr/>
            </w:pPr>
            <w:r>
              <w:rPr/>
              <w:t>​</w:t>
            </w:r>
          </w:p>
        </w:tc>
        <w:tc>
          <w:tcPr>
            <w:tcW w:w="8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pPr>
            <w:r>
              <w:rPr/>
              <w:t>​</w:t>
            </w:r>
          </w:p>
        </w:tc>
        <w:tc>
          <w:tcPr>
            <w:tcW w:w="1027" w:type="dxa"/>
            <w:tcBorders/>
            <w:shd w:fill="CCEEFF" w:val="clear"/>
            <w:vAlign w:val="center"/>
          </w:tcPr>
          <w:p>
            <w:pPr>
              <w:pStyle w:val="TableContents"/>
              <w:bidi w:val="0"/>
              <w:spacing w:before="0" w:after="0"/>
              <w:ind w:left="0" w:right="0" w:hanging="0"/>
              <w:jc w:val="right"/>
              <w:rPr/>
            </w:pPr>
            <w:r>
              <w:rPr/>
              <w:t>  </w:t>
            </w:r>
          </w:p>
        </w:tc>
      </w:tr>
      <w:tr>
        <w:trPr/>
        <w:tc>
          <w:tcPr>
            <w:tcW w:w="18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Nonmanufacturing payroll expense</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130,564</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7,186</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27,220</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1,653</w:t>
            </w:r>
          </w:p>
        </w:tc>
        <w:tc>
          <w:tcPr>
            <w:tcW w:w="32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325,257</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right"/>
              <w:rPr/>
            </w:pPr>
            <w:r>
              <w:rPr/>
              <w:t>  </w:t>
            </w:r>
          </w:p>
        </w:tc>
      </w:tr>
      <w:tr>
        <w:trPr/>
        <w:tc>
          <w:tcPr>
            <w:tcW w:w="1872"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segment items</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63,241</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2,687</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26,327</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w:t>
            </w:r>
          </w:p>
        </w:tc>
        <w:tc>
          <w:tcPr>
            <w:tcW w:w="326" w:type="dxa"/>
            <w:tcBorders/>
            <w:shd w:fill="CCEEFF" w:val="clear"/>
            <w:vAlign w:val="center"/>
          </w:tcPr>
          <w:p>
            <w:pPr>
              <w:pStyle w:val="TableContents"/>
              <w:bidi w:val="0"/>
              <w:spacing w:before="0" w:after="0"/>
              <w:ind w:left="0" w:right="0" w:hanging="0"/>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161,541</w:t>
            </w:r>
          </w:p>
        </w:tc>
        <w:tc>
          <w:tcPr>
            <w:tcW w:w="326" w:type="dxa"/>
            <w:tcBorders/>
            <w:shd w:fill="CCEEFF" w:val="clear"/>
            <w:vAlign w:val="center"/>
          </w:tcPr>
          <w:p>
            <w:pPr>
              <w:pStyle w:val="TableContents"/>
              <w:bidi w:val="0"/>
              <w:spacing w:before="0" w:after="0"/>
              <w:ind w:left="0" w:right="0" w:hanging="0"/>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r>
      <w:tr>
        <w:trPr/>
        <w:tc>
          <w:tcPr>
            <w:tcW w:w="1872"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Operating income (loss)</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2,228,332</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186,045</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(53,973)</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3,114</w:t>
            </w:r>
          </w:p>
        </w:tc>
        <w:tc>
          <w:tcPr>
            <w:tcW w:w="32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(486,798)</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1,876,720</w:t>
            </w:r>
          </w:p>
        </w:tc>
      </w:tr>
      <w:tr>
        <w:trPr/>
        <w:tc>
          <w:tcPr>
            <w:tcW w:w="187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1027" w:type="dxa"/>
            <w:tcBorders/>
            <w:shd w:fill="CCEEFF" w:val="clear"/>
            <w:vAlign w:val="center"/>
          </w:tcPr>
          <w:p>
            <w:pPr>
              <w:pStyle w:val="TableContents"/>
              <w:bidi w:val="0"/>
              <w:spacing w:before="0" w:after="0"/>
              <w:ind w:left="0" w:right="0" w:hanging="0"/>
              <w:jc w:val="right"/>
              <w:rPr/>
            </w:pPr>
            <w:r>
              <w:rPr/>
              <w:t>​</w:t>
            </w:r>
          </w:p>
        </w:tc>
      </w:tr>
      <w:tr>
        <w:trPr/>
        <w:tc>
          <w:tcPr>
            <w:tcW w:w="18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other income (expense),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37,522</w:t>
            </w:r>
          </w:p>
        </w:tc>
      </w:tr>
      <w:tr>
        <w:trPr/>
        <w:tc>
          <w:tcPr>
            <w:tcW w:w="187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18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provision for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1,914,242</w:t>
            </w:r>
          </w:p>
        </w:tc>
      </w:tr>
      <w:tr>
        <w:trPr/>
        <w:tc>
          <w:tcPr>
            <w:tcW w:w="187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1027" w:type="dxa"/>
            <w:tcBorders/>
            <w:shd w:fill="CCEEFF" w:val="clear"/>
            <w:vAlign w:val="center"/>
          </w:tcPr>
          <w:p>
            <w:pPr>
              <w:pStyle w:val="TableContents"/>
              <w:bidi w:val="0"/>
              <w:spacing w:before="0" w:after="0"/>
              <w:ind w:left="0" w:right="0" w:hanging="0"/>
              <w:jc w:val="left"/>
              <w:rPr/>
            </w:pPr>
            <w:r>
              <w:rPr/>
              <w:t>​</w:t>
            </w:r>
          </w:p>
        </w:tc>
      </w:tr>
      <w:tr>
        <w:trPr/>
        <w:tc>
          <w:tcPr>
            <w:tcW w:w="18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56,674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14,718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9,018</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7"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82,023</w:t>
            </w:r>
          </w:p>
        </w:tc>
      </w:tr>
    </w:tbl>
    <w:p>
      <w:pPr>
        <w:pStyle w:val="TextBody"/>
        <w:bidi w:val="0"/>
        <w:spacing w:before="0" w:after="0"/>
        <w:ind w:left="0" w:right="0" w:hanging="0"/>
        <w:jc w:val="left"/>
        <w:rPr/>
      </w:pPr>
      <w:r>
        <w:rPr/>
        <w:t>​</w:t>
      </w:r>
    </w:p>
    <w:p>
      <w:pPr>
        <w:pStyle w:val="TextBody"/>
        <w:bidi w:val="0"/>
        <w:spacing w:lineRule="auto" w:line="240" w:before="0" w:after="240"/>
        <w:ind w:left="0" w:right="0" w:hanging="0"/>
        <w:jc w:val="both"/>
        <w:rPr>
          <w:rFonts w:ascii="Times New Roman;Times;serif" w:hAnsi="Times New Roman;Times;serif"/>
          <w:sz w:val="18"/>
        </w:rPr>
      </w:pPr>
      <w:r>
        <w:rPr>
          <w:rFonts w:ascii="Times New Roman;Times;serif" w:hAnsi="Times New Roman;Times;serif"/>
          <w:i/>
          <w:sz w:val="14"/>
        </w:rPr>
        <w:t>1</w:t>
      </w:r>
      <w:r>
        <w:rPr>
          <w:rFonts w:ascii="Times New Roman;Times;serif" w:hAnsi="Times New Roman;Times;serif"/>
          <w:i/>
          <w:sz w:val="18"/>
        </w:rPr>
        <w:t>For the Monster Energy® Drinks segment, includes $30.0</w:t>
      </w:r>
      <w:r>
        <w:rPr>
          <w:rFonts w:ascii="Times New Roman;Times;serif" w:hAnsi="Times New Roman;Times;serif"/>
          <w:sz w:val="18"/>
        </w:rPr>
        <w:t xml:space="preserve"> </w:t>
      </w:r>
      <w:r>
        <w:rPr>
          <w:rFonts w:ascii="Times New Roman;Times;serif" w:hAnsi="Times New Roman;Times;serif"/>
          <w:i/>
          <w:sz w:val="18"/>
        </w:rPr>
        <w:t>million related to the recognition of deferred revenue.</w:t>
      </w:r>
    </w:p>
    <w:p>
      <w:pPr>
        <w:pStyle w:val="TextBody"/>
        <w:bidi w:val="0"/>
        <w:spacing w:lineRule="auto" w:line="240" w:before="0" w:after="0"/>
        <w:ind w:left="0" w:right="0" w:hanging="0"/>
        <w:jc w:val="both"/>
        <w:rPr>
          <w:rFonts w:ascii="Times New Roman;Times;serif" w:hAnsi="Times New Roman;Times;serif"/>
          <w:sz w:val="18"/>
        </w:rPr>
      </w:pPr>
      <w:r>
        <w:rPr>
          <w:rFonts w:ascii="Times New Roman;Times;serif" w:hAnsi="Times New Roman;Times;serif"/>
          <w:i/>
          <w:sz w:val="14"/>
        </w:rPr>
        <w:t>2</w:t>
      </w:r>
      <w:r>
        <w:rPr>
          <w:rFonts w:ascii="Times New Roman;Times;serif" w:hAnsi="Times New Roman;Times;serif"/>
          <w:i/>
          <w:sz w:val="18"/>
        </w:rPr>
        <w:t>Other segment items for each reportable segment include:</w:t>
      </w:r>
    </w:p>
    <w:p>
      <w:pPr>
        <w:pStyle w:val="TextBody"/>
        <w:bidi w:val="0"/>
        <w:spacing w:before="0" w:after="0"/>
        <w:ind w:left="0" w:right="0" w:firstLine="216"/>
        <w:jc w:val="both"/>
        <w:rPr>
          <w:rFonts w:ascii="Times New Roman;Times;serif" w:hAnsi="Times New Roman;Times;serif"/>
          <w:i/>
          <w:sz w:val="18"/>
        </w:rPr>
      </w:pPr>
      <w:r>
        <w:rPr>
          <w:rFonts w:ascii="Times New Roman;Times;serif" w:hAnsi="Times New Roman;Times;serif"/>
          <w:i/>
          <w:sz w:val="18"/>
        </w:rPr>
        <w:t>Monster Energy® Drinks - travel and entertainment expense, professional services expense, and certain overhead expenses</w:t>
      </w:r>
    </w:p>
    <w:p>
      <w:pPr>
        <w:pStyle w:val="TextBody"/>
        <w:bidi w:val="0"/>
        <w:spacing w:before="0" w:after="0"/>
        <w:ind w:left="0" w:right="0" w:firstLine="216"/>
        <w:jc w:val="both"/>
        <w:rPr>
          <w:rFonts w:ascii="Times New Roman;Times;serif" w:hAnsi="Times New Roman;Times;serif"/>
          <w:i/>
          <w:sz w:val="18"/>
        </w:rPr>
      </w:pPr>
      <w:r>
        <w:rPr>
          <w:rFonts w:ascii="Times New Roman;Times;serif" w:hAnsi="Times New Roman;Times;serif"/>
          <w:i/>
          <w:sz w:val="18"/>
        </w:rPr>
        <w:t>Strategic Brands - travel and entertainment expense, and certain overhead expenses</w:t>
      </w:r>
    </w:p>
    <w:p>
      <w:pPr>
        <w:pStyle w:val="TextBody"/>
        <w:pBdr/>
        <w:bidi w:val="0"/>
        <w:spacing w:before="0" w:after="0"/>
        <w:ind w:left="216" w:right="0" w:hanging="144"/>
        <w:jc w:val="both"/>
        <w:rPr>
          <w:rFonts w:ascii="Times New Roman;Times;serif" w:hAnsi="Times New Roman;Times;serif"/>
          <w:i/>
          <w:sz w:val="18"/>
        </w:rPr>
      </w:pPr>
      <w:r>
        <w:rPr>
          <w:rFonts w:ascii="Times New Roman;Times;serif" w:hAnsi="Times New Roman;Times;serif"/>
          <w:i/>
          <w:sz w:val="18"/>
        </w:rPr>
        <w:t>Alcohol Brands - depreciation and amortization expense, travel and entertainment expense, property and equipment impairment, and certain overhead expenses</w:t>
      </w:r>
    </w:p>
    <w:p>
      <w:pPr>
        <w:pStyle w:val="TextBody"/>
        <w:bidi w:val="0"/>
        <w:spacing w:before="0" w:after="240"/>
        <w:ind w:left="0" w:right="0" w:firstLine="216"/>
        <w:jc w:val="both"/>
        <w:rPr>
          <w:rFonts w:ascii="Times New Roman;Times;serif" w:hAnsi="Times New Roman;Times;serif"/>
          <w:i/>
          <w:sz w:val="18"/>
        </w:rPr>
      </w:pPr>
      <w:r>
        <w:rPr>
          <w:rFonts w:ascii="Times New Roman;Times;serif" w:hAnsi="Times New Roman;Times;serif"/>
          <w:i/>
          <w:sz w:val="18"/>
        </w:rPr>
        <w:t>Other - certain overhead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1882" w:name="Tc_Di5VCygV50qmUkjrsA7_MA_19_17"/>
      <w:bookmarkStart w:id="1883" w:name="Tc_In0Ej0GH4U-XQspBN-2bsA_19_14"/>
      <w:bookmarkStart w:id="1884" w:name="Tc_oRqdCf8-0EuNtEWyg5lc1w_19_11"/>
      <w:bookmarkStart w:id="1885" w:name="Tc_P6iIoWrACUicyo8IweJYVg_19_8"/>
      <w:bookmarkStart w:id="1886" w:name="Tc_RxK_oyXc00aof1eUwTJ2WA_19_5"/>
      <w:bookmarkStart w:id="1887" w:name="Tc_vbDwwo8gjECru8Noh2Htfg_19_2"/>
      <w:bookmarkStart w:id="1888" w:name="Tc_eLcc0DVIvkmIxsokOFNk-A_19_0"/>
      <w:bookmarkStart w:id="1889" w:name="Tc_IHcOT5aLakyMrhm-HBvD2w_17_17"/>
      <w:bookmarkStart w:id="1890" w:name="Tc_KEQOv10pcEyzUZ-JF0pksA_17_0"/>
      <w:bookmarkStart w:id="1891" w:name="Tc_XLZ2mbbv6ECzm-AmOE19sQ_15_0"/>
      <w:bookmarkStart w:id="1892" w:name="Tc_LbuSHcndyEGNU4tW_eFLKQ_13_0"/>
      <w:bookmarkStart w:id="1893" w:name="Tc_CPK4fAyND0CXFmYtx3JahA_12_0"/>
      <w:bookmarkStart w:id="1894" w:name="Tc_6DLUC9LKtkW3Tc0gqdd_Vw_11_0"/>
      <w:bookmarkStart w:id="1895" w:name="Tc_2P0gA3B7bUuR2-8rj-ruvw_10_15"/>
      <w:bookmarkStart w:id="1896" w:name="Tc_wdAxoUJxmU6J6GPbTlx8Rw_10_0"/>
      <w:bookmarkStart w:id="1897" w:name="Tc_zPTBpM5YbE6wcSBzJZTZPQ_9_15"/>
      <w:bookmarkStart w:id="1898" w:name="Tc_dm938MzjhEaCZZ1OkSDZnw_9_0"/>
      <w:bookmarkStart w:id="1899" w:name="Tc_egUnyPvR4E-T8X7uwvxBOQ_7_15"/>
      <w:bookmarkStart w:id="1900" w:name="Tc_EIQmXUH7X0ueDpYdvUf-FA_7_0"/>
      <w:bookmarkStart w:id="1901" w:name="Tc_agm_DE0mfUKGYH5PBlzAFw_6_15"/>
      <w:bookmarkStart w:id="1902" w:name="Tc_QMdPkdjQc0WbOspfHl9axw_6_0"/>
      <w:bookmarkStart w:id="1903" w:name="Tc_hZxVp4TdxEyEFtabqO-AaQ_4_17"/>
      <w:bookmarkStart w:id="1904" w:name="Tc__YXLqMl0XUCFymfGm9PXzg_4_15"/>
      <w:bookmarkStart w:id="1905" w:name="Tc_PjBjkdM8S0mQTEGQwX9fHg_4_14"/>
      <w:bookmarkStart w:id="1906" w:name="Tc_OoS6DnleMkGYuVdKi_W_GA_4_11"/>
      <w:bookmarkStart w:id="1907" w:name="Tc_XZozI9sy4EuWu04Pj9caXw_4_8"/>
      <w:bookmarkStart w:id="1908" w:name="Tc_fxiZs3iNF06IqRWAA-YtVQ_4_5"/>
      <w:bookmarkStart w:id="1909" w:name="Tc_9LN-3HCt-k-otxhJa5-7Sg_4_2"/>
      <w:bookmarkStart w:id="1910" w:name="Tc_kSltOZXFckmk_ga_BQn0Hw_4_0"/>
      <w:bookmarkStart w:id="1911" w:name="Tc_aaHp2nX6-06YPj5VMLOy_A_3_17"/>
      <w:bookmarkStart w:id="1912" w:name="Tc_MuvIjv6Zjk6xWJJuA8Ctzw_3_14"/>
      <w:bookmarkStart w:id="1913" w:name="Tc_jBsYDzk6Qk6herTYSzYlUA_3_11"/>
      <w:bookmarkStart w:id="1914" w:name="Tc_vzKguU9QU0u6oGplLUp-yA_3_8"/>
      <w:bookmarkStart w:id="1915" w:name="Tc_e0f_GpCDS0CsOy37Hrb9Hw_3_5"/>
      <w:bookmarkStart w:id="1916" w:name="Tc_A91vUshGjUiKfmI4MN66PA_3_2"/>
      <w:bookmarkStart w:id="1917" w:name="Tc_e5K7tmQSvk2CS8GTJQZj2Q_2_14"/>
      <w:bookmarkStart w:id="1918" w:name="Tc_WS4DFx4vhUyz-4RtOmPV2A_2_8"/>
      <w:bookmarkStart w:id="1919" w:name="Tc_fx8vb1F6aUmCvF4WFfcoFA_2_5"/>
      <w:bookmarkStart w:id="1920" w:name="Tc_dMqwdFvsaUi59t8D0tAk3Q_2_2"/>
      <w:bookmarkStart w:id="1921" w:name="Tc_rtZjzDREdUGdXGStX45GjA_1_2"/>
      <w:bookmarkStart w:id="1922" w:name="_ae7faf4a_ea15_4e21_8339_113aa8a48c4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r>
        <w:rPr>
          <w:rFonts w:ascii="Times New Roman;Times;serif" w:hAnsi="Times New Roman;Times;serif"/>
          <w:sz w:val="20"/>
        </w:rPr>
        <w:t>Nine-Months Ended September 30, 2024</w:t>
      </w:r>
    </w:p>
    <w:tbl>
      <w:tblPr>
        <w:tblW w:w="10205" w:type="dxa"/>
        <w:jc w:val="left"/>
        <w:tblInd w:w="0" w:type="dxa"/>
        <w:tblLayout w:type="fixed"/>
        <w:tblCellMar>
          <w:top w:w="0" w:type="dxa"/>
          <w:left w:w="0" w:type="dxa"/>
          <w:bottom w:w="0" w:type="dxa"/>
          <w:right w:w="0" w:type="dxa"/>
        </w:tblCellMar>
      </w:tblPr>
      <w:tblGrid>
        <w:gridCol w:w="1872"/>
        <w:gridCol w:w="326"/>
        <w:gridCol w:w="211"/>
        <w:gridCol w:w="931"/>
        <w:gridCol w:w="326"/>
        <w:gridCol w:w="211"/>
        <w:gridCol w:w="781"/>
        <w:gridCol w:w="326"/>
        <w:gridCol w:w="211"/>
        <w:gridCol w:w="782"/>
        <w:gridCol w:w="326"/>
        <w:gridCol w:w="211"/>
        <w:gridCol w:w="676"/>
        <w:gridCol w:w="326"/>
        <w:gridCol w:w="239"/>
        <w:gridCol w:w="876"/>
        <w:gridCol w:w="326"/>
        <w:gridCol w:w="221"/>
        <w:gridCol w:w="1027"/>
      </w:tblGrid>
      <w:tr>
        <w:trPr/>
        <w:tc>
          <w:tcPr>
            <w:tcW w:w="18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1188720" cy="175260"/>
                      <wp:effectExtent l="0" t="0" r="0" b="0"/>
                      <wp:wrapNone/>
                      <wp:docPr id="385" name="Frame385"/>
                      <a:graphic xmlns:a="http://schemas.openxmlformats.org/drawingml/2006/main">
                        <a:graphicData uri="http://schemas.microsoft.com/office/word/2010/wordprocessingShape">
                          <wps:wsp>
                            <wps:cNvSpPr txBox="1"/>
                            <wps:spPr>
                              <a:xfrm>
                                <a:off x="0" y="0"/>
                                <a:ext cx="1188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07010" cy="175260"/>
                      <wp:effectExtent l="0" t="0" r="0" b="0"/>
                      <wp:wrapNone/>
                      <wp:docPr id="386" name="Frame3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133985" cy="175260"/>
                      <wp:effectExtent l="0" t="0" r="0" b="0"/>
                      <wp:wrapNone/>
                      <wp:docPr id="387" name="Frame3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591185" cy="175260"/>
                      <wp:effectExtent l="0" t="0" r="0" b="0"/>
                      <wp:wrapNone/>
                      <wp:docPr id="388" name="Frame38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07010" cy="175260"/>
                      <wp:effectExtent l="0" t="0" r="0" b="0"/>
                      <wp:wrapNone/>
                      <wp:docPr id="389" name="Frame3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133985" cy="175260"/>
                      <wp:effectExtent l="0" t="0" r="0" b="0"/>
                      <wp:wrapNone/>
                      <wp:docPr id="390" name="Frame3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495935" cy="175260"/>
                      <wp:effectExtent l="0" t="0" r="0" b="0"/>
                      <wp:wrapNone/>
                      <wp:docPr id="391" name="Frame39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07010" cy="175260"/>
                      <wp:effectExtent l="0" t="0" r="0" b="0"/>
                      <wp:wrapNone/>
                      <wp:docPr id="392" name="Frame3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133985" cy="175260"/>
                      <wp:effectExtent l="0" t="0" r="0" b="0"/>
                      <wp:wrapNone/>
                      <wp:docPr id="393" name="Frame3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496570" cy="175260"/>
                      <wp:effectExtent l="0" t="0" r="0" b="0"/>
                      <wp:wrapNone/>
                      <wp:docPr id="394" name="Frame394"/>
                      <a:graphic xmlns:a="http://schemas.openxmlformats.org/drawingml/2006/main">
                        <a:graphicData uri="http://schemas.microsoft.com/office/word/2010/wordprocessingShape">
                          <wps:wsp>
                            <wps:cNvSpPr txBox="1"/>
                            <wps:spPr>
                              <a:xfrm>
                                <a:off x="0" y="0"/>
                                <a:ext cx="496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07010" cy="175260"/>
                      <wp:effectExtent l="0" t="0" r="0" b="0"/>
                      <wp:wrapNone/>
                      <wp:docPr id="395" name="Frame3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33985" cy="175260"/>
                      <wp:effectExtent l="0" t="0" r="0" b="0"/>
                      <wp:wrapNone/>
                      <wp:docPr id="396" name="Frame3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429260" cy="175260"/>
                      <wp:effectExtent l="0" t="0" r="0" b="0"/>
                      <wp:wrapNone/>
                      <wp:docPr id="397" name="Frame39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07010" cy="175260"/>
                      <wp:effectExtent l="0" t="0" r="0" b="0"/>
                      <wp:wrapNone/>
                      <wp:docPr id="398" name="Frame3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51765" cy="175260"/>
                      <wp:effectExtent l="0" t="0" r="0" b="0"/>
                      <wp:wrapNone/>
                      <wp:docPr id="399" name="Frame399"/>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556260" cy="175260"/>
                      <wp:effectExtent l="0" t="0" r="0" b="0"/>
                      <wp:wrapNone/>
                      <wp:docPr id="400" name="Frame400"/>
                      <a:graphic xmlns:a="http://schemas.openxmlformats.org/drawingml/2006/main">
                        <a:graphicData uri="http://schemas.microsoft.com/office/word/2010/wordprocessingShape">
                          <wps:wsp>
                            <wps:cNvSpPr txBox="1"/>
                            <wps:spPr>
                              <a:xfrm>
                                <a:off x="0" y="0"/>
                                <a:ext cx="556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07010" cy="175260"/>
                      <wp:effectExtent l="0" t="0" r="0" b="0"/>
                      <wp:wrapNone/>
                      <wp:docPr id="401" name="Frame4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140335" cy="175260"/>
                      <wp:effectExtent l="0" t="0" r="0" b="0"/>
                      <wp:wrapNone/>
                      <wp:docPr id="402" name="Frame402"/>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652145" cy="175260"/>
                      <wp:effectExtent l="0" t="0" r="0" b="0"/>
                      <wp:wrapNone/>
                      <wp:docPr id="403" name="Frame403"/>
                      <a:graphic xmlns:a="http://schemas.openxmlformats.org/drawingml/2006/main">
                        <a:graphicData uri="http://schemas.microsoft.com/office/word/2010/wordprocessingShape">
                          <wps:wsp>
                            <wps:cNvSpPr txBox="1"/>
                            <wps:spPr>
                              <a:xfrm>
                                <a:off x="0" y="0"/>
                                <a:ext cx="652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Monster</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93"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15"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48" w:type="dxa"/>
            <w:gridSpan w:val="2"/>
            <w:tcBorders/>
            <w:vAlign w:val="center"/>
          </w:tcPr>
          <w:p>
            <w:pPr>
              <w:pStyle w:val="TableContents"/>
              <w:bidi w:val="0"/>
              <w:spacing w:before="0" w:after="0"/>
              <w:ind w:left="0" w:right="0" w:hanging="0"/>
              <w:jc w:val="center"/>
              <w:rPr/>
            </w:pPr>
            <w:r>
              <w:rPr/>
              <w:t>​</w:t>
            </w:r>
          </w:p>
        </w:tc>
      </w:tr>
      <w:tr>
        <w:trPr/>
        <w:tc>
          <w:tcPr>
            <w:tcW w:w="18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Energy®</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Strategic</w:t>
            </w:r>
          </w:p>
        </w:tc>
        <w:tc>
          <w:tcPr>
            <w:tcW w:w="326" w:type="dxa"/>
            <w:tcBorders/>
            <w:vAlign w:val="center"/>
          </w:tcPr>
          <w:p>
            <w:pPr>
              <w:pStyle w:val="TableContents"/>
              <w:bidi w:val="0"/>
              <w:spacing w:before="0" w:after="0"/>
              <w:ind w:left="0" w:right="0" w:hanging="0"/>
              <w:jc w:val="left"/>
              <w:rPr/>
            </w:pPr>
            <w:r>
              <w:rPr/>
              <w:t>​</w:t>
            </w:r>
          </w:p>
        </w:tc>
        <w:tc>
          <w:tcPr>
            <w:tcW w:w="993"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Alcohol</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1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Corporate and</w:t>
            </w:r>
          </w:p>
        </w:tc>
        <w:tc>
          <w:tcPr>
            <w:tcW w:w="326" w:type="dxa"/>
            <w:tcBorders/>
            <w:vAlign w:val="center"/>
          </w:tcPr>
          <w:p>
            <w:pPr>
              <w:pStyle w:val="TableContents"/>
              <w:bidi w:val="0"/>
              <w:spacing w:before="0" w:after="0"/>
              <w:ind w:left="0" w:right="0" w:hanging="0"/>
              <w:jc w:val="left"/>
              <w:rPr/>
            </w:pPr>
            <w:r>
              <w:rPr/>
              <w:t>​</w:t>
            </w:r>
          </w:p>
        </w:tc>
        <w:tc>
          <w:tcPr>
            <w:tcW w:w="1248" w:type="dxa"/>
            <w:gridSpan w:val="2"/>
            <w:tcBorders/>
            <w:vAlign w:val="center"/>
          </w:tcPr>
          <w:p>
            <w:pPr>
              <w:pStyle w:val="TableContents"/>
              <w:bidi w:val="0"/>
              <w:spacing w:before="0" w:after="0"/>
              <w:ind w:left="0" w:right="0" w:hanging="0"/>
              <w:jc w:val="center"/>
              <w:rPr/>
            </w:pPr>
            <w:r>
              <w:rPr/>
              <w:t>​</w:t>
            </w:r>
          </w:p>
        </w:tc>
      </w:tr>
      <w:tr>
        <w:trPr/>
        <w:tc>
          <w:tcPr>
            <w:tcW w:w="18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Drinks</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vAlign w:val="center"/>
          </w:tcPr>
          <w:p>
            <w:pPr>
              <w:pStyle w:val="TableContents"/>
              <w:bidi w:val="0"/>
              <w:spacing w:before="0" w:after="0"/>
              <w:ind w:left="0" w:right="0" w:hanging="0"/>
              <w:jc w:val="left"/>
              <w:rPr/>
            </w:pPr>
            <w:r>
              <w:rPr/>
              <w:t>    </w:t>
            </w:r>
          </w:p>
        </w:tc>
        <w:tc>
          <w:tcPr>
            <w:tcW w:w="9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    </w:t>
            </w:r>
          </w:p>
        </w:tc>
        <w:tc>
          <w:tcPr>
            <w:tcW w:w="11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Unallocated</w:t>
            </w:r>
          </w:p>
        </w:tc>
        <w:tc>
          <w:tcPr>
            <w:tcW w:w="326" w:type="dxa"/>
            <w:tcBorders/>
            <w:vAlign w:val="center"/>
          </w:tcPr>
          <w:p>
            <w:pPr>
              <w:pStyle w:val="TableContents"/>
              <w:bidi w:val="0"/>
              <w:spacing w:before="0" w:after="0"/>
              <w:ind w:left="0" w:right="0" w:hanging="0"/>
              <w:jc w:val="left"/>
              <w:rPr/>
            </w:pPr>
            <w:r>
              <w:rPr/>
              <w:t>    </w:t>
            </w:r>
          </w:p>
        </w:tc>
        <w:tc>
          <w:tcPr>
            <w:tcW w:w="12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Consolidated</w:t>
            </w:r>
          </w:p>
        </w:tc>
      </w:tr>
      <w:tr>
        <w:trPr/>
        <w:tc>
          <w:tcPr>
            <w:tcW w:w="1872"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Net sales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5,194,552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330,232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137,417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18,467</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5,680,668</w:t>
            </w:r>
          </w:p>
        </w:tc>
      </w:tr>
      <w:tr>
        <w:trPr/>
        <w:tc>
          <w:tcPr>
            <w:tcW w:w="18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right"/>
              <w:rPr/>
            </w:pPr>
            <w:r>
              <w:rPr/>
              <w:t>​</w:t>
            </w:r>
          </w:p>
        </w:tc>
      </w:tr>
      <w:tr>
        <w:trPr/>
        <w:tc>
          <w:tcPr>
            <w:tcW w:w="18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2,423,866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93,440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104,397</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12,532</w:t>
            </w:r>
          </w:p>
        </w:tc>
        <w:tc>
          <w:tcPr>
            <w:tcW w:w="326" w:type="dxa"/>
            <w:tcBorders/>
            <w:shd w:fill="CCEEFF" w:val="clear"/>
            <w:vAlign w:val="center"/>
          </w:tcPr>
          <w:p>
            <w:pPr>
              <w:pStyle w:val="TableContents"/>
              <w:bidi w:val="0"/>
              <w:spacing w:before="0" w:after="0"/>
              <w:ind w:left="0" w:right="0" w:hanging="0"/>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r>
      <w:tr>
        <w:trPr/>
        <w:tc>
          <w:tcPr>
            <w:tcW w:w="18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2,770,686</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236,792</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33,020</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5,935</w:t>
            </w:r>
          </w:p>
        </w:tc>
        <w:tc>
          <w:tcPr>
            <w:tcW w:w="32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3,046,433</w:t>
            </w:r>
          </w:p>
        </w:tc>
      </w:tr>
      <w:tr>
        <w:trPr/>
        <w:tc>
          <w:tcPr>
            <w:tcW w:w="187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1027" w:type="dxa"/>
            <w:tcBorders/>
            <w:shd w:fill="CCEEFF" w:val="clear"/>
            <w:vAlign w:val="center"/>
          </w:tcPr>
          <w:p>
            <w:pPr>
              <w:pStyle w:val="TableContents"/>
              <w:bidi w:val="0"/>
              <w:spacing w:before="0" w:after="0"/>
              <w:ind w:left="0" w:right="0" w:hanging="0"/>
              <w:jc w:val="left"/>
              <w:rPr/>
            </w:pPr>
            <w:r>
              <w:rPr/>
              <w:t>​</w:t>
            </w:r>
          </w:p>
        </w:tc>
      </w:tr>
      <w:tr>
        <w:trPr/>
        <w:tc>
          <w:tcPr>
            <w:tcW w:w="18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 expense</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249,158</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4,676</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10,683</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right"/>
              <w:rPr/>
            </w:pPr>
            <w:r>
              <w:rPr/>
              <w:t>  </w:t>
            </w:r>
          </w:p>
        </w:tc>
      </w:tr>
      <w:tr>
        <w:trPr/>
        <w:tc>
          <w:tcPr>
            <w:tcW w:w="18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502,050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39,754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20,762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c>
          <w:tcPr>
            <w:tcW w:w="326" w:type="dxa"/>
            <w:tcBorders/>
            <w:shd w:fill="CCEEFF" w:val="clear"/>
            <w:vAlign w:val="center"/>
          </w:tcPr>
          <w:p>
            <w:pPr>
              <w:pStyle w:val="TableContents"/>
              <w:bidi w:val="0"/>
              <w:spacing w:before="0" w:after="0"/>
              <w:ind w:left="0" w:right="0" w:hanging="0"/>
              <w:jc w:val="left"/>
              <w:rPr/>
            </w:pPr>
            <w:r>
              <w:rPr/>
              <w:t> </w:t>
            </w:r>
          </w:p>
        </w:tc>
        <w:tc>
          <w:tcPr>
            <w:tcW w:w="239" w:type="dxa"/>
            <w:tcBorders/>
            <w:shd w:fill="CCEEFF" w:val="clear"/>
            <w:vAlign w:val="center"/>
          </w:tcPr>
          <w:p>
            <w:pPr>
              <w:pStyle w:val="TableContents"/>
              <w:bidi w:val="0"/>
              <w:spacing w:before="0" w:after="0"/>
              <w:ind w:left="0" w:right="0" w:hanging="0"/>
              <w:jc w:val="left"/>
              <w:rPr/>
            </w:pPr>
            <w:r>
              <w:rPr/>
              <w:t>​</w:t>
            </w:r>
          </w:p>
        </w:tc>
        <w:tc>
          <w:tcPr>
            <w:tcW w:w="8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pPr>
            <w:r>
              <w:rPr/>
              <w:t>​</w:t>
            </w:r>
          </w:p>
        </w:tc>
        <w:tc>
          <w:tcPr>
            <w:tcW w:w="1027" w:type="dxa"/>
            <w:tcBorders/>
            <w:shd w:fill="CCEEFF" w:val="clear"/>
            <w:vAlign w:val="center"/>
          </w:tcPr>
          <w:p>
            <w:pPr>
              <w:pStyle w:val="TableContents"/>
              <w:bidi w:val="0"/>
              <w:spacing w:before="0" w:after="0"/>
              <w:ind w:left="0" w:right="0" w:hanging="0"/>
              <w:jc w:val="right"/>
              <w:rPr/>
            </w:pPr>
            <w:r>
              <w:rPr/>
              <w:t>  </w:t>
            </w:r>
          </w:p>
        </w:tc>
      </w:tr>
      <w:tr>
        <w:trPr/>
        <w:tc>
          <w:tcPr>
            <w:tcW w:w="18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Nonmanufacturing payroll expense</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122,403</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6,460</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27,260</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1,597</w:t>
            </w:r>
          </w:p>
        </w:tc>
        <w:tc>
          <w:tcPr>
            <w:tcW w:w="32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282,695</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right"/>
              <w:rPr/>
            </w:pPr>
            <w:r>
              <w:rPr/>
              <w:t>  </w:t>
            </w:r>
          </w:p>
        </w:tc>
      </w:tr>
      <w:tr>
        <w:trPr/>
        <w:tc>
          <w:tcPr>
            <w:tcW w:w="1872"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segment items</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55,009</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25,502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c>
          <w:tcPr>
            <w:tcW w:w="326" w:type="dxa"/>
            <w:tcBorders/>
            <w:shd w:fill="CCEEFF" w:val="clear"/>
            <w:vAlign w:val="center"/>
          </w:tcPr>
          <w:p>
            <w:pPr>
              <w:pStyle w:val="TableContents"/>
              <w:bidi w:val="0"/>
              <w:spacing w:before="0" w:after="0"/>
              <w:ind w:left="0" w:right="0" w:hanging="0"/>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146,811</w:t>
            </w:r>
          </w:p>
        </w:tc>
        <w:tc>
          <w:tcPr>
            <w:tcW w:w="326" w:type="dxa"/>
            <w:tcBorders/>
            <w:shd w:fill="CCEEFF" w:val="clear"/>
            <w:vAlign w:val="center"/>
          </w:tcPr>
          <w:p>
            <w:pPr>
              <w:pStyle w:val="TableContents"/>
              <w:bidi w:val="0"/>
              <w:spacing w:before="0" w:after="0"/>
              <w:ind w:left="0" w:right="0" w:hanging="0"/>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r>
      <w:tr>
        <w:trPr/>
        <w:tc>
          <w:tcPr>
            <w:tcW w:w="1872"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Operating income (loss)</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1,842,066</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183,768</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(51,187)</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3,929</w:t>
            </w:r>
          </w:p>
        </w:tc>
        <w:tc>
          <w:tcPr>
            <w:tcW w:w="32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(429,506)</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1,549,070</w:t>
            </w:r>
          </w:p>
        </w:tc>
      </w:tr>
      <w:tr>
        <w:trPr/>
        <w:tc>
          <w:tcPr>
            <w:tcW w:w="187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1027" w:type="dxa"/>
            <w:tcBorders/>
            <w:shd w:fill="CCEEFF" w:val="clear"/>
            <w:vAlign w:val="center"/>
          </w:tcPr>
          <w:p>
            <w:pPr>
              <w:pStyle w:val="TableContents"/>
              <w:bidi w:val="0"/>
              <w:spacing w:before="0" w:after="0"/>
              <w:ind w:left="0" w:right="0" w:hanging="0"/>
              <w:jc w:val="left"/>
              <w:rPr/>
            </w:pPr>
            <w:r>
              <w:rPr/>
              <w:t>​</w:t>
            </w:r>
          </w:p>
        </w:tc>
      </w:tr>
      <w:tr>
        <w:trPr/>
        <w:tc>
          <w:tcPr>
            <w:tcW w:w="18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other income (expense),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54,311</w:t>
            </w:r>
          </w:p>
        </w:tc>
      </w:tr>
      <w:tr>
        <w:trPr/>
        <w:tc>
          <w:tcPr>
            <w:tcW w:w="187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18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provision for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1,603,381</w:t>
            </w:r>
          </w:p>
        </w:tc>
      </w:tr>
      <w:tr>
        <w:trPr/>
        <w:tc>
          <w:tcPr>
            <w:tcW w:w="187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1027" w:type="dxa"/>
            <w:tcBorders/>
            <w:shd w:fill="CCEEFF" w:val="clear"/>
            <w:vAlign w:val="center"/>
          </w:tcPr>
          <w:p>
            <w:pPr>
              <w:pStyle w:val="TableContents"/>
              <w:bidi w:val="0"/>
              <w:spacing w:before="0" w:after="0"/>
              <w:ind w:left="0" w:right="0" w:hanging="0"/>
              <w:jc w:val="left"/>
              <w:rPr/>
            </w:pPr>
            <w:r>
              <w:rPr/>
              <w:t>​</w:t>
            </w:r>
          </w:p>
        </w:tc>
      </w:tr>
      <w:tr>
        <w:trPr/>
        <w:tc>
          <w:tcPr>
            <w:tcW w:w="18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39,043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9,119</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7"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59,822</w:t>
            </w:r>
          </w:p>
        </w:tc>
      </w:tr>
    </w:tbl>
    <w:p>
      <w:pPr>
        <w:pStyle w:val="TextBody"/>
        <w:bidi w:val="0"/>
        <w:spacing w:before="0" w:after="0"/>
        <w:ind w:left="0" w:right="0" w:hanging="0"/>
        <w:jc w:val="left"/>
        <w:rPr/>
      </w:pPr>
      <w:r>
        <w:rPr/>
        <w:t>​</w:t>
      </w:r>
    </w:p>
    <w:p>
      <w:pPr>
        <w:pStyle w:val="TextBody"/>
        <w:bidi w:val="0"/>
        <w:spacing w:lineRule="auto" w:line="240" w:before="0" w:after="240"/>
        <w:ind w:left="0" w:right="0" w:hanging="0"/>
        <w:jc w:val="both"/>
        <w:rPr>
          <w:rFonts w:ascii="Times New Roman;Times;serif" w:hAnsi="Times New Roman;Times;serif"/>
          <w:sz w:val="18"/>
        </w:rPr>
      </w:pPr>
      <w:r>
        <w:rPr>
          <w:rFonts w:ascii="Times New Roman;Times;serif" w:hAnsi="Times New Roman;Times;serif"/>
          <w:i/>
          <w:sz w:val="14"/>
        </w:rPr>
        <w:t>1</w:t>
      </w:r>
      <w:r>
        <w:rPr>
          <w:rFonts w:ascii="Times New Roman;Times;serif" w:hAnsi="Times New Roman;Times;serif"/>
          <w:i/>
          <w:sz w:val="18"/>
        </w:rPr>
        <w:t>For the Monster Energy® Drinks segment, includes $29.9</w:t>
      </w:r>
      <w:r>
        <w:rPr>
          <w:rFonts w:ascii="Times New Roman;Times;serif" w:hAnsi="Times New Roman;Times;serif"/>
          <w:sz w:val="18"/>
        </w:rPr>
        <w:t xml:space="preserve"> </w:t>
      </w:r>
      <w:r>
        <w:rPr>
          <w:rFonts w:ascii="Times New Roman;Times;serif" w:hAnsi="Times New Roman;Times;serif"/>
          <w:i/>
          <w:sz w:val="18"/>
        </w:rPr>
        <w:t>million related to the recognition of deferred revenue.</w:t>
      </w:r>
    </w:p>
    <w:p>
      <w:pPr>
        <w:pStyle w:val="TextBody"/>
        <w:bidi w:val="0"/>
        <w:spacing w:lineRule="auto" w:line="240" w:before="0" w:after="0"/>
        <w:ind w:left="0" w:right="0" w:hanging="0"/>
        <w:jc w:val="both"/>
        <w:rPr>
          <w:rFonts w:ascii="Times New Roman;Times;serif" w:hAnsi="Times New Roman;Times;serif"/>
          <w:sz w:val="18"/>
        </w:rPr>
      </w:pPr>
      <w:r>
        <w:rPr>
          <w:rFonts w:ascii="Times New Roman;Times;serif" w:hAnsi="Times New Roman;Times;serif"/>
          <w:i/>
          <w:sz w:val="14"/>
        </w:rPr>
        <w:t>2</w:t>
      </w:r>
      <w:r>
        <w:rPr>
          <w:rFonts w:ascii="Times New Roman;Times;serif" w:hAnsi="Times New Roman;Times;serif"/>
          <w:i/>
          <w:sz w:val="18"/>
        </w:rPr>
        <w:t>Other segment items for each reportable segment include:</w:t>
      </w:r>
    </w:p>
    <w:p>
      <w:pPr>
        <w:pStyle w:val="TextBody"/>
        <w:bidi w:val="0"/>
        <w:spacing w:before="0" w:after="0"/>
        <w:ind w:left="0" w:right="0" w:firstLine="216"/>
        <w:jc w:val="both"/>
        <w:rPr>
          <w:rFonts w:ascii="Times New Roman;Times;serif" w:hAnsi="Times New Roman;Times;serif"/>
          <w:i/>
          <w:sz w:val="18"/>
        </w:rPr>
      </w:pPr>
      <w:r>
        <w:rPr>
          <w:rFonts w:ascii="Times New Roman;Times;serif" w:hAnsi="Times New Roman;Times;serif"/>
          <w:i/>
          <w:sz w:val="18"/>
        </w:rPr>
        <w:t>Monster Energy® Drinks - travel and entertainment expense, and certain overhead expenses</w:t>
      </w:r>
    </w:p>
    <w:p>
      <w:pPr>
        <w:pStyle w:val="TextBody"/>
        <w:bidi w:val="0"/>
        <w:spacing w:before="0" w:after="0"/>
        <w:ind w:left="0" w:right="0" w:firstLine="216"/>
        <w:jc w:val="both"/>
        <w:rPr>
          <w:rFonts w:ascii="Times New Roman;Times;serif" w:hAnsi="Times New Roman;Times;serif"/>
          <w:i/>
          <w:sz w:val="18"/>
        </w:rPr>
      </w:pPr>
      <w:r>
        <w:rPr>
          <w:rFonts w:ascii="Times New Roman;Times;serif" w:hAnsi="Times New Roman;Times;serif"/>
          <w:i/>
          <w:sz w:val="18"/>
        </w:rPr>
        <w:t>Strategic Brands - travel and entertainment expense, and certain overhead expenses</w:t>
      </w:r>
    </w:p>
    <w:p>
      <w:pPr>
        <w:pStyle w:val="TextBody"/>
        <w:pBdr/>
        <w:bidi w:val="0"/>
        <w:spacing w:before="0" w:after="0"/>
        <w:ind w:left="216" w:right="0" w:hanging="144"/>
        <w:jc w:val="both"/>
        <w:rPr>
          <w:rFonts w:ascii="Times New Roman;Times;serif" w:hAnsi="Times New Roman;Times;serif"/>
          <w:i/>
          <w:sz w:val="18"/>
        </w:rPr>
      </w:pPr>
      <w:r>
        <w:rPr>
          <w:rFonts w:ascii="Times New Roman;Times;serif" w:hAnsi="Times New Roman;Times;serif"/>
          <w:i/>
          <w:sz w:val="18"/>
        </w:rPr>
        <w:t>Alcohol Brands - depreciation and amortization expense, travel and entertainment expense, professional services expense, and certain overhead expenses</w:t>
      </w:r>
    </w:p>
    <w:p>
      <w:pPr>
        <w:pStyle w:val="TextBody"/>
        <w:bidi w:val="0"/>
        <w:spacing w:before="0" w:after="240"/>
        <w:ind w:left="0" w:right="0" w:firstLine="216"/>
        <w:jc w:val="both"/>
        <w:rPr>
          <w:rFonts w:ascii="Times New Roman;Times;serif" w:hAnsi="Times New Roman;Times;serif"/>
          <w:i/>
          <w:sz w:val="18"/>
        </w:rPr>
      </w:pPr>
      <w:r>
        <w:rPr>
          <w:rFonts w:ascii="Times New Roman;Times;serif" w:hAnsi="Times New Roman;Times;serif"/>
          <w:i/>
          <w:sz w:val="18"/>
        </w:rPr>
        <w:t>Other - certain overhead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Coca-Cola Europacific Partners accounted for approximately 17% and 15% of the Company’s net sales for the three-months ended September 30, 2025 and 2024, respectively. Coca-Cola Europacific Partners accounted for approximately 15% and 14% of the Company’s net sales for the nine-months ended September 30, 2025 and 2024, respectively.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Coca-Cola Consolidated, Inc. accounted for approximately 9% and </w:t>
      </w:r>
      <w:r>
        <w:rPr>
          <w:rFonts w:ascii="Times New Roman;Times;serif" w:hAnsi="Times New Roman;Times;serif"/>
          <w:color w:val="212529"/>
          <w:sz w:val="20"/>
          <w:shd w:fill="FFFFFF" w:val="clear"/>
        </w:rPr>
        <w:t xml:space="preserve">10% </w:t>
      </w:r>
      <w:r>
        <w:rPr>
          <w:rFonts w:ascii="Times New Roman;Times;serif" w:hAnsi="Times New Roman;Times;serif"/>
          <w:sz w:val="20"/>
        </w:rPr>
        <w:t xml:space="preserve">of the Company’s net sales for the three-months ended September 30, 2025 and 2024, respectively. Coca-Cola Consolidated, Inc. accounted for approximately </w:t>
      </w:r>
      <w:r>
        <w:rPr>
          <w:rFonts w:ascii="Times New Roman;Times;serif" w:hAnsi="Times New Roman;Times;serif"/>
          <w:color w:val="212529"/>
          <w:sz w:val="20"/>
          <w:shd w:fill="FFFFFF" w:val="clear"/>
        </w:rPr>
        <w:t>10% of the Company’s net sales for both the nine-months ended September 30, 2025 and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Reyes Holdings, LLC accounted for approximately 9% of the Company’s net sales for both the three-months ended September 30, 2025 and 2024.</w:t>
      </w:r>
      <w:r>
        <w:rPr>
          <w:rFonts w:ascii="Times New Roman;Times;serif" w:hAnsi="Times New Roman;Times;serif"/>
          <w:color w:val="212529"/>
          <w:sz w:val="20"/>
        </w:rPr>
        <w:t xml:space="preserve"> Reyes Holdings, LLC accounted for approximately 9% of the Company’s net sales for both the nine-months ended September 30, 2025 and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to customers outside the United States amounted to $937.1 million and $760.1 million for the three-months ended September 30, 2025 and 2024, respectively. Such sales were approximately 43% and 40% of net sales for the three-months ended September 30, 2025 and 2024, respectively. Net sales to customers outside the United States amounted to $2.53 billion and $2.25 billion for the nine-months ended September 30, 2025 and 2024, respectively. Such sales were approximately 41% and 40% of net sales for the nine-months ended September 30, 2025 and 2024,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bookmarkStart w:id="1923" w:name="Tc_ORbGVOTjSkKe8GnQorR31g_8_5"/>
      <w:bookmarkStart w:id="1924" w:name="Tc_47RaSwat6EetocslwtekSA_8_2"/>
      <w:bookmarkStart w:id="1925" w:name="Tc_uTi4mKV0aUCTS5WcJnmEYA_7_6"/>
      <w:bookmarkStart w:id="1926" w:name="Tc_RK9mu2ySvUavU72XZDUkUw_7_3"/>
      <w:bookmarkStart w:id="1927" w:name="Tc_elbyBGS4JkmRzHZdZ_mtGw_7_0"/>
      <w:bookmarkStart w:id="1928" w:name="Tc_4dz54wuwWEyKQCDjwJ_5lA_6_0"/>
      <w:bookmarkStart w:id="1929" w:name="Tc_n5BezwIFbku3Jy9vKaghXw_5_0"/>
      <w:bookmarkStart w:id="1930" w:name="Tc_wFVqcyyjYUi-RmSRooyzZw_4_5"/>
      <w:bookmarkStart w:id="1931" w:name="Tc_p1Lk2-kjmkS83yuqDenl_A_4_2"/>
      <w:bookmarkStart w:id="1932" w:name="Tc_9M4u9iOuiUG6prEBU3SSgg_4_0"/>
      <w:bookmarkStart w:id="1933" w:name="Tc_qKbKv-jn90eA6-EjxR57_g_3_0"/>
      <w:bookmarkStart w:id="1934" w:name="Tc_7GKA93PmY0ygGvvJIg8VQQ_2_5"/>
      <w:bookmarkStart w:id="1935" w:name="Tc_GKszIJ1yyEu3aCd1B1Sazg_2_2"/>
      <w:bookmarkStart w:id="1936" w:name="Tc_NpUWYFhTt0Sny_ZZkkWwbg_1_5"/>
      <w:bookmarkStart w:id="1937" w:name="Tc_KrQkGnvLX0qiafK1p8nt9A_1_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r>
        <w:rPr>
          <w:rFonts w:ascii="Times New Roman;Times;serif" w:hAnsi="Times New Roman;Times;serif"/>
          <w:sz w:val="20"/>
        </w:rPr>
        <w:t>Goodwill and other intangible assets for the Company’s reportable segments were as follows at:</w:t>
      </w:r>
    </w:p>
    <w:p>
      <w:pPr>
        <w:pStyle w:val="TextBody"/>
        <w:bidi w:val="0"/>
        <w:spacing w:before="0" w:after="0"/>
        <w:ind w:left="0" w:right="0" w:hanging="0"/>
        <w:jc w:val="left"/>
        <w:rPr/>
      </w:pPr>
      <w:r>
        <w:rPr/>
        <w:t>​</w:t>
      </w:r>
    </w:p>
    <w:tbl>
      <w:tblPr>
        <w:tblW w:w="6413" w:type="dxa"/>
        <w:jc w:val="left"/>
        <w:tblInd w:w="0" w:type="dxa"/>
        <w:tblLayout w:type="fixed"/>
        <w:tblCellMar>
          <w:top w:w="0" w:type="dxa"/>
          <w:left w:w="0" w:type="dxa"/>
          <w:bottom w:w="0" w:type="dxa"/>
          <w:right w:w="0" w:type="dxa"/>
        </w:tblCellMar>
      </w:tblPr>
      <w:tblGrid>
        <w:gridCol w:w="3151"/>
        <w:gridCol w:w="326"/>
        <w:gridCol w:w="240"/>
        <w:gridCol w:w="1065"/>
        <w:gridCol w:w="326"/>
        <w:gridCol w:w="220"/>
        <w:gridCol w:w="1085"/>
      </w:tblGrid>
      <w:tr>
        <w:trPr/>
        <w:tc>
          <w:tcPr>
            <w:tcW w:w="3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000885" cy="175260"/>
                      <wp:effectExtent l="0" t="0" r="0" b="0"/>
                      <wp:wrapNone/>
                      <wp:docPr id="404" name="Frame404"/>
                      <a:graphic xmlns:a="http://schemas.openxmlformats.org/drawingml/2006/main">
                        <a:graphicData uri="http://schemas.microsoft.com/office/word/2010/wordprocessingShape">
                          <wps:wsp>
                            <wps:cNvSpPr txBox="1"/>
                            <wps:spPr>
                              <a:xfrm>
                                <a:off x="0" y="0"/>
                                <a:ext cx="200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07010" cy="175260"/>
                      <wp:effectExtent l="0" t="0" r="0" b="0"/>
                      <wp:wrapNone/>
                      <wp:docPr id="405" name="Frame4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52400" cy="175260"/>
                      <wp:effectExtent l="0" t="0" r="0" b="0"/>
                      <wp:wrapNone/>
                      <wp:docPr id="406" name="Frame406"/>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676275" cy="175260"/>
                      <wp:effectExtent l="0" t="0" r="0" b="0"/>
                      <wp:wrapNone/>
                      <wp:docPr id="407" name="Frame407"/>
                      <a:graphic xmlns:a="http://schemas.openxmlformats.org/drawingml/2006/main">
                        <a:graphicData uri="http://schemas.microsoft.com/office/word/2010/wordprocessingShape">
                          <wps:wsp>
                            <wps:cNvSpPr txBox="1"/>
                            <wps:spPr>
                              <a:xfrm>
                                <a:off x="0" y="0"/>
                                <a:ext cx="676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07010" cy="175260"/>
                      <wp:effectExtent l="0" t="0" r="0" b="0"/>
                      <wp:wrapNone/>
                      <wp:docPr id="408" name="Frame4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139700" cy="175260"/>
                      <wp:effectExtent l="0" t="0" r="0" b="0"/>
                      <wp:wrapNone/>
                      <wp:docPr id="409" name="Frame409"/>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88975" cy="175260"/>
                      <wp:effectExtent l="0" t="0" r="0" b="0"/>
                      <wp:wrapNone/>
                      <wp:docPr id="410" name="Frame410"/>
                      <a:graphic xmlns:a="http://schemas.openxmlformats.org/drawingml/2006/main">
                        <a:graphicData uri="http://schemas.microsoft.com/office/word/2010/wordprocessingShape">
                          <wps:wsp>
                            <wps:cNvSpPr txBox="1"/>
                            <wps:spPr>
                              <a:xfrm>
                                <a:off x="0" y="0"/>
                                <a:ext cx="688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 </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31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and other intangible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1085" w:type="dxa"/>
            <w:tcBorders/>
            <w:shd w:fill="CCEEFF" w:val="clear"/>
            <w:vAlign w:val="center"/>
          </w:tcPr>
          <w:p>
            <w:pPr>
              <w:pStyle w:val="TableContents"/>
              <w:bidi w:val="0"/>
              <w:spacing w:before="0" w:after="0"/>
              <w:ind w:left="0" w:right="0" w:hanging="0"/>
              <w:jc w:val="right"/>
              <w:rPr/>
            </w:pPr>
            <w:r>
              <w:rPr/>
              <w:t>​</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1,715,964</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1,703,256</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 </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982,408</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10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982,035</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Brands</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52,577</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10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60,604</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1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2,750,949</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2,745,895</w:t>
            </w:r>
          </w:p>
        </w:tc>
      </w:tr>
    </w:tbl>
    <w:p>
      <w:pPr>
        <w:pStyle w:val="TextBody"/>
        <w:pBdr/>
        <w:bidi w:val="0"/>
        <w:spacing w:before="0" w:after="0"/>
        <w:ind w:left="0" w:right="0" w:hanging="720"/>
        <w:jc w:val="left"/>
        <w:rPr/>
      </w:pPr>
      <w:r>
        <w:rPr/>
        <w:t>​</w:t>
      </w:r>
    </w:p>
    <w:p>
      <w:pPr>
        <w:pStyle w:val="TextBody"/>
        <w:pBdr/>
        <w:bidi w:val="0"/>
        <w:spacing w:before="0" w:after="0"/>
        <w:ind w:left="0" w:right="0" w:hanging="720"/>
        <w:jc w:val="left"/>
        <w:rPr/>
      </w:pPr>
      <w:r>
        <w:rPr/>
        <w:t>​</w:t>
      </w:r>
    </w:p>
    <w:p>
      <w:pPr>
        <w:pStyle w:val="Normal"/>
        <w:bidi w:val="0"/>
        <w:spacing w:before="0" w:after="0"/>
        <w:jc w:val="left"/>
        <w:rPr>
          <w:sz w:val="4"/>
          <w:szCs w:val="4"/>
        </w:rPr>
      </w:pPr>
      <w:r>
        <w:rPr>
          <w:sz w:val="4"/>
          <w:szCs w:val="4"/>
        </w:rPr>
      </w:r>
      <w:bookmarkStart w:id="1938" w:name="Tc_gnoeh71kIEKF6daGL-bVyg_6_5"/>
      <w:bookmarkStart w:id="1939" w:name="Tc_HiRhsEeRXUO8Ilw25xcvGA_6_2"/>
      <w:bookmarkStart w:id="1940" w:name="Tc_o1bSrKsg2k-bcAhQz7XtPA_6_0"/>
      <w:bookmarkStart w:id="1941" w:name="Tc_KnDczUYzikiObRcTeKgGHA_5_5"/>
      <w:bookmarkStart w:id="1942" w:name="Tc_aN--bBCF2kKrxMdB9VkaHw_5_2"/>
      <w:bookmarkStart w:id="1943" w:name="Tc_X69tDoLSfEmxQkF9RFAVUA_5_0"/>
      <w:bookmarkStart w:id="1944" w:name="Tc_Sd-wHGH3MUK8bf3V6XvRwg_4_5"/>
      <w:bookmarkStart w:id="1945" w:name="Tc_65CPxPfWk0GYeUL61Mg25w_4_2"/>
      <w:bookmarkStart w:id="1946" w:name="Tc_JmQ8dbrYgUWQ1oarHZtUPg_4_0"/>
      <w:bookmarkStart w:id="1947" w:name="Tc_NYIK7H4aMEuds9ltBkjlig_3_5"/>
      <w:bookmarkStart w:id="1948" w:name="Tc_ZwZWIbhKZ0ufXuKlR6Mepg_3_2"/>
      <w:bookmarkStart w:id="1949" w:name="Tc_-1QL-TaXoUiFjBZNTeeSKw_3_0"/>
      <w:bookmarkStart w:id="1950" w:name="Tc_TquGcYoGUkGrk7I3iu8FXg_2_5"/>
      <w:bookmarkStart w:id="1951" w:name="Tc_0vpNlzJQp0mp42l4Ix2SVA_2_2"/>
      <w:bookmarkStart w:id="1952" w:name="Tc_MttHnJ9uGk2qVkBBEIWHsA_1_5"/>
      <w:bookmarkStart w:id="1953" w:name="Tc_7FAqYsf2p0-0wiTeKinrig_1_2"/>
      <w:bookmarkStart w:id="1954" w:name="Tc_gnoeh71kIEKF6daGL-bVyg_6_5"/>
      <w:bookmarkStart w:id="1955" w:name="Tc_HiRhsEeRXUO8Ilw25xcvGA_6_2"/>
      <w:bookmarkStart w:id="1956" w:name="Tc_o1bSrKsg2k-bcAhQz7XtPA_6_0"/>
      <w:bookmarkStart w:id="1957" w:name="Tc_KnDczUYzikiObRcTeKgGHA_5_5"/>
      <w:bookmarkStart w:id="1958" w:name="Tc_aN--bBCF2kKrxMdB9VkaHw_5_2"/>
      <w:bookmarkStart w:id="1959" w:name="Tc_X69tDoLSfEmxQkF9RFAVUA_5_0"/>
      <w:bookmarkStart w:id="1960" w:name="Tc_Sd-wHGH3MUK8bf3V6XvRwg_4_5"/>
      <w:bookmarkStart w:id="1961" w:name="Tc_65CPxPfWk0GYeUL61Mg25w_4_2"/>
      <w:bookmarkStart w:id="1962" w:name="Tc_JmQ8dbrYgUWQ1oarHZtUPg_4_0"/>
      <w:bookmarkStart w:id="1963" w:name="Tc_NYIK7H4aMEuds9ltBkjlig_3_5"/>
      <w:bookmarkStart w:id="1964" w:name="Tc_ZwZWIbhKZ0ufXuKlR6Mepg_3_2"/>
      <w:bookmarkStart w:id="1965" w:name="Tc_-1QL-TaXoUiFjBZNTeeSKw_3_0"/>
      <w:bookmarkStart w:id="1966" w:name="Tc_TquGcYoGUkGrk7I3iu8FXg_2_5"/>
      <w:bookmarkStart w:id="1967" w:name="Tc_0vpNlzJQp0mp42l4Ix2SVA_2_2"/>
      <w:bookmarkStart w:id="1968" w:name="Tc_MttHnJ9uGk2qVkBBEIWHsA_1_5"/>
      <w:bookmarkStart w:id="1969" w:name="Tc_7FAqYsf2p0-0wiTeKinrig_1_2"/>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p>
    <w:tbl>
      <w:tblPr>
        <w:tblW w:w="3587" w:type="dxa"/>
        <w:jc w:val="left"/>
        <w:tblInd w:w="0" w:type="dxa"/>
        <w:tblLayout w:type="fixed"/>
        <w:tblCellMar>
          <w:top w:w="0" w:type="dxa"/>
          <w:left w:w="0" w:type="dxa"/>
          <w:bottom w:w="0" w:type="dxa"/>
          <w:right w:w="0" w:type="dxa"/>
        </w:tblCellMar>
      </w:tblPr>
      <w:tblGrid>
        <w:gridCol w:w="376"/>
        <w:gridCol w:w="3211"/>
      </w:tblGrid>
      <w:tr>
        <w:trPr/>
        <w:tc>
          <w:tcPr>
            <w:tcW w:w="3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17.</w:t>
            </w:r>
          </w:p>
        </w:tc>
        <w:tc>
          <w:tcPr>
            <w:tcW w:w="321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RELATED PARTY TRANSACTIONS</w:t>
            </w:r>
          </w:p>
        </w:tc>
      </w:tr>
    </w:tbl>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TCCC controls approximately 20.9% of the voting interests of the Company. The TCCC Subsidiaries, the TCCC Related Parties and certain TCCC independent bottlers, purchase and distribute the Company’s products in domestic and certain international markets. The Company also pays TCCC a commission based on certain sales within the TCCC distribution network.</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TCCC commissions, based on sales to the TCCC Subsidiaries and the TCCC Related Parties, were $32.0 million and $25.5 million for the three-months ended September 30, 2025 and 2024, respectively, and are included as a reduction to net sales.</w:t>
      </w:r>
      <w:r>
        <w:rPr>
          <w:rFonts w:ascii="Times New Roman;Times;serif" w:hAnsi="Times New Roman;Times;serif"/>
          <w:color w:val="212529"/>
          <w:sz w:val="20"/>
        </w:rPr>
        <w:t xml:space="preserve"> TCCC commissions, based on sales to the TCCC Subsidiaries and the TCCC Related Parties, were $87.4 million and $67.8 million for the nine-months ended September 30, 2025 and 2024, respectively, and are included as a reduction to net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TCCC commissions, based on sales to TCCC independent bottlers, were $12.1 million and $9.9 million for the three-months ended September 30, 2025 and 2024, respectively, and are included in operating expenses.</w:t>
      </w:r>
      <w:r>
        <w:rPr>
          <w:rFonts w:ascii="Times New Roman;Times;serif" w:hAnsi="Times New Roman;Times;serif"/>
          <w:color w:val="212529"/>
          <w:sz w:val="20"/>
          <w:shd w:fill="FFFFFF" w:val="clear"/>
        </w:rPr>
        <w:t xml:space="preserve"> </w:t>
      </w:r>
      <w:r>
        <w:rPr>
          <w:rFonts w:ascii="Times New Roman;Times;serif" w:hAnsi="Times New Roman;Times;serif"/>
          <w:color w:val="212529"/>
          <w:sz w:val="20"/>
        </w:rPr>
        <w:t>TCCC commissions, based on sales to TCCC independent bottlers, were $33.4 million and $28.3 million for the nine-months ended September 30, 2025 and 2024, respectively, and are included in operating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to the TCCC Subsidiaries for the three-months ended September 30, 2025 and 2024 were $65.2 million and $54.1 million, respectively.</w:t>
      </w:r>
      <w:r>
        <w:rPr>
          <w:rFonts w:ascii="Times New Roman;Times;serif" w:hAnsi="Times New Roman;Times;serif"/>
          <w:color w:val="212529"/>
          <w:sz w:val="20"/>
          <w:shd w:fill="FFFFFF" w:val="clear"/>
        </w:rPr>
        <w:t xml:space="preserve"> Net sales to the TCCC Subsidiaries for the nine-months ended September 30, 2025 and 2024 were $184.3 million and $151.3 million,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also purchases concentrates from TCCC which are then sold to certain of the Company’s bottlers/distributors. Concentrate purchases from TCCC were $6.9 million and $7.4 million for the three-months ended September 30, 2025 and 2024, respectively. </w:t>
      </w:r>
      <w:r>
        <w:rPr>
          <w:rFonts w:ascii="Times New Roman;Times;serif" w:hAnsi="Times New Roman;Times;serif"/>
          <w:color w:val="212529"/>
          <w:sz w:val="20"/>
        </w:rPr>
        <w:t>Concentrate purchases from TCCC were $20.1 million and $22.2 million for the nine-months ended September 30, 2025 and 2024,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Certain TCCC Subsidiaries also contract manufacture certain of the Company’s energy drinks. Such contract manufacturing expenses were $13.0 million and $10.2 million for the three-months ended September 30, 2025 and 2024, respectively.</w:t>
      </w:r>
      <w:r>
        <w:rPr>
          <w:rFonts w:ascii="Times New Roman;Times;serif" w:hAnsi="Times New Roman;Times;serif"/>
          <w:color w:val="212529"/>
          <w:sz w:val="20"/>
        </w:rPr>
        <w:t xml:space="preserve"> Such contract manufacturing expenses were $37.6 million and $28.7 million for the nine-months ended September 30, 2025 and 2024,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Accounts receivable, accounts payable, accrued promotional allowances and accrued liabilities related to the TCCC Subsidiaries were as follows at:</w:t>
      </w:r>
    </w:p>
    <w:p>
      <w:pPr>
        <w:pStyle w:val="TextBody"/>
        <w:bidi w:val="0"/>
        <w:spacing w:before="0" w:after="0"/>
        <w:ind w:left="0" w:right="0" w:hanging="0"/>
        <w:jc w:val="left"/>
        <w:rPr/>
      </w:pPr>
      <w:r>
        <w:rPr/>
        <w:t>​</w:t>
      </w:r>
    </w:p>
    <w:tbl>
      <w:tblPr>
        <w:tblW w:w="6053" w:type="dxa"/>
        <w:jc w:val="left"/>
        <w:tblInd w:w="0" w:type="dxa"/>
        <w:tblLayout w:type="fixed"/>
        <w:tblCellMar>
          <w:top w:w="0" w:type="dxa"/>
          <w:left w:w="0" w:type="dxa"/>
          <w:bottom w:w="0" w:type="dxa"/>
          <w:right w:w="0" w:type="dxa"/>
        </w:tblCellMar>
      </w:tblPr>
      <w:tblGrid>
        <w:gridCol w:w="2791"/>
        <w:gridCol w:w="326"/>
        <w:gridCol w:w="277"/>
        <w:gridCol w:w="1028"/>
        <w:gridCol w:w="326"/>
        <w:gridCol w:w="265"/>
        <w:gridCol w:w="1040"/>
      </w:tblGrid>
      <w:tr>
        <w:trPr/>
        <w:tc>
          <w:tcPr>
            <w:tcW w:w="2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1772285" cy="175260"/>
                      <wp:effectExtent l="0" t="0" r="0" b="0"/>
                      <wp:wrapNone/>
                      <wp:docPr id="411" name="Frame411"/>
                      <a:graphic xmlns:a="http://schemas.openxmlformats.org/drawingml/2006/main">
                        <a:graphicData uri="http://schemas.microsoft.com/office/word/2010/wordprocessingShape">
                          <wps:wsp>
                            <wps:cNvSpPr txBox="1"/>
                            <wps:spPr>
                              <a:xfrm>
                                <a:off x="0" y="0"/>
                                <a:ext cx="177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07010" cy="175260"/>
                      <wp:effectExtent l="0" t="0" r="0" b="0"/>
                      <wp:wrapNone/>
                      <wp:docPr id="412" name="Frame4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175895" cy="175260"/>
                      <wp:effectExtent l="0" t="0" r="0" b="0"/>
                      <wp:wrapNone/>
                      <wp:docPr id="413" name="Frame413"/>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652780" cy="175260"/>
                      <wp:effectExtent l="0" t="0" r="0" b="0"/>
                      <wp:wrapNone/>
                      <wp:docPr id="414" name="Frame414"/>
                      <a:graphic xmlns:a="http://schemas.openxmlformats.org/drawingml/2006/main">
                        <a:graphicData uri="http://schemas.microsoft.com/office/word/2010/wordprocessingShape">
                          <wps:wsp>
                            <wps:cNvSpPr txBox="1"/>
                            <wps:spPr>
                              <a:xfrm>
                                <a:off x="0" y="0"/>
                                <a:ext cx="652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07010" cy="175260"/>
                      <wp:effectExtent l="0" t="0" r="0" b="0"/>
                      <wp:wrapNone/>
                      <wp:docPr id="415" name="Frame4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168275" cy="175260"/>
                      <wp:effectExtent l="0" t="0" r="0" b="0"/>
                      <wp:wrapNone/>
                      <wp:docPr id="416" name="Frame416"/>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660400" cy="175260"/>
                      <wp:effectExtent l="0" t="0" r="0" b="0"/>
                      <wp:wrapNone/>
                      <wp:docPr id="417" name="Frame417"/>
                      <a:graphic xmlns:a="http://schemas.openxmlformats.org/drawingml/2006/main">
                        <a:graphicData uri="http://schemas.microsoft.com/office/word/2010/wordprocessingShape">
                          <wps:wsp>
                            <wps:cNvSpPr txBox="1"/>
                            <wps:spPr>
                              <a:xfrm>
                                <a:off x="0" y="0"/>
                                <a:ext cx="660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 </w:t>
            </w:r>
          </w:p>
        </w:tc>
        <w:tc>
          <w:tcPr>
            <w:tcW w:w="32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2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160,827</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112,686</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(39,301)</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(29,095)</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promotional allowances</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(22,178)</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(16,914)</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(59,480)</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(22,595)</w:t>
            </w:r>
          </w:p>
        </w:tc>
      </w:tr>
    </w:tbl>
    <w:p>
      <w:pPr>
        <w:pStyle w:val="TextBody"/>
        <w:pBdr/>
        <w:bidi w:val="0"/>
        <w:spacing w:before="0" w:after="0"/>
        <w:ind w:left="0" w:right="0" w:hanging="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One director of the Company through certain trusts, and a family member of one director have ownership interests in a company that provides promotional materials to the Company. Expenses incurred with such company in connection with promotional materials purchased during the three-months ended September 30, 2025 and 2024 were $1.3 million and $1.5 million, respectively.</w:t>
      </w:r>
      <w:r>
        <w:rPr>
          <w:rFonts w:ascii="Times New Roman;Times;serif" w:hAnsi="Times New Roman;Times;serif"/>
          <w:color w:val="212529"/>
          <w:sz w:val="20"/>
        </w:rPr>
        <w:t xml:space="preserve"> Expenses incurred with such company in connection with promotional materials purchased during the nine-months ended September 30, 2025 and 2024 were $4.8 million and $5.1 million,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occasionally charters a private aircraft that is indirectly owned by Mr. Rodney C. Sacks, Chairman of the Board of Directors. On certain occasions, Mr. Sacks is accompanied by guests and other Company personnel when using such aircraft for business travel. During the three-months ended September 30, 2025, the Company incurred no expenses in relation to the aircraft. During the three - months ended September 30, 2024, the Company incurred expenses of $0.02 million in relation to the aircraft. During the nine-months ended September 30, 2025 and 2024, the Company incurred expenses of $0.06 million and $0.04 million, respectively, in relation to the aircraft.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December 2018, the Company and a director of the Company entered into a 50-50 partnership that purchased land, and real property thereon, in Kona, Hawaii for the purpose of producing coffee products. In October 2023, the partnership made a special, one-time distribution to each of the partners, reflecting the amount of their initial capital contributions. This partnership meets the definition of a Variable Interest Entity (“VIE”) for which the Company has determined that it is the primary beneficiary. Therefore, the Company consolidates the VIE in the accompanying consolidated financial statements. The aggregate carrying values of the VIE’s assets and liabilities, after elimination of any intercompany transactions and balances, as well as the results of operations for all periods presented, are not material to the Company’s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970" w:name="ITEM2MANAGEMENTSDISCUSSIONANDANALYSIS_40"/>
      <w:bookmarkStart w:id="1971" w:name="_9b208205_c1f3_47c6_b63b_9547455d103d"/>
      <w:bookmarkEnd w:id="1970"/>
      <w:bookmarkEnd w:id="1971"/>
      <w:r>
        <w:rPr>
          <w:rFonts w:ascii="Times New Roman;Times;serif" w:hAnsi="Times New Roman;Times;serif"/>
          <w:b/>
          <w:sz w:val="20"/>
        </w:rPr>
        <w:t>ITEM 2.  MANAGEMENT’S DISCUSSION AND ANALYSIS OF FINANCIAL CONDITION AND RESULTS</w:t>
      </w:r>
      <w:r>
        <w:rPr>
          <w:rFonts w:ascii="Times New Roman;Times;serif" w:hAnsi="Times New Roman;Times;serif"/>
          <w:sz w:val="20"/>
        </w:rPr>
        <w:t xml:space="preserve"> </w:t>
      </w:r>
      <w:r>
        <w:rPr>
          <w:rFonts w:ascii="Times New Roman;Times;serif" w:hAnsi="Times New Roman;Times;serif"/>
          <w:b/>
          <w:sz w:val="20"/>
        </w:rPr>
        <w:t>OF OPERATIONS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When this report uses the words “the Company”, “we”, “us”, and “our”, these words refer to Monster Beverage Corporation and its subsidiaries, unless the context otherwise requires. Based in Corona, California, Monster Beverage Corporation is a holding company and conducts no operating business except through its consolidated subsidiaries. The Company’s subsidiaries primarily develop and market energy drinks, and to a lesser extent, craft beers, flavored malt beverages (“FMBs”) and hard seltzers.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Pricing Actions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implemented price increases in the fourth quarter of 2024 (for core brands and packages) in the United States and at various times in certain international markets during 2024 and 2025 (collectively, the “Pricing Actions”). The Pricing Actions positively impacted gross profit margins in 2025 as compared to 2024.</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develop, market, sell and distribute energy drink beverages and concentrates for energy drink beverages, primarily under the following brand names:</w:t>
      </w:r>
    </w:p>
    <w:tbl>
      <w:tblPr>
        <w:tblW w:w="6857" w:type="dxa"/>
        <w:jc w:val="left"/>
        <w:tblInd w:w="0" w:type="dxa"/>
        <w:tblLayout w:type="fixed"/>
        <w:tblCellMar>
          <w:top w:w="0" w:type="dxa"/>
          <w:left w:w="0" w:type="dxa"/>
          <w:bottom w:w="0" w:type="dxa"/>
          <w:right w:w="0" w:type="dxa"/>
        </w:tblCellMar>
      </w:tblPr>
      <w:tblGrid>
        <w:gridCol w:w="3436"/>
        <w:gridCol w:w="3421"/>
      </w:tblGrid>
      <w:tr>
        <w:trPr/>
        <w:tc>
          <w:tcPr>
            <w:tcW w:w="3436" w:type="dxa"/>
            <w:tcBorders/>
            <w:vAlign w:val="center"/>
          </w:tcPr>
          <w:p>
            <w:pPr>
              <w:pStyle w:val="TableContents"/>
              <w:pBdr/>
              <w:bidi w:val="0"/>
              <w:spacing w:before="0" w:after="0"/>
              <w:ind w:left="0" w:right="0" w:hanging="0"/>
              <w:jc w:val="left"/>
              <w:rPr/>
            </w:pPr>
            <w:r>
              <w:rPr/>
              <w:t>●      </w:t>
            </w:r>
            <w:r>
              <w:rPr>
                <w:rFonts w:ascii="Times New Roman;Times;serif" w:hAnsi="Times New Roman;Times;serif"/>
                <w:sz w:val="20"/>
              </w:rPr>
              <w:t>Monster Energy®</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Burn®</w:t>
            </w:r>
          </w:p>
        </w:tc>
      </w:tr>
      <w:tr>
        <w:trPr/>
        <w:tc>
          <w:tcPr>
            <w:tcW w:w="3436" w:type="dxa"/>
            <w:tcBorders/>
            <w:vAlign w:val="center"/>
          </w:tcPr>
          <w:p>
            <w:pPr>
              <w:pStyle w:val="TableContents"/>
              <w:pBdr/>
              <w:bidi w:val="0"/>
              <w:spacing w:before="0" w:after="0"/>
              <w:ind w:left="0" w:right="0" w:hanging="0"/>
              <w:jc w:val="left"/>
              <w:rPr/>
            </w:pPr>
            <w:r>
              <w:rPr/>
              <w:t>●      </w:t>
            </w:r>
            <w:r>
              <w:rPr>
                <w:rFonts w:ascii="Times New Roman;Times;serif" w:hAnsi="Times New Roman;Times;serif"/>
                <w:sz w:val="20"/>
              </w:rPr>
              <w:t>Monster Energy Ultra®</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Mother®</w:t>
            </w:r>
          </w:p>
        </w:tc>
      </w:tr>
      <w:tr>
        <w:trPr/>
        <w:tc>
          <w:tcPr>
            <w:tcW w:w="3436" w:type="dxa"/>
            <w:tcBorders/>
            <w:vAlign w:val="center"/>
          </w:tcPr>
          <w:p>
            <w:pPr>
              <w:pStyle w:val="TableContents"/>
              <w:pBdr/>
              <w:bidi w:val="0"/>
              <w:spacing w:before="0" w:after="0"/>
              <w:ind w:left="0" w:right="0" w:hanging="0"/>
              <w:jc w:val="left"/>
              <w:rPr/>
            </w:pPr>
            <w:r>
              <w:rPr/>
              <w:t>●      </w:t>
            </w:r>
            <w:r>
              <w:rPr>
                <w:rFonts w:ascii="Times New Roman;Times;serif" w:hAnsi="Times New Roman;Times;serif"/>
                <w:sz w:val="20"/>
              </w:rPr>
              <w:t>Rehab Monster®</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Nalu®</w:t>
            </w:r>
          </w:p>
        </w:tc>
      </w:tr>
      <w:tr>
        <w:trPr/>
        <w:tc>
          <w:tcPr>
            <w:tcW w:w="3436" w:type="dxa"/>
            <w:tcBorders/>
            <w:vAlign w:val="center"/>
          </w:tcPr>
          <w:p>
            <w:pPr>
              <w:pStyle w:val="TableContents"/>
              <w:pBdr/>
              <w:bidi w:val="0"/>
              <w:spacing w:before="0" w:after="0"/>
              <w:ind w:left="0" w:right="0" w:hanging="0"/>
              <w:jc w:val="left"/>
              <w:rPr/>
            </w:pPr>
            <w:r>
              <w:rPr/>
              <w:t>●      </w:t>
            </w:r>
            <w:r>
              <w:rPr>
                <w:rFonts w:ascii="Times New Roman;Times;serif" w:hAnsi="Times New Roman;Times;serif"/>
                <w:sz w:val="20"/>
              </w:rPr>
              <w:t>Monster Energy® Nitro</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Ultra Energy®</w:t>
            </w:r>
          </w:p>
        </w:tc>
      </w:tr>
      <w:tr>
        <w:trPr/>
        <w:tc>
          <w:tcPr>
            <w:tcW w:w="3436" w:type="dxa"/>
            <w:tcBorders/>
            <w:vAlign w:val="center"/>
          </w:tcPr>
          <w:p>
            <w:pPr>
              <w:pStyle w:val="TableContents"/>
              <w:pBdr/>
              <w:bidi w:val="0"/>
              <w:spacing w:before="0" w:after="0"/>
              <w:ind w:left="0" w:right="0" w:hanging="0"/>
              <w:jc w:val="left"/>
              <w:rPr/>
            </w:pPr>
            <w:r>
              <w:rPr/>
              <w:t>●      </w:t>
            </w:r>
            <w:r>
              <w:rPr>
                <w:rFonts w:ascii="Times New Roman;Times;serif" w:hAnsi="Times New Roman;Times;serif"/>
                <w:sz w:val="20"/>
              </w:rPr>
              <w:t>Java Monster®</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Play® and Power Play® (stylized)</w:t>
            </w:r>
          </w:p>
        </w:tc>
      </w:tr>
      <w:tr>
        <w:trPr/>
        <w:tc>
          <w:tcPr>
            <w:tcW w:w="3436" w:type="dxa"/>
            <w:tcBorders/>
            <w:vAlign w:val="center"/>
          </w:tcPr>
          <w:p>
            <w:pPr>
              <w:pStyle w:val="TableContents"/>
              <w:pBdr/>
              <w:bidi w:val="0"/>
              <w:spacing w:before="0" w:after="0"/>
              <w:ind w:left="0" w:right="0" w:hanging="0"/>
              <w:jc w:val="left"/>
              <w:rPr/>
            </w:pPr>
            <w:r>
              <w:rPr/>
              <w:t>●      </w:t>
            </w:r>
            <w:r>
              <w:rPr>
                <w:rFonts w:ascii="Times New Roman;Times;serif" w:hAnsi="Times New Roman;Times;serif"/>
                <w:sz w:val="20"/>
              </w:rPr>
              <w:t>Punch Monster®</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Relentless®</w:t>
            </w:r>
          </w:p>
        </w:tc>
      </w:tr>
      <w:tr>
        <w:trPr/>
        <w:tc>
          <w:tcPr>
            <w:tcW w:w="3436" w:type="dxa"/>
            <w:tcBorders/>
            <w:vAlign w:val="center"/>
          </w:tcPr>
          <w:p>
            <w:pPr>
              <w:pStyle w:val="TableContents"/>
              <w:pBdr/>
              <w:bidi w:val="0"/>
              <w:spacing w:before="0" w:after="0"/>
              <w:ind w:left="0" w:right="0" w:hanging="0"/>
              <w:jc w:val="left"/>
              <w:rPr/>
            </w:pPr>
            <w:r>
              <w:rPr/>
              <w:t>●      </w:t>
            </w:r>
            <w:r>
              <w:rPr>
                <w:rFonts w:ascii="Times New Roman;Times;serif" w:hAnsi="Times New Roman;Times;serif"/>
                <w:sz w:val="20"/>
              </w:rPr>
              <w:t>Juice Monster®</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BPM®</w:t>
            </w:r>
          </w:p>
        </w:tc>
      </w:tr>
      <w:tr>
        <w:trPr/>
        <w:tc>
          <w:tcPr>
            <w:tcW w:w="3436" w:type="dxa"/>
            <w:tcBorders/>
            <w:vAlign w:val="center"/>
          </w:tcPr>
          <w:p>
            <w:pPr>
              <w:pStyle w:val="TableContents"/>
              <w:pBdr/>
              <w:bidi w:val="0"/>
              <w:spacing w:before="0" w:after="0"/>
              <w:ind w:left="0" w:right="0" w:hanging="0"/>
              <w:jc w:val="left"/>
              <w:rPr/>
            </w:pPr>
            <w:r>
              <w:rPr/>
              <w:t>●      </w:t>
            </w:r>
            <w:r>
              <w:rPr>
                <w:rFonts w:ascii="Times New Roman;Times;serif" w:hAnsi="Times New Roman;Times;serif"/>
                <w:sz w:val="20"/>
              </w:rPr>
              <w:t>Reign Total Body Fuel®</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BU®</w:t>
            </w:r>
          </w:p>
        </w:tc>
      </w:tr>
      <w:tr>
        <w:trPr/>
        <w:tc>
          <w:tcPr>
            <w:tcW w:w="3436" w:type="dxa"/>
            <w:tcBorders/>
            <w:vAlign w:val="center"/>
          </w:tcPr>
          <w:p>
            <w:pPr>
              <w:pStyle w:val="TableContents"/>
              <w:pBdr/>
              <w:bidi w:val="0"/>
              <w:spacing w:before="0" w:after="0"/>
              <w:ind w:left="0" w:right="0" w:hanging="0"/>
              <w:jc w:val="left"/>
              <w:rPr/>
            </w:pPr>
            <w:r>
              <w:rPr/>
              <w:t>●      </w:t>
            </w:r>
            <w:r>
              <w:rPr>
                <w:rFonts w:ascii="Times New Roman;Times;serif" w:hAnsi="Times New Roman;Times;serif"/>
                <w:sz w:val="20"/>
              </w:rPr>
              <w:t>Reign Inferno® Thermogenic Fuel</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Samurai®</w:t>
            </w:r>
          </w:p>
        </w:tc>
      </w:tr>
      <w:tr>
        <w:trPr/>
        <w:tc>
          <w:tcPr>
            <w:tcW w:w="3436" w:type="dxa"/>
            <w:tcBorders/>
            <w:vAlign w:val="center"/>
          </w:tcPr>
          <w:p>
            <w:pPr>
              <w:pStyle w:val="TableContents"/>
              <w:pBdr/>
              <w:bidi w:val="0"/>
              <w:spacing w:before="0" w:after="0"/>
              <w:ind w:left="0" w:right="0" w:hanging="0"/>
              <w:jc w:val="left"/>
              <w:rPr/>
            </w:pPr>
            <w:r>
              <w:rPr/>
              <w:t>●      </w:t>
            </w:r>
            <w:r>
              <w:rPr>
                <w:rFonts w:ascii="Times New Roman;Times;serif" w:hAnsi="Times New Roman;Times;serif"/>
                <w:sz w:val="20"/>
              </w:rPr>
              <w:t>Reign Storm®</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Live+®</w:t>
            </w:r>
          </w:p>
        </w:tc>
      </w:tr>
      <w:tr>
        <w:trPr/>
        <w:tc>
          <w:tcPr>
            <w:tcW w:w="3436" w:type="dxa"/>
            <w:tcBorders/>
            <w:vAlign w:val="center"/>
          </w:tcPr>
          <w:p>
            <w:pPr>
              <w:pStyle w:val="TableContents"/>
              <w:pBdr/>
              <w:bidi w:val="0"/>
              <w:spacing w:before="0" w:after="0"/>
              <w:ind w:left="0" w:right="0" w:hanging="0"/>
              <w:jc w:val="left"/>
              <w:rPr/>
            </w:pPr>
            <w:r>
              <w:rPr/>
              <w:t>●      </w:t>
            </w:r>
            <w:r>
              <w:rPr>
                <w:rFonts w:ascii="Times New Roman;Times;serif" w:hAnsi="Times New Roman;Times;serif"/>
                <w:sz w:val="20"/>
              </w:rPr>
              <w:t>Bang Energy®</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Predator®</w:t>
            </w:r>
          </w:p>
        </w:tc>
      </w:tr>
      <w:tr>
        <w:trPr/>
        <w:tc>
          <w:tcPr>
            <w:tcW w:w="3436" w:type="dxa"/>
            <w:tcBorders/>
            <w:vAlign w:val="center"/>
          </w:tcPr>
          <w:p>
            <w:pPr>
              <w:pStyle w:val="TableContents"/>
              <w:pBdr/>
              <w:bidi w:val="0"/>
              <w:spacing w:before="0" w:after="0"/>
              <w:ind w:left="0" w:right="0" w:hanging="0"/>
              <w:jc w:val="left"/>
              <w:rPr/>
            </w:pPr>
            <w:r>
              <w:rPr/>
              <w:t>●      </w:t>
            </w:r>
            <w:r>
              <w:rPr>
                <w:rFonts w:ascii="Times New Roman;Times;serif" w:hAnsi="Times New Roman;Times;serif"/>
                <w:sz w:val="20"/>
              </w:rPr>
              <w:t>NOS®</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Fury®</w:t>
            </w:r>
          </w:p>
        </w:tc>
      </w:tr>
      <w:tr>
        <w:trPr/>
        <w:tc>
          <w:tcPr>
            <w:tcW w:w="3436" w:type="dxa"/>
            <w:tcBorders/>
            <w:vAlign w:val="center"/>
          </w:tcPr>
          <w:p>
            <w:pPr>
              <w:pStyle w:val="TableContents"/>
              <w:pBdr/>
              <w:bidi w:val="0"/>
              <w:spacing w:before="0" w:after="0"/>
              <w:ind w:left="0" w:right="0" w:hanging="0"/>
              <w:jc w:val="left"/>
              <w:rPr/>
            </w:pPr>
            <w:r>
              <w:rPr/>
              <w:t>●      </w:t>
            </w:r>
            <w:r>
              <w:rPr>
                <w:rFonts w:ascii="Times New Roman;Times;serif" w:hAnsi="Times New Roman;Times;serif"/>
                <w:sz w:val="20"/>
              </w:rPr>
              <w:t>Full Throttle®</w:t>
            </w:r>
          </w:p>
        </w:tc>
        <w:tc>
          <w:tcPr>
            <w:tcW w:w="342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We also develop, market, sell and distribute craft beers, FMBs and hard seltzers under a number of brands, including Jai Alai® IPA, Florida Man® IPA, Dale’s Pale Ale®, Wild Basin® Hard Seltzers, Dallas Blonde®, Deep Ellum</w:t>
      </w:r>
      <w:r>
        <w:rPr>
          <w:rFonts w:ascii="Times New Roman;Times;serif" w:hAnsi="Times New Roman;Times;serif"/>
          <w:sz w:val="15"/>
        </w:rPr>
        <w:t>TM</w:t>
      </w:r>
      <w:r>
        <w:rPr>
          <w:rFonts w:ascii="Times New Roman;Times;serif" w:hAnsi="Times New Roman;Times;serif"/>
          <w:sz w:val="20"/>
        </w:rPr>
        <w:t xml:space="preserve"> IPA, Perrin Brewing Company® Black Ale, Hop Rising® Double IPA, Wasatch® Apricot Hefeweizen, The Beast</w:t>
      </w:r>
      <w:r>
        <w:rPr>
          <w:rFonts w:ascii="Times New Roman;Times;serif" w:hAnsi="Times New Roman;Times;serif"/>
          <w:sz w:val="15"/>
        </w:rPr>
        <w:t>TM</w:t>
      </w:r>
      <w:r>
        <w:rPr>
          <w:rFonts w:ascii="Times New Roman;Times;serif" w:hAnsi="Times New Roman;Times;serif"/>
          <w:sz w:val="20"/>
        </w:rPr>
        <w:t>, Beast</w:t>
      </w:r>
      <w:r>
        <w:rPr>
          <w:rFonts w:ascii="Times New Roman;Times;serif" w:hAnsi="Times New Roman;Times;serif"/>
          <w:sz w:val="15"/>
        </w:rPr>
        <w:t>TM</w:t>
      </w:r>
      <w:r>
        <w:rPr>
          <w:rFonts w:ascii="Times New Roman;Times;serif" w:hAnsi="Times New Roman;Times;serif"/>
          <w:sz w:val="20"/>
        </w:rPr>
        <w:t xml:space="preserve"> Tea, Blind Lemon®, Blinder Lemon</w:t>
      </w:r>
      <w:r>
        <w:rPr>
          <w:rFonts w:ascii="Times New Roman;Times;serif" w:hAnsi="Times New Roman;Times;serif"/>
          <w:sz w:val="15"/>
        </w:rPr>
        <w:t>TM</w:t>
      </w:r>
      <w:r>
        <w:rPr>
          <w:rFonts w:ascii="Times New Roman;Times;serif" w:hAnsi="Times New Roman;Times;serif"/>
          <w:sz w:val="20"/>
        </w:rPr>
        <w:t>, Michi and a host of other brands.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develop, market, sell and distribute still and sparkling waters under the Monster Tour Water® brand name.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four operating and reportable segments: (i) Monster Energy® Drinks segment (“Monster Energy® Drinks”), which is primarily comprised of our Monster Energy® drinks, Reign Total Body Fuel® high performance energy drinks, Reign Storm® total wellness energy drinks and Bang Energy® drinks, (ii) Strategic Brands segment (“Strategic Brands”), which is primarily comprised of the various energy drink brands acquired from The Coca-Cola Company (“TCCC”) in 2015 as well as our affordable energy brands, Predator® and Fury®, (iii) Alcohol Brands segment (“Alcohol Brands”), which is comprised of various craft beers, FMBs and hard seltzers and (iv) Other segment (“Other”), which is comprised of certain products sold by American Fruits and Flavors LLC, a wholly-owned subsidiary of the Company, to independent third-party customers (the “AFF Third-Party Products”).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three-months ended September 30, 2025, we continued to expand our existing drink portfolio by adding additional products to our portfolio in a number of countries and further developed our distribution markets. During the three-months ended September 30, 2025, we sold the following new products to our customers:</w:t>
      </w:r>
    </w:p>
    <w:tbl>
      <w:tblPr>
        <w:tblW w:w="3711" w:type="dxa"/>
        <w:jc w:val="left"/>
        <w:tblInd w:w="0" w:type="dxa"/>
        <w:tblLayout w:type="fixed"/>
        <w:tblCellMar>
          <w:top w:w="28" w:type="dxa"/>
          <w:left w:w="28" w:type="dxa"/>
          <w:bottom w:w="28" w:type="dxa"/>
          <w:right w:w="28" w:type="dxa"/>
        </w:tblCellMar>
      </w:tblPr>
      <w:tblGrid>
        <w:gridCol w:w="124"/>
        <w:gridCol w:w="256"/>
        <w:gridCol w:w="3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31"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2"/>
              </w:rPr>
              <w:t>Monster Energy® Electric Blue</w:t>
            </w:r>
            <w:r>
              <w:rPr>
                <w:rFonts w:ascii="Times New Roman;Times;serif" w:hAnsi="Times New Roman;Times;serif"/>
                <w:b w:val="false"/>
                <w:i w:val="false"/>
                <w:caps w:val="false"/>
                <w:smallCaps w:val="false"/>
                <w:sz w:val="17"/>
              </w:rPr>
              <w:t>TM</w:t>
            </w:r>
          </w:p>
        </w:tc>
      </w:tr>
    </w:tbl>
    <w:tbl>
      <w:tblPr>
        <w:tblW w:w="4221" w:type="dxa"/>
        <w:jc w:val="left"/>
        <w:tblInd w:w="0" w:type="dxa"/>
        <w:tblLayout w:type="fixed"/>
        <w:tblCellMar>
          <w:top w:w="28" w:type="dxa"/>
          <w:left w:w="28" w:type="dxa"/>
          <w:bottom w:w="28" w:type="dxa"/>
          <w:right w:w="28" w:type="dxa"/>
        </w:tblCellMar>
      </w:tblPr>
      <w:tblGrid>
        <w:gridCol w:w="124"/>
        <w:gridCol w:w="256"/>
        <w:gridCol w:w="38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Monster Energy® Orange Dreamsicle®</w:t>
            </w:r>
          </w:p>
        </w:tc>
      </w:tr>
    </w:tbl>
    <w:tbl>
      <w:tblPr>
        <w:tblW w:w="3996" w:type="dxa"/>
        <w:jc w:val="left"/>
        <w:tblInd w:w="0" w:type="dxa"/>
        <w:tblLayout w:type="fixed"/>
        <w:tblCellMar>
          <w:top w:w="28" w:type="dxa"/>
          <w:left w:w="28" w:type="dxa"/>
          <w:bottom w:w="28" w:type="dxa"/>
          <w:right w:w="28" w:type="dxa"/>
        </w:tblCellMar>
      </w:tblPr>
      <w:tblGrid>
        <w:gridCol w:w="124"/>
        <w:gridCol w:w="256"/>
        <w:gridCol w:w="3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Monster Energy® Ultra Wild Passion</w:t>
            </w:r>
          </w:p>
        </w:tc>
      </w:tr>
    </w:tbl>
    <w:tbl>
      <w:tblPr>
        <w:tblW w:w="2811" w:type="dxa"/>
        <w:jc w:val="left"/>
        <w:tblInd w:w="0" w:type="dxa"/>
        <w:tblLayout w:type="fixed"/>
        <w:tblCellMar>
          <w:top w:w="28" w:type="dxa"/>
          <w:left w:w="28" w:type="dxa"/>
          <w:bottom w:w="28" w:type="dxa"/>
          <w:right w:w="28" w:type="dxa"/>
        </w:tblCellMar>
      </w:tblPr>
      <w:tblGrid>
        <w:gridCol w:w="124"/>
        <w:gridCol w:w="256"/>
        <w:gridCol w:w="2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Mother® White Gummy</w:t>
            </w:r>
          </w:p>
        </w:tc>
      </w:tr>
    </w:tbl>
    <w:tbl>
      <w:tblPr>
        <w:tblW w:w="2571" w:type="dxa"/>
        <w:jc w:val="left"/>
        <w:tblInd w:w="0" w:type="dxa"/>
        <w:tblLayout w:type="fixed"/>
        <w:tblCellMar>
          <w:top w:w="28" w:type="dxa"/>
          <w:left w:w="28" w:type="dxa"/>
          <w:bottom w:w="28" w:type="dxa"/>
          <w:right w:w="28" w:type="dxa"/>
        </w:tblCellMar>
      </w:tblPr>
      <w:tblGrid>
        <w:gridCol w:w="124"/>
        <w:gridCol w:w="256"/>
        <w:gridCol w:w="2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Predator® Wild Berry</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normal course of business, we discontinue certain products and/or product lines. Those products or product lines discontinued in the three-months ended September 30, 2025, either individually or in aggregate, did not have a material adverse impact on our financial position, results of operations or liquidity.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net sales were $2.20 billion for the three-months ended September 30, 2025. Net changes in foreign currency exchange rates had a favorable impact on net sales of approximately $31.8 million for the three-months ended September 30, 2025. Net sales on a foreign currency adjusted basis increased 15.1% for the three-months ended September 30,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vast majority of our net sales are derived from our Monster Energy® Drinks segment. Net sales of our Monster Energy® Drinks segment were $2.03 billion for the three-months ended September 30, 2025. Net sales of our Strategic Brands segment were $130.5 million for the three-months ended September 30, 2025. Net sales of our Alcohol Brands segment were $33.0 million for the three-months ended September 30, 2025. Net sales of our Other segment were $6.8 million for the three-months ended September 30,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Monster Energy® Drinks segment represented 92.3% and 91.6% of our net sales for the three-months ended September 30, 2025 and 2024, respectively. Our Strategic Brands segment represented 5.9% and 6.0% of our net sales for the three-months ended September 30, 2025 and 2024, respectively. Our Alcohol Brands segment represented 1.5% and 2.1% of our net sales for the three-months ended September 30, 2025 and 2024, respectively. Our Other segment represented 0.3% of our net sales for both the three-months ended September 30, 2025 and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growth strategy includes further developing our domestic markets and expanding our international business. Net sales to customers outside the United States were $937.1 million for the three-months ended September 30, 2025, an increase of approximately $177.0 million, or 23.3% higher than net sales to customers outside of the United States of $760.1 million for the three-months ended September 30, 2024. Such sales were approximately 43% and 40% of net sales for the three-months ended September 30, 2025 and 2024, respectively. Net changes in foreign currency exchange rates had a favorable impact on net sales to customers outside of the United States of approximately $31.8 million for the three-months ended September 30, 2025. Net sales to customers outside the United States, on a foreign currency adjusted basis, increased 19.1% for the three-months ended September 30,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to customers outside the United States were $2.53 billion for the nine-months ended September 30, 2025, an increase of approximately $284.3 million, or 12.6% higher than net sales to customers outside of the United States of $2.25 billion for the nine-months ended September 30, 2024. Such sales were approximately 41% and 40% of net sales for the nine-months ended September 30, 2025 and 2024, respectively. Net changes in foreign currency exchange rates had an unfavorable impact on net sales to customers outside of the United States of approximately $30.6 million for the nine-months ended September 30, 2025. Net sales to customers outside the United States, on a foreign currency adjusted basis, increased 14.0% for the nine-months ended September 30,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non-alcohol customers are primarily full service beverage bottlers/distributors, retail grocery and specialty chains, wholesalers, club stores, mass merchandisers, convenience and gas chains, drug stores, foodservice customers, value stores, e-commerce retailers and the military. Our alcohol customers are primarily beer distributors who in turn sell to retailers within the alcohol distribution system. Percentages of our gross billings to our various customer types for the three- and nine-months ended September 30, 2025 and 2024 are reflected below. Such information includes sales made by us directly to the customer types concerned, which include our full service beverage bottlers/distributors in the United States. Such full service beverage bottlers/distributors in turn sell certain of our products to some of the same customer types listed below. We limit our description of our customer types to include only our sales to our full service bottlers/distributors without reference to such bottlers/distributors’ sales to their own customers.</w:t>
      </w:r>
    </w:p>
    <w:tbl>
      <w:tblPr>
        <w:tblW w:w="10205" w:type="dxa"/>
        <w:jc w:val="left"/>
        <w:tblInd w:w="0" w:type="dxa"/>
        <w:tblLayout w:type="fixed"/>
        <w:tblCellMar>
          <w:top w:w="0" w:type="dxa"/>
          <w:left w:w="0" w:type="dxa"/>
          <w:bottom w:w="0" w:type="dxa"/>
          <w:right w:w="0" w:type="dxa"/>
        </w:tblCellMar>
      </w:tblPr>
      <w:tblGrid>
        <w:gridCol w:w="5469"/>
        <w:gridCol w:w="326"/>
        <w:gridCol w:w="691"/>
        <w:gridCol w:w="474"/>
        <w:gridCol w:w="691"/>
        <w:gridCol w:w="361"/>
        <w:gridCol w:w="664"/>
        <w:gridCol w:w="456"/>
        <w:gridCol w:w="664"/>
        <w:gridCol w:w="409"/>
      </w:tblGrid>
      <w:tr>
        <w:trPr/>
        <w:tc>
          <w:tcPr>
            <w:tcW w:w="54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3472815" cy="175260"/>
                      <wp:effectExtent l="0" t="0" r="0" b="0"/>
                      <wp:wrapNone/>
                      <wp:docPr id="418" name="Frame418"/>
                      <a:graphic xmlns:a="http://schemas.openxmlformats.org/drawingml/2006/main">
                        <a:graphicData uri="http://schemas.microsoft.com/office/word/2010/wordprocessingShape">
                          <wps:wsp>
                            <wps:cNvSpPr txBox="1"/>
                            <wps:spPr>
                              <a:xfrm>
                                <a:off x="0" y="0"/>
                                <a:ext cx="3472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07010" cy="175260"/>
                      <wp:effectExtent l="0" t="0" r="0" b="0"/>
                      <wp:wrapNone/>
                      <wp:docPr id="419" name="Frame4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438785" cy="175260"/>
                      <wp:effectExtent l="0" t="0" r="0" b="0"/>
                      <wp:wrapNone/>
                      <wp:docPr id="420" name="Frame42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300990" cy="175260"/>
                      <wp:effectExtent l="0" t="0" r="0" b="0"/>
                      <wp:wrapNone/>
                      <wp:docPr id="421" name="Frame421"/>
                      <a:graphic xmlns:a="http://schemas.openxmlformats.org/drawingml/2006/main">
                        <a:graphicData uri="http://schemas.microsoft.com/office/word/2010/wordprocessingShape">
                          <wps:wsp>
                            <wps:cNvSpPr txBox="1"/>
                            <wps:spPr>
                              <a:xfrm>
                                <a:off x="0" y="0"/>
                                <a:ext cx="300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438785" cy="175260"/>
                      <wp:effectExtent l="0" t="0" r="0" b="0"/>
                      <wp:wrapNone/>
                      <wp:docPr id="422" name="Frame42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29235" cy="175260"/>
                      <wp:effectExtent l="0" t="0" r="0" b="0"/>
                      <wp:wrapNone/>
                      <wp:docPr id="423" name="Frame42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421640" cy="175260"/>
                      <wp:effectExtent l="0" t="0" r="0" b="0"/>
                      <wp:wrapNone/>
                      <wp:docPr id="424" name="Frame424"/>
                      <a:graphic xmlns:a="http://schemas.openxmlformats.org/drawingml/2006/main">
                        <a:graphicData uri="http://schemas.microsoft.com/office/word/2010/wordprocessingShape">
                          <wps:wsp>
                            <wps:cNvSpPr txBox="1"/>
                            <wps:spPr>
                              <a:xfrm>
                                <a:off x="0" y="0"/>
                                <a:ext cx="421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89560" cy="175260"/>
                      <wp:effectExtent l="0" t="0" r="0" b="0"/>
                      <wp:wrapNone/>
                      <wp:docPr id="425" name="Frame425"/>
                      <a:graphic xmlns:a="http://schemas.openxmlformats.org/drawingml/2006/main">
                        <a:graphicData uri="http://schemas.microsoft.com/office/word/2010/wordprocessingShape">
                          <wps:wsp>
                            <wps:cNvSpPr txBox="1"/>
                            <wps:spPr>
                              <a:xfrm>
                                <a:off x="0" y="0"/>
                                <a:ext cx="289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421640" cy="175260"/>
                      <wp:effectExtent l="0" t="0" r="0" b="0"/>
                      <wp:wrapNone/>
                      <wp:docPr id="426" name="Frame426"/>
                      <a:graphic xmlns:a="http://schemas.openxmlformats.org/drawingml/2006/main">
                        <a:graphicData uri="http://schemas.microsoft.com/office/word/2010/wordprocessingShape">
                          <wps:wsp>
                            <wps:cNvSpPr txBox="1"/>
                            <wps:spPr>
                              <a:xfrm>
                                <a:off x="0" y="0"/>
                                <a:ext cx="421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59715" cy="175260"/>
                      <wp:effectExtent l="0" t="0" r="0" b="0"/>
                      <wp:wrapNone/>
                      <wp:docPr id="427" name="Frame427"/>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5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Three-Months Ended </w:t>
            </w:r>
          </w:p>
        </w:tc>
        <w:tc>
          <w:tcPr>
            <w:tcW w:w="361" w:type="dxa"/>
            <w:tcBorders/>
            <w:vAlign w:val="center"/>
          </w:tcPr>
          <w:p>
            <w:pPr>
              <w:pStyle w:val="TableContents"/>
              <w:bidi w:val="0"/>
              <w:spacing w:before="0" w:after="0"/>
              <w:ind w:left="0" w:right="0" w:hanging="0"/>
              <w:jc w:val="left"/>
              <w:rPr/>
            </w:pPr>
            <w:r>
              <w:rPr/>
              <w:t>​</w:t>
            </w:r>
          </w:p>
        </w:tc>
        <w:tc>
          <w:tcPr>
            <w:tcW w:w="1784"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Nine-Months Ended </w:t>
            </w:r>
          </w:p>
        </w:tc>
        <w:tc>
          <w:tcPr>
            <w:tcW w:w="409" w:type="dxa"/>
            <w:tcBorders/>
            <w:vAlign w:val="center"/>
          </w:tcPr>
          <w:p>
            <w:pPr>
              <w:pStyle w:val="TableContents"/>
              <w:bidi w:val="0"/>
              <w:spacing w:before="0" w:after="0"/>
              <w:ind w:left="0" w:right="0" w:hanging="0"/>
              <w:jc w:val="left"/>
              <w:rPr/>
            </w:pPr>
            <w:r>
              <w:rPr/>
              <w:t>​</w:t>
            </w:r>
          </w:p>
        </w:tc>
      </w:tr>
      <w:tr>
        <w:trPr/>
        <w:tc>
          <w:tcPr>
            <w:tcW w:w="54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5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 </w:t>
            </w:r>
          </w:p>
        </w:tc>
        <w:tc>
          <w:tcPr>
            <w:tcW w:w="361" w:type="dxa"/>
            <w:tcBorders/>
            <w:vAlign w:val="center"/>
          </w:tcPr>
          <w:p>
            <w:pPr>
              <w:pStyle w:val="TableContents"/>
              <w:bidi w:val="0"/>
              <w:spacing w:before="0" w:after="0"/>
              <w:ind w:left="0" w:right="0" w:hanging="0"/>
              <w:jc w:val="left"/>
              <w:rPr/>
            </w:pPr>
            <w:r>
              <w:rPr/>
              <w:t>​</w:t>
            </w:r>
          </w:p>
        </w:tc>
        <w:tc>
          <w:tcPr>
            <w:tcW w:w="178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 </w:t>
            </w:r>
          </w:p>
        </w:tc>
        <w:tc>
          <w:tcPr>
            <w:tcW w:w="409" w:type="dxa"/>
            <w:tcBorders/>
            <w:vAlign w:val="center"/>
          </w:tcPr>
          <w:p>
            <w:pPr>
              <w:pStyle w:val="TableContents"/>
              <w:bidi w:val="0"/>
              <w:spacing w:before="0" w:after="0"/>
              <w:ind w:left="0" w:right="0" w:hanging="0"/>
              <w:jc w:val="left"/>
              <w:rPr/>
            </w:pPr>
            <w:r>
              <w:rPr/>
              <w:t>​</w:t>
            </w:r>
          </w:p>
        </w:tc>
      </w:tr>
      <w:tr>
        <w:trPr/>
        <w:tc>
          <w:tcPr>
            <w:tcW w:w="54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474"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61" w:type="dxa"/>
            <w:tcBorders/>
            <w:vAlign w:val="center"/>
          </w:tcPr>
          <w:p>
            <w:pPr>
              <w:pStyle w:val="TableContents"/>
              <w:bidi w:val="0"/>
              <w:spacing w:before="0" w:after="0"/>
              <w:ind w:left="0" w:right="0" w:hanging="0"/>
              <w:jc w:val="left"/>
              <w:rPr/>
            </w:pPr>
            <w:r>
              <w:rPr/>
              <w:t>    </w:t>
            </w:r>
          </w:p>
        </w:tc>
        <w:tc>
          <w:tcPr>
            <w:tcW w:w="66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456" w:type="dxa"/>
            <w:tcBorders/>
            <w:vAlign w:val="center"/>
          </w:tcPr>
          <w:p>
            <w:pPr>
              <w:pStyle w:val="TableContents"/>
              <w:bidi w:val="0"/>
              <w:spacing w:before="0" w:after="0"/>
              <w:ind w:left="0" w:right="0" w:hanging="0"/>
              <w:jc w:val="left"/>
              <w:rPr/>
            </w:pPr>
            <w:r>
              <w:rPr/>
              <w:t>    </w:t>
            </w:r>
          </w:p>
        </w:tc>
        <w:tc>
          <w:tcPr>
            <w:tcW w:w="66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409" w:type="dxa"/>
            <w:tcBorders/>
            <w:vAlign w:val="center"/>
          </w:tcPr>
          <w:p>
            <w:pPr>
              <w:pStyle w:val="TableContents"/>
              <w:bidi w:val="0"/>
              <w:spacing w:before="0" w:after="0"/>
              <w:ind w:left="0" w:right="0" w:hanging="0"/>
              <w:jc w:val="left"/>
              <w:rPr/>
            </w:pPr>
            <w:r>
              <w:rPr/>
              <w:t>​</w:t>
            </w:r>
          </w:p>
        </w:tc>
      </w:tr>
      <w:tr>
        <w:trPr/>
        <w:tc>
          <w:tcPr>
            <w:tcW w:w="54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full service bottlers/distributors</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4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4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54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International full service bottlers/distributors</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4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4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54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Club stores and e-commerce retailers</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4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4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54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Retail grocery, direct convenience, specialty chains and wholesalers</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54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value stores and other</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4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non-alcohol customers include Coca-Cola Canada Bottling Limited, Coca-Cola Consolidated, Inc., Coca-Cola Bottling Company United, Inc., Reyes Holdings, LLC, Coca-Cola Southwest Beverages LLC, The Coca-Cola Bottling Company of Northern New England, Inc., Swire Pacific Holdings, Inc. (USA), Liberty Coca-Cola Beverages, LLC, Coca-Cola Europacific Partners, Coca-Cola Hellenic, Coca-Cola FEMSA, Swire Coca-Cola (China), COFCO Coca-Cola, Coca-Cola Beverages Africa, Coca-Cola İçecek and certain other TCCC network bottlers, Asahi Soft Drinks, Co., Ltd., Wal-Mart, Inc. (including Sam’s Club), Costco Wholesale Corporation and Amazon.com, Inc.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alcohol customers include Reyes Beverage Group, Ben E. Keith Company, J.J. Taylor Distributing and Admiral Beverage Corporation.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decision by any large customer to decrease amounts purchased from us or to cease carrying our products could have a material adverse effect on our financial condition and consolidated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Coca-Cola Europacific Partners accounted for approximately 17% and 15% of the Company’s net sales for the three-months ended September 30, 2025 and 2024, respectively. Coca-Cola Europacific Partners accounted for approximately 15% and 14% of the Company’s net sales for the nine-months ended September 30, 2025 and 2024,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Coca-Cola Consolidated, Inc. accounted for approximately 9% and 10% of the Company’s net sales for the three-months ended September 30, 2025 and 2024, respectively. Coca-Cola Consolidated, Inc. accounted for approximately 10% of the Company’s net sales for both the nine-months ended September 30, 2025 and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Reyes Holdings, LLC accounted for approximately 9% of the Company’s net sales for both the three-months ended September 30, 2025 and 2024. Reyes Holdings, LLC accounted for approximately 9% of the Company’s net sales for both the nine-months ended September 30, 2025 and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Results of Operations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sets forth key statistics for the three- and nine-months ended September 30, 2025 and 2024.</w:t>
      </w:r>
    </w:p>
    <w:tbl>
      <w:tblPr>
        <w:tblW w:w="10205" w:type="dxa"/>
        <w:jc w:val="left"/>
        <w:tblInd w:w="0" w:type="dxa"/>
        <w:tblLayout w:type="fixed"/>
        <w:tblCellMar>
          <w:top w:w="0" w:type="dxa"/>
          <w:left w:w="0" w:type="dxa"/>
          <w:bottom w:w="0" w:type="dxa"/>
          <w:right w:w="0" w:type="dxa"/>
        </w:tblCellMar>
      </w:tblPr>
      <w:tblGrid>
        <w:gridCol w:w="2048"/>
        <w:gridCol w:w="326"/>
        <w:gridCol w:w="196"/>
        <w:gridCol w:w="826"/>
        <w:gridCol w:w="331"/>
        <w:gridCol w:w="196"/>
        <w:gridCol w:w="826"/>
        <w:gridCol w:w="331"/>
        <w:gridCol w:w="856"/>
        <w:gridCol w:w="331"/>
        <w:gridCol w:w="196"/>
        <w:gridCol w:w="826"/>
        <w:gridCol w:w="331"/>
        <w:gridCol w:w="196"/>
        <w:gridCol w:w="826"/>
        <w:gridCol w:w="331"/>
        <w:gridCol w:w="856"/>
        <w:gridCol w:w="376"/>
      </w:tblGrid>
      <w:tr>
        <w:trPr/>
        <w:tc>
          <w:tcPr>
            <w:tcW w:w="20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1300480" cy="175260"/>
                      <wp:effectExtent l="0" t="0" r="0" b="0"/>
                      <wp:wrapNone/>
                      <wp:docPr id="428" name="Frame428"/>
                      <a:graphic xmlns:a="http://schemas.openxmlformats.org/drawingml/2006/main">
                        <a:graphicData uri="http://schemas.microsoft.com/office/word/2010/wordprocessingShape">
                          <wps:wsp>
                            <wps:cNvSpPr txBox="1"/>
                            <wps:spPr>
                              <a:xfrm>
                                <a:off x="0" y="0"/>
                                <a:ext cx="1300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07010" cy="175260"/>
                      <wp:effectExtent l="0" t="0" r="0" b="0"/>
                      <wp:wrapNone/>
                      <wp:docPr id="429" name="Frame4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124460" cy="175260"/>
                      <wp:effectExtent l="0" t="0" r="0" b="0"/>
                      <wp:wrapNone/>
                      <wp:docPr id="430" name="Frame43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524510" cy="175260"/>
                      <wp:effectExtent l="0" t="0" r="0" b="0"/>
                      <wp:wrapNone/>
                      <wp:docPr id="431" name="Frame43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210185" cy="175260"/>
                      <wp:effectExtent l="0" t="0" r="0" b="0"/>
                      <wp:wrapNone/>
                      <wp:docPr id="432" name="Frame432"/>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124460" cy="175260"/>
                      <wp:effectExtent l="0" t="0" r="0" b="0"/>
                      <wp:wrapNone/>
                      <wp:docPr id="433" name="Frame43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524510" cy="175260"/>
                      <wp:effectExtent l="0" t="0" r="0" b="0"/>
                      <wp:wrapNone/>
                      <wp:docPr id="434" name="Frame43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10185" cy="175260"/>
                      <wp:effectExtent l="0" t="0" r="0" b="0"/>
                      <wp:wrapNone/>
                      <wp:docPr id="435" name="Frame435"/>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543560" cy="175260"/>
                      <wp:effectExtent l="0" t="0" r="0" b="0"/>
                      <wp:wrapNone/>
                      <wp:docPr id="436" name="Frame436"/>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10185" cy="175260"/>
                      <wp:effectExtent l="0" t="0" r="0" b="0"/>
                      <wp:wrapNone/>
                      <wp:docPr id="437" name="Frame437"/>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124460" cy="175260"/>
                      <wp:effectExtent l="0" t="0" r="0" b="0"/>
                      <wp:wrapNone/>
                      <wp:docPr id="438" name="Frame43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524510" cy="175260"/>
                      <wp:effectExtent l="0" t="0" r="0" b="0"/>
                      <wp:wrapNone/>
                      <wp:docPr id="439" name="Frame43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10185" cy="175260"/>
                      <wp:effectExtent l="0" t="0" r="0" b="0"/>
                      <wp:wrapNone/>
                      <wp:docPr id="440" name="Frame440"/>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24460" cy="175260"/>
                      <wp:effectExtent l="0" t="0" r="0" b="0"/>
                      <wp:wrapNone/>
                      <wp:docPr id="441" name="Frame44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524510" cy="175260"/>
                      <wp:effectExtent l="0" t="0" r="0" b="0"/>
                      <wp:wrapNone/>
                      <wp:docPr id="442" name="Frame44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10185" cy="175260"/>
                      <wp:effectExtent l="0" t="0" r="0" b="0"/>
                      <wp:wrapNone/>
                      <wp:docPr id="443" name="Frame443"/>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543560" cy="175260"/>
                      <wp:effectExtent l="0" t="0" r="0" b="0"/>
                      <wp:wrapNone/>
                      <wp:docPr id="444" name="Frame444"/>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38760" cy="175260"/>
                      <wp:effectExtent l="0" t="0" r="0" b="0"/>
                      <wp:wrapNone/>
                      <wp:docPr id="445" name="Frame445"/>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375"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Three-Months Ended</w:t>
            </w:r>
          </w:p>
        </w:tc>
        <w:tc>
          <w:tcPr>
            <w:tcW w:w="33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Percentage</w:t>
            </w:r>
          </w:p>
        </w:tc>
        <w:tc>
          <w:tcPr>
            <w:tcW w:w="331" w:type="dxa"/>
            <w:tcBorders/>
            <w:vAlign w:val="center"/>
          </w:tcPr>
          <w:p>
            <w:pPr>
              <w:pStyle w:val="TableContents"/>
              <w:bidi w:val="0"/>
              <w:spacing w:before="0" w:after="0"/>
              <w:ind w:left="0" w:right="0" w:hanging="0"/>
              <w:jc w:val="left"/>
              <w:rPr/>
            </w:pPr>
            <w:r>
              <w:rPr/>
              <w:t>​</w:t>
            </w:r>
          </w:p>
        </w:tc>
        <w:tc>
          <w:tcPr>
            <w:tcW w:w="2375"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Nine-Months Ended</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Percentage</w:t>
            </w:r>
          </w:p>
        </w:tc>
        <w:tc>
          <w:tcPr>
            <w:tcW w:w="376" w:type="dxa"/>
            <w:tcBorders/>
            <w:vAlign w:val="center"/>
          </w:tcPr>
          <w:p>
            <w:pPr>
              <w:pStyle w:val="TableContents"/>
              <w:bidi w:val="0"/>
              <w:spacing w:before="0" w:after="0"/>
              <w:ind w:left="0" w:right="0" w:hanging="0"/>
              <w:jc w:val="left"/>
              <w:rPr/>
            </w:pPr>
            <w:r>
              <w:rPr/>
              <w:t>​</w:t>
            </w:r>
          </w:p>
        </w:tc>
      </w:tr>
      <w:tr>
        <w:trPr/>
        <w:tc>
          <w:tcPr>
            <w:tcW w:w="2048"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 except per share amounts)</w:t>
            </w:r>
          </w:p>
        </w:tc>
        <w:tc>
          <w:tcPr>
            <w:tcW w:w="326" w:type="dxa"/>
            <w:tcBorders/>
            <w:vAlign w:val="center"/>
          </w:tcPr>
          <w:p>
            <w:pPr>
              <w:pStyle w:val="TableContents"/>
              <w:bidi w:val="0"/>
              <w:spacing w:before="0" w:after="0"/>
              <w:ind w:left="0" w:right="0" w:hanging="0"/>
              <w:jc w:val="left"/>
              <w:rPr/>
            </w:pPr>
            <w:r>
              <w:rPr/>
              <w:t>​</w:t>
            </w:r>
          </w:p>
        </w:tc>
        <w:tc>
          <w:tcPr>
            <w:tcW w:w="23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September 30, </w:t>
            </w:r>
          </w:p>
        </w:tc>
        <w:tc>
          <w:tcPr>
            <w:tcW w:w="331" w:type="dxa"/>
            <w:tcBorders/>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Change</w:t>
            </w:r>
          </w:p>
        </w:tc>
        <w:tc>
          <w:tcPr>
            <w:tcW w:w="331" w:type="dxa"/>
            <w:tcBorders/>
            <w:vAlign w:val="center"/>
          </w:tcPr>
          <w:p>
            <w:pPr>
              <w:pStyle w:val="TableContents"/>
              <w:bidi w:val="0"/>
              <w:spacing w:before="0" w:after="0"/>
              <w:ind w:left="0" w:right="0" w:hanging="0"/>
              <w:jc w:val="left"/>
              <w:rPr/>
            </w:pPr>
            <w:r>
              <w:rPr/>
              <w:t>​</w:t>
            </w:r>
          </w:p>
        </w:tc>
        <w:tc>
          <w:tcPr>
            <w:tcW w:w="23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September 30, </w:t>
            </w:r>
          </w:p>
        </w:tc>
        <w:tc>
          <w:tcPr>
            <w:tcW w:w="331" w:type="dxa"/>
            <w:tcBorders/>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Change</w:t>
            </w:r>
          </w:p>
        </w:tc>
        <w:tc>
          <w:tcPr>
            <w:tcW w:w="376" w:type="dxa"/>
            <w:tcBorders/>
            <w:vAlign w:val="center"/>
          </w:tcPr>
          <w:p>
            <w:pPr>
              <w:pStyle w:val="TableContents"/>
              <w:bidi w:val="0"/>
              <w:spacing w:before="0" w:after="0"/>
              <w:ind w:left="0" w:right="0" w:hanging="0"/>
              <w:jc w:val="left"/>
              <w:rPr/>
            </w:pPr>
            <w:r>
              <w:rPr/>
              <w:t>​</w:t>
            </w:r>
          </w:p>
        </w:tc>
      </w:tr>
      <w:tr>
        <w:trPr/>
        <w:tc>
          <w:tcPr>
            <w:tcW w:w="20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2025</w:t>
            </w:r>
          </w:p>
        </w:tc>
        <w:tc>
          <w:tcPr>
            <w:tcW w:w="331"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2024</w:t>
            </w:r>
          </w:p>
        </w:tc>
        <w:tc>
          <w:tcPr>
            <w:tcW w:w="331" w:type="dxa"/>
            <w:tcBorders/>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25 vs. 24</w:t>
            </w:r>
          </w:p>
        </w:tc>
        <w:tc>
          <w:tcPr>
            <w:tcW w:w="331"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2025</w:t>
            </w:r>
          </w:p>
        </w:tc>
        <w:tc>
          <w:tcPr>
            <w:tcW w:w="331"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2024</w:t>
            </w:r>
          </w:p>
        </w:tc>
        <w:tc>
          <w:tcPr>
            <w:tcW w:w="331" w:type="dxa"/>
            <w:tcBorders/>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25 vs. 24</w:t>
            </w:r>
          </w:p>
        </w:tc>
        <w:tc>
          <w:tcPr>
            <w:tcW w:w="376" w:type="dxa"/>
            <w:tcBorders/>
            <w:vAlign w:val="center"/>
          </w:tcPr>
          <w:p>
            <w:pPr>
              <w:pStyle w:val="TableContents"/>
              <w:bidi w:val="0"/>
              <w:spacing w:before="0" w:after="0"/>
              <w:ind w:left="0" w:right="0" w:hanging="0"/>
              <w:jc w:val="left"/>
              <w:rPr/>
            </w:pPr>
            <w:r>
              <w:rPr/>
              <w:t>​</w:t>
            </w:r>
          </w:p>
        </w:tc>
      </w:tr>
      <w:tr>
        <w:trPr/>
        <w:tc>
          <w:tcPr>
            <w:tcW w:w="2048"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Net sales</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2,197,139</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1,880,973</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16.8</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6,163,290</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5,680,668</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2048"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 of sales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972,653</w:t>
            </w:r>
          </w:p>
        </w:tc>
        <w:tc>
          <w:tcPr>
            <w:tcW w:w="33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881,174</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2,714,428</w:t>
            </w:r>
          </w:p>
        </w:tc>
        <w:tc>
          <w:tcPr>
            <w:tcW w:w="33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2,634,235</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w:t>
            </w:r>
          </w:p>
        </w:tc>
        <w:tc>
          <w:tcPr>
            <w:tcW w:w="3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204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2048" w:type="dxa"/>
            <w:tcBorders/>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Gross profit*</w:t>
            </w:r>
            <w:r>
              <w:rPr>
                <w:rFonts w:ascii="Times New Roman;Times;serif" w:hAnsi="Times New Roman;Times;serif"/>
                <w:sz w:val="12"/>
              </w:rPr>
              <w:t>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1,224,486</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999,799</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22.5</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3,448,862</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3,046,433</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w:t>
            </w:r>
          </w:p>
        </w:tc>
        <w:tc>
          <w:tcPr>
            <w:tcW w:w="3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204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Gross profit as a percentage of 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55.7</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53.2</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85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56.0</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53.6</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856"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20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left"/>
              <w:rPr/>
            </w:pPr>
            <w:r>
              <w:rPr/>
              <w:t>​</w:t>
            </w:r>
          </w:p>
        </w:tc>
      </w:tr>
      <w:tr>
        <w:trPr/>
        <w:tc>
          <w:tcPr>
            <w:tcW w:w="204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549,134</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519,883</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1,572,142</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1,497,363</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2048"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expenses as a percentage of net sales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25.0</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27.6</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85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26.4</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856"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left"/>
              <w:rPr/>
            </w:pPr>
            <w:r>
              <w:rPr/>
              <w:t>​</w:t>
            </w:r>
          </w:p>
        </w:tc>
      </w:tr>
      <w:tr>
        <w:trPr/>
        <w:tc>
          <w:tcPr>
            <w:tcW w:w="204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2048" w:type="dxa"/>
            <w:tcBorders/>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Operating income</w:t>
            </w:r>
            <w:r>
              <w:rPr>
                <w:rFonts w:ascii="Times New Roman;Times;serif" w:hAnsi="Times New Roman;Times;serif"/>
                <w:sz w:val="12"/>
              </w:rPr>
              <w:t>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675,352</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479,916</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40.7</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1,876,720</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1,549,070</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21.2</w:t>
            </w:r>
          </w:p>
        </w:tc>
        <w:tc>
          <w:tcPr>
            <w:tcW w:w="3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204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income as a percentage of 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30.7</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85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30.4</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27.3</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856"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20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left"/>
              <w:rPr/>
            </w:pPr>
            <w:r>
              <w:rPr/>
              <w:t>​</w:t>
            </w:r>
          </w:p>
        </w:tc>
      </w:tr>
      <w:tr>
        <w:trPr/>
        <w:tc>
          <w:tcPr>
            <w:tcW w:w="204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and other income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14,185</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(5,820)</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343.7</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37,522</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54,311</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(30.9)</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20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left"/>
              <w:rPr/>
            </w:pPr>
            <w:r>
              <w:rPr/>
              <w:t>​</w:t>
            </w:r>
          </w:p>
        </w:tc>
      </w:tr>
      <w:tr>
        <w:trPr/>
        <w:tc>
          <w:tcPr>
            <w:tcW w:w="2048"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Income before provision for income taxes</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689,537</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474,096</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45.4</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1,914,242</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1,603,381</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20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left"/>
              <w:rPr/>
            </w:pPr>
            <w:r>
              <w:rPr/>
              <w:t>​</w:t>
            </w:r>
          </w:p>
        </w:tc>
      </w:tr>
      <w:tr>
        <w:trPr/>
        <w:tc>
          <w:tcPr>
            <w:tcW w:w="204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165,082</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103,177</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60.0</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458,000</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365,044</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2048"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 as a percentage of income before taxes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23.9</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85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23.9</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22.8</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856"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left"/>
              <w:rPr/>
            </w:pPr>
            <w:r>
              <w:rPr/>
              <w:t>​</w:t>
            </w:r>
          </w:p>
        </w:tc>
      </w:tr>
      <w:tr>
        <w:trPr/>
        <w:tc>
          <w:tcPr>
            <w:tcW w:w="204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2048"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524,455</w:t>
            </w:r>
          </w:p>
        </w:tc>
        <w:tc>
          <w:tcPr>
            <w:tcW w:w="331"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370,919</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41.4</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1,456,242</w:t>
            </w:r>
          </w:p>
        </w:tc>
        <w:tc>
          <w:tcPr>
            <w:tcW w:w="331"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1,238,337</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w:t>
            </w:r>
          </w:p>
        </w:tc>
        <w:tc>
          <w:tcPr>
            <w:tcW w:w="3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204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as a percentage of 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23.9</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19.7</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85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23.6</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856"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20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left"/>
              <w:rPr/>
            </w:pPr>
            <w:r>
              <w:rPr/>
              <w:t>​</w:t>
            </w:r>
          </w:p>
        </w:tc>
      </w:tr>
      <w:tr>
        <w:trPr/>
        <w:tc>
          <w:tcPr>
            <w:tcW w:w="204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per common share: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2048"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Basic</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0.54</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0.38</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41.3</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22.4</w:t>
            </w:r>
          </w:p>
        </w:tc>
        <w:tc>
          <w:tcPr>
            <w:tcW w:w="3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204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0.53</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0.38</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41.1</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22.4</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20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left"/>
              <w:rPr/>
            </w:pPr>
            <w:r>
              <w:rPr/>
              <w:t>​</w:t>
            </w:r>
          </w:p>
        </w:tc>
      </w:tr>
      <w:tr>
        <w:trPr/>
        <w:tc>
          <w:tcPr>
            <w:tcW w:w="204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Energy drink case sales (in thousands) (in 192</w:t>
              <w:noBreakHyphen/>
              <w:t>ounce case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258,387</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219,409</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720,823</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643,033</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r>
    </w:tbl>
    <w:p>
      <w:pPr>
        <w:pStyle w:val="TextBody"/>
        <w:bidi w:val="0"/>
        <w:spacing w:before="0" w:after="0"/>
        <w:ind w:left="0" w:right="0" w:hanging="0"/>
        <w:jc w:val="left"/>
        <w:rPr/>
      </w:pPr>
      <w:r>
        <w:rPr/>
        <w:t>​</w:t>
      </w:r>
    </w:p>
    <w:p>
      <w:pPr>
        <w:pStyle w:val="TextBody"/>
        <w:bidi w:val="0"/>
        <w:spacing w:lineRule="auto" w:line="240" w:before="0" w:after="200"/>
        <w:ind w:left="0" w:right="0" w:hanging="0"/>
        <w:jc w:val="both"/>
        <w:rPr>
          <w:rFonts w:ascii="Times New Roman;Times;serif" w:hAnsi="Times New Roman;Times;serif"/>
          <w:sz w:val="18"/>
        </w:rPr>
      </w:pPr>
      <w:r>
        <w:rPr>
          <w:rFonts w:ascii="Times New Roman;Times;serif" w:hAnsi="Times New Roman;Times;serif"/>
          <w:i/>
          <w:sz w:val="14"/>
        </w:rPr>
        <w:t>1</w:t>
      </w:r>
      <w:r>
        <w:rPr>
          <w:rFonts w:ascii="Times New Roman;Times;serif" w:hAnsi="Times New Roman;Times;serif"/>
          <w:i/>
          <w:sz w:val="18"/>
        </w:rPr>
        <w:t>Includes $10.1 million and $10.0 million for the three-months ended September 30, 2025 and 2024, related to the recognition of deferred revenue, respectively. Includes $30.0 million and $29.9 million for the nine-months ended September 30, 2025 and 2024, related to the recognition of deferred revenue, respectively</w:t>
      </w:r>
      <w:r>
        <w:rPr>
          <w:rFonts w:ascii="Times New Roman;Times;serif" w:hAnsi="Times New Roman;Times;serif"/>
          <w:i/>
          <w:color w:val="212529"/>
          <w:sz w:val="18"/>
          <w:shd w:fill="FFFFFF" w:val="clear"/>
        </w:rPr>
        <w:t>.</w:t>
      </w:r>
    </w:p>
    <w:p>
      <w:pPr>
        <w:pStyle w:val="TextBody"/>
        <w:bidi w:val="0"/>
        <w:spacing w:before="0" w:after="200"/>
        <w:ind w:left="0" w:right="0" w:hanging="0"/>
        <w:jc w:val="both"/>
        <w:rPr>
          <w:rFonts w:ascii="Times New Roman;Times;serif" w:hAnsi="Times New Roman;Times;serif"/>
          <w:i/>
          <w:sz w:val="18"/>
        </w:rPr>
      </w:pPr>
      <w:r>
        <w:rPr>
          <w:rFonts w:ascii="Times New Roman;Times;serif" w:hAnsi="Times New Roman;Times;serif"/>
          <w:i/>
          <w:sz w:val="18"/>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 rather than in cost of sales.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i/>
          <w:sz w:val="20"/>
        </w:rPr>
        <w:t>Three-Months Ended September 30, 2025 Compared to the Three-Months Ended September 30, 2024</w:t>
      </w:r>
      <w:r>
        <w:rPr>
          <w:rFonts w:ascii="Times New Roman;Times;serif" w:hAnsi="Times New Roman;Times;serif"/>
          <w:b/>
          <w:sz w:val="20"/>
        </w:rPr>
        <w:t>.</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Net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were $2.20 billion for the three-months ended September 30, 2025, an increase of approximately $316.2 million, or 16.8% higher than net sales of $1.88 billion for the three-months ended September 30, 2024. Net sales increased primarily due to increased worldwide sales of our Monster Energy® brand energy drinks as a result of increased consumer demand. Net changes in foreign currency exchange rates had a favorable impact on net sales of approximately $31.8 million for the three-months ended September 30, 2025. Net sales on a foreign currency adjusted basis increased 15.1% for the three-months ended September 30,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for the Monster Energy® Drinks segment were $2.03 billion for the three-months ended September 30, 2025, an increase of approximately $304.1 million, or 17.7% higher than net sales of $1.72 billion for the three-months ended September 30, 2024. Net sales increased primarily due to increased worldwide sales of our Monster Energy® brand energy drinks as a result of increased consumer demand. Net changes in foreign currency exchange rates had a favorable impact on net sales for the Monster Energy® Drinks segment of approximately $28.7 million for the three-months ended September 30, 2025. Net sales for the Monster Energy® Drinks segment on a foreign currency adjusted basis increased 16.0% for the three-months ended September 30,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for the Strategic Brands segment were $130.5 million for the three-months ended September 30, 2025, an increase of approximately $17.9 million, or 15.9% higher than net sales of $112.6 million for the three-months ended September 30, 2024. Net sales for the Strategic Brands segment increased primarily due to increased sales of our Predator®, Burn®, and Mother® brand energy drinks. Net changes in foreign currency exchange rates had a favorable impact on net sales of approximately $3.1 million for the Strategic Brands segment for the three-months ended September 30, 2025. Net sales for the Strategic Brands segment on a foreign currency adjusted basis increased 13.2% for the three-months ended September 30, 2025. Net sales of concentrates within the Strategic Brands segment tend to have more pronounced fluctuations from period to period as compared to net sales of our finished goods within the Monster Energy® Drinks segment primarily as a result of bottler production schedules.</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Net sales for the Alcohol Brands segment were $33.0 million for the three-months ended September 30, 2025, a decrease of approximately $6.8 million, or 17.0% lower than net sales of $39.8 million for the three-months ended September 30, 2024. The decrease in net sales for the three-months ended September 30, 2025 was primarily due to decreased sales of The Beast</w:t>
      </w:r>
      <w:r>
        <w:rPr>
          <w:rFonts w:ascii="Times New Roman;Times;serif" w:hAnsi="Times New Roman;Times;serif"/>
          <w:sz w:val="15"/>
        </w:rPr>
        <w:t xml:space="preserve">TM </w:t>
      </w:r>
      <w:r>
        <w:rPr>
          <w:rFonts w:ascii="Times New Roman;Times;serif" w:hAnsi="Times New Roman;Times;serif"/>
          <w:sz w:val="20"/>
        </w:rPr>
        <w:t>product line.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for the Other segment were $6.8 million for the three-months ended September 30, 2025, an increase of approximately $0.9 million, or 14.4% higher than net sales of $5.9 million for the three-months ended September 30,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Case sales for our energy drink products, in 192-ounce case equivalents, were 258.4 million cases for the three-months ended September 30, 2025, an increase of approximately 39.0 million cases or 17.8% higher than case sales of 219.4 million cases for the three-months ended September 30, 2024. The overall average net sales per case for our energy drink products (excluding net sales of Alcohol Brands and Other segments) decreased marginally to $8.35 for the three-months ended September 30, 2025 from $8.36 for the three-months ended September 30,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Case sales for our craft beers, FMBs and hard seltzers, in 192-ounce equivalents, were 2.4 million cases for the three-months ended September 30, 2025, a decrease of approximately 0.4 million cases or 17.0% lower than case sales of 2.8 million cases for the three-months ended September 30, 2024. Barrel sales for our craft beers, FMBs and hard seltzers, in 31 U.S. gallon equivalents, were 0.11 million barrels for the three-months ended September 30, 2025, a decrease of approximately 0.03 million barrels or 17.0% lower than barrel sales of 0.14 million barrels for the three-months ended September 30, 2024.</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Gross Profit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profit was $1.22 billion for the three-months ended September 30, 2025, an increase of approximately $224.7 million, or 22.5% higher than the gross profit of $999.8 million for the three-months ended September 30, 2024. The increase in gross profit dollars was primarily the result of the $316.2 million increase in net sales for the three-months ended September 30, 2025. Gross profit for the three-months ended September 30, 2024 was adversely impacted by an increase in inventory reserves due to excess inventory levels in the Alcohol Brands segment of $10.6 million (the “Alcohol Brands Inventory Reserves”).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Gross profit as a percentage of net sales increased to 55.7% for the three-months ended September 30, 2025 from 53.2% for the three-months ended September 30, 2024. The increase in gross profit as a percentage of net sales for the three-months ended September 30, 2025 was primarily the result of </w:t>
      </w:r>
      <w:r>
        <w:rPr>
          <w:rFonts w:ascii="Times New Roman;Times;serif" w:hAnsi="Times New Roman;Times;serif"/>
          <w:color w:val="252525"/>
          <w:sz w:val="20"/>
        </w:rPr>
        <w:t>the Pricing Actions, supply chain optimization and product sales mix, partially offset by higher promotional allowances, increased aluminum can costs and geographical sales mix.</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Operating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Total operating expenses were $549.1 million for the three-months ended September 30, 2025, an increase of approximately $29.3 million, or 5.6% higher than total operating expenses of $519.9 million for the three-months ended September 30,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increase in operating expenses was primarily due to increased selling and marketing expense of $18.4 million and payroll expense of $18.2 million. Operating expenses as a percentage of net sales for the three-months ended September 30, 2025 were 25.0% as compared to 27.6% for the three-months ended September 30,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Operating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income was $675.4 million for the three-months ended September 30, 2025, an increase of approximately $195.4 million, or 40.7% higher than operating income of $479.9 million for the three-months ended September 30, 2024. Operating income as a percentage of net sales increased to 30.7% for the three-months ended September 30, 2025 from 25.5% for the three-months ended September 30,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income was $197.3 million and $135.3 million for the three-months ended September 30, 2025 and 2024, respectively, for our international operations, exclusive of Canada.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income for the Monster Energy® Drinks segment, exclusive of corporate and unallocated expenses, was $790.5 million for the three-months ended September 30, 2025, an increase of approximately $188.8 million, or 31.4% higher than operating income of $601.7 million for the three-months ended September 30, 2024. The increase in operating income for the Monster Energy® Drinks segment was primarily the result of an increase in net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income for the Strategic Brands segment, exclusive of corporate and unallocated expenses, was $66.3 million for the three-months ended September 30, 2025, an increase of approximately $6.2 million, or 10.3% higher than operating income of $60.1 million for the three-months ended September 30, 2024. The increase in operating income for the Strategic Brands segment was primarily the result of an increase in net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loss for the Alcohol Brands segment, exclusive of corporate and unallocated expenses, was $17.9 million for the three-months ended September 30, 2025, a decrease of approximately $4.8 million, or 21.0% lower than the operating loss of $22.6 million for the three-months ended September 30, 2024. The decrease in operating loss for the three-months ended September 30, 2025 was primarily due to the Alcohol Brands Inventory Reserves recognized in the three-months ended September 30,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income for the Other segment, exclusive of corporate and unallocated expenses, was $1.6 million for the three-months ended September 30, 2025, as compared to operating income of $1.5 million for the three-months ended September 30, 2024.</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Interest and Other Income (Expense),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Interest and other income (expense), net, was $14.2 million for the three-months ended September 30, 2025, as compared to interest and other income (expense), net, of $(5.8) million for the three-months ended September 30, 2024. Interest income was $24.2 million and $18.1 million for the three-months ended September 30, 2025 and 2024, respectively. The increase in interest income for the three-months ended September 30, 2025 was primarily related to higher average short- and long-term investment balances for the three-months ended September 30, 2025 compared to the three-months ended September 30, 2024. Interest expense was $0.5 million and $12.5 million for the three-months ended September 30, 2025 and 2024, respectively. The decrease in interest expense for the three-months ended September 30, 2025 was primarily due to the repayment of long-term debt in April 2025. Foreign currency transaction losses were $8.0 million and $10.8 million for the three-months ended September 30, 2025 and 2024, respectively.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Provision for Income Taxes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Provision for income taxes was $165.1 million for the three-months ended September 30, 2025, an increase of $61.9 million from the provision for income taxes of $103.2 million for the three-months ended September 30, 2024. The effective combined federal, state and foreign tax rate increased to 23.9% from 21.8% for the three-months ended September 30, 2025 and 2024, respectively. The increase in the effective tax rate was primarily attributable to higher income taxes from foreign tax jurisdictions.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Net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income was $524.5 million for the three-months ended September 30, 2025, an increase of $153.5 million, or 41.4% higher than net income of $370.9 million for the three-months ended September 30,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Nine-Months Ended September 30, 2025 Compared to the Nine-Months Ended September 30, 2024</w:t>
      </w:r>
      <w:r>
        <w:rPr>
          <w:rFonts w:ascii="Times New Roman;Times;serif" w:hAnsi="Times New Roman;Times;serif"/>
          <w:b/>
          <w:sz w:val="20"/>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Net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were $6.16 billion for the nine-months ended September 30, 2025, an increase of approximately $482.6 million, or 8.5% higher than net sales of $5.68 billion for the nine-months ended September 30, 2024. Net sales increased primarily due to increased worldwide sales of our Monster Energy® brand energy drinks as a result of increased consumer demand. Net changes in foreign currency exchange rates had an unfavorable impact on net sales of approximately $30.6 million for the nine-months ended September 30, 2025. Net sales on a foreign currency adjusted basis increased 9.0% for the nine-months ended September 30,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for the Monster Energy® Drinks segment were $5.68 billion for the nine-months ended September 30, 2025, an increase of approximately $485.2 million, or 9.3% higher than net sales of $5.19 billion for the nine-months ended September 30, 2024. Net sales increased primarily due to increased worldwide sales of our Monster Energy® brand energy drinks as a result of increased consumer demand. Net changes in foreign currency exchange rates had an unfavorable impact on net sales for the Monster Energy® Drinks segment of approximately $26.9 million for the nine-months ended September 30, 2025. Net sales for the Monster Energy® Drinks segment on a foreign currency adjusted basis increased 9.9% for the nine-months ended September 30,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for the Strategic Brands segment were $358.7 million for the nine-months ended September 30, 2025, an increase of approximately $28.5 million, or 8.6% higher than net sales of $330.2 million for the nine-months ended September 30, 2024. Net sales for the Strategic Brands segment increased primarily due to increased sales of our Predator®, Burn®, and NOS® brand energy drinks. Net changes in foreign currency exchange rates had an unfavorable impact on net sales of approximately $3.7 million for the Strategic Brands segment for the nine-months ended September 30, 2025. Net sales for the Strategic Brands segment on a foreign currency adjusted basis increased 9.7% for the nine-months ended September 30, 2025. Net sales of concentrates within the Strategic Brands segment tend to have more pronounced fluctuations from period to period as compared to net sales of our finished goods within the Monster Energy® Drinks segment primarily as a result of bottler production schedules.</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Net sales for the Alcohol Brands segment were $105.7 million for the nine-months ended September 30, 2025, a decrease of approximately $31.7 million, or 23.1% lower than net sales of $137.4 million for the nine-months ended September 30, 2024. The decrease in net sales for the nine-months ended September 30, 2025 was primarily due to decreased sales of the Beast</w:t>
      </w:r>
      <w:r>
        <w:rPr>
          <w:rFonts w:ascii="Times New Roman;Times;serif" w:hAnsi="Times New Roman;Times;serif"/>
          <w:sz w:val="15"/>
        </w:rPr>
        <w:t>TM</w:t>
      </w:r>
      <w:r>
        <w:rPr>
          <w:rFonts w:ascii="Times New Roman;Times;serif" w:hAnsi="Times New Roman;Times;serif"/>
          <w:sz w:val="20"/>
        </w:rPr>
        <w:t xml:space="preserve"> Tea product line, which was launched during the nine-months ended September 30, 2024, as well as decreased sales of The Beast</w:t>
      </w:r>
      <w:r>
        <w:rPr>
          <w:rFonts w:ascii="Times New Roman;Times;serif" w:hAnsi="Times New Roman;Times;serif"/>
          <w:sz w:val="15"/>
        </w:rPr>
        <w:t>TM</w:t>
      </w:r>
      <w:r>
        <w:rPr>
          <w:rFonts w:ascii="Times New Roman;Times;serif" w:hAnsi="Times New Roman;Times;serif"/>
          <w:sz w:val="20"/>
        </w:rPr>
        <w:t xml:space="preserve"> product line.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for the Other segment were $19.2 million for the nine-months ended September 30, 2025, an increase of approximately $0.7 million, or 3.8% higher than net sales of $18.5 million for the nine-months ended September 30,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Case sales for our energy drink products, in 192-ounce case equivalents, were 720.8 million cases for the nine-months ended September 30, 2025, an increase of approximately 77.8 million cases or 12.1% higher than case sales of 643.0 million cases for the nine-months ended September 30, 2024. The overall average net sales per case for our energy drink products (excluding net sales of Alcohol Brands and Other segments) decreased to $8.38 for the nine-months ended September 30, 2025, which was 2.5% lower than the average net sales per case of $8.59 for the nine-months ended September 30, 2024. The decrease in overall average net sales per case for our energy drink products for the nine-months ended September 30, 2025 compared to the nine-months ended September 30, 2024 was primarily due to adverse changes in foreign currency exchange rates as well as geographical sales mix.</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Case sales for our craft beers, FMBs and hard seltzers, in 192-ounce equivalents, were 7.6 million cases for the nine-months ended September 30, 2025, a decrease of approximately 2.4 million cases or 24.1% lower than case sales of 10.0 million cases for the nine-months ended September 30, 2024. Barrel sales for our craft beers, FMBs and hard seltzers, in 31 U.S. gallon equivalents, were 0.37 million barrels for the nine-months ended September 30, 2025, a decrease of approximately 0.11 million barrels or 24.1% lower than barrel sales of 0.48 million barrels for the nine-months ended September 30, 2024.</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Gross Profit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profit was $3.45 billion for the nine-months ended September 30, 2025, an increase of approximately $402.4 million, or 13.2% higher than the gross profit of $3.05 billion for the nine-months ended September 30, 2024. The increase in gross profit dollars was primarily the result of the $482.6 million increase in net sales for the nine-months ended September 30,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Gross profit as a percentage of net sales increased to 56.0% for the nine-months ended September 30, 2025 from 53.6% for the nine-months ended September 30, 2024. The increase in gross profit as a percentage of net sales for the nine-months ended September 30, 2025 was primarily the result of </w:t>
      </w:r>
      <w:r>
        <w:rPr>
          <w:rFonts w:ascii="Times New Roman;Times;serif" w:hAnsi="Times New Roman;Times;serif"/>
          <w:color w:val="252525"/>
          <w:sz w:val="20"/>
        </w:rPr>
        <w:t>the Pricing Actions and supply chain optimization, partially offset by higher promotional allowances and geographical sales mix</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Operating Expenses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Total operating expenses were $1.57 billion for the nine-months ended September 30, 2025, an increase of approximately $74.8 million, or 5.0% higher than total operating expenses of $1.50 billion for the nine-months ended September 30,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increase in operating expenses was primarily due to increased payroll expense of $51.5 million, general administrative expense of $24.9 million, and selling and marketing expense of $21.0 million. Operating expenses as a percentage of net sales for the nine-months ended September 30, 2025 were 25.5% as compared to 26.4% for the nine-months ended September 30, 2024.</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Operating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income was $1.88 billion for the nine-months ended September 30, 2025, an increase of approximately $327.7 million, or 21.2% higher than operating income of $1.55 billion for the nine-months ended September 30, 2024. Operating income as a percentage of net sales increased to 30.4% for the nine-months ended September 30, 2025 from 27.3% for the nine-months ended September 30,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income was $504.1 million and $419.0 million for the nine-months ended September 30, 2025 and 2024, respectively, for our international operations, exclusive of Canada.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income for the Monster Energy® Drinks segment, exclusive of corporate and unallocated expenses, was $2.23 billion for the nine-months ended September 30, 2025, an increase of approximately $386.3 million, or 21.0% higher than operating income of $1.84 billion for the nine-months ended September 30, 2024. The increase in operating income for the Monster Energy® Drinks segment was primarily the result of an increase in net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income for the Strategic Brands segment, exclusive of corporate and unallocated expenses, was $186.0 million for the nine-months ended September 30, 2025, an increase of approximately $2.3 million, or 1.2% higher than operating income of $183.8 million for the nine-months ended September 30, 2024. The increase in operating income for the Strategic Brands segment was primarily the result of an increase in net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loss for the Alcohol Brands segment, exclusive of corporate and unallocated expenses, was $54.0 million for the nine-months ended September 30, 2025, an increase of approximately $2.8 million, or 5.4% higher than the operating loss of $51.2 million for the nine-months ended September 30, 2024. The increase in operating loss for the nine-months ended September 30, 2025 was primarily due to a decrease in net sales partially offset by the Alcohol Brands Inventory Reserves recognized in the three-months ended September 30,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income for the Other segment, exclusive of corporate and unallocated expenses, was $3.1 million for the nine-months ended September 30, 2025, as compared to operating income of $3.9 million for the nine-months ended September 30,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Interest and Other Income (Expense), net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Interest and other income (expense), net, was $37.5 million for the nine-months ended September 30, 2025, as compared to interest and other income (expense), net, of $54.3 million for the nine-months ended September 30, 2024. Interest income was $59.1 million and $97.5 million for the nine-months ended September 30, 2025 and 2024, respectively. The decrease in interest income for the nine-months ended September 30, 2025 was primarily related to lower average short- and long-term investment balances as a result of treasury stock repurchases made in the second and third quarters of 2024. Interest expense was $6.3 million and $17.5 million for the nine-months ended September 30, 2025 and 2024, respectively. The decrease in interest expense for the nine-months ended September 30, 2025 was primarily due to the repayment of long-term debt in April 2025. Foreign currency transaction losses were $13.8 million and $24.7 million for the nine-months ended September 30, 2025 and 2024, respectively.</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Provision for Income Taxes</w:t>
      </w:r>
    </w:p>
    <w:p>
      <w:pPr>
        <w:pStyle w:val="TextBody"/>
        <w:bidi w:val="0"/>
        <w:spacing w:before="0" w:after="200"/>
        <w:ind w:left="0" w:right="0" w:firstLine="720"/>
        <w:jc w:val="both"/>
        <w:rPr>
          <w:rFonts w:ascii="Times New Roman;Times;serif" w:hAnsi="Times New Roman;Times;serif"/>
          <w:sz w:val="20"/>
        </w:rPr>
      </w:pPr>
      <w:bookmarkStart w:id="1972" w:name="_Hlk212877909"/>
      <w:bookmarkEnd w:id="1972"/>
      <w:r>
        <w:rPr>
          <w:rFonts w:ascii="Times New Roman;Times;serif" w:hAnsi="Times New Roman;Times;serif"/>
          <w:sz w:val="20"/>
        </w:rPr>
        <w:t>Provision for income taxes was $458.0 million for the nine-months ended September 30, 2025, an increase of $93.0 million from the provision for income taxes of $365.0 million for the nine-months ended September 30, 2024. The effective combined federal, state and foreign tax rate increased to 23.9% from 22.8% for the nine-months ended September 30, 2025 and 2024, respectively. The increase in the effective tax rate was primarily attributable to higher income taxes from foreign tax jurisdictions.</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 xml:space="preserve">Net Income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Net income was $1.46 billion for the nine-months ended September 30, 2025, an increase of $217.9 million, or 17.6% higher than net income of $1.24 billion for the nine-months ended September 30, 2024.</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Key Business Metrics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use certain key metrics and financial measures not prepared in accordance with United States Generally Accepted Accounting Principles (“GAAP”) to evaluate and manage our business. For a further discussion of how we use key metrics and certain non-GAAP financial measures, see “Non-GAAP Financial Measures and Other Key Metrics.”</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Non-GAAP Financial Measures and Other Key Metrics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Gross Billings**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i/>
          <w:sz w:val="20"/>
        </w:rPr>
        <w:t>Three-Months Ended September 30, 2025 Compared to the Three-Months Ended September 30, 2024</w:t>
      </w:r>
      <w:r>
        <w:rPr>
          <w:rFonts w:ascii="Times New Roman;Times;serif" w:hAnsi="Times New Roman;Times;serif"/>
          <w:b/>
          <w:sz w:val="20"/>
        </w:rPr>
        <w: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Gross billings were $2.65 billion for the three-months ended September 30, 2025, an increase of approximately $443.8 million, or 20.1% higher than gross billings of $2.21 billion for the three-months ended September 30, 2024. Gross billings increased primarily due to increased worldwide sales of our Monster Energy® brand energy drinks as a result of increased consumer demand. Net changes in foreign currency exchange rates had a favorable impact on gross billings of approximately $40.8 million for the three-months ended September 30, 2025. Gross billings on a foreign currency adjusted basis increased 18.2% for the three-months ended September 30, 2025.</w:t>
      </w:r>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Gross billings for the Monster Energy® Drinks segment were $2.46 billion for the three-months ended September 30, 2025, an increase of approximately $426.5 million, or 21.0% higher than gross billings of $2.03 billion for the three-months ended September 30, 2024. Gross billings increased primarily due to increased worldwide sales of our Monster Energy® brand energy drinks as a result of increased consumer demand. Net changes in foreign currency exchange rates had a favorable impact on gross billings for the Monster Energy® Drinks segment of approximately $37.8 million for the three-months ended September 30, 2025. Gross billings for the Monster Energy® Drinks segment on a foreign currency adjusted basis increased 19.1% for the three-months ended September 30, 2025.</w:t>
      </w:r>
    </w:p>
    <w:p>
      <w:pPr>
        <w:pStyle w:val="TextBody"/>
        <w:bidi w:val="0"/>
        <w:spacing w:before="0" w:after="240"/>
        <w:ind w:left="0" w:right="0" w:hanging="0"/>
        <w:jc w:val="both"/>
        <w:rPr>
          <w:rFonts w:ascii="Times New Roman;Times;serif" w:hAnsi="Times New Roman;Times;serif"/>
          <w:i/>
          <w:sz w:val="18"/>
        </w:rPr>
      </w:pPr>
      <w:r>
        <w:rPr>
          <w:rFonts w:ascii="Times New Roman;Times;serif" w:hAnsi="Times New Roman;Times;serif"/>
          <w:i/>
          <w:sz w:val="18"/>
        </w:rPr>
        <w:t>**Gross billings represent amounts invoiced to customers net of cash discounts, returns and excise taxes. Gross billings are used internally by management as an indicator of and to monitor operating performance, including sales performance of particular products, salesperson performance, product growth or declines and is useful to investors in evaluating overall Company performance. The use of gross billings allows evaluation of sales performance before the effect of any promotional items, which can mask certain performance issues. We therefore believe that the presentation of gross billings provides a useful measure of our operating performance. The use of gross billings is not a measure that is recognized under GAAP and should not be considered as an alternative to net sales, which is determined in accordance with GAAP, and should not be used alone as an indicator of operating performance in place of net sales. Additionally, gross billings may not be comparable to similarly titled measures used by other companies, as gross billings has been defined by our internal reporting practices. In addition, gross billings may not be realized in the form of cash receipts as promotional payments and allowances may be deducted from payments received from certain customers.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billings for the Strategic Brands segment were $152.3 million for the three-months ended September 30, 2025, an increase of $23.8 million, or 18.5% higher than gross billings of $128.5 million for the three-months ended September 30, 2024. Gross billings for the Strategic Brands segment increased primarily due to increased sales of our Predator®, Burn®, and Mother® brand energy drinks. Net changes in foreign currency exchange rates had a favorable impact on gross billings in the Strategic Brands segment of approximately $3.0 million for the three-months ended September 30, 2025. Gross billings for the Strategic Brands segment on a foreign currency adjusted basis increased 16.2% for the three-months ended September 30, 2025.</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Gross billings for the Alcohol Brands segment were $33.6 million for the three-months ended September 30, 2025, a decrease of approximately $7.2 million, or 17.7% lower than gross billings of $40.8 million for the three-months ended September 30, 2024. The decrease in gross billings for the three-months ended September 30, 2025 was primarily due to decreased sales of The Beast</w:t>
      </w:r>
      <w:r>
        <w:rPr>
          <w:rFonts w:ascii="Times New Roman;Times;serif" w:hAnsi="Times New Roman;Times;serif"/>
          <w:sz w:val="15"/>
        </w:rPr>
        <w:t>TM</w:t>
      </w:r>
      <w:r>
        <w:rPr>
          <w:rFonts w:ascii="Times New Roman;Times;serif" w:hAnsi="Times New Roman;Times;serif"/>
          <w:sz w:val="20"/>
        </w:rPr>
        <w:t xml:space="preserve"> product line.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billings for the Other segment were $6.8 million for the three-months ended September 30, 2025, an increase of $0.8 million, or 12.8% higher than gross billings of $6.0 million for the three-months ended September 30,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Promotional allowances, commissions and other expenses, as described in the footnote below, were $465.8 million for the three-months ended September 30, 2025, an increase of $127.7 million, or 37.8% higher than promotional allowances, commissions and other expenses of $338.1 million for the three-months ended September 30, 2024. Promotional allowances, commissions and other expenses as a percentage of gross billings increased to 17.6% from 15.3% for the three-months ended September 30, 2025 and 2024,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Nine-Months Ended September 30, 2025 Compared to the Nine-Months Ended September 30, 2024</w:t>
      </w:r>
      <w:r>
        <w:rPr>
          <w:rFonts w:ascii="Times New Roman;Times;serif" w:hAnsi="Times New Roman;Times;serif"/>
          <w:b/>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billings were $7.32 billion for the nine-months ended September 30, 2025, an increase of approximately $699.6 million, or 10.6% higher than gross billings of $6.62 billion for the nine-months ended September 30, 2024. Gross billings increased primarily due to increased worldwide sales of our Monster Energy® brand energy drinks as a result of increased consumer demand. Net changes in foreign currency exchange rates had an unfavorable impact on gross billings of approximately $25.5 million for the nine-months ended September 30, 2025. Gross billings on a foreign currency adjusted basis increased 11.0% for the nine-months ended September 30,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billings for the Monster Energy® Drinks segment were $6.77 billion for the nine-months ended September 30, 2025, an increase of approximately $686.2 million, or 11.3% higher than gross billings of $6.08 billion for the nine-months ended September 30, 2024. Gross billings increased primarily due to increased worldwide sales of our Monster Energy® brand energy drinks as a result of increased consumer demand. Net changes in foreign currency exchange rates had an unfavorable impact on gross billings for the Monster Energy® Drinks segment of approximately $21.6 million for the nine-months ended September 30, 2025. Gross billings for the Monster Energy® Drinks segment on a foreign currency adjusted basis increased 11.6% for the nine-months ended September 30,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billings for the Strategic Brands segment were $418.0 million for the nine-months ended September 30, 2025, an increase of approximately $43.9 million, or 11.7% higher than gross billings of $374.1 million for the nine-months ended September 30, 2024. Gross billings for the Strategic Brands segment increased primarily due to increased sales of our Predator®, Burn® and NOS® brand energy drinks. Net changes in foreign currency exchange rates had an unfavorable impact on gross billings in the Strategic Brands segment of approximately $3.9 million for the nine-months ended September 30, 2025. Gross billings for the Strategic Brands segment on a foreign currency adjusted basis increased 12.8% for the nine-months ended September 30, 2025.</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Gross billings for the Alcohol Brands segment were $109.6 million for the nine-months ended September 30, 2025, a decrease of approximately $31.2 million, or 22.1% lower than gross billings of $140.8 million for the nine-months ended September 30, 2024. The decrease in gross billings for the nine-months ended September 30, 2025 was primarily due to decreased sales of the Beast</w:t>
      </w:r>
      <w:r>
        <w:rPr>
          <w:rFonts w:ascii="Times New Roman;Times;serif" w:hAnsi="Times New Roman;Times;serif"/>
          <w:sz w:val="15"/>
        </w:rPr>
        <w:t>TM</w:t>
      </w:r>
      <w:r>
        <w:rPr>
          <w:rFonts w:ascii="Times New Roman;Times;serif" w:hAnsi="Times New Roman;Times;serif"/>
          <w:sz w:val="20"/>
        </w:rPr>
        <w:t xml:space="preserve"> Tea product line, which was launched during the nine-months ended September 30, 2024, as well as decreased sales of The Beast</w:t>
      </w:r>
      <w:r>
        <w:rPr>
          <w:rFonts w:ascii="Times New Roman;Times;serif" w:hAnsi="Times New Roman;Times;serif"/>
          <w:sz w:val="15"/>
        </w:rPr>
        <w:t>TM</w:t>
      </w:r>
      <w:r>
        <w:rPr>
          <w:rFonts w:ascii="Times New Roman;Times;serif" w:hAnsi="Times New Roman;Times;serif"/>
          <w:sz w:val="20"/>
        </w:rPr>
        <w:t xml:space="preserve"> product line.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billings for the Other segment were $19.3 million for the nine-months ended September 30, 2025, an increase of approximately $0.6 million, or 3.4% higher than gross billings of $18.7 million for the nine-months ended September 30, 2024.</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Promotional allowances, commissions and other expenses, as described in the footnote below, were $1.18 billion for the nine-months ended September 30, 2025, an increase of $217.1 million, or 22.5% higher than promotional allowances, commissions and other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expenses of $965.3 million for the nine-months ended September 30, 2024. Promotional allowances, commissions and other expenses as a percentage of gross billings increased to 16.2% from 14.6% for the nine-months ended September 30, 2025 and 2024,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reconciles the non-GAAP financial measure of gross billings with the most directly comparable GAAP financial measure of net sales:</w:t>
      </w:r>
    </w:p>
    <w:tbl>
      <w:tblPr>
        <w:tblW w:w="10205" w:type="dxa"/>
        <w:jc w:val="left"/>
        <w:tblInd w:w="0" w:type="dxa"/>
        <w:tblLayout w:type="fixed"/>
        <w:tblCellMar>
          <w:top w:w="0" w:type="dxa"/>
          <w:left w:w="0" w:type="dxa"/>
          <w:bottom w:w="0" w:type="dxa"/>
          <w:right w:w="0" w:type="dxa"/>
        </w:tblCellMar>
      </w:tblPr>
      <w:tblGrid>
        <w:gridCol w:w="1348"/>
        <w:gridCol w:w="326"/>
        <w:gridCol w:w="211"/>
        <w:gridCol w:w="931"/>
        <w:gridCol w:w="326"/>
        <w:gridCol w:w="211"/>
        <w:gridCol w:w="931"/>
        <w:gridCol w:w="326"/>
        <w:gridCol w:w="991"/>
        <w:gridCol w:w="361"/>
        <w:gridCol w:w="211"/>
        <w:gridCol w:w="931"/>
        <w:gridCol w:w="326"/>
        <w:gridCol w:w="211"/>
        <w:gridCol w:w="931"/>
        <w:gridCol w:w="326"/>
        <w:gridCol w:w="991"/>
        <w:gridCol w:w="316"/>
      </w:tblGrid>
      <w:tr>
        <w:trPr/>
        <w:tc>
          <w:tcPr>
            <w:tcW w:w="13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07010" cy="175260"/>
                      <wp:effectExtent l="0" t="0" r="0" b="0"/>
                      <wp:wrapNone/>
                      <wp:docPr id="446" name="Frame4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133985" cy="175260"/>
                      <wp:effectExtent l="0" t="0" r="0" b="0"/>
                      <wp:wrapNone/>
                      <wp:docPr id="447" name="Frame4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591185" cy="175260"/>
                      <wp:effectExtent l="0" t="0" r="0" b="0"/>
                      <wp:wrapNone/>
                      <wp:docPr id="448" name="Frame44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07010" cy="175260"/>
                      <wp:effectExtent l="0" t="0" r="0" b="0"/>
                      <wp:wrapNone/>
                      <wp:docPr id="449" name="Frame4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133985" cy="175260"/>
                      <wp:effectExtent l="0" t="0" r="0" b="0"/>
                      <wp:wrapNone/>
                      <wp:docPr id="450" name="Frame4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591185" cy="175260"/>
                      <wp:effectExtent l="0" t="0" r="0" b="0"/>
                      <wp:wrapNone/>
                      <wp:docPr id="451" name="Frame45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07010" cy="175260"/>
                      <wp:effectExtent l="0" t="0" r="0" b="0"/>
                      <wp:wrapNone/>
                      <wp:docPr id="452" name="Frame4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629285" cy="175260"/>
                      <wp:effectExtent l="0" t="0" r="0" b="0"/>
                      <wp:wrapNone/>
                      <wp:docPr id="453" name="Frame453"/>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29235" cy="175260"/>
                      <wp:effectExtent l="0" t="0" r="0" b="0"/>
                      <wp:wrapNone/>
                      <wp:docPr id="454" name="Frame45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133985" cy="175260"/>
                      <wp:effectExtent l="0" t="0" r="0" b="0"/>
                      <wp:wrapNone/>
                      <wp:docPr id="455" name="Frame4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591185" cy="175260"/>
                      <wp:effectExtent l="0" t="0" r="0" b="0"/>
                      <wp:wrapNone/>
                      <wp:docPr id="456" name="Frame45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07010" cy="175260"/>
                      <wp:effectExtent l="0" t="0" r="0" b="0"/>
                      <wp:wrapNone/>
                      <wp:docPr id="457" name="Frame4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33985" cy="175260"/>
                      <wp:effectExtent l="0" t="0" r="0" b="0"/>
                      <wp:wrapNone/>
                      <wp:docPr id="458" name="Frame4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591185" cy="175260"/>
                      <wp:effectExtent l="0" t="0" r="0" b="0"/>
                      <wp:wrapNone/>
                      <wp:docPr id="459" name="Frame45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07010" cy="175260"/>
                      <wp:effectExtent l="0" t="0" r="0" b="0"/>
                      <wp:wrapNone/>
                      <wp:docPr id="460" name="Frame4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629285" cy="175260"/>
                      <wp:effectExtent l="0" t="0" r="0" b="0"/>
                      <wp:wrapNone/>
                      <wp:docPr id="461" name="Frame461"/>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00660" cy="175260"/>
                      <wp:effectExtent l="0" t="0" r="0" b="0"/>
                      <wp:wrapNone/>
                      <wp:docPr id="462" name="Frame46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610"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Percentage</w:t>
            </w:r>
          </w:p>
        </w:tc>
        <w:tc>
          <w:tcPr>
            <w:tcW w:w="361" w:type="dxa"/>
            <w:tcBorders/>
            <w:vAlign w:val="center"/>
          </w:tcPr>
          <w:p>
            <w:pPr>
              <w:pStyle w:val="TableContents"/>
              <w:bidi w:val="0"/>
              <w:spacing w:before="0" w:after="0"/>
              <w:ind w:left="0" w:right="0" w:hanging="0"/>
              <w:jc w:val="left"/>
              <w:rPr/>
            </w:pPr>
            <w:r>
              <w:rPr/>
              <w:t>    </w:t>
            </w:r>
          </w:p>
        </w:tc>
        <w:tc>
          <w:tcPr>
            <w:tcW w:w="2610"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Nine-Months Ended</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Percentage</w:t>
            </w:r>
          </w:p>
        </w:tc>
        <w:tc>
          <w:tcPr>
            <w:tcW w:w="316" w:type="dxa"/>
            <w:tcBorders/>
            <w:vAlign w:val="center"/>
          </w:tcPr>
          <w:p>
            <w:pPr>
              <w:pStyle w:val="TableContents"/>
              <w:bidi w:val="0"/>
              <w:spacing w:before="0" w:after="0"/>
              <w:ind w:left="0" w:right="0" w:hanging="0"/>
              <w:jc w:val="left"/>
              <w:rPr/>
            </w:pPr>
            <w:r>
              <w:rPr/>
              <w:t>​</w:t>
            </w:r>
          </w:p>
        </w:tc>
      </w:tr>
      <w:tr>
        <w:trPr/>
        <w:tc>
          <w:tcPr>
            <w:tcW w:w="134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thousands)</w:t>
            </w:r>
          </w:p>
        </w:tc>
        <w:tc>
          <w:tcPr>
            <w:tcW w:w="326" w:type="dxa"/>
            <w:tcBorders/>
            <w:vAlign w:val="center"/>
          </w:tcPr>
          <w:p>
            <w:pPr>
              <w:pStyle w:val="TableContents"/>
              <w:bidi w:val="0"/>
              <w:spacing w:before="0" w:after="0"/>
              <w:ind w:left="0" w:right="0" w:hanging="0"/>
              <w:jc w:val="left"/>
              <w:rPr/>
            </w:pPr>
            <w:r>
              <w:rPr/>
              <w:t>​</w:t>
            </w:r>
          </w:p>
        </w:tc>
        <w:tc>
          <w:tcPr>
            <w:tcW w:w="26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 </w:t>
            </w:r>
          </w:p>
        </w:tc>
        <w:tc>
          <w:tcPr>
            <w:tcW w:w="326" w:type="dxa"/>
            <w:tcBorders/>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Change</w:t>
            </w:r>
          </w:p>
        </w:tc>
        <w:tc>
          <w:tcPr>
            <w:tcW w:w="361" w:type="dxa"/>
            <w:tcBorders/>
            <w:vAlign w:val="center"/>
          </w:tcPr>
          <w:p>
            <w:pPr>
              <w:pStyle w:val="TableContents"/>
              <w:bidi w:val="0"/>
              <w:spacing w:before="0" w:after="0"/>
              <w:ind w:left="0" w:right="0" w:hanging="0"/>
              <w:jc w:val="left"/>
              <w:rPr/>
            </w:pPr>
            <w:r>
              <w:rPr/>
              <w:t>​</w:t>
            </w:r>
          </w:p>
        </w:tc>
        <w:tc>
          <w:tcPr>
            <w:tcW w:w="26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 </w:t>
            </w:r>
          </w:p>
        </w:tc>
        <w:tc>
          <w:tcPr>
            <w:tcW w:w="32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Change</w:t>
            </w:r>
          </w:p>
        </w:tc>
        <w:tc>
          <w:tcPr>
            <w:tcW w:w="316" w:type="dxa"/>
            <w:tcBorders/>
            <w:vAlign w:val="center"/>
          </w:tcPr>
          <w:p>
            <w:pPr>
              <w:pStyle w:val="TableContents"/>
              <w:bidi w:val="0"/>
              <w:spacing w:before="0" w:after="0"/>
              <w:ind w:left="0" w:right="0" w:hanging="0"/>
              <w:jc w:val="left"/>
              <w:rPr/>
            </w:pPr>
            <w:r>
              <w:rPr/>
              <w:t>​</w:t>
            </w:r>
          </w:p>
        </w:tc>
      </w:tr>
      <w:tr>
        <w:trPr/>
        <w:tc>
          <w:tcPr>
            <w:tcW w:w="13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 vs. 24</w:t>
            </w:r>
          </w:p>
        </w:tc>
        <w:tc>
          <w:tcPr>
            <w:tcW w:w="361"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 vs. 24</w:t>
            </w:r>
          </w:p>
        </w:tc>
        <w:tc>
          <w:tcPr>
            <w:tcW w:w="316" w:type="dxa"/>
            <w:tcBorders/>
            <w:vAlign w:val="center"/>
          </w:tcPr>
          <w:p>
            <w:pPr>
              <w:pStyle w:val="TableContents"/>
              <w:bidi w:val="0"/>
              <w:spacing w:before="0" w:after="0"/>
              <w:ind w:left="0" w:right="0" w:hanging="0"/>
              <w:jc w:val="left"/>
              <w:rPr/>
            </w:pPr>
            <w:r>
              <w:rPr/>
              <w:t>​</w:t>
            </w:r>
          </w:p>
        </w:tc>
      </w:tr>
      <w:tr>
        <w:trPr/>
        <w:tc>
          <w:tcPr>
            <w:tcW w:w="134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Billings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2,652,869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2,209,023</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7,315,735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6,616,108</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4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10,068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10,044</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29,959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29,897</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4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Promotional allowances, commissions and other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465,798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338,094</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1,182,404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965,337</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4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2,197,139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1,880,973</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6,163,290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5,680,668</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i/>
          <w:sz w:val="18"/>
        </w:rPr>
      </w:pPr>
      <w:r>
        <w:rPr>
          <w:rFonts w:ascii="Times New Roman;Times;serif" w:hAnsi="Times New Roman;Times;serif"/>
          <w:i/>
          <w:sz w:val="18"/>
        </w:rPr>
        <w:t>***Although the expenditures described in this line item are determined in accordance with GAAP and meet GAAP requirements, the presentation thereof does not conform to GAAP presentation requirements. Additionally, our definition of promotional and other allowances may not be comparable to similar items presented by other companies. Promotional and other allowances for our energy drink products primarily include consideration given to our non-alcohol bottlers/distributors or customers including, but not limited to the following: (i) discounts granted off list prices to support price promotions to end-consumers by retailers; (ii) reimbursements given to our bottlers/distributors for agreed portions of their promotional spend with retailers, including slotting, shelf space allowances and other fees for both new and existing products; (iii) our agreed share of fees given to bottlers/distributors and/or directly to retailers for advertising, in-store marketing and promotional activities; (iv) our agreed share of slotting, shelf space allowances and other fees given directly to retailers, club stores and/or wholesalers; (v) incentives given to our bottlers/distributors and/or retailers for achieving or exceeding certain predetermined sales goals; (vi) discounted and/or free products or cash rebates; (vii) contractual fees given to our bottlers/distributors related to sales made by us direct to certain customers that fall within the bottlers’/distributors’ sales territories; and (viii) certain commissions paid based on sales to our bottlers/distributors. The presentation of promotional and other allowances facilitates an evaluation of their impact on the determination of net sales and the spending levels incurred or correlated with such sales. Promotional and other allowances for our energy drink products constitute a material portion of our marketing activities. Our promotional allowance programs for our energy drink products with our numerous bottlers/distributors and/or retailers are executed through separate agreements in the ordinary course of business. These agreements generally provide for one or more of the arrangements described above and are of varying durations, ranging from one week to one year. Promotional and other allowances for our Alcohol Brands segment primarily include price promotions where permitted.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table below discloses selected quarterly data regarding sales for the three- and nine-months ended September 30, 2025 and 2024, respectively. Data from any one or more quarters or periods is not necessarily indicative of annual results or continuing trends.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Sales of our energy drinks are expressed in unit case volume. A “unit case” means a unit of measurement equal to 192 U.S. fluid ounces of finished beverage (24 eight-ounce servings). Unit case volume means the number of unit cases (or unit case equivalents) of finished products or concentrates as if converted into finished products sold by us.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quarterly results of operations reflect seasonal trends that are primarily the result of increased demand in the warmer months of the year. Beverage sales tend to be lower during the first and fourth quarters of each calendar year. However, our experience with our energy drink products suggests they are less seasonal than the seasonality expected from traditional beverages. In addition, our continued growth internationally may further reduce the impact of seasonality on our business. Quarterly fluctuations may also be affected by other factors including the introduction of new products, the opening of new markets where temperature fluctuations are more pronounced, the addition of new bottlers/distributors, changes in the sales mix of our products and changes in advertising and promotional expenses.</w:t>
      </w:r>
    </w:p>
    <w:tbl>
      <w:tblPr>
        <w:tblW w:w="9923" w:type="dxa"/>
        <w:jc w:val="left"/>
        <w:tblInd w:w="0" w:type="dxa"/>
        <w:tblLayout w:type="fixed"/>
        <w:tblCellMar>
          <w:top w:w="0" w:type="dxa"/>
          <w:left w:w="0" w:type="dxa"/>
          <w:bottom w:w="0" w:type="dxa"/>
          <w:right w:w="0" w:type="dxa"/>
        </w:tblCellMar>
      </w:tblPr>
      <w:tblGrid>
        <w:gridCol w:w="4006"/>
        <w:gridCol w:w="326"/>
        <w:gridCol w:w="211"/>
        <w:gridCol w:w="931"/>
        <w:gridCol w:w="326"/>
        <w:gridCol w:w="211"/>
        <w:gridCol w:w="931"/>
        <w:gridCol w:w="326"/>
        <w:gridCol w:w="211"/>
        <w:gridCol w:w="931"/>
        <w:gridCol w:w="326"/>
        <w:gridCol w:w="211"/>
        <w:gridCol w:w="976"/>
      </w:tblGrid>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07010" cy="175260"/>
                      <wp:effectExtent l="0" t="0" r="0" b="0"/>
                      <wp:wrapNone/>
                      <wp:docPr id="463" name="Frame4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133985" cy="175260"/>
                      <wp:effectExtent l="0" t="0" r="0" b="0"/>
                      <wp:wrapNone/>
                      <wp:docPr id="464" name="Frame4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591185" cy="175260"/>
                      <wp:effectExtent l="0" t="0" r="0" b="0"/>
                      <wp:wrapNone/>
                      <wp:docPr id="465" name="Frame46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07010" cy="175260"/>
                      <wp:effectExtent l="0" t="0" r="0" b="0"/>
                      <wp:wrapNone/>
                      <wp:docPr id="466" name="Frame4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133985" cy="175260"/>
                      <wp:effectExtent l="0" t="0" r="0" b="0"/>
                      <wp:wrapNone/>
                      <wp:docPr id="467" name="Frame4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591185" cy="175260"/>
                      <wp:effectExtent l="0" t="0" r="0" b="0"/>
                      <wp:wrapNone/>
                      <wp:docPr id="468" name="Frame46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07010" cy="175260"/>
                      <wp:effectExtent l="0" t="0" r="0" b="0"/>
                      <wp:wrapNone/>
                      <wp:docPr id="469" name="Frame4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133985" cy="175260"/>
                      <wp:effectExtent l="0" t="0" r="0" b="0"/>
                      <wp:wrapNone/>
                      <wp:docPr id="470" name="Frame4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591185" cy="175260"/>
                      <wp:effectExtent l="0" t="0" r="0" b="0"/>
                      <wp:wrapNone/>
                      <wp:docPr id="471" name="Frame47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07010" cy="175260"/>
                      <wp:effectExtent l="0" t="0" r="0" b="0"/>
                      <wp:wrapNone/>
                      <wp:docPr id="472" name="Frame4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133985" cy="175260"/>
                      <wp:effectExtent l="0" t="0" r="0" b="0"/>
                      <wp:wrapNone/>
                      <wp:docPr id="473" name="Frame4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619760" cy="175260"/>
                      <wp:effectExtent l="0" t="0" r="0" b="0"/>
                      <wp:wrapNone/>
                      <wp:docPr id="474" name="Frame474"/>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10"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Three-Months Ended </w:t>
            </w:r>
          </w:p>
        </w:tc>
        <w:tc>
          <w:tcPr>
            <w:tcW w:w="326" w:type="dxa"/>
            <w:tcBorders/>
            <w:vAlign w:val="center"/>
          </w:tcPr>
          <w:p>
            <w:pPr>
              <w:pStyle w:val="TableContents"/>
              <w:bidi w:val="0"/>
              <w:spacing w:before="0" w:after="0"/>
              <w:ind w:left="0" w:right="0" w:hanging="0"/>
              <w:jc w:val="left"/>
              <w:rPr/>
            </w:pPr>
            <w:r>
              <w:rPr/>
              <w:t>​</w:t>
            </w:r>
          </w:p>
        </w:tc>
        <w:tc>
          <w:tcPr>
            <w:tcW w:w="2655"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Nine-Months Ended </w:t>
            </w:r>
          </w:p>
        </w:tc>
      </w:tr>
      <w:tr>
        <w:trPr/>
        <w:tc>
          <w:tcPr>
            <w:tcW w:w="40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thousands, except average net sales per case)</w:t>
            </w:r>
          </w:p>
        </w:tc>
        <w:tc>
          <w:tcPr>
            <w:tcW w:w="326" w:type="dxa"/>
            <w:tcBorders/>
            <w:vAlign w:val="center"/>
          </w:tcPr>
          <w:p>
            <w:pPr>
              <w:pStyle w:val="TableContents"/>
              <w:bidi w:val="0"/>
              <w:spacing w:before="0" w:after="0"/>
              <w:ind w:left="0" w:right="0" w:hanging="0"/>
              <w:jc w:val="left"/>
              <w:rPr/>
            </w:pPr>
            <w:r>
              <w:rPr/>
              <w:t>​</w:t>
            </w:r>
          </w:p>
        </w:tc>
        <w:tc>
          <w:tcPr>
            <w:tcW w:w="26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 </w:t>
            </w:r>
          </w:p>
        </w:tc>
        <w:tc>
          <w:tcPr>
            <w:tcW w:w="326" w:type="dxa"/>
            <w:tcBorders/>
            <w:vAlign w:val="center"/>
          </w:tcPr>
          <w:p>
            <w:pPr>
              <w:pStyle w:val="TableContents"/>
              <w:bidi w:val="0"/>
              <w:spacing w:before="0" w:after="0"/>
              <w:ind w:left="0" w:right="0" w:hanging="0"/>
              <w:jc w:val="left"/>
              <w:rPr/>
            </w:pPr>
            <w:r>
              <w:rPr/>
              <w:t>​</w:t>
            </w:r>
          </w:p>
        </w:tc>
        <w:tc>
          <w:tcPr>
            <w:tcW w:w="26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 </w: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2,197,139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1,880,973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6,163,290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5,680,668</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Alcohol Brands segment sales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(33,009)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(39,784)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(105,683)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(137,417)</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Other segment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(18,467)</w:t>
            </w:r>
          </w:p>
        </w:tc>
      </w:tr>
      <w:tr>
        <w:trPr/>
        <w:tc>
          <w:tcPr>
            <w:tcW w:w="400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Adjusted net sales</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2,157,344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1,835,259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6,038,438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5,524,784</w:t>
            </w:r>
          </w:p>
        </w:tc>
      </w:tr>
      <w:tr>
        <w:trPr/>
        <w:tc>
          <w:tcPr>
            <w:tcW w:w="400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400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Case sales by segment:</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  </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201,310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172,587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562,395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507,970</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57,077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46,822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158,428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135,063</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case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258,387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219,409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720,823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643,033</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Average net sales per case - Energy Drinks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8.59</w:t>
            </w:r>
          </w:p>
        </w:tc>
      </w:tr>
    </w:tbl>
    <w:p>
      <w:pPr>
        <w:pStyle w:val="TextBody"/>
        <w:bidi w:val="0"/>
        <w:spacing w:before="0" w:after="0"/>
        <w:ind w:left="0" w:right="0" w:hanging="0"/>
        <w:jc w:val="left"/>
        <w:rPr/>
      </w:pPr>
      <w:r>
        <w:rPr/>
        <w:t>​</w:t>
      </w:r>
    </w:p>
    <w:p>
      <w:pPr>
        <w:pStyle w:val="TextBody"/>
        <w:bidi w:val="0"/>
        <w:spacing w:lineRule="auto" w:line="240" w:before="0" w:after="240"/>
        <w:ind w:left="0" w:right="0" w:hanging="0"/>
        <w:jc w:val="both"/>
        <w:rPr>
          <w:rFonts w:ascii="Times New Roman;Times;serif" w:hAnsi="Times New Roman;Times;serif"/>
          <w:sz w:val="18"/>
        </w:rPr>
      </w:pPr>
      <w:r>
        <w:rPr>
          <w:rFonts w:ascii="Times New Roman;Times;serif" w:hAnsi="Times New Roman;Times;serif"/>
          <w:i/>
          <w:sz w:val="14"/>
        </w:rPr>
        <w:t>1</w:t>
      </w:r>
      <w:r>
        <w:rPr>
          <w:rFonts w:ascii="Times New Roman;Times;serif" w:hAnsi="Times New Roman;Times;serif"/>
          <w:i/>
          <w:sz w:val="18"/>
        </w:rPr>
        <w:t>Excludes Alcohol Brands segment and Other segment net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changes in foreign currency exchange rates had a favorable impact on the overall average net sales per case for the three-months ended September 30, 2025 and an unfavorable impact on the overall average net sales per case for the nine-months ended September 30,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represents case sales for our craft beers, FMBs and hard seltzers, in 192-ounce equivalents:</w:t>
      </w:r>
    </w:p>
    <w:tbl>
      <w:tblPr>
        <w:tblW w:w="9113" w:type="dxa"/>
        <w:jc w:val="left"/>
        <w:tblInd w:w="0" w:type="dxa"/>
        <w:tblLayout w:type="fixed"/>
        <w:tblCellMar>
          <w:top w:w="0" w:type="dxa"/>
          <w:left w:w="0" w:type="dxa"/>
          <w:bottom w:w="0" w:type="dxa"/>
          <w:right w:w="0" w:type="dxa"/>
        </w:tblCellMar>
      </w:tblPr>
      <w:tblGrid>
        <w:gridCol w:w="4006"/>
        <w:gridCol w:w="326"/>
        <w:gridCol w:w="211"/>
        <w:gridCol w:w="676"/>
        <w:gridCol w:w="326"/>
        <w:gridCol w:w="211"/>
        <w:gridCol w:w="676"/>
        <w:gridCol w:w="326"/>
        <w:gridCol w:w="211"/>
        <w:gridCol w:w="781"/>
        <w:gridCol w:w="326"/>
        <w:gridCol w:w="211"/>
        <w:gridCol w:w="826"/>
      </w:tblGrid>
      <w:tr>
        <w:trPr/>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2543810" cy="175260"/>
                      <wp:effectExtent l="0" t="0" r="0" b="0"/>
                      <wp:wrapNone/>
                      <wp:docPr id="475" name="Frame475"/>
                      <a:graphic xmlns:a="http://schemas.openxmlformats.org/drawingml/2006/main">
                        <a:graphicData uri="http://schemas.microsoft.com/office/word/2010/wordprocessingShape">
                          <wps:wsp>
                            <wps:cNvSpPr txBox="1"/>
                            <wps:spPr>
                              <a:xfrm>
                                <a:off x="0" y="0"/>
                                <a:ext cx="2543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07010" cy="175260"/>
                      <wp:effectExtent l="0" t="0" r="0" b="0"/>
                      <wp:wrapNone/>
                      <wp:docPr id="476" name="Frame4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133985" cy="175260"/>
                      <wp:effectExtent l="0" t="0" r="0" b="0"/>
                      <wp:wrapNone/>
                      <wp:docPr id="477" name="Frame4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429260" cy="175260"/>
                      <wp:effectExtent l="0" t="0" r="0" b="0"/>
                      <wp:wrapNone/>
                      <wp:docPr id="478" name="Frame47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07010" cy="175260"/>
                      <wp:effectExtent l="0" t="0" r="0" b="0"/>
                      <wp:wrapNone/>
                      <wp:docPr id="479" name="Frame4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133985" cy="175260"/>
                      <wp:effectExtent l="0" t="0" r="0" b="0"/>
                      <wp:wrapNone/>
                      <wp:docPr id="480" name="Frame4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429260" cy="175260"/>
                      <wp:effectExtent l="0" t="0" r="0" b="0"/>
                      <wp:wrapNone/>
                      <wp:docPr id="481" name="Frame48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207010" cy="175260"/>
                      <wp:effectExtent l="0" t="0" r="0" b="0"/>
                      <wp:wrapNone/>
                      <wp:docPr id="482" name="Frame4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133985" cy="175260"/>
                      <wp:effectExtent l="0" t="0" r="0" b="0"/>
                      <wp:wrapNone/>
                      <wp:docPr id="483" name="Frame4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495935" cy="175260"/>
                      <wp:effectExtent l="0" t="0" r="0" b="0"/>
                      <wp:wrapNone/>
                      <wp:docPr id="484" name="Frame48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207010" cy="175260"/>
                      <wp:effectExtent l="0" t="0" r="0" b="0"/>
                      <wp:wrapNone/>
                      <wp:docPr id="485" name="Frame4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133985" cy="175260"/>
                      <wp:effectExtent l="0" t="0" r="0" b="0"/>
                      <wp:wrapNone/>
                      <wp:docPr id="486" name="Frame4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524510" cy="175260"/>
                      <wp:effectExtent l="0" t="0" r="0" b="0"/>
                      <wp:wrapNone/>
                      <wp:docPr id="487" name="Frame48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00"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Three-Months Ended </w:t>
            </w:r>
          </w:p>
        </w:tc>
        <w:tc>
          <w:tcPr>
            <w:tcW w:w="326" w:type="dxa"/>
            <w:tcBorders/>
            <w:vAlign w:val="center"/>
          </w:tcPr>
          <w:p>
            <w:pPr>
              <w:pStyle w:val="TableContents"/>
              <w:bidi w:val="0"/>
              <w:spacing w:before="0" w:after="0"/>
              <w:ind w:left="0" w:right="0" w:hanging="0"/>
              <w:jc w:val="center"/>
              <w:rPr/>
            </w:pPr>
            <w:r>
              <w:rPr/>
              <w:t>​</w:t>
            </w:r>
          </w:p>
        </w:tc>
        <w:tc>
          <w:tcPr>
            <w:tcW w:w="2355"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Nine-Months Ended </w:t>
            </w:r>
          </w:p>
        </w:tc>
      </w:tr>
      <w:tr>
        <w:trPr/>
        <w:tc>
          <w:tcPr>
            <w:tcW w:w="40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thousands, except average net sales per case)</w:t>
            </w:r>
          </w:p>
        </w:tc>
        <w:tc>
          <w:tcPr>
            <w:tcW w:w="326" w:type="dxa"/>
            <w:tcBorders/>
            <w:vAlign w:val="center"/>
          </w:tcPr>
          <w:p>
            <w:pPr>
              <w:pStyle w:val="TableContents"/>
              <w:bidi w:val="0"/>
              <w:spacing w:before="0" w:after="0"/>
              <w:ind w:left="0" w:right="0" w:hanging="0"/>
              <w:jc w:val="center"/>
              <w:rPr/>
            </w:pPr>
            <w:r>
              <w:rPr/>
              <w:t>​</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 </w:t>
            </w:r>
          </w:p>
        </w:tc>
        <w:tc>
          <w:tcPr>
            <w:tcW w:w="326" w:type="dxa"/>
            <w:tcBorders/>
            <w:vAlign w:val="center"/>
          </w:tcPr>
          <w:p>
            <w:pPr>
              <w:pStyle w:val="TableContents"/>
              <w:bidi w:val="0"/>
              <w:spacing w:before="0" w:after="0"/>
              <w:ind w:left="0" w:right="0" w:hanging="0"/>
              <w:jc w:val="center"/>
              <w:rPr/>
            </w:pPr>
            <w:r>
              <w:rPr/>
              <w:t>​</w:t>
            </w:r>
          </w:p>
        </w:tc>
        <w:tc>
          <w:tcPr>
            <w:tcW w:w="23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 </w: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righ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Brands segment 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105,683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137,417</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Case sales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9,967</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Average net sales per case - Alcohol Brands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13.79</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2, “Management’s Discussion and Analysis of Financial Condition and Results of Operations – Results of Operations” for additional information related to net sales.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Cash and cash equivalents. </w:t>
      </w:r>
      <w:r>
        <w:rPr>
          <w:rFonts w:ascii="Times New Roman;Times;serif" w:hAnsi="Times New Roman;Times;serif"/>
          <w:sz w:val="20"/>
        </w:rPr>
        <w:t>At September 30, 2025, we had $2.29 billion in cash and cash equivalents, $286.4 million in short-term investments, and $359.2 million in long-term investments, including certificates of deposit, commercial paper, U.S. treasuries and corporate bonds. We maintain our investments for cash management purposes and not for purposes of speculation. Our risk management policies emphasize credit quality (primarily based on short-term ratings by nationally recognized statistical rating organizations) in selecting and maintaining our investments. We regularly assess the market risk of our investments and believe our current policies and investment practices adequately limit those risks. However, certain of these investments are subject to general credit, liquidity, market and interest rate risks. These market risks associated with our investment portfolio may have an adverse effect on our future results of operations, liquidity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Of our $2.29 billion of cash and cash equivalents held at September 30, 2025, $1.15 billion was held by our foreign subsidiaries. No short-term or long-term investments were held by our foreign subsidiaries at September 30,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i/>
          <w:sz w:val="20"/>
        </w:rPr>
        <w:t xml:space="preserve">Long-term debt. </w:t>
      </w:r>
      <w:r>
        <w:rPr>
          <w:rFonts w:ascii="Times New Roman;Times;serif" w:hAnsi="Times New Roman;Times;serif"/>
          <w:sz w:val="20"/>
        </w:rPr>
        <w:t>In May 2024, the Company entered into a credit agreement with JPMorgan Chase Bank, N.A., as administrative agent, and certain other lenders (the “Original Credit Agreement”), which provided for senior unsecured credit facilities in an aggregate principal amount of $1.50 billion (collectively, the “Credit Facilities”). The Credit Facilities previously consisted of a $750.0 million term loan (the “Term Loan”) and up to $750.0 million in multicurrency revolving loan commitments (the “Revolving Credit Facility”). The Term Loan was repaid in April 2025 with no additional borrowings permitted. In addition, pursuant to Amendment No. 1 to the Original Credit Agreement, dated as of October 17, 2025, among the Company, JPMorgan Chase Bank, N.A., as administrative agent, and certain other lenders (the “Amended Credit Agreement”), the Company’s aggregate borrowing capacity under the Revolving Credit Facility has been reduced to $500.0 million. Borrowings under the Revolving Credit Facility bear interest at a variable rate per annum equal to the applicable rate plus margin (as defined in the Amended Credit Agreement). Borrowings may be repaid at any time during the term of the Revolving Credit Facility and may be reborrowed prior to the maturity date, which is set to occur in May 2029. As of September 30, 2025, no borrowings were outstanding under the Credit Facilities, and the Company was in compliance with all covenants under the Amended Credit Agreement. As of November 5, 2025, the Revolving Credit Facility had remaining availability of $500.0 million.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believe that cash available from operations, including our cash resources and access to credit, will be sufficient for our working capital needs, including purchase commitments for raw materials and inventory, increases in accounts receivable, payments of tax liabilities, expansion and development requirements, purchases of capital assets, purchases of equipment, purchases of real property and purchases of shares of our common stock, through at least the next 12 months. Based on our current plans, we estimate that capital expenditures (exclusive of common stock repurchases) are likely to be less than $250.0 million through September 30, 2026. However, future business opportunities may cause a change in this estimate.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Purchases of inventories, increases in accounts receivable and other assets, acquisition of property and equipment (including real property, personal property, plant and manufacturing equipment, and coolers), leasehold improvements, advances for or the purchase of equipment for our bottlers, acquisition and maintenance of trademarks, payments of accounts payable, income taxes payable and purchases of our common stock are expected to remain our principal recurring use of cash.</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following summarizes our cash flows for the nine-months ended September 30, 2025 and 2024 (in thousands):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Net cash provided by (used in):</w:t>
      </w:r>
    </w:p>
    <w:tbl>
      <w:tblPr>
        <w:tblW w:w="4842" w:type="dxa"/>
        <w:jc w:val="left"/>
        <w:tblInd w:w="0" w:type="dxa"/>
        <w:tblLayout w:type="fixed"/>
        <w:tblCellMar>
          <w:top w:w="0" w:type="dxa"/>
          <w:left w:w="0" w:type="dxa"/>
          <w:bottom w:w="0" w:type="dxa"/>
          <w:right w:w="0" w:type="dxa"/>
        </w:tblCellMar>
      </w:tblPr>
      <w:tblGrid>
        <w:gridCol w:w="1741"/>
        <w:gridCol w:w="326"/>
        <w:gridCol w:w="211"/>
        <w:gridCol w:w="931"/>
        <w:gridCol w:w="326"/>
        <w:gridCol w:w="211"/>
        <w:gridCol w:w="1096"/>
      </w:tblGrid>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207010" cy="175260"/>
                      <wp:effectExtent l="0" t="0" r="0" b="0"/>
                      <wp:wrapNone/>
                      <wp:docPr id="488" name="Frame4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133985" cy="175260"/>
                      <wp:effectExtent l="0" t="0" r="0" b="0"/>
                      <wp:wrapNone/>
                      <wp:docPr id="489" name="Frame4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591185" cy="175260"/>
                      <wp:effectExtent l="0" t="0" r="0" b="0"/>
                      <wp:wrapNone/>
                      <wp:docPr id="490" name="Frame49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207010" cy="175260"/>
                      <wp:effectExtent l="0" t="0" r="0" b="0"/>
                      <wp:wrapNone/>
                      <wp:docPr id="491" name="Frame4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133985" cy="175260"/>
                      <wp:effectExtent l="0" t="0" r="0" b="0"/>
                      <wp:wrapNone/>
                      <wp:docPr id="492" name="Frame4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695960" cy="175260"/>
                      <wp:effectExtent l="0" t="0" r="0" b="0"/>
                      <wp:wrapNone/>
                      <wp:docPr id="493" name="Frame493"/>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    </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1,718,762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1,466,832</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(719,248)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843,018</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(312,601)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(2,967,704)</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Cash flows provided by operating activities. </w:t>
      </w:r>
      <w:r>
        <w:rPr>
          <w:rFonts w:ascii="Times New Roman;Times;serif" w:hAnsi="Times New Roman;Times;serif"/>
          <w:sz w:val="20"/>
        </w:rPr>
        <w:t>Cash provided by operating activities was $1.72 billion for the nine-months ended September 30, 2025, as compared with cash provided by operating activities of $1.47 billion for the nine-months ended September 30,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the nine-months ended September 30, 2025, cash provided by operating activities was primarily attributable to net income earned of $1.46 billion and adjustments for certain non-cash expenses, consisting primarily of $92.3 million of depreciation and amortization and non-cash lease expense and $86.7 million of stock-based compensation. For the nine-months ended September 30, 2025, cash provided by operating activities also increased due to a $148.6 million increase in accounts payable, a $105.8 million increase in accrued promotional allowances, a $98.5 million increase in accrued liabilities, a $58.4 million decrease in inventories, a $33.4 million increase in income taxes payable, and a $14.0 million decrease in prepaid income taxes. For the nine-months ended September 30, 2025, cash used in operating activities was primarily attributable to a $299.1 million increase in accounts receivable, a $66.3 million increase in prepaid expenses and other assets, and a $15.9 million decrease in deferred revenue.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For the nine-months ended September 30, 2024, cash provided by operating activities was primarily attributable to net income earned of $1.24 billion and adjustments for certain non-cash expenses, consisting primarily of $69.6 million of depreciation and amortization and non-cash lease expense and $68.8 million of stock-based compensation. For the nine-months ended September 30, 2024, cash provided by operating activities also increased due to a $197.1 million decrease in inventories, a $46.7 million increase in accrued liabilities, a $31.5 million increase in accrued promotional allowances and a $4.2 million increase in income taxes payable. For the nine-months ended September 30, 2024, cash used in operating activities was primarily attributable to a $106.4 million increase in accounts receivable, a $39.7 million increase in prepaid income taxes, a $14.3 million decrease in accounts payable, a $12.7 million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decrease in deferred revenue, a $6.0 million decrease in accrued compensation, a $5.9 million increase in prepaid expenses and other assets and a $2.4 million decrease in other liabilities.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Cash flows (used in) provided by investing activities. </w:t>
      </w:r>
      <w:r>
        <w:rPr>
          <w:rFonts w:ascii="Times New Roman;Times;serif" w:hAnsi="Times New Roman;Times;serif"/>
          <w:sz w:val="20"/>
        </w:rPr>
        <w:t>Cash used in investing activities was $719.2 million for the nine-months ended September 30, 2025, as compared to cash provided by investing activities of $843.0 million for the nine-months ended September 30,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both the nine-months ended September 30, 2025 and 2024, cash used in investing activities was primarily attributable to purchases of available-for-sale investments. To a lesser extent, for both the nine-months ended September 30, 2025 and 2024, cash used in investing activities also included the acquisitions of fixed assets consisting of vans and promotional vehicles, coolers and other equipment to support our marketing and promotional activities, production equipment, furniture and fixtures, office and computer equipment, equipment used for sales and administrative activities, certain leasehold improvements, as well as construction of and/or improvements to real property. For both the nine-months ended September 30, 2025 and 2024, cash provided by investing activities was primarily attributable to sales of available-for-sale investments. We expect to use a portion of our cash in excess of our requirements for operations for purchasing short-term and long-term investments, leasehold improvements, the acquisition of capital equipment (specifically, vans, trucks and promotional vehicles, coolers, other promotional equipment, merchandise displays, warehousing racks as well as items of production equipment required to produce certain of our existing and/or new products) to develop our brand in international markets and for other corporate purposes. From time to time, we may also use cash to purchase additional real property related to our beverage business and/or acquire compatible businesses.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Cash flows used in financing activities. </w:t>
      </w:r>
      <w:r>
        <w:rPr>
          <w:rFonts w:ascii="Times New Roman;Times;serif" w:hAnsi="Times New Roman;Times;serif"/>
          <w:sz w:val="20"/>
        </w:rPr>
        <w:t>Cash used in financing activities was $312.6 million for the nine-months ended September 30, 2025, as compared to cash used in financing activities of $2.97 billion for the nine-months ended September 30, 2024. The cash used in financing activities for the nine-months ended September 30, 2025 was primarily due to repayments on the Credit Facilities and, to a lesser extent, repurchases of our common stock. The cash used in financing activities for the nine-months ended September 30, 2024 was primarily the result of repurchases of our common stock. The cash provided by financing activities for the nine-months ended September 30, 2025 was primarily attributable to the issuance of our common stock under our stock-based compensation plans. The cash provided by financing activities for the nine-months ended September 30, 2024 was primarily attributable to borrowings under the Credit Facilities and, to a lesser extent, the issuance of our common stock under our stock-based compensation plans.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represents a summary of the Company’s contractual commitments and related scheduled maturities as of September 30, 2025:</w:t>
      </w:r>
    </w:p>
    <w:tbl>
      <w:tblPr>
        <w:tblW w:w="8646" w:type="dxa"/>
        <w:jc w:val="left"/>
        <w:tblInd w:w="0" w:type="dxa"/>
        <w:tblLayout w:type="fixed"/>
        <w:tblCellMar>
          <w:top w:w="0" w:type="dxa"/>
          <w:left w:w="0" w:type="dxa"/>
          <w:bottom w:w="0" w:type="dxa"/>
          <w:right w:w="0" w:type="dxa"/>
        </w:tblCellMar>
      </w:tblPr>
      <w:tblGrid>
        <w:gridCol w:w="2161"/>
        <w:gridCol w:w="326"/>
        <w:gridCol w:w="211"/>
        <w:gridCol w:w="781"/>
        <w:gridCol w:w="326"/>
        <w:gridCol w:w="211"/>
        <w:gridCol w:w="781"/>
        <w:gridCol w:w="326"/>
        <w:gridCol w:w="211"/>
        <w:gridCol w:w="781"/>
        <w:gridCol w:w="326"/>
        <w:gridCol w:w="211"/>
        <w:gridCol w:w="676"/>
        <w:gridCol w:w="326"/>
        <w:gridCol w:w="211"/>
        <w:gridCol w:w="781"/>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1372235" cy="175260"/>
                      <wp:effectExtent l="0" t="0" r="0" b="0"/>
                      <wp:wrapNone/>
                      <wp:docPr id="494" name="Frame494"/>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207010" cy="175260"/>
                      <wp:effectExtent l="0" t="0" r="0" b="0"/>
                      <wp:wrapNone/>
                      <wp:docPr id="495" name="Frame4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133985" cy="175260"/>
                      <wp:effectExtent l="0" t="0" r="0" b="0"/>
                      <wp:wrapNone/>
                      <wp:docPr id="496" name="Frame4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495935" cy="175260"/>
                      <wp:effectExtent l="0" t="0" r="0" b="0"/>
                      <wp:wrapNone/>
                      <wp:docPr id="497" name="Frame49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207010" cy="175260"/>
                      <wp:effectExtent l="0" t="0" r="0" b="0"/>
                      <wp:wrapNone/>
                      <wp:docPr id="498" name="Frame4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133985" cy="175260"/>
                      <wp:effectExtent l="0" t="0" r="0" b="0"/>
                      <wp:wrapNone/>
                      <wp:docPr id="499" name="Frame4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495935" cy="175260"/>
                      <wp:effectExtent l="0" t="0" r="0" b="0"/>
                      <wp:wrapNone/>
                      <wp:docPr id="500" name="Frame50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207010" cy="175260"/>
                      <wp:effectExtent l="0" t="0" r="0" b="0"/>
                      <wp:wrapNone/>
                      <wp:docPr id="501" name="Frame5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133985" cy="175260"/>
                      <wp:effectExtent l="0" t="0" r="0" b="0"/>
                      <wp:wrapNone/>
                      <wp:docPr id="502" name="Frame5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495935" cy="175260"/>
                      <wp:effectExtent l="0" t="0" r="0" b="0"/>
                      <wp:wrapNone/>
                      <wp:docPr id="503" name="Frame50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07010" cy="175260"/>
                      <wp:effectExtent l="0" t="0" r="0" b="0"/>
                      <wp:wrapNone/>
                      <wp:docPr id="504" name="Frame5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133985" cy="175260"/>
                      <wp:effectExtent l="0" t="0" r="0" b="0"/>
                      <wp:wrapNone/>
                      <wp:docPr id="505" name="Frame5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429260" cy="175260"/>
                      <wp:effectExtent l="0" t="0" r="0" b="0"/>
                      <wp:wrapNone/>
                      <wp:docPr id="506" name="Frame50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207010" cy="175260"/>
                      <wp:effectExtent l="0" t="0" r="0" b="0"/>
                      <wp:wrapNone/>
                      <wp:docPr id="507" name="Frame5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133985" cy="175260"/>
                      <wp:effectExtent l="0" t="0" r="0" b="0"/>
                      <wp:wrapNone/>
                      <wp:docPr id="508" name="Frame5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495935" cy="175260"/>
                      <wp:effectExtent l="0" t="0" r="0" b="0"/>
                      <wp:wrapNone/>
                      <wp:docPr id="509" name="Frame50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159"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Payments due by period (in thousands)</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Less than</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noBreakHyphen/>
              <w:t>3 </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noBreakHyphen/>
              <w:t>5 </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More than</w:t>
            </w:r>
          </w:p>
        </w:tc>
      </w:tr>
      <w:tr>
        <w:trPr/>
        <w:tc>
          <w:tcPr>
            <w:tcW w:w="21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Obligations</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 year</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years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years</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 years</w:t>
            </w:r>
          </w:p>
        </w:tc>
      </w:tr>
      <w:tr>
        <w:trPr/>
        <w:tc>
          <w:tcPr>
            <w:tcW w:w="216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Contractual Obligations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481,065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253,654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152,093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2,646</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7,963</w:t>
            </w:r>
          </w:p>
        </w:tc>
      </w:tr>
      <w:tr>
        <w:trPr/>
        <w:tc>
          <w:tcPr>
            <w:tcW w:w="216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Purchase Commitments</w:t>
            </w:r>
            <w:r>
              <w:rPr>
                <w:rFonts w:ascii="Times New Roman;Times;serif" w:hAnsi="Times New Roman;Times;serif"/>
                <w:sz w:val="15"/>
              </w:rPr>
              <w:t>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225,314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136,509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86,062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16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766,702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408,321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258,855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10,609</w:t>
            </w:r>
          </w:p>
        </w:tc>
      </w:tr>
    </w:tbl>
    <w:p>
      <w:pPr>
        <w:pStyle w:val="TextBody"/>
        <w:bidi w:val="0"/>
        <w:spacing w:before="0" w:after="0"/>
        <w:ind w:left="0" w:right="0" w:hanging="0"/>
        <w:jc w:val="left"/>
        <w:rPr/>
      </w:pPr>
      <w:r>
        <w:rPr/>
        <w:t>​</w:t>
      </w:r>
    </w:p>
    <w:p>
      <w:pPr>
        <w:pStyle w:val="TextBody"/>
        <w:bidi w:val="0"/>
        <w:spacing w:lineRule="auto" w:line="240" w:before="0" w:after="240"/>
        <w:ind w:left="0" w:right="0" w:hanging="0"/>
        <w:jc w:val="both"/>
        <w:rPr>
          <w:rFonts w:ascii="Times New Roman;Times;serif" w:hAnsi="Times New Roman;Times;serif"/>
          <w:sz w:val="18"/>
        </w:rPr>
      </w:pPr>
      <w:r>
        <w:rPr>
          <w:rFonts w:ascii="Times New Roman;Times;serif" w:hAnsi="Times New Roman;Times;serif"/>
          <w:i/>
          <w:sz w:val="14"/>
        </w:rPr>
        <w:t>1</w:t>
      </w:r>
      <w:r>
        <w:rPr>
          <w:rFonts w:ascii="Times New Roman;Times;serif" w:hAnsi="Times New Roman;Times;serif"/>
          <w:i/>
          <w:sz w:val="18"/>
        </w:rPr>
        <w:t>Contractual obligations include our obligations related to sponsorships and other commitments.</w:t>
      </w:r>
    </w:p>
    <w:p>
      <w:pPr>
        <w:pStyle w:val="TextBody"/>
        <w:pBdr/>
        <w:bidi w:val="0"/>
        <w:spacing w:lineRule="auto" w:line="240" w:before="0" w:after="240"/>
        <w:ind w:left="0" w:right="0" w:hanging="72"/>
        <w:jc w:val="both"/>
        <w:rPr>
          <w:rFonts w:ascii="Times New Roman;Times;serif" w:hAnsi="Times New Roman;Times;serif"/>
          <w:sz w:val="18"/>
        </w:rPr>
      </w:pPr>
      <w:r>
        <w:rPr>
          <w:rFonts w:ascii="Times New Roman;Times;serif" w:hAnsi="Times New Roman;Times;serif"/>
          <w:i/>
          <w:sz w:val="14"/>
        </w:rPr>
        <w:t>2</w:t>
      </w:r>
      <w:r>
        <w:rPr>
          <w:rFonts w:ascii="Times New Roman;Times;serif" w:hAnsi="Times New Roman;Times;serif"/>
          <w:i/>
          <w:sz w:val="18"/>
        </w:rPr>
        <w:t>Purchase commitments include obligations made by us and our subsidiaries to various suppliers for raw materials used in the production of our products. These obligations vary in terms but are generally satisfied within one year.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approximately $4.1 million of unrecognized tax benefits have been recorded as liabilities as of September 30, 2025. It is expected that the amount of unrecognized tax benefits will not significantly change within the next 12 months. As of September 30, 2025, we had $1.0 million of accrued interest and penalties related to unrecognized tax benefits.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consolidated financial statements are prepared in accordance with GAAP. GAAP requires us to make estimates and assumptions that affect the reported amounts in our consolidated financial statements. Critical accounting estimates are those that management believes are the most important to the portrayal of our financial condition and results and require the most difficult, subjective or complex judgments, often as a result of the need to make estimates about the effect of matters that are inherently uncertain and that have had, or are reasonably likely to have, a material impact on our financial condition or results of operations. Judgments and uncertainties may result in materially different amounts being reported under different conditions or using different assumptions. There have been no material changes to our critical accounting policies or estimates from the information provided in “Part II, Item 7, Management’s Discussion and Analysis of Financial Condition and Results of Operations” and “Part II, Item 8 – Financial Statements and Supplementary Data – Note 1 – Organization and Summary of Significant Accounting Policies”, included in our Annual Report on Form 10-K for the fiscal year ended December 31, 2024 (“Form 10-K”).</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information required by this Item is incorporated herein by reference to the Notes to Condensed Consolidated Financial Statements - Note 1. Recent Accounting Pronouncements, in Part I, Item 1, of this Quarterly Report on Form 10-Q.</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Inflation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inflation did not have a significant impact on our results of operations for the three- and nine-months ended September 30, 2025.</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Certain statements made in this report may constitute forward-looking statements (within the meaning of Section 27A of the Securities Act of 1933, as amended, and Section 21E of the Securities Exchange Act of 1934, as amended) (the “Exchange Act”) regarding the expectations of management with respect to revenues, profitability, and adequacy of funds from operations and the Revolving Credit Facility, among other things. All 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forward-looking statements within the meaning of the Exchange Act. Without limiting the foregoing, the words “believes,” “thinks,” “anticipates,” “plans,” “expects,” “estimates” and similar expressions are intended to identify forward-looking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Management cautions that these statements are qualified by their terms and/or important factors, many of which are outside our control and involve a number of risks, uncertainties and other factors, that could cause actual results and events to differ materially from the statements made including, but not limited to, the following:</w:t>
      </w:r>
    </w:p>
    <w:tbl>
      <w:tblPr>
        <w:tblW w:w="10205" w:type="dxa"/>
        <w:jc w:val="left"/>
        <w:tblInd w:w="0" w:type="dxa"/>
        <w:tblLayout w:type="fixed"/>
        <w:tblCellMar>
          <w:top w:w="0" w:type="dxa"/>
          <w:left w:w="0" w:type="dxa"/>
          <w:bottom w:w="0" w:type="dxa"/>
          <w:right w:w="0" w:type="dxa"/>
        </w:tblCellMar>
      </w:tblPr>
      <w:tblGrid>
        <w:gridCol w:w="124"/>
        <w:gridCol w:w="181"/>
        <w:gridCol w:w="9900"/>
      </w:tblGrid>
      <w:tr>
        <w:trPr/>
        <w:tc>
          <w:tcPr>
            <w:tcW w:w="1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99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ability to sustain and/or surpass the current level of sales of our products, to adapt to changing consumer preferences, and to effectively respond to competitive products and pricing pressures;</w:t>
            </w:r>
          </w:p>
        </w:tc>
      </w:tr>
    </w:tbl>
    <w:tbl>
      <w:tblPr>
        <w:tblW w:w="10205" w:type="dxa"/>
        <w:jc w:val="left"/>
        <w:tblInd w:w="0" w:type="dxa"/>
        <w:tblLayout w:type="fixed"/>
        <w:tblCellMar>
          <w:top w:w="0" w:type="dxa"/>
          <w:left w:w="0" w:type="dxa"/>
          <w:bottom w:w="0" w:type="dxa"/>
          <w:right w:w="0" w:type="dxa"/>
        </w:tblCellMar>
      </w:tblPr>
      <w:tblGrid>
        <w:gridCol w:w="124"/>
        <w:gridCol w:w="181"/>
        <w:gridCol w:w="9900"/>
      </w:tblGrid>
      <w:tr>
        <w:trPr/>
        <w:tc>
          <w:tcPr>
            <w:tcW w:w="1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99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ability to implement our growth strategy, including expanding our business in existing and new sectors and achieving profitability within our Alcohol Brands segment;</w:t>
            </w:r>
          </w:p>
        </w:tc>
      </w:tr>
    </w:tbl>
    <w:tbl>
      <w:tblPr>
        <w:tblW w:w="10205" w:type="dxa"/>
        <w:jc w:val="left"/>
        <w:tblInd w:w="0" w:type="dxa"/>
        <w:tblLayout w:type="fixed"/>
        <w:tblCellMar>
          <w:top w:w="0" w:type="dxa"/>
          <w:left w:w="0" w:type="dxa"/>
          <w:bottom w:w="0" w:type="dxa"/>
          <w:right w:w="0" w:type="dxa"/>
        </w:tblCellMar>
      </w:tblPr>
      <w:tblGrid>
        <w:gridCol w:w="124"/>
        <w:gridCol w:w="181"/>
        <w:gridCol w:w="9900"/>
      </w:tblGrid>
      <w:tr>
        <w:trPr/>
        <w:tc>
          <w:tcPr>
            <w:tcW w:w="1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99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ability to adapt to the changing retail landscape with the rapid growth in e-commerce retailers and e-commerce websites;</w:t>
            </w:r>
          </w:p>
        </w:tc>
      </w:tr>
    </w:tbl>
    <w:tbl>
      <w:tblPr>
        <w:tblW w:w="10161" w:type="dxa"/>
        <w:jc w:val="left"/>
        <w:tblInd w:w="0" w:type="dxa"/>
        <w:tblLayout w:type="fixed"/>
        <w:tblCellMar>
          <w:top w:w="0" w:type="dxa"/>
          <w:left w:w="0" w:type="dxa"/>
          <w:bottom w:w="0" w:type="dxa"/>
          <w:right w:w="0" w:type="dxa"/>
        </w:tblCellMar>
      </w:tblPr>
      <w:tblGrid>
        <w:gridCol w:w="124"/>
        <w:gridCol w:w="181"/>
        <w:gridCol w:w="9856"/>
      </w:tblGrid>
      <w:tr>
        <w:trPr/>
        <w:tc>
          <w:tcPr>
            <w:tcW w:w="1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985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ability to absorb, reduce or pass on to our bottlers/distributors increases in commodity costs, including freight costs;</w:t>
            </w:r>
          </w:p>
        </w:tc>
      </w:tr>
    </w:tbl>
    <w:tbl>
      <w:tblPr>
        <w:tblW w:w="10205" w:type="dxa"/>
        <w:jc w:val="left"/>
        <w:tblInd w:w="0" w:type="dxa"/>
        <w:tblLayout w:type="fixed"/>
        <w:tblCellMar>
          <w:top w:w="0" w:type="dxa"/>
          <w:left w:w="0" w:type="dxa"/>
          <w:bottom w:w="0" w:type="dxa"/>
          <w:right w:w="0" w:type="dxa"/>
        </w:tblCellMar>
      </w:tblPr>
      <w:tblGrid>
        <w:gridCol w:w="124"/>
        <w:gridCol w:w="181"/>
        <w:gridCol w:w="9900"/>
      </w:tblGrid>
      <w:tr>
        <w:trPr/>
        <w:tc>
          <w:tcPr>
            <w:tcW w:w="1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99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impact of the current U.S. presidential administration’s policies on our energy drinks due to concerns about sugar-sweetened beverages, particular ingredients, such as food dyes, and the “generally recognized as safe” (GRAS) process;</w:t>
            </w:r>
          </w:p>
        </w:tc>
      </w:tr>
    </w:tbl>
    <w:tbl>
      <w:tblPr>
        <w:tblW w:w="10205" w:type="dxa"/>
        <w:jc w:val="left"/>
        <w:tblInd w:w="0" w:type="dxa"/>
        <w:tblLayout w:type="fixed"/>
        <w:tblCellMar>
          <w:top w:w="0" w:type="dxa"/>
          <w:left w:w="0" w:type="dxa"/>
          <w:bottom w:w="0" w:type="dxa"/>
          <w:right w:w="0" w:type="dxa"/>
        </w:tblCellMar>
      </w:tblPr>
      <w:tblGrid>
        <w:gridCol w:w="124"/>
        <w:gridCol w:w="181"/>
        <w:gridCol w:w="9900"/>
      </w:tblGrid>
      <w:tr>
        <w:trPr/>
        <w:tc>
          <w:tcPr>
            <w:tcW w:w="1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99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impact of proposed or adopted domestic and/or foreign legislation to limit or restrict the sale of energy drinks (including the prohibition of the sale of energy drinks to certain demographics, at certain establishments, in certain container sizes or pursuant to certain governmental programs, such as the Supplemental Nutrition Assistance Program (SNAP));</w:t>
            </w:r>
          </w:p>
        </w:tc>
      </w:tr>
    </w:tbl>
    <w:tbl>
      <w:tblPr>
        <w:tblW w:w="10205" w:type="dxa"/>
        <w:jc w:val="left"/>
        <w:tblInd w:w="0" w:type="dxa"/>
        <w:tblLayout w:type="fixed"/>
        <w:tblCellMar>
          <w:top w:w="0" w:type="dxa"/>
          <w:left w:w="0" w:type="dxa"/>
          <w:bottom w:w="0" w:type="dxa"/>
          <w:right w:w="0" w:type="dxa"/>
        </w:tblCellMar>
      </w:tblPr>
      <w:tblGrid>
        <w:gridCol w:w="124"/>
        <w:gridCol w:w="181"/>
        <w:gridCol w:w="9900"/>
      </w:tblGrid>
      <w:tr>
        <w:trPr/>
        <w:tc>
          <w:tcPr>
            <w:tcW w:w="1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99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impact of changes in U.S. trade policies and the threat or imposition of tariffs on, among other things, our supply chain, input costs, inflation or consumer demand for our products;</w:t>
            </w:r>
          </w:p>
        </w:tc>
      </w:tr>
    </w:tbl>
    <w:tbl>
      <w:tblPr>
        <w:tblW w:w="7476" w:type="dxa"/>
        <w:jc w:val="left"/>
        <w:tblInd w:w="0" w:type="dxa"/>
        <w:tblLayout w:type="fixed"/>
        <w:tblCellMar>
          <w:top w:w="0" w:type="dxa"/>
          <w:left w:w="0" w:type="dxa"/>
          <w:bottom w:w="0" w:type="dxa"/>
          <w:right w:w="0" w:type="dxa"/>
        </w:tblCellMar>
      </w:tblPr>
      <w:tblGrid>
        <w:gridCol w:w="124"/>
        <w:gridCol w:w="181"/>
        <w:gridCol w:w="7171"/>
      </w:tblGrid>
      <w:tr>
        <w:trPr/>
        <w:tc>
          <w:tcPr>
            <w:tcW w:w="1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717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imposition of new and/or increased excise sales and/or other taxes on our products;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24"/>
        <w:gridCol w:w="181"/>
        <w:gridCol w:w="9900"/>
      </w:tblGrid>
      <w:tr>
        <w:trPr/>
        <w:tc>
          <w:tcPr>
            <w:tcW w:w="1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99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extensive commercial arrangements with The Coca-Cola Company (TCCC) and, as a result, our future performance’s substantial dependence on the success of our relationship with TCCC;</w:t>
            </w:r>
          </w:p>
        </w:tc>
      </w:tr>
    </w:tbl>
    <w:tbl>
      <w:tblPr>
        <w:tblW w:w="10205" w:type="dxa"/>
        <w:jc w:val="left"/>
        <w:tblInd w:w="0" w:type="dxa"/>
        <w:tblLayout w:type="fixed"/>
        <w:tblCellMar>
          <w:top w:w="0" w:type="dxa"/>
          <w:left w:w="0" w:type="dxa"/>
          <w:bottom w:w="0" w:type="dxa"/>
          <w:right w:w="0" w:type="dxa"/>
        </w:tblCellMar>
      </w:tblPr>
      <w:tblGrid>
        <w:gridCol w:w="124"/>
        <w:gridCol w:w="181"/>
        <w:gridCol w:w="9900"/>
      </w:tblGrid>
      <w:tr>
        <w:trPr/>
        <w:tc>
          <w:tcPr>
            <w:tcW w:w="1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99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effects of unilateral decisions by bottlers/distributors and/or retailers on our business, including their distribution and placement of our products, their consolidation, their discontinuation, or restriction of the range of, all or any of our products that they carry, their limitations on the sale or sizes of our products, and/or their devotion of less resources to the sale of our products;</w:t>
            </w:r>
          </w:p>
        </w:tc>
      </w:tr>
    </w:tbl>
    <w:tbl>
      <w:tblPr>
        <w:tblW w:w="10205" w:type="dxa"/>
        <w:jc w:val="left"/>
        <w:tblInd w:w="0" w:type="dxa"/>
        <w:tblLayout w:type="fixed"/>
        <w:tblCellMar>
          <w:top w:w="0" w:type="dxa"/>
          <w:left w:w="0" w:type="dxa"/>
          <w:bottom w:w="0" w:type="dxa"/>
          <w:right w:w="0" w:type="dxa"/>
        </w:tblCellMar>
      </w:tblPr>
      <w:tblGrid>
        <w:gridCol w:w="124"/>
        <w:gridCol w:w="181"/>
        <w:gridCol w:w="9900"/>
      </w:tblGrid>
      <w:tr>
        <w:trPr/>
        <w:tc>
          <w:tcPr>
            <w:tcW w:w="1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99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changes in the price and/or availability of raw materials and other supply chain issues, such as the availability of products, suitable production facilities and/or co-packing arrangements;</w:t>
            </w:r>
          </w:p>
        </w:tc>
      </w:tr>
    </w:tbl>
    <w:tbl>
      <w:tblPr>
        <w:tblW w:w="7821" w:type="dxa"/>
        <w:jc w:val="left"/>
        <w:tblInd w:w="0" w:type="dxa"/>
        <w:tblLayout w:type="fixed"/>
        <w:tblCellMar>
          <w:top w:w="0" w:type="dxa"/>
          <w:left w:w="0" w:type="dxa"/>
          <w:bottom w:w="0" w:type="dxa"/>
          <w:right w:w="0" w:type="dxa"/>
        </w:tblCellMar>
      </w:tblPr>
      <w:tblGrid>
        <w:gridCol w:w="124"/>
        <w:gridCol w:w="181"/>
        <w:gridCol w:w="7516"/>
      </w:tblGrid>
      <w:tr>
        <w:trPr/>
        <w:tc>
          <w:tcPr>
            <w:tcW w:w="1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751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possible recalls of our products and/or the consequences and costs of defective production;</w:t>
            </w:r>
          </w:p>
        </w:tc>
      </w:tr>
    </w:tbl>
    <w:tbl>
      <w:tblPr>
        <w:tblW w:w="10205" w:type="dxa"/>
        <w:jc w:val="left"/>
        <w:tblInd w:w="0" w:type="dxa"/>
        <w:tblLayout w:type="fixed"/>
        <w:tblCellMar>
          <w:top w:w="0" w:type="dxa"/>
          <w:left w:w="0" w:type="dxa"/>
          <w:bottom w:w="0" w:type="dxa"/>
          <w:right w:w="0" w:type="dxa"/>
        </w:tblCellMar>
      </w:tblPr>
      <w:tblGrid>
        <w:gridCol w:w="124"/>
        <w:gridCol w:w="181"/>
        <w:gridCol w:w="9900"/>
      </w:tblGrid>
      <w:tr>
        <w:trPr/>
        <w:tc>
          <w:tcPr>
            <w:tcW w:w="1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99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disruption to our manufacturing facilities and operations related to climate, labor, production difficulties, capacity limitations, regulations or other causes;</w:t>
            </w:r>
          </w:p>
        </w:tc>
      </w:tr>
    </w:tbl>
    <w:tbl>
      <w:tblPr>
        <w:tblW w:w="10205" w:type="dxa"/>
        <w:jc w:val="left"/>
        <w:tblInd w:w="0" w:type="dxa"/>
        <w:tblLayout w:type="fixed"/>
        <w:tblCellMar>
          <w:top w:w="0" w:type="dxa"/>
          <w:left w:w="0" w:type="dxa"/>
          <w:bottom w:w="0" w:type="dxa"/>
          <w:right w:w="0" w:type="dxa"/>
        </w:tblCellMar>
      </w:tblPr>
      <w:tblGrid>
        <w:gridCol w:w="124"/>
        <w:gridCol w:w="181"/>
        <w:gridCol w:w="9900"/>
      </w:tblGrid>
      <w:tr>
        <w:trPr/>
        <w:tc>
          <w:tcPr>
            <w:tcW w:w="1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99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disruption to and/or lack of effectiveness of our information technology systems, including internal and external cybersecurity threats and breaches;</w:t>
            </w:r>
          </w:p>
        </w:tc>
      </w:tr>
    </w:tbl>
    <w:tbl>
      <w:tblPr>
        <w:tblW w:w="10205" w:type="dxa"/>
        <w:jc w:val="left"/>
        <w:tblInd w:w="0" w:type="dxa"/>
        <w:tblLayout w:type="fixed"/>
        <w:tblCellMar>
          <w:top w:w="0" w:type="dxa"/>
          <w:left w:w="0" w:type="dxa"/>
          <w:bottom w:w="0" w:type="dxa"/>
          <w:right w:w="0" w:type="dxa"/>
        </w:tblCellMar>
      </w:tblPr>
      <w:tblGrid>
        <w:gridCol w:w="124"/>
        <w:gridCol w:w="181"/>
        <w:gridCol w:w="9900"/>
      </w:tblGrid>
      <w:tr>
        <w:trPr/>
        <w:tc>
          <w:tcPr>
            <w:tcW w:w="1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99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adverse publicity surrounding obesity, alcohol consumption and other health concerns related to our products, product safety and quality;</w:t>
            </w:r>
          </w:p>
        </w:tc>
      </w:tr>
    </w:tbl>
    <w:tbl>
      <w:tblPr>
        <w:tblW w:w="8916" w:type="dxa"/>
        <w:jc w:val="left"/>
        <w:tblInd w:w="0" w:type="dxa"/>
        <w:tblLayout w:type="fixed"/>
        <w:tblCellMar>
          <w:top w:w="0" w:type="dxa"/>
          <w:left w:w="0" w:type="dxa"/>
          <w:bottom w:w="0" w:type="dxa"/>
          <w:right w:w="0" w:type="dxa"/>
        </w:tblCellMar>
      </w:tblPr>
      <w:tblGrid>
        <w:gridCol w:w="124"/>
        <w:gridCol w:w="181"/>
        <w:gridCol w:w="8611"/>
      </w:tblGrid>
      <w:tr>
        <w:trPr/>
        <w:tc>
          <w:tcPr>
            <w:tcW w:w="1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861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liabilities resulting from legal or regulatory proceedings, government investigations, and/or injunctions;</w:t>
            </w:r>
          </w:p>
        </w:tc>
      </w:tr>
    </w:tbl>
    <w:tbl>
      <w:tblPr>
        <w:tblW w:w="10205" w:type="dxa"/>
        <w:jc w:val="left"/>
        <w:tblInd w:w="0" w:type="dxa"/>
        <w:tblLayout w:type="fixed"/>
        <w:tblCellMar>
          <w:top w:w="0" w:type="dxa"/>
          <w:left w:w="0" w:type="dxa"/>
          <w:bottom w:w="0" w:type="dxa"/>
          <w:right w:w="0" w:type="dxa"/>
        </w:tblCellMar>
      </w:tblPr>
      <w:tblGrid>
        <w:gridCol w:w="124"/>
        <w:gridCol w:w="181"/>
        <w:gridCol w:w="9900"/>
      </w:tblGrid>
      <w:tr>
        <w:trPr/>
        <w:tc>
          <w:tcPr>
            <w:tcW w:w="1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99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inherent operational risks presented by the alcoholic beverage industry that may not be adequately covered by insurance or lead to litigation relating to the abuse or misuse of our products;</w:t>
            </w:r>
          </w:p>
        </w:tc>
      </w:tr>
    </w:tbl>
    <w:tbl>
      <w:tblPr>
        <w:tblW w:w="10205" w:type="dxa"/>
        <w:jc w:val="left"/>
        <w:tblInd w:w="0" w:type="dxa"/>
        <w:tblLayout w:type="fixed"/>
        <w:tblCellMar>
          <w:top w:w="0" w:type="dxa"/>
          <w:left w:w="0" w:type="dxa"/>
          <w:bottom w:w="0" w:type="dxa"/>
          <w:right w:w="0" w:type="dxa"/>
        </w:tblCellMar>
      </w:tblPr>
      <w:tblGrid>
        <w:gridCol w:w="124"/>
        <w:gridCol w:w="181"/>
        <w:gridCol w:w="9900"/>
      </w:tblGrid>
      <w:tr>
        <w:trPr/>
        <w:tc>
          <w:tcPr>
            <w:tcW w:w="1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99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current uncertainty and volatility in the national and global economy and changes in demand due to such economic conditions, including a slowdown in consumer spending generally; and</w:t>
            </w:r>
          </w:p>
        </w:tc>
      </w:tr>
    </w:tbl>
    <w:tbl>
      <w:tblPr>
        <w:tblW w:w="10205" w:type="dxa"/>
        <w:jc w:val="left"/>
        <w:tblInd w:w="0" w:type="dxa"/>
        <w:tblLayout w:type="fixed"/>
        <w:tblCellMar>
          <w:top w:w="0" w:type="dxa"/>
          <w:left w:w="0" w:type="dxa"/>
          <w:bottom w:w="0" w:type="dxa"/>
          <w:right w:w="0" w:type="dxa"/>
        </w:tblCellMar>
      </w:tblPr>
      <w:tblGrid>
        <w:gridCol w:w="124"/>
        <w:gridCol w:w="181"/>
        <w:gridCol w:w="9900"/>
      </w:tblGrid>
      <w:tr>
        <w:trPr/>
        <w:tc>
          <w:tcPr>
            <w:tcW w:w="1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990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impact of military conflicts, including supply chain disruptions, volatility in commodity prices, increased economic uncertainty and escalating geopolitical tensions.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foregoing list of important factors and other risks detailed from time to time in our reports filed with the SEC is not exhaustive. See “Part II, Item 1A – Risk Factors”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pStyle w:val="TextBody"/>
        <w:bidi w:val="0"/>
        <w:spacing w:before="0" w:after="0"/>
        <w:ind w:left="0" w:right="0" w:hanging="0"/>
        <w:jc w:val="left"/>
        <w:rPr/>
      </w:pPr>
      <w:r>
        <w:rPr/>
        <w:t>​</w:t>
      </w:r>
    </w:p>
    <w:p>
      <w:pPr>
        <w:pStyle w:val="TextBody"/>
        <w:pBdr/>
        <w:bidi w:val="0"/>
        <w:spacing w:before="0" w:after="240"/>
        <w:ind w:left="0" w:right="0" w:hanging="1152"/>
        <w:jc w:val="both"/>
        <w:rPr>
          <w:rFonts w:ascii="Times New Roman;Times;serif" w:hAnsi="Times New Roman;Times;serif"/>
          <w:b/>
          <w:sz w:val="20"/>
        </w:rPr>
      </w:pPr>
      <w:bookmarkStart w:id="1973" w:name="ITEM3QUANTITATIVEANDQUALITATIVEDISCLOSUR"/>
      <w:bookmarkStart w:id="1974" w:name="_a0320f0b_ef5e_4f93_8b80_c79a84656d25"/>
      <w:bookmarkEnd w:id="1973"/>
      <w:bookmarkEnd w:id="1974"/>
      <w:r>
        <w:rPr>
          <w:rFonts w:ascii="Times New Roman;Times;serif" w:hAnsi="Times New Roman;Times;serif"/>
          <w:b/>
          <w:sz w:val="20"/>
        </w:rPr>
        <w:t>ITEM 3.    QUANTITATIVE AND QUALITATIVE DISCLOSURES ABOUT MARKET RISK</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have been no material changes in our market risks during the three-months ended September 30, 2025 compared with the disclosures in Part II, Item 7A of our Form 10-K.</w:t>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b/>
          <w:sz w:val="20"/>
        </w:rPr>
      </w:pPr>
      <w:bookmarkStart w:id="1975" w:name="ITEM4CONTROLSANDPROCEDURES_270637"/>
      <w:bookmarkStart w:id="1976" w:name="_71d4011c_f87e_457f_ae48_60c0ae9eab87"/>
      <w:bookmarkEnd w:id="1975"/>
      <w:bookmarkEnd w:id="1976"/>
      <w:r>
        <w:rPr>
          <w:rFonts w:ascii="Times New Roman;Times;serif" w:hAnsi="Times New Roman;Times;serif"/>
          <w:b/>
          <w:sz w:val="20"/>
        </w:rPr>
        <w:t>ITEM 4.    CONTROLS AND PROCEDURES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Evaluation of Disclosure Controls and Procedures</w:t>
      </w:r>
      <w:r>
        <w:rPr>
          <w:rFonts w:ascii="Times New Roman;Times;serif" w:hAnsi="Times New Roman;Times;serif"/>
          <w:sz w:val="20"/>
        </w:rPr>
        <w:t xml:space="preserve"> – Under the supervision and with the participation of the Company’s management, including our Chief Executive Officer and Chief Financial Officer, we have evaluated the effectiveness of the design and operation of our disclosure controls and procedures (as defined in Rules 13(a)-15(e) and 15(d)-15(e) of the Exchange Act) as of the end of the period covered by this report. Based upon this evaluation, the Chief Executive Officer and Chief Financial Officer have concluded that our disclosure controls and procedures are adequate and effective to ensure that information we are required to disclose in reports that we file or submit under the Exchange Act is (1) recorded, processed, summarized and reported within the time periods specified in rules and forms of the SEC and (2) accumulated and communicated to our management, including its principal executive and principal financial officers, as appropriate, to allow timely decisions regarding required disclosures.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Changes in Internal Control Over Financial Reporting</w:t>
      </w:r>
      <w:r>
        <w:rPr>
          <w:rFonts w:ascii="Times New Roman;Times;serif" w:hAnsi="Times New Roman;Times;serif"/>
          <w:sz w:val="20"/>
        </w:rPr>
        <w:t xml:space="preserve"> – There were no changes in the Company’s internal controls over financial reporting during the quarter ended September 30, 2025, that have materially affected, or are reasonably likely to materially affect, our internal control over financial reporting.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sz w:val="20"/>
        </w:rPr>
      </w:pPr>
      <w:bookmarkStart w:id="1977" w:name="PARTIIOTHERINFORMATION_669833"/>
      <w:bookmarkStart w:id="1978" w:name="_db8a36e4_b630_4fc4_9a0a_020417cf32ba"/>
      <w:bookmarkEnd w:id="1977"/>
      <w:bookmarkEnd w:id="1978"/>
      <w:r>
        <w:rPr>
          <w:rFonts w:ascii="Times New Roman;Times;serif" w:hAnsi="Times New Roman;Times;serif"/>
          <w:b/>
          <w:sz w:val="20"/>
        </w:rPr>
        <w:t>PART II - OTHER INFORMATION</w:t>
      </w:r>
    </w:p>
    <w:p>
      <w:pPr>
        <w:pStyle w:val="TextBody"/>
        <w:bidi w:val="0"/>
        <w:spacing w:before="0" w:after="240"/>
        <w:ind w:left="0" w:right="0" w:hanging="0"/>
        <w:jc w:val="both"/>
        <w:rPr>
          <w:rFonts w:ascii="Times New Roman;Times;serif" w:hAnsi="Times New Roman;Times;serif"/>
          <w:b/>
          <w:sz w:val="20"/>
        </w:rPr>
      </w:pPr>
      <w:bookmarkStart w:id="1979" w:name="ITEM1LEGALPROCEEDINGS_448899"/>
      <w:bookmarkEnd w:id="1979"/>
      <w:r>
        <w:rPr>
          <w:rFonts w:ascii="Times New Roman;Times;serif" w:hAnsi="Times New Roman;Times;serif"/>
          <w:b/>
          <w:sz w:val="20"/>
        </w:rPr>
        <w:t>ITEM 1.    LEGAL PROCEEDINGS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information required by this Item is incorporated herein by reference to the Notes to Condensed Consolidated Financial Statements - Note 10. Commitments and Contingencies: Litigation in Part I, Item 1, of this Quarterly Report on Form 10-Q.</w:t>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b/>
          <w:sz w:val="20"/>
        </w:rPr>
      </w:pPr>
      <w:bookmarkStart w:id="1980" w:name="ITEM1ARISKFACTORS_609704"/>
      <w:bookmarkStart w:id="1981" w:name="_d529162b_2654_4db5_9790_aa95ee41f8ec"/>
      <w:bookmarkEnd w:id="1980"/>
      <w:bookmarkEnd w:id="1981"/>
      <w:r>
        <w:rPr>
          <w:rFonts w:ascii="Times New Roman;Times;serif" w:hAnsi="Times New Roman;Times;serif"/>
          <w:b/>
          <w:sz w:val="20"/>
        </w:rPr>
        <w:t>ITEM 1A.  RISK FACTORS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addition to the other information set forth in this Quarterly Report on Form 10-Q, including Management’s Discussion and Analysis of Financial Condition and Results of Operations and the condensed consolidated financial statements and related notes, you should carefully consider the risks discussed in “Part I, Item 1A – Risk Factors” in our Form 10-K. If any of these risks occur or continue to occur, our business, reputation, financial condition and/or operating results could be materially adversely affected. We also note that the risk factors described in this report and our Form 10-K are not the only risks facing our Company, and such additional risks or uncertainties that we currently deem to be immaterial or are unknown to us could negatively impact our business, operations, or financial results.</w:t>
      </w:r>
    </w:p>
    <w:p>
      <w:pPr>
        <w:pStyle w:val="TextBody"/>
        <w:bidi w:val="0"/>
        <w:spacing w:before="0" w:after="0"/>
        <w:ind w:left="0" w:right="0" w:hanging="0"/>
        <w:jc w:val="left"/>
        <w:rPr/>
      </w:pPr>
      <w:r>
        <w:rPr/>
        <w:t>​</w:t>
      </w:r>
    </w:p>
    <w:p>
      <w:pPr>
        <w:pStyle w:val="TextBody"/>
        <w:pBdr/>
        <w:bidi w:val="0"/>
        <w:spacing w:before="0" w:after="200"/>
        <w:ind w:left="0" w:right="0" w:hanging="1440"/>
        <w:jc w:val="both"/>
        <w:rPr>
          <w:rFonts w:ascii="Times New Roman;Times;serif" w:hAnsi="Times New Roman;Times;serif"/>
          <w:sz w:val="20"/>
        </w:rPr>
      </w:pPr>
      <w:bookmarkStart w:id="1982" w:name="ITEM2UNREGISTEREDSALESOFEQUITY_417570"/>
      <w:bookmarkStart w:id="1983" w:name="_bf79158f_5073_4979_9e13_6f8ad3b01a0b"/>
      <w:bookmarkEnd w:id="1982"/>
      <w:bookmarkEnd w:id="1983"/>
      <w:r>
        <w:rPr>
          <w:rFonts w:ascii="Times New Roman;Times;serif" w:hAnsi="Times New Roman;Times;serif"/>
          <w:b/>
          <w:sz w:val="20"/>
        </w:rPr>
        <w:t>ITEM 2.</w:t>
      </w:r>
      <w:r>
        <w:rPr>
          <w:rFonts w:ascii="Times New Roman;Times;serif" w:hAnsi="Times New Roman;Times;serif"/>
          <w:sz w:val="20"/>
        </w:rPr>
        <w:t>    </w:t>
      </w:r>
      <w:r>
        <w:rPr>
          <w:rFonts w:ascii="Times New Roman;Times;serif" w:hAnsi="Times New Roman;Times;serif"/>
          <w:b/>
          <w:sz w:val="20"/>
        </w:rPr>
        <w:t>UNREGISTERED SALES OF EQUITY SECURITIES AND USE OF PROCEEDS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August 19, 2024, the Company’s Board of Directors authorized a share repurchase program for the purchase of up to an additional $500.0 million of the Company’s outstanding common stock (the “August 2024 Repurchase Plan”). During the three-months ended September 30, 2025, no shares were repurchased under the August 2024 Repurchase Plan. As of November 5, 2025, $500.0 million remained available for repurchase under the August 2024 Repurchase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aggregate amount of the Company’s outstanding common stock that remains available for repurchase under all previously authorized repurchase plans is $500.0 million as of November 5,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three-months ended September 30, 2025, 0.4 million shares of common stock were purchased from employees in lieu of cash payments for options exercised or withholding taxes due for a total amount of $27.3 million. While such purchases are considered common stock repurchases, they are not counted as purchases against the Company’s authorized share repurchase programs. Such shares are included in common stock in treasury in the accompanying condensed consolidated balance sheet at September 30,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tabular summary reflects the Company’s repurchase activity during the quarter ended September 30, 2025.</w:t>
      </w:r>
    </w:p>
    <w:tbl>
      <w:tblPr>
        <w:tblW w:w="9257" w:type="dxa"/>
        <w:jc w:val="left"/>
        <w:tblInd w:w="0" w:type="dxa"/>
        <w:tblLayout w:type="fixed"/>
        <w:tblCellMar>
          <w:top w:w="0" w:type="dxa"/>
          <w:left w:w="0" w:type="dxa"/>
          <w:bottom w:w="0" w:type="dxa"/>
          <w:right w:w="0" w:type="dxa"/>
        </w:tblCellMar>
      </w:tblPr>
      <w:tblGrid>
        <w:gridCol w:w="1921"/>
        <w:gridCol w:w="326"/>
        <w:gridCol w:w="1231"/>
        <w:gridCol w:w="326"/>
        <w:gridCol w:w="332"/>
        <w:gridCol w:w="898"/>
        <w:gridCol w:w="326"/>
        <w:gridCol w:w="1576"/>
        <w:gridCol w:w="326"/>
        <w:gridCol w:w="383"/>
        <w:gridCol w:w="1612"/>
      </w:tblGrid>
      <w:tr>
        <w:trPr/>
        <w:tc>
          <w:tcPr>
            <w:tcW w:w="19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207010" cy="175260"/>
                      <wp:effectExtent l="0" t="0" r="0" b="0"/>
                      <wp:wrapNone/>
                      <wp:docPr id="510" name="Frame5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781685" cy="175260"/>
                      <wp:effectExtent l="0" t="0" r="0" b="0"/>
                      <wp:wrapNone/>
                      <wp:docPr id="511" name="Frame511"/>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207010" cy="175260"/>
                      <wp:effectExtent l="0" t="0" r="0" b="0"/>
                      <wp:wrapNone/>
                      <wp:docPr id="512" name="Frame5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210820" cy="175260"/>
                      <wp:effectExtent l="0" t="0" r="0" b="0"/>
                      <wp:wrapNone/>
                      <wp:docPr id="513" name="Frame513"/>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570230" cy="175260"/>
                      <wp:effectExtent l="0" t="0" r="0" b="0"/>
                      <wp:wrapNone/>
                      <wp:docPr id="514" name="Frame514"/>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207010" cy="175260"/>
                      <wp:effectExtent l="0" t="0" r="0" b="0"/>
                      <wp:wrapNone/>
                      <wp:docPr id="515" name="Frame5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1000760" cy="175260"/>
                      <wp:effectExtent l="0" t="0" r="0" b="0"/>
                      <wp:wrapNone/>
                      <wp:docPr id="516" name="Frame516"/>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207010" cy="175260"/>
                      <wp:effectExtent l="0" t="0" r="0" b="0"/>
                      <wp:wrapNone/>
                      <wp:docPr id="517" name="Frame5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243205" cy="175260"/>
                      <wp:effectExtent l="0" t="0" r="0" b="0"/>
                      <wp:wrapNone/>
                      <wp:docPr id="518" name="Frame518"/>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1023620" cy="175260"/>
                      <wp:effectExtent l="0" t="0" r="0" b="0"/>
                      <wp:wrapNone/>
                      <wp:docPr id="519" name="Frame519"/>
                      <a:graphic xmlns:a="http://schemas.openxmlformats.org/drawingml/2006/main">
                        <a:graphicData uri="http://schemas.microsoft.com/office/word/2010/wordprocessingShape">
                          <wps:wsp>
                            <wps:cNvSpPr txBox="1"/>
                            <wps:spPr>
                              <a:xfrm>
                                <a:off x="0" y="0"/>
                                <a:ext cx="1023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332" w:type="dxa"/>
            <w:tcBorders/>
            <w:vAlign w:val="center"/>
          </w:tcPr>
          <w:p>
            <w:pPr>
              <w:pStyle w:val="TableContents"/>
              <w:bidi w:val="0"/>
              <w:spacing w:before="0" w:after="0"/>
              <w:ind w:left="0" w:right="0" w:hanging="0"/>
              <w:jc w:val="center"/>
              <w:rPr/>
            </w:pPr>
            <w:r>
              <w:rPr/>
              <w:t>​</w:t>
            </w:r>
          </w:p>
        </w:tc>
        <w:tc>
          <w:tcPr>
            <w:tcW w:w="89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5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99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Maximum Number (or</w:t>
            </w:r>
          </w:p>
        </w:tc>
      </w:tr>
      <w:tr>
        <w:trPr/>
        <w:tc>
          <w:tcPr>
            <w:tcW w:w="19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332" w:type="dxa"/>
            <w:tcBorders/>
            <w:vAlign w:val="center"/>
          </w:tcPr>
          <w:p>
            <w:pPr>
              <w:pStyle w:val="TableContents"/>
              <w:bidi w:val="0"/>
              <w:spacing w:before="0" w:after="0"/>
              <w:ind w:left="0" w:right="0" w:hanging="0"/>
              <w:jc w:val="center"/>
              <w:rPr/>
            </w:pPr>
            <w:r>
              <w:rPr/>
              <w:t>​</w:t>
            </w:r>
          </w:p>
        </w:tc>
        <w:tc>
          <w:tcPr>
            <w:tcW w:w="89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9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Approximate Dollar</w:t>
            </w:r>
          </w:p>
        </w:tc>
      </w:tr>
      <w:tr>
        <w:trPr/>
        <w:tc>
          <w:tcPr>
            <w:tcW w:w="19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332" w:type="dxa"/>
            <w:tcBorders/>
            <w:vAlign w:val="center"/>
          </w:tcPr>
          <w:p>
            <w:pPr>
              <w:pStyle w:val="TableContents"/>
              <w:bidi w:val="0"/>
              <w:spacing w:before="0" w:after="0"/>
              <w:ind w:left="0" w:right="0" w:hanging="0"/>
              <w:jc w:val="center"/>
              <w:rPr/>
            </w:pPr>
            <w:r>
              <w:rPr/>
              <w:t>​</w:t>
            </w:r>
          </w:p>
        </w:tc>
        <w:tc>
          <w:tcPr>
            <w:tcW w:w="89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 Number of</w:t>
            </w:r>
          </w:p>
        </w:tc>
        <w:tc>
          <w:tcPr>
            <w:tcW w:w="326" w:type="dxa"/>
            <w:tcBorders/>
            <w:vAlign w:val="center"/>
          </w:tcPr>
          <w:p>
            <w:pPr>
              <w:pStyle w:val="TableContents"/>
              <w:bidi w:val="0"/>
              <w:spacing w:before="0" w:after="0"/>
              <w:ind w:left="0" w:right="0" w:hanging="0"/>
              <w:jc w:val="center"/>
              <w:rPr/>
            </w:pPr>
            <w:r>
              <w:rPr/>
              <w:t>​</w:t>
            </w:r>
          </w:p>
        </w:tc>
        <w:tc>
          <w:tcPr>
            <w:tcW w:w="199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Value) of Shares that</w:t>
            </w:r>
          </w:p>
        </w:tc>
      </w:tr>
      <w:tr>
        <w:trPr/>
        <w:tc>
          <w:tcPr>
            <w:tcW w:w="19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332" w:type="dxa"/>
            <w:tcBorders/>
            <w:vAlign w:val="center"/>
          </w:tcPr>
          <w:p>
            <w:pPr>
              <w:pStyle w:val="TableContents"/>
              <w:bidi w:val="0"/>
              <w:spacing w:before="0" w:after="0"/>
              <w:ind w:left="0" w:right="0" w:hanging="0"/>
              <w:jc w:val="center"/>
              <w:rPr/>
            </w:pPr>
            <w:r>
              <w:rPr/>
              <w:t>​</w:t>
            </w:r>
          </w:p>
        </w:tc>
        <w:tc>
          <w:tcPr>
            <w:tcW w:w="89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Shares Purchased</w:t>
            </w:r>
          </w:p>
        </w:tc>
        <w:tc>
          <w:tcPr>
            <w:tcW w:w="326" w:type="dxa"/>
            <w:tcBorders/>
            <w:vAlign w:val="center"/>
          </w:tcPr>
          <w:p>
            <w:pPr>
              <w:pStyle w:val="TableContents"/>
              <w:bidi w:val="0"/>
              <w:spacing w:before="0" w:after="0"/>
              <w:ind w:left="0" w:right="0" w:hanging="0"/>
              <w:jc w:val="center"/>
              <w:rPr/>
            </w:pPr>
            <w:r>
              <w:rPr/>
              <w:t>​</w:t>
            </w:r>
          </w:p>
        </w:tc>
        <w:tc>
          <w:tcPr>
            <w:tcW w:w="199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May Yet Be Purchased</w:t>
            </w:r>
          </w:p>
        </w:tc>
      </w:tr>
      <w:tr>
        <w:trPr/>
        <w:tc>
          <w:tcPr>
            <w:tcW w:w="19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 Number</w:t>
            </w:r>
          </w:p>
        </w:tc>
        <w:tc>
          <w:tcPr>
            <w:tcW w:w="326" w:type="dxa"/>
            <w:tcBorders/>
            <w:vAlign w:val="center"/>
          </w:tcPr>
          <w:p>
            <w:pPr>
              <w:pStyle w:val="TableContents"/>
              <w:bidi w:val="0"/>
              <w:spacing w:before="0" w:after="0"/>
              <w:ind w:left="0" w:right="0" w:hanging="0"/>
              <w:jc w:val="center"/>
              <w:rPr/>
            </w:pPr>
            <w:r>
              <w:rPr/>
              <w:t>​</w:t>
            </w:r>
          </w:p>
        </w:tc>
        <w:tc>
          <w:tcPr>
            <w:tcW w:w="332" w:type="dxa"/>
            <w:tcBorders/>
            <w:vAlign w:val="center"/>
          </w:tcPr>
          <w:p>
            <w:pPr>
              <w:pStyle w:val="TableContents"/>
              <w:bidi w:val="0"/>
              <w:spacing w:before="0" w:after="0"/>
              <w:ind w:left="0" w:right="0" w:hanging="0"/>
              <w:jc w:val="center"/>
              <w:rPr/>
            </w:pPr>
            <w:r>
              <w:rPr/>
              <w:t>​</w:t>
            </w:r>
          </w:p>
        </w:tc>
        <w:tc>
          <w:tcPr>
            <w:tcW w:w="89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 Part of Publicly</w:t>
            </w:r>
          </w:p>
        </w:tc>
        <w:tc>
          <w:tcPr>
            <w:tcW w:w="326" w:type="dxa"/>
            <w:tcBorders/>
            <w:vAlign w:val="center"/>
          </w:tcPr>
          <w:p>
            <w:pPr>
              <w:pStyle w:val="TableContents"/>
              <w:bidi w:val="0"/>
              <w:spacing w:before="0" w:after="0"/>
              <w:ind w:left="0" w:right="0" w:hanging="0"/>
              <w:jc w:val="center"/>
              <w:rPr/>
            </w:pPr>
            <w:r>
              <w:rPr/>
              <w:t>​</w:t>
            </w:r>
          </w:p>
        </w:tc>
        <w:tc>
          <w:tcPr>
            <w:tcW w:w="199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Under the Plans or</w:t>
            </w:r>
          </w:p>
        </w:tc>
      </w:tr>
      <w:tr>
        <w:trPr/>
        <w:tc>
          <w:tcPr>
            <w:tcW w:w="19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of Shares</w:t>
            </w:r>
          </w:p>
        </w:tc>
        <w:tc>
          <w:tcPr>
            <w:tcW w:w="326" w:type="dxa"/>
            <w:tcBorders/>
            <w:vAlign w:val="center"/>
          </w:tcPr>
          <w:p>
            <w:pPr>
              <w:pStyle w:val="TableContents"/>
              <w:bidi w:val="0"/>
              <w:spacing w:before="0" w:after="0"/>
              <w:ind w:left="0" w:right="0" w:hanging="0"/>
              <w:jc w:val="center"/>
              <w:rPr/>
            </w:pPr>
            <w:r>
              <w:rPr/>
              <w:t>​</w:t>
            </w:r>
          </w:p>
        </w:tc>
        <w:tc>
          <w:tcPr>
            <w:tcW w:w="123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Average Price</w:t>
            </w:r>
          </w:p>
        </w:tc>
        <w:tc>
          <w:tcPr>
            <w:tcW w:w="32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Announced Plans</w:t>
            </w:r>
          </w:p>
        </w:tc>
        <w:tc>
          <w:tcPr>
            <w:tcW w:w="326" w:type="dxa"/>
            <w:tcBorders/>
            <w:vAlign w:val="center"/>
          </w:tcPr>
          <w:p>
            <w:pPr>
              <w:pStyle w:val="TableContents"/>
              <w:bidi w:val="0"/>
              <w:spacing w:before="0" w:after="0"/>
              <w:ind w:left="0" w:right="0" w:hanging="0"/>
              <w:jc w:val="center"/>
              <w:rPr/>
            </w:pPr>
            <w:r>
              <w:rPr/>
              <w:t>​</w:t>
            </w:r>
          </w:p>
        </w:tc>
        <w:tc>
          <w:tcPr>
            <w:tcW w:w="199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Programs</w:t>
            </w:r>
          </w:p>
        </w:tc>
      </w:tr>
      <w:tr>
        <w:trPr/>
        <w:tc>
          <w:tcPr>
            <w:tcW w:w="19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Period</w:t>
            </w:r>
          </w:p>
        </w:tc>
        <w:tc>
          <w:tcPr>
            <w:tcW w:w="326" w:type="dxa"/>
            <w:tcBorders/>
            <w:vAlign w:val="center"/>
          </w:tcPr>
          <w:p>
            <w:pPr>
              <w:pStyle w:val="TableContents"/>
              <w:bidi w:val="0"/>
              <w:spacing w:before="0" w:after="0"/>
              <w:ind w:left="0" w:right="0" w:hanging="0"/>
              <w:jc w:val="center"/>
              <w:rPr/>
            </w:pPr>
            <w:r>
              <w:rPr/>
              <w:t>    </w:t>
            </w:r>
          </w:p>
        </w:tc>
        <w:tc>
          <w:tcPr>
            <w:tcW w:w="123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Purchased</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center"/>
              <w:rPr/>
            </w:pPr>
            <w:r>
              <w:rPr/>
              <w:t>    </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 Share</w:t>
            </w:r>
          </w:p>
        </w:tc>
        <w:tc>
          <w:tcPr>
            <w:tcW w:w="326" w:type="dxa"/>
            <w:tcBorders/>
            <w:vAlign w:val="center"/>
          </w:tcPr>
          <w:p>
            <w:pPr>
              <w:pStyle w:val="TableContents"/>
              <w:bidi w:val="0"/>
              <w:spacing w:before="0" w:after="0"/>
              <w:ind w:left="0" w:right="0" w:hanging="0"/>
              <w:jc w:val="center"/>
              <w:rPr/>
            </w:pPr>
            <w:r>
              <w:rPr/>
              <w:t>    </w:t>
            </w:r>
          </w:p>
        </w:tc>
        <w:tc>
          <w:tcPr>
            <w:tcW w:w="157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or Programs</w:t>
            </w:r>
            <w:r>
              <w:rPr>
                <w:rFonts w:ascii="Times New Roman;Times;serif" w:hAnsi="Times New Roman;Times;serif"/>
                <w:sz w:val="15"/>
              </w:rPr>
              <w:t>2</w:t>
            </w:r>
          </w:p>
        </w:tc>
        <w:tc>
          <w:tcPr>
            <w:tcW w:w="326" w:type="dxa"/>
            <w:tcBorders/>
            <w:vAlign w:val="center"/>
          </w:tcPr>
          <w:p>
            <w:pPr>
              <w:pStyle w:val="TableContents"/>
              <w:bidi w:val="0"/>
              <w:spacing w:before="0" w:after="0"/>
              <w:ind w:left="0" w:right="0" w:hanging="0"/>
              <w:jc w:val="center"/>
              <w:rPr/>
            </w:pPr>
            <w:r>
              <w:rPr/>
              <w:t>    </w:t>
            </w:r>
          </w:p>
        </w:tc>
        <w:tc>
          <w:tcPr>
            <w:tcW w:w="19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thousands)</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 1 – Jul 31, 2025</w:t>
            </w:r>
          </w:p>
        </w:tc>
        <w:tc>
          <w:tcPr>
            <w:tcW w:w="326" w:type="dxa"/>
            <w:tcBorders/>
            <w:shd w:fill="CCEEFF" w:val="clear"/>
            <w:vAlign w:val="center"/>
          </w:tcPr>
          <w:p>
            <w:pPr>
              <w:pStyle w:val="TableContents"/>
              <w:bidi w:val="0"/>
              <w:spacing w:before="0" w:after="0"/>
              <w:ind w:left="0" w:right="0" w:hanging="0"/>
              <w:jc w:val="center"/>
              <w:rPr/>
            </w:pPr>
            <w:r>
              <w:rPr/>
              <w:t>​</w:t>
            </w:r>
          </w:p>
        </w:tc>
        <w:tc>
          <w:tcPr>
            <w:tcW w:w="12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3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5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500,000</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 1 – Aug 31, 2025</w:t>
            </w:r>
          </w:p>
        </w:tc>
        <w:tc>
          <w:tcPr>
            <w:tcW w:w="32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500,000</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 1 – Sep 30, 2025</w:t>
            </w:r>
          </w:p>
        </w:tc>
        <w:tc>
          <w:tcPr>
            <w:tcW w:w="326" w:type="dxa"/>
            <w:tcBorders/>
            <w:shd w:fill="CCEEFF" w:val="clear"/>
            <w:vAlign w:val="center"/>
          </w:tcPr>
          <w:p>
            <w:pPr>
              <w:pStyle w:val="TableContents"/>
              <w:bidi w:val="0"/>
              <w:spacing w:before="0" w:after="0"/>
              <w:ind w:left="0" w:right="0" w:hanging="0"/>
              <w:jc w:val="left"/>
              <w:rPr/>
            </w:pPr>
            <w:r>
              <w:rPr/>
              <w:t>​</w:t>
            </w:r>
          </w:p>
        </w:tc>
        <w:tc>
          <w:tcPr>
            <w:tcW w:w="12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427,725</w:t>
            </w:r>
          </w:p>
        </w:tc>
        <w:tc>
          <w:tcPr>
            <w:tcW w:w="326" w:type="dxa"/>
            <w:tcBorders/>
            <w:shd w:fill="CCEEFF" w:val="clear"/>
            <w:vAlign w:val="center"/>
          </w:tcPr>
          <w:p>
            <w:pPr>
              <w:pStyle w:val="TableContents"/>
              <w:bidi w:val="0"/>
              <w:spacing w:before="0" w:after="0"/>
              <w:ind w:left="0" w:right="0" w:hanging="0"/>
              <w:jc w:val="left"/>
              <w:rPr/>
            </w:pPr>
            <w:r>
              <w:rPr/>
              <w:t>​</w:t>
            </w:r>
          </w:p>
        </w:tc>
        <w:tc>
          <w:tcPr>
            <w:tcW w:w="3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63.80</w:t>
            </w:r>
          </w:p>
        </w:tc>
        <w:tc>
          <w:tcPr>
            <w:tcW w:w="326" w:type="dxa"/>
            <w:tcBorders/>
            <w:shd w:fill="CCEEFF" w:val="clear"/>
            <w:vAlign w:val="center"/>
          </w:tcPr>
          <w:p>
            <w:pPr>
              <w:pStyle w:val="TableContents"/>
              <w:bidi w:val="0"/>
              <w:spacing w:before="0" w:after="0"/>
              <w:ind w:left="0" w:right="0" w:hanging="0"/>
              <w:jc w:val="left"/>
              <w:rPr/>
            </w:pPr>
            <w:r>
              <w:rPr/>
              <w:t> </w:t>
            </w:r>
          </w:p>
        </w:tc>
        <w:tc>
          <w:tcPr>
            <w:tcW w:w="15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500,000</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 </w:t>
            </w:r>
          </w:p>
        </w:tc>
        <w:tc>
          <w:tcPr>
            <w:tcW w:w="12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427,725</w:t>
            </w:r>
          </w:p>
        </w:tc>
        <w:tc>
          <w:tcPr>
            <w:tcW w:w="326" w:type="dxa"/>
            <w:tcBorders/>
            <w:vAlign w:val="center"/>
          </w:tcPr>
          <w:p>
            <w:pPr>
              <w:pStyle w:val="TableContents"/>
              <w:bidi w:val="0"/>
              <w:spacing w:before="0" w:after="0"/>
              <w:ind w:left="0" w:right="0" w:hanging="0"/>
              <w:jc w:val="right"/>
              <w:rPr/>
            </w:pPr>
            <w:r>
              <w:rPr/>
              <w:t>​</w:t>
            </w:r>
          </w:p>
        </w:tc>
        <w:tc>
          <w:tcPr>
            <w:tcW w:w="3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63.80</w:t>
            </w:r>
          </w:p>
        </w:tc>
        <w:tc>
          <w:tcPr>
            <w:tcW w:w="326" w:type="dxa"/>
            <w:tcBorders/>
            <w:vAlign w:val="center"/>
          </w:tcPr>
          <w:p>
            <w:pPr>
              <w:pStyle w:val="TableContents"/>
              <w:bidi w:val="0"/>
              <w:spacing w:before="0" w:after="0"/>
              <w:ind w:left="0" w:right="0" w:hanging="0"/>
              <w:jc w:val="right"/>
              <w:rPr/>
            </w:pPr>
            <w:r>
              <w:rPr/>
              <w:t> </w:t>
            </w:r>
          </w:p>
        </w:tc>
        <w:tc>
          <w:tcPr>
            <w:tcW w:w="157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38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1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500,000</w:t>
            </w:r>
          </w:p>
        </w:tc>
      </w:tr>
    </w:tbl>
    <w:p>
      <w:pPr>
        <w:pStyle w:val="TextBody"/>
        <w:bidi w:val="0"/>
        <w:spacing w:before="0" w:after="0"/>
        <w:ind w:left="0" w:right="0" w:hanging="0"/>
        <w:jc w:val="left"/>
        <w:rPr/>
      </w:pPr>
      <w:r>
        <w:rPr/>
        <w:t>​</w:t>
      </w:r>
    </w:p>
    <w:p>
      <w:pPr>
        <w:pStyle w:val="TextBody"/>
        <w:bidi w:val="0"/>
        <w:spacing w:lineRule="auto" w:line="240" w:before="0" w:after="240"/>
        <w:ind w:left="0" w:right="0" w:hanging="0"/>
        <w:jc w:val="both"/>
        <w:rPr>
          <w:rFonts w:ascii="Times New Roman;Times;serif" w:hAnsi="Times New Roman;Times;serif"/>
          <w:sz w:val="18"/>
        </w:rPr>
      </w:pPr>
      <w:r>
        <w:rPr>
          <w:rFonts w:ascii="Times New Roman;Times;serif" w:hAnsi="Times New Roman;Times;serif"/>
          <w:i/>
          <w:sz w:val="14"/>
        </w:rPr>
        <w:t>1</w:t>
      </w:r>
      <w:r>
        <w:rPr>
          <w:rFonts w:ascii="Times New Roman;Times;serif" w:hAnsi="Times New Roman;Times;serif"/>
          <w:i/>
          <w:sz w:val="18"/>
        </w:rPr>
        <w:t>The total number of shares purchased includes (1) shares repurchased, if any, pursuant to the August 2024 Repurchase Plan and (2) shares repurchased, if any, to satisfy exercise price and/or tax withholding obligations in connection with exercises of employee stock options and/or the vesting of restricted stock issued to employees.</w:t>
      </w:r>
    </w:p>
    <w:p>
      <w:pPr>
        <w:pStyle w:val="TextBody"/>
        <w:bidi w:val="0"/>
        <w:spacing w:lineRule="auto" w:line="240" w:before="0" w:after="0"/>
        <w:ind w:left="0" w:right="0" w:hanging="0"/>
        <w:jc w:val="both"/>
        <w:rPr>
          <w:rFonts w:ascii="Times New Roman;Times;serif" w:hAnsi="Times New Roman;Times;serif"/>
          <w:sz w:val="18"/>
        </w:rPr>
      </w:pPr>
      <w:r>
        <w:rPr>
          <w:rFonts w:ascii="Times New Roman;Times;serif" w:hAnsi="Times New Roman;Times;serif"/>
          <w:i/>
          <w:sz w:val="15"/>
        </w:rPr>
        <w:t>2</w:t>
      </w:r>
      <w:r>
        <w:rPr>
          <w:rFonts w:ascii="Times New Roman;Times;serif" w:hAnsi="Times New Roman;Times;serif"/>
          <w:i/>
          <w:sz w:val="18"/>
        </w:rPr>
        <w:t>On August 19, 2024, the Company publicly announced that its Board of Directors authorized the August 2024 Repurchase Plan. Board authorization of the repurchase plan remains in effect until shares in the amount authorized thereunder have been repurchased.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984" w:name="ITEM3DEFAULTSUPONSENIORSECURITIES_753663"/>
      <w:bookmarkStart w:id="1985" w:name="_64ee1e62_f210_4640_bf0a_59c007553557"/>
      <w:bookmarkEnd w:id="1984"/>
      <w:bookmarkEnd w:id="1985"/>
      <w:r>
        <w:rPr>
          <w:rFonts w:ascii="Times New Roman;Times;serif" w:hAnsi="Times New Roman;Times;serif"/>
          <w:b/>
          <w:sz w:val="20"/>
        </w:rPr>
        <w:t>ITEM 3.    DEFAULTS UPON SENIOR SECURITIES</w:t>
      </w:r>
    </w:p>
    <w:p>
      <w:pPr>
        <w:pStyle w:val="TextBody"/>
        <w:bidi w:val="0"/>
        <w:spacing w:before="0" w:after="0"/>
        <w:ind w:left="0" w:right="0" w:firstLine="726"/>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1986" w:name="ITEM4MINESAFETYDISCLOSURES_417702"/>
      <w:bookmarkStart w:id="1987" w:name="_7e5678ea_8e03_4308_9bbb_b33794d23689"/>
      <w:bookmarkEnd w:id="1986"/>
      <w:bookmarkEnd w:id="1987"/>
      <w:r>
        <w:rPr>
          <w:rFonts w:ascii="Times New Roman;Times;serif" w:hAnsi="Times New Roman;Times;serif"/>
          <w:b/>
          <w:sz w:val="20"/>
        </w:rPr>
        <w:t>ITEM 4.    MINE SAFETY DISCLOSURES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both"/>
        <w:rPr>
          <w:rFonts w:ascii="Times New Roman;Times;serif" w:hAnsi="Times New Roman;Times;serif"/>
          <w:b/>
          <w:sz w:val="20"/>
        </w:rPr>
      </w:pPr>
      <w:bookmarkStart w:id="1988" w:name="ITEM5OTHERINFORMATION_353440"/>
      <w:bookmarkStart w:id="1989" w:name="_ae2ab06e_5f66_4807_a6bf_cde51012ede3"/>
      <w:bookmarkEnd w:id="1988"/>
      <w:bookmarkEnd w:id="1989"/>
      <w:r>
        <w:rPr>
          <w:rFonts w:ascii="Times New Roman;Times;serif" w:hAnsi="Times New Roman;Times;serif"/>
          <w:b/>
          <w:sz w:val="20"/>
        </w:rPr>
        <w:t>ITEM 5.    OTHER INFORMATION</w:t>
      </w:r>
    </w:p>
    <w:p>
      <w:pPr>
        <w:pStyle w:val="TextBody"/>
        <w:bidi w:val="0"/>
        <w:spacing w:before="0" w:after="0"/>
        <w:ind w:left="0" w:right="0" w:firstLine="726"/>
        <w:jc w:val="both"/>
        <w:rPr>
          <w:rFonts w:ascii="Times New Roman;Times;serif" w:hAnsi="Times New Roman;Times;serif"/>
          <w:sz w:val="20"/>
        </w:rPr>
      </w:pPr>
      <w:r>
        <w:rPr>
          <w:rFonts w:ascii="Times New Roman;Times;serif" w:hAnsi="Times New Roman;Times;serif"/>
          <w:sz w:val="20"/>
        </w:rPr>
        <w:t>During the three-months ended September 30, 2025, none of the Company’s directors or officers adopted, modified or terminated a Rule 10b5-1 trading arrangement or a non-Rule 10b5-1 trading arrangement (each as defined in Item 408 of Regulation S-K under the Securities Exchange Act of 1934, as amended).</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1990" w:name="ITEM6EXHIBITS_20622"/>
      <w:bookmarkStart w:id="1991" w:name="_eae26b07_ca50_46c6_8aae_493bf794eb4b"/>
      <w:bookmarkEnd w:id="1990"/>
      <w:bookmarkEnd w:id="1991"/>
      <w:r>
        <w:rPr>
          <w:rFonts w:ascii="Times New Roman;Times;serif" w:hAnsi="Times New Roman;Times;serif"/>
          <w:b/>
          <w:sz w:val="20"/>
        </w:rPr>
        <w:t>ITEM 6.    EXHIBITS</w:t>
      </w:r>
    </w:p>
    <w:tbl>
      <w:tblPr>
        <w:tblW w:w="10205" w:type="dxa"/>
        <w:jc w:val="left"/>
        <w:tblInd w:w="0" w:type="dxa"/>
        <w:tblLayout w:type="fixed"/>
        <w:tblCellMar>
          <w:top w:w="0" w:type="dxa"/>
          <w:left w:w="0" w:type="dxa"/>
          <w:bottom w:w="0" w:type="dxa"/>
          <w:right w:w="0" w:type="dxa"/>
        </w:tblCellMar>
      </w:tblPr>
      <w:tblGrid>
        <w:gridCol w:w="492"/>
        <w:gridCol w:w="326"/>
        <w:gridCol w:w="9387"/>
      </w:tblGrid>
      <w:tr>
        <w:trPr/>
        <w:tc>
          <w:tcPr>
            <w:tcW w:w="4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87" w:type="dxa"/>
            <w:tcBorders/>
            <w:vAlign w:val="center"/>
          </w:tcPr>
          <w:p>
            <w:pPr>
              <w:pStyle w:val="TableContents"/>
              <w:bidi w:val="0"/>
              <w:spacing w:before="0" w:after="0"/>
              <w:ind w:left="0" w:right="0" w:hanging="0"/>
              <w:jc w:val="left"/>
              <w:rPr/>
            </w:pPr>
            <w:r>
              <w:rPr/>
              <w:t>​</w:t>
            </w:r>
          </w:p>
        </w:tc>
      </w:tr>
      <w:tr>
        <w:trPr/>
        <w:tc>
          <w:tcPr>
            <w:tcW w:w="49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both"/>
              <w:rPr/>
            </w:pPr>
            <w:r>
              <w:rPr/>
              <w:t>    </w:t>
            </w:r>
          </w:p>
        </w:tc>
        <w:tc>
          <w:tcPr>
            <w:tcW w:w="9387" w:type="dxa"/>
            <w:tcBorders/>
            <w:vAlign w:val="center"/>
          </w:tcPr>
          <w:p>
            <w:pPr>
              <w:pStyle w:val="TableContents"/>
              <w:bidi w:val="0"/>
              <w:spacing w:before="0" w:after="0"/>
              <w:ind w:left="0" w:right="0" w:hanging="0"/>
              <w:jc w:val="both"/>
              <w:rPr/>
            </w:pPr>
            <w:hyperlink r:id="rId2">
              <w:r>
                <w:rPr>
                  <w:rStyle w:val="InternetLink"/>
                  <w:rFonts w:ascii="Times New Roman;Times;serif" w:hAnsi="Times New Roman;Times;serif"/>
                  <w:b w:val="false"/>
                  <w:i w:val="false"/>
                  <w:caps w:val="false"/>
                  <w:smallCaps w:val="false"/>
                  <w:sz w:val="20"/>
                </w:rPr>
                <w:t>Second Amended and Restated Certificate of Incorporation of the Company (incorporated by reference to Exhibit 3.1 to our Form 8-K dated June 27, 2023).</w:t>
              </w:r>
            </w:hyperlink>
          </w:p>
        </w:tc>
      </w:tr>
      <w:tr>
        <w:trPr/>
        <w:tc>
          <w:tcPr>
            <w:tcW w:w="492"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both"/>
              <w:rPr/>
            </w:pPr>
            <w:r>
              <w:rPr/>
              <w:t>​</w:t>
            </w:r>
          </w:p>
        </w:tc>
        <w:tc>
          <w:tcPr>
            <w:tcW w:w="9387" w:type="dxa"/>
            <w:tcBorders/>
            <w:vAlign w:val="center"/>
          </w:tcPr>
          <w:p>
            <w:pPr>
              <w:pStyle w:val="TableContents"/>
              <w:bidi w:val="0"/>
              <w:spacing w:before="0" w:after="0"/>
              <w:ind w:left="0" w:right="0" w:hanging="0"/>
              <w:jc w:val="both"/>
              <w:rPr/>
            </w:pPr>
            <w:r>
              <w:rPr/>
              <w:t>​</w:t>
            </w:r>
          </w:p>
        </w:tc>
      </w:tr>
      <w:tr>
        <w:trPr/>
        <w:tc>
          <w:tcPr>
            <w:tcW w:w="49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both"/>
              <w:rPr/>
            </w:pPr>
            <w:r>
              <w:rPr/>
              <w:t>​</w:t>
            </w:r>
          </w:p>
        </w:tc>
        <w:tc>
          <w:tcPr>
            <w:tcW w:w="9387" w:type="dxa"/>
            <w:tcBorders/>
            <w:vAlign w:val="center"/>
          </w:tcPr>
          <w:p>
            <w:pPr>
              <w:pStyle w:val="TableContents"/>
              <w:bidi w:val="0"/>
              <w:spacing w:before="0" w:after="0"/>
              <w:ind w:left="0" w:right="0" w:hanging="0"/>
              <w:jc w:val="both"/>
              <w:rPr/>
            </w:pPr>
            <w:hyperlink r:id="rId3">
              <w:r>
                <w:rPr>
                  <w:rStyle w:val="InternetLink"/>
                  <w:rFonts w:ascii="Times New Roman;Times;serif" w:hAnsi="Times New Roman;Times;serif"/>
                  <w:b w:val="false"/>
                  <w:i w:val="false"/>
                  <w:caps w:val="false"/>
                  <w:smallCaps w:val="false"/>
                  <w:sz w:val="20"/>
                </w:rPr>
                <w:t>Fourth Amended and Restated By-laws of the Company (incorporated by reference to Exhibit 3.2 to our Form 8-K dated November 7, 2024).</w:t>
              </w:r>
            </w:hyperlink>
          </w:p>
        </w:tc>
      </w:tr>
      <w:tr>
        <w:trPr/>
        <w:tc>
          <w:tcPr>
            <w:tcW w:w="492"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both"/>
              <w:rPr/>
            </w:pPr>
            <w:r>
              <w:rPr/>
              <w:t>​</w:t>
            </w:r>
          </w:p>
        </w:tc>
        <w:tc>
          <w:tcPr>
            <w:tcW w:w="9387" w:type="dxa"/>
            <w:tcBorders/>
            <w:vAlign w:val="center"/>
          </w:tcPr>
          <w:p>
            <w:pPr>
              <w:pStyle w:val="TableContents"/>
              <w:bidi w:val="0"/>
              <w:spacing w:before="0" w:after="0"/>
              <w:ind w:left="0" w:right="0" w:hanging="0"/>
              <w:jc w:val="both"/>
              <w:rPr/>
            </w:pPr>
            <w:r>
              <w:rPr/>
              <w:t>​</w:t>
            </w:r>
          </w:p>
        </w:tc>
      </w:tr>
      <w:tr>
        <w:trPr/>
        <w:tc>
          <w:tcPr>
            <w:tcW w:w="49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0"/>
              <w:ind w:left="0" w:right="0" w:hanging="0"/>
              <w:jc w:val="both"/>
              <w:rPr/>
            </w:pPr>
            <w:r>
              <w:rPr/>
              <w:t>​</w:t>
            </w:r>
          </w:p>
        </w:tc>
        <w:tc>
          <w:tcPr>
            <w:tcW w:w="9387" w:type="dxa"/>
            <w:tcBorders/>
            <w:vAlign w:val="center"/>
          </w:tcPr>
          <w:p>
            <w:pPr>
              <w:pStyle w:val="TableContents"/>
              <w:bidi w:val="0"/>
              <w:spacing w:before="0" w:after="0"/>
              <w:ind w:left="0" w:right="0" w:hanging="0"/>
              <w:jc w:val="both"/>
              <w:rPr/>
            </w:pPr>
            <w:hyperlink w:anchor="mnst-20250930xex10d1.htm">
              <w:r>
                <w:rPr>
                  <w:rStyle w:val="InternetLink"/>
                  <w:rFonts w:ascii="Times New Roman;Times;serif" w:hAnsi="Times New Roman;Times;serif"/>
                  <w:b w:val="false"/>
                  <w:i w:val="false"/>
                  <w:caps w:val="false"/>
                  <w:smallCaps w:val="false"/>
                  <w:sz w:val="20"/>
                </w:rPr>
                <w:t>Amendment No. 1 to the Credit Agreement, dated as of October 17, 2025, among the Company, JPMorgan Chase Bank, N.A., as administrative agent, and the lenders party thereto.</w:t>
              </w:r>
            </w:hyperlink>
          </w:p>
        </w:tc>
      </w:tr>
      <w:tr>
        <w:trPr/>
        <w:tc>
          <w:tcPr>
            <w:tcW w:w="492"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both"/>
              <w:rPr/>
            </w:pPr>
            <w:r>
              <w:rPr/>
              <w:t>​</w:t>
            </w:r>
          </w:p>
        </w:tc>
        <w:tc>
          <w:tcPr>
            <w:tcW w:w="9387" w:type="dxa"/>
            <w:tcBorders/>
            <w:vAlign w:val="center"/>
          </w:tcPr>
          <w:p>
            <w:pPr>
              <w:pStyle w:val="TableContents"/>
              <w:bidi w:val="0"/>
              <w:spacing w:before="0" w:after="0"/>
              <w:ind w:left="0" w:right="0" w:hanging="0"/>
              <w:jc w:val="both"/>
              <w:rPr/>
            </w:pPr>
            <w:r>
              <w:rPr/>
              <w:t>​</w:t>
            </w:r>
          </w:p>
        </w:tc>
      </w:tr>
      <w:tr>
        <w:trPr/>
        <w:tc>
          <w:tcPr>
            <w:tcW w:w="49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0"/>
              <w:ind w:left="0" w:right="0" w:hanging="0"/>
              <w:jc w:val="both"/>
              <w:rPr/>
            </w:pPr>
            <w:r>
              <w:rPr/>
              <w:t>   </w:t>
            </w:r>
          </w:p>
        </w:tc>
        <w:tc>
          <w:tcPr>
            <w:tcW w:w="9387" w:type="dxa"/>
            <w:tcBorders/>
            <w:vAlign w:val="center"/>
          </w:tcPr>
          <w:p>
            <w:pPr>
              <w:pStyle w:val="TableContents"/>
              <w:bidi w:val="0"/>
              <w:spacing w:before="0" w:after="0"/>
              <w:ind w:left="0" w:right="0" w:hanging="0"/>
              <w:jc w:val="both"/>
              <w:rPr/>
            </w:pPr>
            <w:hyperlink w:anchor="mnst-20250930xex31d1.htm">
              <w:r>
                <w:rPr>
                  <w:rStyle w:val="InternetLink"/>
                  <w:rFonts w:ascii="Times New Roman;Times;serif" w:hAnsi="Times New Roman;Times;serif"/>
                  <w:b w:val="false"/>
                  <w:i w:val="false"/>
                  <w:caps w:val="false"/>
                  <w:smallCaps w:val="false"/>
                  <w:sz w:val="20"/>
                </w:rPr>
                <w:t>Certification of Chief Executive Officer Pursuant to Section 302 of the Sarbanes- Oxley Act of 2002</w:t>
              </w:r>
            </w:hyperlink>
          </w:p>
        </w:tc>
      </w:tr>
      <w:tr>
        <w:trPr/>
        <w:tc>
          <w:tcPr>
            <w:tcW w:w="4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both"/>
              <w:rPr/>
            </w:pPr>
            <w:r>
              <w:rPr/>
              <w:t>​</w:t>
            </w:r>
          </w:p>
        </w:tc>
        <w:tc>
          <w:tcPr>
            <w:tcW w:w="9387" w:type="dxa"/>
            <w:tcBorders/>
            <w:vAlign w:val="center"/>
          </w:tcPr>
          <w:p>
            <w:pPr>
              <w:pStyle w:val="TableContents"/>
              <w:bidi w:val="0"/>
              <w:spacing w:before="0" w:after="0"/>
              <w:ind w:left="0" w:right="0" w:hanging="0"/>
              <w:jc w:val="both"/>
              <w:rPr/>
            </w:pPr>
            <w:r>
              <w:rPr/>
              <w:t>​</w:t>
            </w:r>
          </w:p>
        </w:tc>
      </w:tr>
      <w:tr>
        <w:trPr/>
        <w:tc>
          <w:tcPr>
            <w:tcW w:w="49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bidi w:val="0"/>
              <w:spacing w:before="0" w:after="0"/>
              <w:ind w:left="0" w:right="0" w:hanging="0"/>
              <w:jc w:val="left"/>
              <w:rPr/>
            </w:pPr>
            <w:r>
              <w:rPr/>
              <w:t>​</w:t>
            </w:r>
          </w:p>
        </w:tc>
        <w:tc>
          <w:tcPr>
            <w:tcW w:w="9387" w:type="dxa"/>
            <w:tcBorders/>
            <w:vAlign w:val="center"/>
          </w:tcPr>
          <w:p>
            <w:pPr>
              <w:pStyle w:val="TableContents"/>
              <w:bidi w:val="0"/>
              <w:spacing w:before="0" w:after="0"/>
              <w:ind w:left="0" w:right="0" w:hanging="0"/>
              <w:jc w:val="left"/>
              <w:rPr/>
            </w:pPr>
            <w:hyperlink w:anchor="mnst-20250930xex31d2.htm">
              <w:r>
                <w:rPr>
                  <w:rStyle w:val="InternetLink"/>
                  <w:rFonts w:ascii="Times New Roman;Times;serif" w:hAnsi="Times New Roman;Times;serif"/>
                  <w:b w:val="false"/>
                  <w:i w:val="false"/>
                  <w:caps w:val="false"/>
                  <w:smallCaps w:val="false"/>
                  <w:sz w:val="20"/>
                </w:rPr>
                <w:t>Certification of Chief Financial Officer Pursuant to Section 302 of the Sarbanes- Oxley Act of 2002</w:t>
              </w:r>
            </w:hyperlink>
          </w:p>
        </w:tc>
      </w:tr>
      <w:tr>
        <w:trPr/>
        <w:tc>
          <w:tcPr>
            <w:tcW w:w="4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both"/>
              <w:rPr/>
            </w:pPr>
            <w:r>
              <w:rPr/>
              <w:t>​</w:t>
            </w:r>
          </w:p>
        </w:tc>
        <w:tc>
          <w:tcPr>
            <w:tcW w:w="9387" w:type="dxa"/>
            <w:tcBorders/>
            <w:vAlign w:val="center"/>
          </w:tcPr>
          <w:p>
            <w:pPr>
              <w:pStyle w:val="TableContents"/>
              <w:bidi w:val="0"/>
              <w:spacing w:before="0" w:after="0"/>
              <w:ind w:left="0" w:right="0" w:hanging="0"/>
              <w:jc w:val="both"/>
              <w:rPr/>
            </w:pPr>
            <w:r>
              <w:rPr/>
              <w:t>​</w:t>
            </w:r>
          </w:p>
        </w:tc>
      </w:tr>
      <w:tr>
        <w:trPr/>
        <w:tc>
          <w:tcPr>
            <w:tcW w:w="49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0"/>
              <w:ind w:left="0" w:right="0" w:hanging="0"/>
              <w:jc w:val="both"/>
              <w:rPr/>
            </w:pPr>
            <w:r>
              <w:rPr/>
              <w:t>​</w:t>
            </w:r>
          </w:p>
        </w:tc>
        <w:tc>
          <w:tcPr>
            <w:tcW w:w="9387" w:type="dxa"/>
            <w:tcBorders/>
            <w:vAlign w:val="center"/>
          </w:tcPr>
          <w:p>
            <w:pPr>
              <w:pStyle w:val="TableContents"/>
              <w:bidi w:val="0"/>
              <w:spacing w:before="0" w:after="0"/>
              <w:ind w:left="0" w:right="0" w:hanging="0"/>
              <w:jc w:val="both"/>
              <w:rPr/>
            </w:pPr>
            <w:hyperlink w:anchor="mnst-20250930xex32d1.htm">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906 of the Sarbanes-Oxley Act of 2002</w:t>
              </w:r>
            </w:hyperlink>
          </w:p>
        </w:tc>
      </w:tr>
      <w:tr>
        <w:trPr/>
        <w:tc>
          <w:tcPr>
            <w:tcW w:w="4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both"/>
              <w:rPr/>
            </w:pPr>
            <w:r>
              <w:rPr/>
              <w:t>​</w:t>
            </w:r>
          </w:p>
        </w:tc>
        <w:tc>
          <w:tcPr>
            <w:tcW w:w="9387" w:type="dxa"/>
            <w:tcBorders/>
            <w:vAlign w:val="center"/>
          </w:tcPr>
          <w:p>
            <w:pPr>
              <w:pStyle w:val="TableContents"/>
              <w:bidi w:val="0"/>
              <w:spacing w:before="0" w:after="0"/>
              <w:ind w:left="0" w:right="0" w:hanging="0"/>
              <w:jc w:val="both"/>
              <w:rPr/>
            </w:pPr>
            <w:r>
              <w:rPr/>
              <w:t>​</w:t>
            </w:r>
          </w:p>
        </w:tc>
      </w:tr>
      <w:tr>
        <w:trPr/>
        <w:tc>
          <w:tcPr>
            <w:tcW w:w="49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326" w:type="dxa"/>
            <w:tcBorders/>
            <w:vAlign w:val="center"/>
          </w:tcPr>
          <w:p>
            <w:pPr>
              <w:pStyle w:val="TableContents"/>
              <w:bidi w:val="0"/>
              <w:spacing w:before="0" w:after="0"/>
              <w:ind w:left="0" w:right="0" w:hanging="0"/>
              <w:jc w:val="both"/>
              <w:rPr/>
            </w:pPr>
            <w:r>
              <w:rPr/>
              <w:t>​</w:t>
            </w:r>
          </w:p>
        </w:tc>
        <w:tc>
          <w:tcPr>
            <w:tcW w:w="9387" w:type="dxa"/>
            <w:tcBorders/>
            <w:vAlign w:val="center"/>
          </w:tcPr>
          <w:p>
            <w:pPr>
              <w:pStyle w:val="TableContents"/>
              <w:bidi w:val="0"/>
              <w:spacing w:before="0" w:after="0"/>
              <w:ind w:left="0" w:right="0" w:hanging="0"/>
              <w:jc w:val="both"/>
              <w:rPr/>
            </w:pPr>
            <w:hyperlink w:anchor="mnst-20250930xex32d2.htm">
              <w:r>
                <w:rPr>
                  <w:rStyle w:val="InternetLink"/>
                  <w:rFonts w:ascii="Times New Roman;Times;serif" w:hAnsi="Times New Roman;Times;serif"/>
                  <w:b w:val="false"/>
                  <w:i w:val="false"/>
                  <w:caps w:val="false"/>
                  <w:smallCaps w:val="false"/>
                  <w:sz w:val="20"/>
                </w:rPr>
                <w:t>Certification by Chief Financial Officer Pursuant to 18 U.S.C. Section 1350, as Adopted Pursuant to Section 906 of the Sarbanes-Oxley Act of 2002</w:t>
              </w:r>
            </w:hyperlink>
          </w:p>
        </w:tc>
      </w:tr>
      <w:tr>
        <w:trPr/>
        <w:tc>
          <w:tcPr>
            <w:tcW w:w="4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both"/>
              <w:rPr/>
            </w:pPr>
            <w:r>
              <w:rPr/>
              <w:t>​</w:t>
            </w:r>
          </w:p>
        </w:tc>
        <w:tc>
          <w:tcPr>
            <w:tcW w:w="9387" w:type="dxa"/>
            <w:tcBorders/>
            <w:vAlign w:val="center"/>
          </w:tcPr>
          <w:p>
            <w:pPr>
              <w:pStyle w:val="TableContents"/>
              <w:bidi w:val="0"/>
              <w:spacing w:before="0" w:after="0"/>
              <w:ind w:left="0" w:right="0" w:hanging="0"/>
              <w:jc w:val="both"/>
              <w:rPr/>
            </w:pPr>
            <w:r>
              <w:rPr/>
              <w:t>​</w:t>
            </w:r>
          </w:p>
        </w:tc>
      </w:tr>
      <w:tr>
        <w:trPr/>
        <w:tc>
          <w:tcPr>
            <w:tcW w:w="49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0"/>
              <w:ind w:left="0" w:right="0" w:hanging="0"/>
              <w:jc w:val="both"/>
              <w:rPr/>
            </w:pPr>
            <w:r>
              <w:rPr/>
              <w:t>​</w:t>
            </w:r>
          </w:p>
        </w:tc>
        <w:tc>
          <w:tcPr>
            <w:tcW w:w="938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financial information from Monster Beverage Corporation’s Quarterly Report on Form 10-Q for the quarter ended September 30, 2025, formatted in iXBRL (Inline eXtensible Business Reporting Language): (i) Condensed Consolidated Balance Sheets as of September 30, 2025 and December 31, 2024, (ii) Condensed Consolidated Statements of Income for the three- and nine-months ended September 30, 2025 and 2024, (iii) Condensed Consolidated Statements of Comprehensive Income for the three- and nine-months ended September 30, 2025 and 2024, (iv) Condensed Consolidated Statements of Stockholders’ Equity for the three- and nine-months ended September 30, 2025 and 2024, (v) Condensed Consolidated Statements of Cash Flows for the nine-months ended September 30, 2025 and 2024, and (vi) the Notes to Condensed Consolidated Financial Statements.</w:t>
            </w:r>
          </w:p>
        </w:tc>
      </w:tr>
      <w:tr>
        <w:trPr/>
        <w:tc>
          <w:tcPr>
            <w:tcW w:w="4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both"/>
              <w:rPr/>
            </w:pPr>
            <w:r>
              <w:rPr/>
              <w:t>​</w:t>
            </w:r>
          </w:p>
        </w:tc>
        <w:tc>
          <w:tcPr>
            <w:tcW w:w="9387" w:type="dxa"/>
            <w:tcBorders/>
            <w:vAlign w:val="center"/>
          </w:tcPr>
          <w:p>
            <w:pPr>
              <w:pStyle w:val="TableContents"/>
              <w:bidi w:val="0"/>
              <w:spacing w:before="0" w:after="0"/>
              <w:ind w:left="0" w:right="0" w:hanging="0"/>
              <w:jc w:val="both"/>
              <w:rPr/>
            </w:pPr>
            <w:r>
              <w:rPr/>
              <w:t>​</w:t>
            </w:r>
          </w:p>
        </w:tc>
      </w:tr>
      <w:tr>
        <w:trPr/>
        <w:tc>
          <w:tcPr>
            <w:tcW w:w="49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both"/>
              <w:rPr/>
            </w:pPr>
            <w:r>
              <w:rPr/>
              <w:t>​</w:t>
            </w:r>
          </w:p>
        </w:tc>
        <w:tc>
          <w:tcPr>
            <w:tcW w:w="938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cover page from Monster Beverage Corporation’s Quarterly Report on Form 10-Q for the quarter ended September 30, 2025, formatted in iXBRL (Inline eXtensible Business Reporting Language) and contained in Exhibit 101.</w:t>
            </w:r>
          </w:p>
        </w:tc>
      </w:tr>
    </w:tbl>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15"/>
        </w:rPr>
        <w:t>*</w:t>
      </w:r>
      <w:r>
        <w:rPr>
          <w:rFonts w:ascii="Times New Roman;Times;serif" w:hAnsi="Times New Roman;Times;serif"/>
          <w:sz w:val="20"/>
        </w:rPr>
        <w:t>Filed herewith.</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992" w:name="SIGNATURES_652864"/>
      <w:bookmarkStart w:id="1993" w:name="_0a7b5ce0_7494_4f48_b241_f8ff815fc8aa"/>
      <w:bookmarkEnd w:id="1992"/>
      <w:bookmarkEnd w:id="1993"/>
      <w:r>
        <w:rPr>
          <w:rFonts w:ascii="Times New Roman;Times;serif" w:hAnsi="Times New Roman;Times;serif"/>
          <w:b/>
          <w:sz w:val="20"/>
        </w:rPr>
        <w:t>SIGNATURES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5672" w:type="dxa"/>
        <w:jc w:val="left"/>
        <w:tblInd w:w="0" w:type="dxa"/>
        <w:tblLayout w:type="fixed"/>
        <w:tblCellMar>
          <w:top w:w="0" w:type="dxa"/>
          <w:left w:w="0" w:type="dxa"/>
          <w:bottom w:w="0" w:type="dxa"/>
          <w:right w:w="0" w:type="dxa"/>
        </w:tblCellMar>
      </w:tblPr>
      <w:tblGrid>
        <w:gridCol w:w="2101"/>
        <w:gridCol w:w="3571"/>
      </w:tblGrid>
      <w:tr>
        <w:trPr/>
        <w:tc>
          <w:tcPr>
            <w:tcW w:w="2101" w:type="dxa"/>
            <w:tcBorders/>
            <w:vAlign w:val="center"/>
          </w:tcPr>
          <w:p>
            <w:pPr>
              <w:pStyle w:val="TableContents"/>
              <w:bidi w:val="0"/>
              <w:spacing w:before="0" w:after="0"/>
              <w:ind w:left="0" w:right="0" w:hanging="0"/>
              <w:jc w:val="left"/>
              <w:rPr/>
            </w:pPr>
            <w:r>
              <w:rPr/>
              <w:t>​</w:t>
            </w:r>
          </w:p>
        </w:tc>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BEVERAGE CORPORATION</w:t>
            </w:r>
          </w:p>
        </w:tc>
      </w:tr>
      <w:tr>
        <w:trPr/>
        <w:tc>
          <w:tcPr>
            <w:tcW w:w="2101" w:type="dxa"/>
            <w:tcBorders/>
            <w:vAlign w:val="center"/>
          </w:tcPr>
          <w:p>
            <w:pPr>
              <w:pStyle w:val="TableContents"/>
              <w:bidi w:val="0"/>
              <w:spacing w:before="0" w:after="0"/>
              <w:ind w:left="0" w:right="0" w:hanging="0"/>
              <w:jc w:val="left"/>
              <w:rPr/>
            </w:pPr>
            <w:r>
              <w:rPr/>
              <w:t>​</w:t>
            </w:r>
          </w:p>
        </w:tc>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Registrant</w:t>
            </w:r>
          </w:p>
        </w:tc>
      </w:tr>
      <w:tr>
        <w:trPr/>
        <w:tc>
          <w:tcPr>
            <w:tcW w:w="2101" w:type="dxa"/>
            <w:tcBorders/>
            <w:vAlign w:val="center"/>
          </w:tcPr>
          <w:p>
            <w:pPr>
              <w:pStyle w:val="TableContents"/>
              <w:bidi w:val="0"/>
              <w:spacing w:before="0" w:after="0"/>
              <w:ind w:left="0" w:right="0" w:hanging="0"/>
              <w:jc w:val="left"/>
              <w:rPr/>
            </w:pPr>
            <w:r>
              <w:rPr/>
              <w:t>​</w:t>
            </w:r>
          </w:p>
        </w:tc>
        <w:tc>
          <w:tcPr>
            <w:tcW w:w="3571"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6, 2025</w:t>
            </w:r>
          </w:p>
        </w:tc>
        <w:tc>
          <w:tcPr>
            <w:tcW w:w="35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HILTON H. SCHLOSBERG</w:t>
            </w:r>
          </w:p>
        </w:tc>
      </w:tr>
      <w:tr>
        <w:trPr/>
        <w:tc>
          <w:tcPr>
            <w:tcW w:w="2101" w:type="dxa"/>
            <w:tcBorders/>
            <w:vAlign w:val="center"/>
          </w:tcPr>
          <w:p>
            <w:pPr>
              <w:pStyle w:val="TableContents"/>
              <w:bidi w:val="0"/>
              <w:spacing w:before="0" w:after="0"/>
              <w:ind w:left="0" w:right="0" w:hanging="0"/>
              <w:jc w:val="left"/>
              <w:rPr/>
            </w:pPr>
            <w:r>
              <w:rPr/>
              <w:t>​</w:t>
            </w:r>
          </w:p>
        </w:tc>
        <w:tc>
          <w:tcPr>
            <w:tcW w:w="35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Hilton H. Schlosberg</w:t>
            </w:r>
          </w:p>
        </w:tc>
      </w:tr>
      <w:tr>
        <w:trPr/>
        <w:tc>
          <w:tcPr>
            <w:tcW w:w="2101" w:type="dxa"/>
            <w:tcBorders/>
            <w:vAlign w:val="center"/>
          </w:tcPr>
          <w:p>
            <w:pPr>
              <w:pStyle w:val="TableContents"/>
              <w:bidi w:val="0"/>
              <w:spacing w:before="0" w:after="0"/>
              <w:ind w:left="0" w:right="0" w:hanging="0"/>
              <w:jc w:val="left"/>
              <w:rPr/>
            </w:pPr>
            <w:r>
              <w:rPr/>
              <w:t>​</w:t>
            </w:r>
          </w:p>
        </w:tc>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Chairman of the Board of Directors</w:t>
            </w:r>
          </w:p>
        </w:tc>
      </w:tr>
      <w:tr>
        <w:trPr/>
        <w:tc>
          <w:tcPr>
            <w:tcW w:w="2101" w:type="dxa"/>
            <w:tcBorders/>
            <w:vAlign w:val="center"/>
          </w:tcPr>
          <w:p>
            <w:pPr>
              <w:pStyle w:val="TableContents"/>
              <w:bidi w:val="0"/>
              <w:spacing w:before="0" w:after="0"/>
              <w:ind w:left="0" w:right="0" w:hanging="0"/>
              <w:jc w:val="left"/>
              <w:rPr/>
            </w:pPr>
            <w:r>
              <w:rPr/>
              <w:t>​</w:t>
            </w:r>
          </w:p>
        </w:tc>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 Chief Executive Officer</w:t>
            </w:r>
          </w:p>
        </w:tc>
      </w:tr>
      <w:tr>
        <w:trPr/>
        <w:tc>
          <w:tcPr>
            <w:tcW w:w="2101" w:type="dxa"/>
            <w:tcBorders/>
            <w:vAlign w:val="center"/>
          </w:tcPr>
          <w:p>
            <w:pPr>
              <w:pStyle w:val="TableContents"/>
              <w:bidi w:val="0"/>
              <w:spacing w:before="0" w:after="0"/>
              <w:ind w:left="0" w:right="0" w:hanging="0"/>
              <w:jc w:val="left"/>
              <w:rPr/>
            </w:pPr>
            <w:r>
              <w:rPr/>
              <w:t>​</w:t>
            </w:r>
          </w:p>
        </w:tc>
        <w:tc>
          <w:tcPr>
            <w:tcW w:w="3571"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6, 2025</w:t>
            </w:r>
          </w:p>
        </w:tc>
        <w:tc>
          <w:tcPr>
            <w:tcW w:w="35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THOMAS J. KELLY</w:t>
            </w:r>
          </w:p>
        </w:tc>
      </w:tr>
      <w:tr>
        <w:trPr/>
        <w:tc>
          <w:tcPr>
            <w:tcW w:w="2101" w:type="dxa"/>
            <w:tcBorders/>
            <w:vAlign w:val="center"/>
          </w:tcPr>
          <w:p>
            <w:pPr>
              <w:pStyle w:val="TableContents"/>
              <w:bidi w:val="0"/>
              <w:spacing w:before="0" w:after="0"/>
              <w:ind w:left="0" w:right="0" w:hanging="0"/>
              <w:jc w:val="left"/>
              <w:rPr/>
            </w:pPr>
            <w:r>
              <w:rPr/>
              <w:t>​</w:t>
            </w:r>
          </w:p>
        </w:tc>
        <w:tc>
          <w:tcPr>
            <w:tcW w:w="35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J. Kelly</w:t>
            </w:r>
          </w:p>
        </w:tc>
      </w:tr>
      <w:tr>
        <w:trPr/>
        <w:tc>
          <w:tcPr>
            <w:tcW w:w="2101" w:type="dxa"/>
            <w:tcBorders/>
            <w:vAlign w:val="center"/>
          </w:tcPr>
          <w:p>
            <w:pPr>
              <w:pStyle w:val="TableContents"/>
              <w:bidi w:val="0"/>
              <w:spacing w:before="0" w:after="0"/>
              <w:ind w:left="0" w:right="0" w:hanging="0"/>
              <w:jc w:val="left"/>
              <w:rPr/>
            </w:pPr>
            <w:r>
              <w:rPr/>
              <w:t>​</w:t>
            </w:r>
          </w:p>
        </w:tc>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0"/>
        <w:ind w:left="0" w:right="0" w:hanging="0"/>
        <w:jc w:val="left"/>
        <w:rPr/>
      </w:pPr>
      <w:bookmarkStart w:id="1994" w:name="mnst-20250930xex10d1.htm"/>
      <w:bookmarkStart w:id="1995" w:name="ksmnst20250930xex10d1"/>
      <w:bookmarkEnd w:id="1994"/>
      <w:bookmarkEnd w:id="1995"/>
      <w:r>
        <w:rPr/>
        <w:t>​</w:t>
      </w:r>
      <w:r>
        <w:br w:type="page"/>
      </w:r>
    </w:p>
    <w:p>
      <w:pPr>
        <w:pStyle w:val="TextBody"/>
        <w:bidi w:val="0"/>
        <w:spacing w:before="0" w:after="0"/>
        <w:ind w:left="0" w:right="0" w:firstLine="1440"/>
        <w:jc w:val="right"/>
        <w:rPr>
          <w:rFonts w:ascii="Times New Roman;Times;serif" w:hAnsi="Times New Roman;Times;serif"/>
          <w:b/>
          <w:sz w:val="20"/>
        </w:rPr>
      </w:pPr>
      <w:r>
        <w:rPr>
          <w:rFonts w:ascii="Times New Roman;Times;serif" w:hAnsi="Times New Roman;Times;serif"/>
          <w:b/>
          <w:sz w:val="20"/>
        </w:rPr>
        <w:t>Exhibit 10.1</w:t>
      </w:r>
    </w:p>
    <w:p>
      <w:pPr>
        <w:pStyle w:val="TextBody"/>
        <w:bidi w:val="0"/>
        <w:spacing w:before="0" w:after="240"/>
        <w:ind w:left="0" w:right="0" w:firstLine="1440"/>
        <w:jc w:val="right"/>
        <w:rPr>
          <w:rFonts w:ascii="Times New Roman;Times;serif" w:hAnsi="Times New Roman;Times;serif"/>
          <w:sz w:val="20"/>
        </w:rPr>
      </w:pPr>
      <w:r>
        <w:rPr>
          <w:rFonts w:ascii="Times New Roman;Times;serif" w:hAnsi="Times New Roman;Times;serif"/>
          <w:sz w:val="20"/>
        </w:rPr>
        <w:t>EXECUTION VERSION</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AMENDMENT NO. 1 dated as of October 17, 2025 (this “</w:t>
      </w:r>
      <w:r>
        <w:rPr>
          <w:rFonts w:ascii="Times New Roman;Times;serif" w:hAnsi="Times New Roman;Times;serif"/>
          <w:sz w:val="20"/>
          <w:u w:val="single"/>
        </w:rPr>
        <w:t>Amendment</w:t>
      </w:r>
      <w:r>
        <w:rPr>
          <w:rFonts w:ascii="Times New Roman;Times;serif" w:hAnsi="Times New Roman;Times;serif"/>
          <w:sz w:val="20"/>
        </w:rPr>
        <w:t>”), among MONSTER BEVERAGE CORPORATION, a Delaware corporation (the “</w:t>
      </w:r>
      <w:r>
        <w:rPr>
          <w:rFonts w:ascii="Times New Roman;Times;serif" w:hAnsi="Times New Roman;Times;serif"/>
          <w:sz w:val="20"/>
          <w:u w:val="single"/>
        </w:rPr>
        <w:t>Company</w:t>
      </w:r>
      <w:r>
        <w:rPr>
          <w:rFonts w:ascii="Times New Roman;Times;serif" w:hAnsi="Times New Roman;Times;serif"/>
          <w:sz w:val="20"/>
        </w:rPr>
        <w:t>”), the LENDERS party hereto and JPMORGAN CHASE BANK, N.A., as administrative agent (the “</w:t>
      </w:r>
      <w:r>
        <w:rPr>
          <w:rFonts w:ascii="Times New Roman;Times;serif" w:hAnsi="Times New Roman;Times;serif"/>
          <w:sz w:val="20"/>
          <w:u w:val="single"/>
        </w:rPr>
        <w:t>Administrative Agent</w:t>
      </w:r>
      <w:r>
        <w:rPr>
          <w:rFonts w:ascii="Times New Roman;Times;serif" w:hAnsi="Times New Roman;Times;serif"/>
          <w:sz w:val="20"/>
        </w:rPr>
        <w: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Reference is made to the Credit Agreement dated as of May 24, 2024 (as amended, restated, supplemented or otherwise modified from time to time, the “</w:t>
      </w:r>
      <w:r>
        <w:rPr>
          <w:rFonts w:ascii="Times New Roman;Times;serif" w:hAnsi="Times New Roman;Times;serif"/>
          <w:sz w:val="20"/>
          <w:u w:val="single"/>
        </w:rPr>
        <w:t>Credit Agreement</w:t>
      </w:r>
      <w:r>
        <w:rPr>
          <w:rFonts w:ascii="Times New Roman;Times;serif" w:hAnsi="Times New Roman;Times;serif"/>
          <w:sz w:val="20"/>
        </w:rPr>
        <w:t>”), among Monster Beverage Corporation, a Delaware corporation (the “</w:t>
      </w:r>
      <w:r>
        <w:rPr>
          <w:rFonts w:ascii="Times New Roman;Times;serif" w:hAnsi="Times New Roman;Times;serif"/>
          <w:sz w:val="20"/>
          <w:u w:val="single"/>
        </w:rPr>
        <w:t>Company</w:t>
      </w:r>
      <w:r>
        <w:rPr>
          <w:rFonts w:ascii="Times New Roman;Times;serif" w:hAnsi="Times New Roman;Times;serif"/>
          <w:sz w:val="20"/>
        </w:rPr>
        <w:t>”), the Borrowing Subsidiaries party thereto, the Lenders party thereto and JPMorgan Chase Bank, N.A., as Administrative Agent.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The Company has requested that the Credit Agreement be amended as set forth herein, including to (a) modify the definition of “Applicable Rate” as set forth herein (it being understood that such modifications apply only on and after the Amendment Effective Date (as defined below)) and (b) reduce the aggregate amount of the Revolving Commitments from $750,000,000 to $500,000,000, and the Lenders whose signatures appear below, which constitute all of the Lenders as of the date hereof, are willing to agree to such amendments on the terms and subject to the conditions set forth herein.</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NOW, THEREFORE, in consideration of the mutual agreements herein contained and other good and valuable consideration, the sufficiency and receipt of which are hereby acknowledged, the parties hereto hereby agree as follows: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SECTION 1. </w:t>
      </w:r>
      <w:r>
        <w:rPr>
          <w:rFonts w:ascii="Times New Roman;Times;serif" w:hAnsi="Times New Roman;Times;serif"/>
          <w:sz w:val="20"/>
          <w:u w:val="single"/>
        </w:rPr>
        <w:t>Defined Terms.</w:t>
      </w:r>
      <w:r>
        <w:rPr>
          <w:rFonts w:ascii="Times New Roman;Times;serif" w:hAnsi="Times New Roman;Times;serif"/>
          <w:sz w:val="20"/>
        </w:rPr>
        <w:t xml:space="preserve"> Capitalized terms used but not otherwise defined herein (including in the recitals hereto) have the meanings assigned to them in the Credit Agreement.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SECTION 2. </w:t>
      </w:r>
      <w:r>
        <w:rPr>
          <w:rFonts w:ascii="Times New Roman;Times;serif" w:hAnsi="Times New Roman;Times;serif"/>
          <w:sz w:val="20"/>
          <w:u w:val="single"/>
        </w:rPr>
        <w:t>Amendments to Credit Agreement.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(a) Effective as of the Amendment Effective Date, the Credit Agreement (excluding, except as set forth below, the Schedules and the Exhibits thereto) is hereby amended to delete the stricken text (indicated textually in the same manner as the following example: </w:t>
      </w:r>
      <w:r>
        <w:rPr>
          <w:rFonts w:ascii="Times New Roman;Times;serif" w:hAnsi="Times New Roman;Times;serif"/>
          <w:color w:val="FF0000"/>
          <w:sz w:val="20"/>
        </w:rPr>
        <w:t>stricken text</w:t>
      </w:r>
      <w:r>
        <w:rPr>
          <w:rFonts w:ascii="Times New Roman;Times;serif" w:hAnsi="Times New Roman;Times;serif"/>
          <w:sz w:val="20"/>
        </w:rPr>
        <w:t xml:space="preserve"> or </w:t>
      </w:r>
      <w:r>
        <w:rPr>
          <w:rFonts w:ascii="Times New Roman;Times;serif" w:hAnsi="Times New Roman;Times;serif"/>
          <w:color w:val="00B050"/>
          <w:sz w:val="20"/>
        </w:rPr>
        <w:t>stricken text</w:t>
      </w:r>
      <w:r>
        <w:rPr>
          <w:rFonts w:ascii="Times New Roman;Times;serif" w:hAnsi="Times New Roman;Times;serif"/>
          <w:sz w:val="20"/>
        </w:rPr>
        <w:t xml:space="preserve">) and to add the single-underlined text (indicated textually in the same manner as the following example: </w:t>
      </w:r>
      <w:r>
        <w:rPr>
          <w:rFonts w:ascii="Times New Roman;Times;serif" w:hAnsi="Times New Roman;Times;serif"/>
          <w:color w:val="0000FF"/>
          <w:sz w:val="20"/>
          <w:u w:val="single"/>
        </w:rPr>
        <w:t>single-underlined text</w:t>
      </w:r>
      <w:r>
        <w:rPr>
          <w:rFonts w:ascii="Times New Roman;Times;serif" w:hAnsi="Times New Roman;Times;serif"/>
          <w:sz w:val="20"/>
        </w:rPr>
        <w:t xml:space="preserve"> or </w:t>
      </w:r>
      <w:r>
        <w:rPr>
          <w:rFonts w:ascii="Times New Roman;Times;serif" w:hAnsi="Times New Roman;Times;serif"/>
          <w:color w:val="00B050"/>
          <w:sz w:val="20"/>
          <w:u w:val="single"/>
        </w:rPr>
        <w:t>single-underlined text</w:t>
      </w:r>
      <w:r>
        <w:rPr>
          <w:rFonts w:ascii="Times New Roman;Times;serif" w:hAnsi="Times New Roman;Times;serif"/>
          <w:sz w:val="20"/>
        </w:rPr>
        <w:t xml:space="preserve">) as set forth in the blackline changed pages attached as </w:t>
      </w:r>
      <w:r>
        <w:rPr>
          <w:rFonts w:ascii="Times New Roman;Times;serif" w:hAnsi="Times New Roman;Times;serif"/>
          <w:sz w:val="20"/>
          <w:u w:val="single"/>
        </w:rPr>
        <w:t>Exhibit A</w:t>
      </w:r>
      <w:r>
        <w:rPr>
          <w:rFonts w:ascii="Times New Roman;Times;serif" w:hAnsi="Times New Roman;Times;serif"/>
          <w:sz w:val="20"/>
        </w:rPr>
        <w:t xml:space="preserve"> hereto.</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(b) Effective as of the Amendment Effective Date, the Company hereby reduces Revolving Commitments by $250,000,000, such reduction to be made ratably among the Lenders in accordance with their respective Revolving Commitments. In furtherance of the foregoing, </w:t>
      </w:r>
      <w:r>
        <w:rPr>
          <w:rFonts w:ascii="Times New Roman;Times;serif" w:hAnsi="Times New Roman;Times;serif"/>
          <w:sz w:val="20"/>
          <w:u w:val="single"/>
        </w:rPr>
        <w:t>Schedule 2.01</w:t>
      </w:r>
      <w:r>
        <w:rPr>
          <w:rFonts w:ascii="Times New Roman;Times;serif" w:hAnsi="Times New Roman;Times;serif"/>
          <w:sz w:val="20"/>
        </w:rPr>
        <w:t xml:space="preserve"> to the Credit Agreement is hereby amended and restated to be in the form of </w:t>
      </w:r>
      <w:r>
        <w:rPr>
          <w:rFonts w:ascii="Times New Roman;Times;serif" w:hAnsi="Times New Roman;Times;serif"/>
          <w:sz w:val="20"/>
          <w:u w:val="single"/>
        </w:rPr>
        <w:t>Schedule 2.01</w:t>
      </w:r>
      <w:r>
        <w:rPr>
          <w:rFonts w:ascii="Times New Roman;Times;serif" w:hAnsi="Times New Roman;Times;serif"/>
          <w:sz w:val="20"/>
        </w:rPr>
        <w:t xml:space="preserve"> hereto. The parties hereto acknowledge that the Tranche A Term Commitments have terminated in full prior to the date hereof.</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SECTION 3. </w:t>
      </w:r>
      <w:r>
        <w:rPr>
          <w:rFonts w:ascii="Times New Roman;Times;serif" w:hAnsi="Times New Roman;Times;serif"/>
          <w:sz w:val="20"/>
          <w:u w:val="single"/>
        </w:rPr>
        <w:t>Representations and Warranties.</w:t>
      </w:r>
      <w:r>
        <w:rPr>
          <w:rFonts w:ascii="Times New Roman;Times;serif" w:hAnsi="Times New Roman;Times;serif"/>
          <w:sz w:val="20"/>
        </w:rPr>
        <w:t xml:space="preserve"> The Company hereby represents and warrants to the Lenders and the Administrative Agent that: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(a) the representations and warranties of the Loan Parties set forth in the Loan Documents are true and correct (i) in the case of the representations and warranties qualified as to materiality, in all respects and (ii) otherwise, in all material respects on and as of the Amendment Effective Date, with the same effect as though such representations and warranties had been made on and as of such date, except to the extent that such representations and warranties expressly relate to a prior date (in which case they are true and correct in all material respects on and as of such earlier date); and</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(b) as of the Amendment Effective Date, no Default has occurred and is continuing.</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SECTION 4. </w:t>
      </w:r>
      <w:r>
        <w:rPr>
          <w:rFonts w:ascii="Times New Roman;Times;serif" w:hAnsi="Times New Roman;Times;serif"/>
          <w:sz w:val="20"/>
          <w:u w:val="single"/>
        </w:rPr>
        <w:t>Effectiveness.</w:t>
      </w:r>
      <w:r>
        <w:rPr>
          <w:rFonts w:ascii="Times New Roman;Times;serif" w:hAnsi="Times New Roman;Times;serif"/>
          <w:sz w:val="20"/>
        </w:rPr>
        <w:t xml:space="preserve"> This Amendment shall become effective as of the first date (the “</w:t>
      </w:r>
      <w:r>
        <w:rPr>
          <w:rFonts w:ascii="Times New Roman;Times;serif" w:hAnsi="Times New Roman;Times;serif"/>
          <w:sz w:val="20"/>
          <w:u w:val="single"/>
        </w:rPr>
        <w:t>Amendment Effective Date</w:t>
      </w:r>
      <w:r>
        <w:rPr>
          <w:rFonts w:ascii="Times New Roman;Times;serif" w:hAnsi="Times New Roman;Times;serif"/>
          <w:sz w:val="20"/>
        </w:rPr>
        <w:t>”) on which the following conditions are satisfied:</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Amendment.</w:t>
      </w:r>
      <w:r>
        <w:rPr>
          <w:rFonts w:ascii="Times New Roman;Times;serif" w:hAnsi="Times New Roman;Times;serif"/>
          <w:sz w:val="20"/>
        </w:rPr>
        <w:t xml:space="preserve"> The Administrative Agent shall have (i) executed a counterpart of this Amendment and (ii) received from each of the Lenders (including in their capacity as an Issuing Bank or the Swingline Lender) and the Company a counterpart of this Amendment signed on behalf of such Person (in each case under this clause (a), which, subject to Section 9.06(b) of the Credit Agreement, may include any Electronic Signatures transmitted by emailed .pdf or any other electronic means that reproduces an image of an actual executed signature page of a counterpart of this Amendment).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Expenses.</w:t>
      </w:r>
      <w:r>
        <w:rPr>
          <w:rFonts w:ascii="Times New Roman;Times;serif" w:hAnsi="Times New Roman;Times;serif"/>
          <w:sz w:val="20"/>
        </w:rPr>
        <w:t xml:space="preserve"> All expenses required to be reimbursed by the Company on the Amendment Effective Date pursuant to the Credit Agreement, to the extent invoiced at least two Business Days prior to the Amendment Effective Date, shall have been reimbursed.</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SECTION 5. </w:t>
      </w:r>
      <w:r>
        <w:rPr>
          <w:rFonts w:ascii="Times New Roman;Times;serif" w:hAnsi="Times New Roman;Times;serif"/>
          <w:sz w:val="20"/>
          <w:u w:val="single"/>
        </w:rPr>
        <w:t>Effect of this Amendment.</w:t>
      </w:r>
      <w:r>
        <w:rPr>
          <w:rFonts w:ascii="Times New Roman;Times;serif" w:hAnsi="Times New Roman;Times;serif"/>
          <w:sz w:val="20"/>
        </w:rPr>
        <w:t xml:space="preserve"> Except as expressly set forth herein, this Amendment shall not by implication or otherwise limit, impair, constitute a waiver of or otherwise affect the rights and remedies of the Administrative Agent, any Lender or any Issuing Bank under the Credit Agreement and the other Loan Documents, and shall not alter, modify, amend or in any way affect any of the terms, conditions, obligations, guarantees, covenants or agreements contained in the Credit Agreement or any of the other Loan Documents, all of which are ratified and affirmed in all respects and shall continue in full force and effect. Nothing herein shall be deemed to entitle any Loan Party to a consent to, or a waiver, amendment, modification or other change of, any of the terms, conditions, obligations, covenants or agreements contained in the Credit Agreement as amended hereby in similar or different circumstances. On and after the Amendment Effective Date, each reference in the Credit Agreement to “this Agreement”, “herein”, “hereof”, “hereunder” and words of similar import shall, unless the context otherwise requires, refer to the Credit Agreement as amended hereby, and each reference to the Credit Agreement in any other Loan Document shall be deemed to be a reference to the Credit Agreement as amended hereby. This Amendment shall constitute a “Loan Document” for all purposes of the Credit Agreement and the other Loan Documents.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SECTION 6. </w:t>
      </w:r>
      <w:r>
        <w:rPr>
          <w:rFonts w:ascii="Times New Roman;Times;serif" w:hAnsi="Times New Roman;Times;serif"/>
          <w:sz w:val="20"/>
          <w:u w:val="single"/>
        </w:rPr>
        <w:t>Governing Law.</w:t>
      </w:r>
      <w:r>
        <w:rPr>
          <w:rFonts w:ascii="Times New Roman;Times;serif" w:hAnsi="Times New Roman;Times;serif"/>
          <w:sz w:val="20"/>
        </w:rPr>
        <w:t xml:space="preserve"> This Amendment and any claims, controversies, disputes or causes of action (whether based in contract, tort or any other theory, and whether in law or equity) based upon, arising out of or relating to this Amendment and the transactions contemplated hereby shall be construed in accordance with and governed by the law of the State of New York.</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SECTION 7. </w:t>
      </w:r>
      <w:r>
        <w:rPr>
          <w:rFonts w:ascii="Times New Roman;Times;serif" w:hAnsi="Times New Roman;Times;serif"/>
          <w:sz w:val="20"/>
          <w:u w:val="single"/>
        </w:rPr>
        <w:t>Incorporation by Reference.</w:t>
      </w:r>
      <w:r>
        <w:rPr>
          <w:rFonts w:ascii="Times New Roman;Times;serif" w:hAnsi="Times New Roman;Times;serif"/>
          <w:sz w:val="20"/>
        </w:rPr>
        <w:t xml:space="preserve"> The provisions of Sections 1.03, 1.04(a), 9.06, 9.07, 9.09(a), 9.09(b), 9.09(c), 9.09(d), 9.10 and 9.11 of the Credit Agreement are hereby incorporated by reference, </w:t>
      </w:r>
      <w:r>
        <w:rPr>
          <w:rFonts w:ascii="Times New Roman;Times;serif" w:hAnsi="Times New Roman;Times;serif"/>
          <w:sz w:val="20"/>
          <w:u w:val="single"/>
        </w:rPr>
        <w:t>mutatis mutandis</w:t>
      </w:r>
      <w:r>
        <w:rPr>
          <w:rFonts w:ascii="Times New Roman;Times;serif" w:hAnsi="Times New Roman;Times;serif"/>
          <w:sz w:val="20"/>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Remainder of this page intentionally left blank</w:t>
      </w:r>
      <w:r>
        <w:rPr>
          <w:rFonts w:ascii="Times New Roman;Times;serif" w:hAnsi="Times New Roman;Times;serif"/>
          <w:sz w:val="20"/>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1440"/>
        <w:jc w:val="both"/>
        <w:rPr>
          <w:rFonts w:ascii="Times New Roman;Times;serif" w:hAnsi="Times New Roman;Times;serif"/>
          <w:sz w:val="20"/>
        </w:rPr>
      </w:pPr>
      <w:r>
        <w:rPr>
          <w:rFonts w:ascii="Times New Roman;Times;serif" w:hAnsi="Times New Roman;Times;serif"/>
          <w:sz w:val="20"/>
        </w:rPr>
        <w:t>IN WITNESS WHEREOF, the parties hereto have caused this Amendment to be duly executed by their respective authorized officers as of the date first above written.</w:t>
      </w:r>
    </w:p>
    <w:p>
      <w:pPr>
        <w:pStyle w:val="TextBody"/>
        <w:bidi w:val="0"/>
        <w:spacing w:before="0" w:after="0"/>
        <w:ind w:left="0" w:right="0" w:hanging="0"/>
        <w:jc w:val="left"/>
        <w:rPr/>
      </w:pPr>
      <w:r>
        <w:rPr/>
        <w:t>​</w:t>
      </w:r>
    </w:p>
    <w:tbl>
      <w:tblPr>
        <w:tblW w:w="3694" w:type="dxa"/>
        <w:jc w:val="left"/>
        <w:tblInd w:w="0" w:type="dxa"/>
        <w:tblLayout w:type="fixed"/>
        <w:tblCellMar>
          <w:top w:w="0" w:type="dxa"/>
          <w:left w:w="0" w:type="dxa"/>
          <w:bottom w:w="0" w:type="dxa"/>
          <w:right w:w="0" w:type="dxa"/>
        </w:tblCellMar>
      </w:tblPr>
      <w:tblGrid>
        <w:gridCol w:w="124"/>
        <w:gridCol w:w="413"/>
        <w:gridCol w:w="754"/>
        <w:gridCol w:w="2403"/>
      </w:tblGrid>
      <w:tr>
        <w:trPr/>
        <w:tc>
          <w:tcPr>
            <w:tcW w:w="124" w:type="dxa"/>
            <w:tcBorders/>
            <w:vAlign w:val="center"/>
          </w:tcPr>
          <w:p>
            <w:pPr>
              <w:pStyle w:val="TableContents"/>
              <w:bidi w:val="0"/>
              <w:spacing w:before="0" w:after="0"/>
              <w:ind w:left="0" w:right="0" w:hanging="0"/>
              <w:jc w:val="both"/>
              <w:rPr/>
            </w:pPr>
            <w:r>
              <w:rPr/>
              <w:t>​</w:t>
            </w:r>
          </w:p>
        </w:tc>
        <w:tc>
          <w:tcPr>
            <w:tcW w:w="3570" w:type="dxa"/>
            <w:gridSpan w:val="3"/>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MONSTER BEVERAGE CORPORATION</w:t>
            </w:r>
          </w:p>
        </w:tc>
      </w:tr>
      <w:tr>
        <w:trPr/>
        <w:tc>
          <w:tcPr>
            <w:tcW w:w="124" w:type="dxa"/>
            <w:tcBorders/>
            <w:vAlign w:val="center"/>
          </w:tcPr>
          <w:p>
            <w:pPr>
              <w:pStyle w:val="TableContents"/>
              <w:bidi w:val="0"/>
              <w:spacing w:before="0" w:after="0"/>
              <w:ind w:left="0" w:right="0" w:hanging="0"/>
              <w:jc w:val="both"/>
              <w:rPr/>
            </w:pPr>
            <w:r>
              <w:rPr/>
              <w:t>​</w:t>
            </w:r>
          </w:p>
        </w:tc>
        <w:tc>
          <w:tcPr>
            <w:tcW w:w="3570" w:type="dxa"/>
            <w:gridSpan w:val="3"/>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41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3157" w:type="dxa"/>
            <w:gridSpan w:val="2"/>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413" w:type="dxa"/>
            <w:tcBorders/>
            <w:vAlign w:val="center"/>
          </w:tcPr>
          <w:p>
            <w:pPr>
              <w:pStyle w:val="TableContents"/>
              <w:bidi w:val="0"/>
              <w:spacing w:before="0" w:after="0"/>
              <w:ind w:left="0" w:right="0" w:hanging="0"/>
              <w:jc w:val="both"/>
              <w:rPr/>
            </w:pPr>
            <w:r>
              <w:rPr/>
              <w:t>​</w:t>
            </w:r>
          </w:p>
        </w:tc>
        <w:tc>
          <w:tcPr>
            <w:tcW w:w="3157" w:type="dxa"/>
            <w:gridSpan w:val="2"/>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 Thomas J. Kelly</w:t>
            </w:r>
          </w:p>
        </w:tc>
      </w:tr>
      <w:tr>
        <w:trPr/>
        <w:tc>
          <w:tcPr>
            <w:tcW w:w="124" w:type="dxa"/>
            <w:tcBorders/>
            <w:vAlign w:val="center"/>
          </w:tcPr>
          <w:p>
            <w:pPr>
              <w:pStyle w:val="TableContents"/>
              <w:bidi w:val="0"/>
              <w:spacing w:before="0" w:after="0"/>
              <w:ind w:left="0" w:right="0" w:hanging="0"/>
              <w:jc w:val="both"/>
              <w:rPr/>
            </w:pPr>
            <w:r>
              <w:rPr/>
              <w:t>​</w:t>
            </w:r>
          </w:p>
        </w:tc>
        <w:tc>
          <w:tcPr>
            <w:tcW w:w="413" w:type="dxa"/>
            <w:tcBorders/>
            <w:vAlign w:val="center"/>
          </w:tcPr>
          <w:p>
            <w:pPr>
              <w:pStyle w:val="TableContents"/>
              <w:bidi w:val="0"/>
              <w:spacing w:before="0" w:after="0"/>
              <w:ind w:left="0" w:right="0" w:hanging="0"/>
              <w:jc w:val="both"/>
              <w:rPr/>
            </w:pPr>
            <w:r>
              <w:rPr/>
              <w:t>​</w:t>
            </w:r>
          </w:p>
        </w:tc>
        <w:tc>
          <w:tcPr>
            <w:tcW w:w="754"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2403"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Thomas J. Kelly</w:t>
            </w:r>
          </w:p>
        </w:tc>
      </w:tr>
      <w:tr>
        <w:trPr/>
        <w:tc>
          <w:tcPr>
            <w:tcW w:w="124" w:type="dxa"/>
            <w:tcBorders/>
            <w:vAlign w:val="center"/>
          </w:tcPr>
          <w:p>
            <w:pPr>
              <w:pStyle w:val="TableContents"/>
              <w:bidi w:val="0"/>
              <w:spacing w:before="0" w:after="0"/>
              <w:ind w:left="0" w:right="0" w:hanging="0"/>
              <w:jc w:val="both"/>
              <w:rPr/>
            </w:pPr>
            <w:r>
              <w:rPr/>
              <w:t>​</w:t>
            </w:r>
          </w:p>
        </w:tc>
        <w:tc>
          <w:tcPr>
            <w:tcW w:w="413" w:type="dxa"/>
            <w:tcBorders/>
            <w:vAlign w:val="center"/>
          </w:tcPr>
          <w:p>
            <w:pPr>
              <w:pStyle w:val="TableContents"/>
              <w:bidi w:val="0"/>
              <w:spacing w:before="0" w:after="0"/>
              <w:ind w:left="0" w:right="0" w:hanging="0"/>
              <w:jc w:val="both"/>
              <w:rPr/>
            </w:pPr>
            <w:r>
              <w:rPr/>
              <w:t>​</w:t>
            </w:r>
          </w:p>
        </w:tc>
        <w:tc>
          <w:tcPr>
            <w:tcW w:w="75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240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Financial Officer</w:t>
            </w:r>
          </w:p>
        </w:tc>
      </w:tr>
      <w:tr>
        <w:trPr/>
        <w:tc>
          <w:tcPr>
            <w:tcW w:w="124" w:type="dxa"/>
            <w:tcBorders/>
            <w:vAlign w:val="center"/>
          </w:tcPr>
          <w:p>
            <w:pPr>
              <w:pStyle w:val="TableContents"/>
              <w:bidi w:val="0"/>
              <w:spacing w:before="0" w:after="0"/>
              <w:ind w:left="0" w:right="0" w:hanging="0"/>
              <w:jc w:val="both"/>
              <w:rPr/>
            </w:pPr>
            <w:r>
              <w:rPr/>
              <w:t>​</w:t>
            </w:r>
          </w:p>
        </w:tc>
        <w:tc>
          <w:tcPr>
            <w:tcW w:w="3570" w:type="dxa"/>
            <w:gridSpan w:val="3"/>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3570" w:type="dxa"/>
            <w:gridSpan w:val="3"/>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MONSTER ENERGY COMPANY</w:t>
            </w:r>
          </w:p>
        </w:tc>
      </w:tr>
      <w:tr>
        <w:trPr/>
        <w:tc>
          <w:tcPr>
            <w:tcW w:w="124" w:type="dxa"/>
            <w:tcBorders/>
            <w:vAlign w:val="center"/>
          </w:tcPr>
          <w:p>
            <w:pPr>
              <w:pStyle w:val="TableContents"/>
              <w:bidi w:val="0"/>
              <w:spacing w:before="0" w:after="0"/>
              <w:ind w:left="0" w:right="0" w:hanging="0"/>
              <w:jc w:val="both"/>
              <w:rPr/>
            </w:pPr>
            <w:r>
              <w:rPr/>
              <w:t>​</w:t>
            </w:r>
          </w:p>
        </w:tc>
        <w:tc>
          <w:tcPr>
            <w:tcW w:w="3570" w:type="dxa"/>
            <w:gridSpan w:val="3"/>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41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3157" w:type="dxa"/>
            <w:gridSpan w:val="2"/>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413" w:type="dxa"/>
            <w:tcBorders/>
            <w:vAlign w:val="center"/>
          </w:tcPr>
          <w:p>
            <w:pPr>
              <w:pStyle w:val="TableContents"/>
              <w:bidi w:val="0"/>
              <w:spacing w:before="0" w:after="0"/>
              <w:ind w:left="0" w:right="0" w:hanging="0"/>
              <w:jc w:val="both"/>
              <w:rPr/>
            </w:pPr>
            <w:r>
              <w:rPr/>
              <w:t>​</w:t>
            </w:r>
          </w:p>
        </w:tc>
        <w:tc>
          <w:tcPr>
            <w:tcW w:w="3157" w:type="dxa"/>
            <w:gridSpan w:val="2"/>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 Thomas J. Kelly</w:t>
            </w:r>
          </w:p>
        </w:tc>
      </w:tr>
      <w:tr>
        <w:trPr/>
        <w:tc>
          <w:tcPr>
            <w:tcW w:w="124" w:type="dxa"/>
            <w:tcBorders/>
            <w:vAlign w:val="center"/>
          </w:tcPr>
          <w:p>
            <w:pPr>
              <w:pStyle w:val="TableContents"/>
              <w:bidi w:val="0"/>
              <w:spacing w:before="0" w:after="0"/>
              <w:ind w:left="0" w:right="0" w:hanging="0"/>
              <w:jc w:val="both"/>
              <w:rPr/>
            </w:pPr>
            <w:r>
              <w:rPr/>
              <w:t>​</w:t>
            </w:r>
          </w:p>
        </w:tc>
        <w:tc>
          <w:tcPr>
            <w:tcW w:w="413" w:type="dxa"/>
            <w:tcBorders/>
            <w:vAlign w:val="center"/>
          </w:tcPr>
          <w:p>
            <w:pPr>
              <w:pStyle w:val="TableContents"/>
              <w:bidi w:val="0"/>
              <w:spacing w:before="0" w:after="0"/>
              <w:ind w:left="0" w:right="0" w:hanging="0"/>
              <w:jc w:val="both"/>
              <w:rPr/>
            </w:pPr>
            <w:r>
              <w:rPr/>
              <w:t>​</w:t>
            </w:r>
          </w:p>
        </w:tc>
        <w:tc>
          <w:tcPr>
            <w:tcW w:w="754"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2403"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Thomas J. Kelly</w:t>
            </w:r>
          </w:p>
        </w:tc>
      </w:tr>
      <w:tr>
        <w:trPr/>
        <w:tc>
          <w:tcPr>
            <w:tcW w:w="124" w:type="dxa"/>
            <w:tcBorders/>
            <w:vAlign w:val="center"/>
          </w:tcPr>
          <w:p>
            <w:pPr>
              <w:pStyle w:val="TableContents"/>
              <w:bidi w:val="0"/>
              <w:spacing w:before="0" w:after="0"/>
              <w:ind w:left="0" w:right="0" w:hanging="0"/>
              <w:jc w:val="both"/>
              <w:rPr/>
            </w:pPr>
            <w:r>
              <w:rPr/>
              <w:t>​</w:t>
            </w:r>
          </w:p>
        </w:tc>
        <w:tc>
          <w:tcPr>
            <w:tcW w:w="413" w:type="dxa"/>
            <w:tcBorders/>
            <w:vAlign w:val="center"/>
          </w:tcPr>
          <w:p>
            <w:pPr>
              <w:pStyle w:val="TableContents"/>
              <w:bidi w:val="0"/>
              <w:spacing w:before="0" w:after="0"/>
              <w:ind w:left="0" w:right="0" w:hanging="0"/>
              <w:jc w:val="both"/>
              <w:rPr/>
            </w:pPr>
            <w:r>
              <w:rPr/>
              <w:t>​</w:t>
            </w:r>
          </w:p>
        </w:tc>
        <w:tc>
          <w:tcPr>
            <w:tcW w:w="75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240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Financial Officer</w:t>
            </w:r>
          </w:p>
        </w:tc>
      </w:tr>
      <w:tr>
        <w:trPr/>
        <w:tc>
          <w:tcPr>
            <w:tcW w:w="124" w:type="dxa"/>
            <w:tcBorders/>
            <w:vAlign w:val="center"/>
          </w:tcPr>
          <w:p>
            <w:pPr>
              <w:pStyle w:val="TableContents"/>
              <w:bidi w:val="0"/>
              <w:spacing w:before="0" w:after="0"/>
              <w:ind w:left="0" w:right="0" w:hanging="0"/>
              <w:jc w:val="both"/>
              <w:rPr/>
            </w:pPr>
            <w:r>
              <w:rPr/>
              <w:t>​</w:t>
            </w:r>
          </w:p>
        </w:tc>
        <w:tc>
          <w:tcPr>
            <w:tcW w:w="3570" w:type="dxa"/>
            <w:gridSpan w:val="3"/>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3570" w:type="dxa"/>
            <w:gridSpan w:val="3"/>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MONSTER ENERGY US LLC</w:t>
            </w:r>
          </w:p>
        </w:tc>
      </w:tr>
      <w:tr>
        <w:trPr/>
        <w:tc>
          <w:tcPr>
            <w:tcW w:w="124" w:type="dxa"/>
            <w:tcBorders/>
            <w:vAlign w:val="center"/>
          </w:tcPr>
          <w:p>
            <w:pPr>
              <w:pStyle w:val="TableContents"/>
              <w:bidi w:val="0"/>
              <w:spacing w:before="0" w:after="0"/>
              <w:ind w:left="0" w:right="0" w:hanging="0"/>
              <w:jc w:val="both"/>
              <w:rPr/>
            </w:pPr>
            <w:r>
              <w:rPr/>
              <w:t>​</w:t>
            </w:r>
          </w:p>
        </w:tc>
        <w:tc>
          <w:tcPr>
            <w:tcW w:w="3570" w:type="dxa"/>
            <w:gridSpan w:val="3"/>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41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3157" w:type="dxa"/>
            <w:gridSpan w:val="2"/>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413" w:type="dxa"/>
            <w:tcBorders/>
            <w:vAlign w:val="center"/>
          </w:tcPr>
          <w:p>
            <w:pPr>
              <w:pStyle w:val="TableContents"/>
              <w:bidi w:val="0"/>
              <w:spacing w:before="0" w:after="0"/>
              <w:ind w:left="0" w:right="0" w:hanging="0"/>
              <w:jc w:val="both"/>
              <w:rPr/>
            </w:pPr>
            <w:r>
              <w:rPr/>
              <w:t>​</w:t>
            </w:r>
          </w:p>
        </w:tc>
        <w:tc>
          <w:tcPr>
            <w:tcW w:w="3157" w:type="dxa"/>
            <w:gridSpan w:val="2"/>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 Thomas J. Kelly</w:t>
            </w:r>
          </w:p>
        </w:tc>
      </w:tr>
      <w:tr>
        <w:trPr/>
        <w:tc>
          <w:tcPr>
            <w:tcW w:w="124" w:type="dxa"/>
            <w:tcBorders/>
            <w:vAlign w:val="center"/>
          </w:tcPr>
          <w:p>
            <w:pPr>
              <w:pStyle w:val="TableContents"/>
              <w:bidi w:val="0"/>
              <w:spacing w:before="0" w:after="0"/>
              <w:ind w:left="0" w:right="0" w:hanging="0"/>
              <w:jc w:val="both"/>
              <w:rPr/>
            </w:pPr>
            <w:r>
              <w:rPr/>
              <w:t>​</w:t>
            </w:r>
          </w:p>
        </w:tc>
        <w:tc>
          <w:tcPr>
            <w:tcW w:w="413" w:type="dxa"/>
            <w:tcBorders/>
            <w:vAlign w:val="center"/>
          </w:tcPr>
          <w:p>
            <w:pPr>
              <w:pStyle w:val="TableContents"/>
              <w:bidi w:val="0"/>
              <w:spacing w:before="0" w:after="0"/>
              <w:ind w:left="0" w:right="0" w:hanging="0"/>
              <w:jc w:val="both"/>
              <w:rPr/>
            </w:pPr>
            <w:r>
              <w:rPr/>
              <w:t>​</w:t>
            </w:r>
          </w:p>
        </w:tc>
        <w:tc>
          <w:tcPr>
            <w:tcW w:w="754"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2403"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Thomas J. Kelly</w:t>
            </w:r>
          </w:p>
        </w:tc>
      </w:tr>
      <w:tr>
        <w:trPr/>
        <w:tc>
          <w:tcPr>
            <w:tcW w:w="124" w:type="dxa"/>
            <w:tcBorders/>
            <w:vAlign w:val="center"/>
          </w:tcPr>
          <w:p>
            <w:pPr>
              <w:pStyle w:val="TableContents"/>
              <w:bidi w:val="0"/>
              <w:spacing w:before="0" w:after="0"/>
              <w:ind w:left="0" w:right="0" w:hanging="0"/>
              <w:jc w:val="both"/>
              <w:rPr/>
            </w:pPr>
            <w:r>
              <w:rPr/>
              <w:t>​</w:t>
            </w:r>
          </w:p>
        </w:tc>
        <w:tc>
          <w:tcPr>
            <w:tcW w:w="413" w:type="dxa"/>
            <w:tcBorders/>
            <w:vAlign w:val="center"/>
          </w:tcPr>
          <w:p>
            <w:pPr>
              <w:pStyle w:val="TableContents"/>
              <w:bidi w:val="0"/>
              <w:spacing w:before="0" w:after="0"/>
              <w:ind w:left="0" w:right="0" w:hanging="0"/>
              <w:jc w:val="both"/>
              <w:rPr/>
            </w:pPr>
            <w:r>
              <w:rPr/>
              <w:t>​</w:t>
            </w:r>
          </w:p>
        </w:tc>
        <w:tc>
          <w:tcPr>
            <w:tcW w:w="75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240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to Amendment No. 1 to Credit Agreement</w:t>
      </w:r>
      <w:r>
        <w:rPr>
          <w:rFonts w:ascii="Times New Roman;Times;serif" w:hAnsi="Times New Roman;Times;serif"/>
          <w:sz w:val="20"/>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3980" w:type="dxa"/>
        <w:jc w:val="left"/>
        <w:tblInd w:w="0" w:type="dxa"/>
        <w:tblLayout w:type="fixed"/>
        <w:tblCellMar>
          <w:top w:w="0" w:type="dxa"/>
          <w:left w:w="0" w:type="dxa"/>
          <w:bottom w:w="0" w:type="dxa"/>
          <w:right w:w="0" w:type="dxa"/>
        </w:tblCellMar>
      </w:tblPr>
      <w:tblGrid>
        <w:gridCol w:w="124"/>
        <w:gridCol w:w="3856"/>
      </w:tblGrid>
      <w:tr>
        <w:trPr/>
        <w:tc>
          <w:tcPr>
            <w:tcW w:w="124" w:type="dxa"/>
            <w:tcBorders/>
            <w:vAlign w:val="center"/>
          </w:tcPr>
          <w:p>
            <w:pPr>
              <w:pStyle w:val="TableContents"/>
              <w:bidi w:val="0"/>
              <w:spacing w:before="0" w:after="0"/>
              <w:ind w:left="0" w:right="0" w:hanging="0"/>
              <w:jc w:val="left"/>
              <w:rPr/>
            </w:pPr>
            <w:r>
              <w:rPr/>
              <w:t>​</w:t>
            </w:r>
          </w:p>
        </w:tc>
        <w:tc>
          <w:tcPr>
            <w:tcW w:w="385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385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LENDER SIGNATURE PAGE TO</w:t>
            </w:r>
          </w:p>
        </w:tc>
      </w:tr>
      <w:tr>
        <w:trPr/>
        <w:tc>
          <w:tcPr>
            <w:tcW w:w="124" w:type="dxa"/>
            <w:tcBorders/>
            <w:vAlign w:val="center"/>
          </w:tcPr>
          <w:p>
            <w:pPr>
              <w:pStyle w:val="TableContents"/>
              <w:bidi w:val="0"/>
              <w:spacing w:before="0" w:after="0"/>
              <w:ind w:left="0" w:right="0" w:hanging="0"/>
              <w:jc w:val="both"/>
              <w:rPr/>
            </w:pPr>
            <w:r>
              <w:rPr/>
              <w:t>​</w:t>
            </w:r>
          </w:p>
        </w:tc>
        <w:tc>
          <w:tcPr>
            <w:tcW w:w="385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AMENDMENT NO. 1 TO</w:t>
            </w:r>
          </w:p>
        </w:tc>
      </w:tr>
      <w:tr>
        <w:trPr/>
        <w:tc>
          <w:tcPr>
            <w:tcW w:w="124" w:type="dxa"/>
            <w:tcBorders/>
            <w:vAlign w:val="center"/>
          </w:tcPr>
          <w:p>
            <w:pPr>
              <w:pStyle w:val="TableContents"/>
              <w:bidi w:val="0"/>
              <w:spacing w:before="0" w:after="0"/>
              <w:ind w:left="0" w:right="0" w:hanging="0"/>
              <w:jc w:val="both"/>
              <w:rPr/>
            </w:pPr>
            <w:r>
              <w:rPr/>
              <w:t>​</w:t>
            </w:r>
          </w:p>
        </w:tc>
        <w:tc>
          <w:tcPr>
            <w:tcW w:w="385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THE CREDIT AGREEMENT</w:t>
            </w:r>
          </w:p>
        </w:tc>
      </w:tr>
      <w:tr>
        <w:trPr/>
        <w:tc>
          <w:tcPr>
            <w:tcW w:w="124" w:type="dxa"/>
            <w:tcBorders/>
            <w:vAlign w:val="center"/>
          </w:tcPr>
          <w:p>
            <w:pPr>
              <w:pStyle w:val="TableContents"/>
              <w:bidi w:val="0"/>
              <w:spacing w:before="0" w:after="0"/>
              <w:ind w:left="0" w:right="0" w:hanging="0"/>
              <w:jc w:val="both"/>
              <w:rPr/>
            </w:pPr>
            <w:r>
              <w:rPr/>
              <w:t>​</w:t>
            </w:r>
          </w:p>
        </w:tc>
        <w:tc>
          <w:tcPr>
            <w:tcW w:w="385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OF MONSTER BEVERAGE CORPORATION</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9694" w:type="dxa"/>
        <w:jc w:val="left"/>
        <w:tblInd w:w="0" w:type="dxa"/>
        <w:tblLayout w:type="fixed"/>
        <w:tblCellMar>
          <w:top w:w="0" w:type="dxa"/>
          <w:left w:w="0" w:type="dxa"/>
          <w:bottom w:w="0" w:type="dxa"/>
          <w:right w:w="0" w:type="dxa"/>
        </w:tblCellMar>
      </w:tblPr>
      <w:tblGrid>
        <w:gridCol w:w="124"/>
        <w:gridCol w:w="1038"/>
        <w:gridCol w:w="2073"/>
        <w:gridCol w:w="6459"/>
      </w:tblGrid>
      <w:tr>
        <w:trPr/>
        <w:tc>
          <w:tcPr>
            <w:tcW w:w="124" w:type="dxa"/>
            <w:tcBorders/>
            <w:vAlign w:val="center"/>
          </w:tcPr>
          <w:p>
            <w:pPr>
              <w:pStyle w:val="TableContents"/>
              <w:bidi w:val="0"/>
              <w:spacing w:before="0" w:after="0"/>
              <w:ind w:left="0" w:right="0" w:hanging="0"/>
              <w:jc w:val="left"/>
              <w:rPr/>
            </w:pPr>
            <w:r>
              <w:rPr/>
              <w:t>​</w:t>
            </w:r>
          </w:p>
        </w:tc>
        <w:tc>
          <w:tcPr>
            <w:tcW w:w="1038" w:type="dxa"/>
            <w:tcBorders/>
            <w:vAlign w:val="center"/>
          </w:tcPr>
          <w:p>
            <w:pPr>
              <w:pStyle w:val="TableContents"/>
              <w:bidi w:val="0"/>
              <w:spacing w:before="0" w:after="0"/>
              <w:ind w:left="0" w:right="0" w:hanging="0"/>
              <w:jc w:val="left"/>
              <w:rPr/>
            </w:pPr>
            <w:r>
              <w:rPr/>
              <w:t>​</w:t>
            </w:r>
          </w:p>
        </w:tc>
        <w:tc>
          <w:tcPr>
            <w:tcW w:w="2073" w:type="dxa"/>
            <w:tcBorders/>
            <w:vAlign w:val="center"/>
          </w:tcPr>
          <w:p>
            <w:pPr>
              <w:pStyle w:val="TableContents"/>
              <w:bidi w:val="0"/>
              <w:spacing w:before="0" w:after="0"/>
              <w:ind w:left="0" w:right="0" w:hanging="0"/>
              <w:jc w:val="left"/>
              <w:rPr/>
            </w:pPr>
            <w:r>
              <w:rPr/>
              <w:t>​</w:t>
            </w:r>
          </w:p>
        </w:tc>
        <w:tc>
          <w:tcPr>
            <w:tcW w:w="6459"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9570" w:type="dxa"/>
            <w:gridSpan w:val="3"/>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caps/>
                <w:sz w:val="20"/>
              </w:rPr>
              <w:t xml:space="preserve">JPMORGAN CHASE BANK, N.A., </w:t>
            </w:r>
            <w:r>
              <w:rPr>
                <w:rFonts w:ascii="Times New Roman;Times;serif" w:hAnsi="Times New Roman;Times;serif"/>
                <w:sz w:val="20"/>
              </w:rPr>
              <w:t>as the Administrative Agent, a Lender, an Issuing Bank and the Swingline Lender</w:t>
            </w:r>
          </w:p>
        </w:tc>
      </w:tr>
      <w:tr>
        <w:trPr/>
        <w:tc>
          <w:tcPr>
            <w:tcW w:w="124" w:type="dxa"/>
            <w:tcBorders/>
            <w:vAlign w:val="center"/>
          </w:tcPr>
          <w:p>
            <w:pPr>
              <w:pStyle w:val="TableContents"/>
              <w:bidi w:val="0"/>
              <w:spacing w:before="0" w:after="0"/>
              <w:ind w:left="0" w:right="0" w:hanging="0"/>
              <w:jc w:val="both"/>
              <w:rPr/>
            </w:pPr>
            <w:r>
              <w:rPr/>
              <w:t>​</w:t>
            </w:r>
          </w:p>
        </w:tc>
        <w:tc>
          <w:tcPr>
            <w:tcW w:w="9570" w:type="dxa"/>
            <w:gridSpan w:val="3"/>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103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8532" w:type="dxa"/>
            <w:gridSpan w:val="2"/>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1038" w:type="dxa"/>
            <w:tcBorders/>
            <w:vAlign w:val="center"/>
          </w:tcPr>
          <w:p>
            <w:pPr>
              <w:pStyle w:val="TableContents"/>
              <w:bidi w:val="0"/>
              <w:spacing w:before="0" w:after="0"/>
              <w:ind w:left="0" w:right="0" w:hanging="0"/>
              <w:jc w:val="both"/>
              <w:rPr/>
            </w:pPr>
            <w:r>
              <w:rPr/>
              <w:t>​</w:t>
            </w:r>
          </w:p>
        </w:tc>
        <w:tc>
          <w:tcPr>
            <w:tcW w:w="8532" w:type="dxa"/>
            <w:gridSpan w:val="2"/>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 James Kyle O’Donnell</w:t>
            </w:r>
          </w:p>
        </w:tc>
      </w:tr>
      <w:tr>
        <w:trPr/>
        <w:tc>
          <w:tcPr>
            <w:tcW w:w="124" w:type="dxa"/>
            <w:tcBorders/>
            <w:vAlign w:val="center"/>
          </w:tcPr>
          <w:p>
            <w:pPr>
              <w:pStyle w:val="TableContents"/>
              <w:bidi w:val="0"/>
              <w:spacing w:before="0" w:after="0"/>
              <w:ind w:left="0" w:right="0" w:hanging="0"/>
              <w:jc w:val="both"/>
              <w:rPr/>
            </w:pPr>
            <w:r>
              <w:rPr/>
              <w:t>​</w:t>
            </w:r>
          </w:p>
        </w:tc>
        <w:tc>
          <w:tcPr>
            <w:tcW w:w="1038" w:type="dxa"/>
            <w:tcBorders/>
            <w:vAlign w:val="center"/>
          </w:tcPr>
          <w:p>
            <w:pPr>
              <w:pStyle w:val="TableContents"/>
              <w:bidi w:val="0"/>
              <w:spacing w:before="0" w:after="0"/>
              <w:ind w:left="0" w:right="0" w:hanging="0"/>
              <w:jc w:val="both"/>
              <w:rPr/>
            </w:pPr>
            <w:r>
              <w:rPr/>
              <w:t>​</w:t>
            </w:r>
          </w:p>
        </w:tc>
        <w:tc>
          <w:tcPr>
            <w:tcW w:w="2073"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6459"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James Kyle O’Donnell</w:t>
            </w:r>
          </w:p>
        </w:tc>
      </w:tr>
      <w:tr>
        <w:trPr/>
        <w:tc>
          <w:tcPr>
            <w:tcW w:w="124" w:type="dxa"/>
            <w:tcBorders/>
            <w:vAlign w:val="center"/>
          </w:tcPr>
          <w:p>
            <w:pPr>
              <w:pStyle w:val="TableContents"/>
              <w:bidi w:val="0"/>
              <w:spacing w:before="0" w:after="0"/>
              <w:ind w:left="0" w:right="0" w:hanging="0"/>
              <w:jc w:val="both"/>
              <w:rPr/>
            </w:pPr>
            <w:r>
              <w:rPr/>
              <w:t>​</w:t>
            </w:r>
          </w:p>
        </w:tc>
        <w:tc>
          <w:tcPr>
            <w:tcW w:w="1038" w:type="dxa"/>
            <w:tcBorders/>
            <w:vAlign w:val="center"/>
          </w:tcPr>
          <w:p>
            <w:pPr>
              <w:pStyle w:val="TableContents"/>
              <w:bidi w:val="0"/>
              <w:spacing w:before="0" w:after="0"/>
              <w:ind w:left="0" w:right="0" w:hanging="0"/>
              <w:jc w:val="both"/>
              <w:rPr/>
            </w:pPr>
            <w:r>
              <w:rPr/>
              <w:t>​</w:t>
            </w:r>
          </w:p>
        </w:tc>
        <w:tc>
          <w:tcPr>
            <w:tcW w:w="207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645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Vice President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980" w:type="dxa"/>
        <w:jc w:val="left"/>
        <w:tblInd w:w="0" w:type="dxa"/>
        <w:tblLayout w:type="fixed"/>
        <w:tblCellMar>
          <w:top w:w="0" w:type="dxa"/>
          <w:left w:w="0" w:type="dxa"/>
          <w:bottom w:w="0" w:type="dxa"/>
          <w:right w:w="0" w:type="dxa"/>
        </w:tblCellMar>
      </w:tblPr>
      <w:tblGrid>
        <w:gridCol w:w="124"/>
        <w:gridCol w:w="3856"/>
      </w:tblGrid>
      <w:tr>
        <w:trPr/>
        <w:tc>
          <w:tcPr>
            <w:tcW w:w="124" w:type="dxa"/>
            <w:tcBorders/>
            <w:vAlign w:val="center"/>
          </w:tcPr>
          <w:p>
            <w:pPr>
              <w:pStyle w:val="TableContents"/>
              <w:bidi w:val="0"/>
              <w:spacing w:before="0" w:after="0"/>
              <w:ind w:left="0" w:right="0" w:hanging="0"/>
              <w:jc w:val="left"/>
              <w:rPr/>
            </w:pPr>
            <w:r>
              <w:rPr/>
              <w:t>​</w:t>
            </w:r>
          </w:p>
        </w:tc>
        <w:tc>
          <w:tcPr>
            <w:tcW w:w="385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385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LENDER SIGNATURE PAGE TO</w:t>
            </w:r>
          </w:p>
        </w:tc>
      </w:tr>
      <w:tr>
        <w:trPr/>
        <w:tc>
          <w:tcPr>
            <w:tcW w:w="124" w:type="dxa"/>
            <w:tcBorders/>
            <w:vAlign w:val="center"/>
          </w:tcPr>
          <w:p>
            <w:pPr>
              <w:pStyle w:val="TableContents"/>
              <w:bidi w:val="0"/>
              <w:spacing w:before="0" w:after="0"/>
              <w:ind w:left="0" w:right="0" w:hanging="0"/>
              <w:jc w:val="both"/>
              <w:rPr/>
            </w:pPr>
            <w:r>
              <w:rPr/>
              <w:t>​</w:t>
            </w:r>
          </w:p>
        </w:tc>
        <w:tc>
          <w:tcPr>
            <w:tcW w:w="385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AMENDMENT NO. 1 TO</w:t>
            </w:r>
          </w:p>
        </w:tc>
      </w:tr>
      <w:tr>
        <w:trPr/>
        <w:tc>
          <w:tcPr>
            <w:tcW w:w="124" w:type="dxa"/>
            <w:tcBorders/>
            <w:vAlign w:val="center"/>
          </w:tcPr>
          <w:p>
            <w:pPr>
              <w:pStyle w:val="TableContents"/>
              <w:bidi w:val="0"/>
              <w:spacing w:before="0" w:after="0"/>
              <w:ind w:left="0" w:right="0" w:hanging="0"/>
              <w:jc w:val="both"/>
              <w:rPr/>
            </w:pPr>
            <w:r>
              <w:rPr/>
              <w:t>​</w:t>
            </w:r>
          </w:p>
        </w:tc>
        <w:tc>
          <w:tcPr>
            <w:tcW w:w="385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THE CREDIT AGREEMENT</w:t>
            </w:r>
          </w:p>
        </w:tc>
      </w:tr>
      <w:tr>
        <w:trPr/>
        <w:tc>
          <w:tcPr>
            <w:tcW w:w="124" w:type="dxa"/>
            <w:tcBorders/>
            <w:vAlign w:val="center"/>
          </w:tcPr>
          <w:p>
            <w:pPr>
              <w:pStyle w:val="TableContents"/>
              <w:bidi w:val="0"/>
              <w:spacing w:before="0" w:after="0"/>
              <w:ind w:left="0" w:right="0" w:hanging="0"/>
              <w:jc w:val="both"/>
              <w:rPr/>
            </w:pPr>
            <w:r>
              <w:rPr/>
              <w:t>​</w:t>
            </w:r>
          </w:p>
        </w:tc>
        <w:tc>
          <w:tcPr>
            <w:tcW w:w="385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OF MONSTER BEVERAGE CORPORATION</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7372" w:type="dxa"/>
        <w:jc w:val="left"/>
        <w:tblInd w:w="0" w:type="dxa"/>
        <w:tblLayout w:type="fixed"/>
        <w:tblCellMar>
          <w:top w:w="0" w:type="dxa"/>
          <w:left w:w="0" w:type="dxa"/>
          <w:bottom w:w="0" w:type="dxa"/>
          <w:right w:w="0" w:type="dxa"/>
        </w:tblCellMar>
      </w:tblPr>
      <w:tblGrid>
        <w:gridCol w:w="124"/>
        <w:gridCol w:w="888"/>
        <w:gridCol w:w="1774"/>
        <w:gridCol w:w="4432"/>
        <w:gridCol w:w="154"/>
      </w:tblGrid>
      <w:tr>
        <w:trPr/>
        <w:tc>
          <w:tcPr>
            <w:tcW w:w="124" w:type="dxa"/>
            <w:tcBorders/>
            <w:vAlign w:val="center"/>
          </w:tcPr>
          <w:p>
            <w:pPr>
              <w:pStyle w:val="TableContents"/>
              <w:bidi w:val="0"/>
              <w:spacing w:before="0" w:after="0"/>
              <w:ind w:left="0" w:right="0" w:hanging="0"/>
              <w:jc w:val="both"/>
              <w:rPr/>
            </w:pPr>
            <w:r>
              <w:rPr/>
              <w:t>​</w:t>
            </w:r>
          </w:p>
        </w:tc>
        <w:tc>
          <w:tcPr>
            <w:tcW w:w="7094" w:type="dxa"/>
            <w:gridSpan w:val="3"/>
            <w:vMerge w:val="restart"/>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Bank of America, N.A. executing both in its capacity as a Lender and an Issuing Bank:</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both"/>
              <w:rPr/>
            </w:pPr>
            <w:r>
              <w:rPr/>
              <w:t>​</w:t>
            </w:r>
          </w:p>
        </w:tc>
        <w:tc>
          <w:tcPr>
            <w:tcW w:w="7094" w:type="dxa"/>
            <w:gridSpan w:val="3"/>
            <w:vMerge w:val="continue"/>
            <w:tcBorders/>
            <w:vAlign w:val="center"/>
          </w:tcPr>
          <w:p>
            <w:pPr>
              <w:pStyle w:val="Normal"/>
              <w:bidi w:val="0"/>
              <w:jc w:val="left"/>
              <w:rPr/>
            </w:pPr>
            <w:r>
              <w:rPr/>
            </w:r>
          </w:p>
        </w:tc>
        <w:tc>
          <w:tcPr>
            <w:tcW w:w="154"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7094" w:type="dxa"/>
            <w:gridSpan w:val="3"/>
            <w:tcBorders/>
            <w:vAlign w:val="center"/>
          </w:tcPr>
          <w:p>
            <w:pPr>
              <w:pStyle w:val="TableContents"/>
              <w:bidi w:val="0"/>
              <w:spacing w:before="0" w:after="0"/>
              <w:ind w:left="0" w:right="0" w:hanging="0"/>
              <w:jc w:val="both"/>
              <w:rPr/>
            </w:pPr>
            <w:r>
              <w:rPr/>
              <w:t>​</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both"/>
              <w:rPr/>
            </w:pPr>
            <w:r>
              <w:rPr/>
              <w:t>​</w:t>
            </w:r>
          </w:p>
        </w:tc>
        <w:tc>
          <w:tcPr>
            <w:tcW w:w="88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6206" w:type="dxa"/>
            <w:gridSpan w:val="2"/>
            <w:tcBorders/>
            <w:vAlign w:val="center"/>
          </w:tcPr>
          <w:p>
            <w:pPr>
              <w:pStyle w:val="TableContents"/>
              <w:bidi w:val="0"/>
              <w:spacing w:before="0" w:after="0"/>
              <w:ind w:left="0" w:right="0" w:hanging="0"/>
              <w:jc w:val="both"/>
              <w:rPr/>
            </w:pPr>
            <w:r>
              <w:rPr/>
              <w:t>​</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both"/>
              <w:rPr/>
            </w:pPr>
            <w:r>
              <w:rPr/>
              <w:t>​</w:t>
            </w:r>
          </w:p>
        </w:tc>
        <w:tc>
          <w:tcPr>
            <w:tcW w:w="888" w:type="dxa"/>
            <w:tcBorders/>
            <w:vAlign w:val="center"/>
          </w:tcPr>
          <w:p>
            <w:pPr>
              <w:pStyle w:val="TableContents"/>
              <w:bidi w:val="0"/>
              <w:spacing w:before="0" w:after="0"/>
              <w:ind w:left="0" w:right="0" w:hanging="0"/>
              <w:jc w:val="both"/>
              <w:rPr/>
            </w:pPr>
            <w:r>
              <w:rPr/>
              <w:t>​</w:t>
            </w:r>
          </w:p>
        </w:tc>
        <w:tc>
          <w:tcPr>
            <w:tcW w:w="6206" w:type="dxa"/>
            <w:gridSpan w:val="2"/>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 Ryan Van Stedum</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both"/>
              <w:rPr/>
            </w:pPr>
            <w:r>
              <w:rPr/>
              <w:t>​</w:t>
            </w:r>
          </w:p>
        </w:tc>
        <w:tc>
          <w:tcPr>
            <w:tcW w:w="888" w:type="dxa"/>
            <w:tcBorders/>
            <w:vAlign w:val="center"/>
          </w:tcPr>
          <w:p>
            <w:pPr>
              <w:pStyle w:val="TableContents"/>
              <w:bidi w:val="0"/>
              <w:spacing w:before="0" w:after="0"/>
              <w:ind w:left="0" w:right="0" w:hanging="0"/>
              <w:jc w:val="both"/>
              <w:rPr/>
            </w:pPr>
            <w:r>
              <w:rPr/>
              <w:t>​</w:t>
            </w:r>
          </w:p>
        </w:tc>
        <w:tc>
          <w:tcPr>
            <w:tcW w:w="1774"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4432"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Ryan Van Stedum</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both"/>
              <w:rPr/>
            </w:pPr>
            <w:r>
              <w:rPr/>
              <w:t>​</w:t>
            </w:r>
          </w:p>
        </w:tc>
        <w:tc>
          <w:tcPr>
            <w:tcW w:w="888" w:type="dxa"/>
            <w:tcBorders/>
            <w:vAlign w:val="center"/>
          </w:tcPr>
          <w:p>
            <w:pPr>
              <w:pStyle w:val="TableContents"/>
              <w:bidi w:val="0"/>
              <w:spacing w:before="0" w:after="0"/>
              <w:ind w:left="0" w:right="0" w:hanging="0"/>
              <w:jc w:val="both"/>
              <w:rPr/>
            </w:pPr>
            <w:r>
              <w:rPr/>
              <w:t>​</w:t>
            </w:r>
          </w:p>
        </w:tc>
        <w:tc>
          <w:tcPr>
            <w:tcW w:w="177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443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Vice President</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3980" w:type="dxa"/>
        <w:jc w:val="left"/>
        <w:tblInd w:w="0" w:type="dxa"/>
        <w:tblLayout w:type="fixed"/>
        <w:tblCellMar>
          <w:top w:w="0" w:type="dxa"/>
          <w:left w:w="0" w:type="dxa"/>
          <w:bottom w:w="0" w:type="dxa"/>
          <w:right w:w="0" w:type="dxa"/>
        </w:tblCellMar>
      </w:tblPr>
      <w:tblGrid>
        <w:gridCol w:w="124"/>
        <w:gridCol w:w="3856"/>
      </w:tblGrid>
      <w:tr>
        <w:trPr/>
        <w:tc>
          <w:tcPr>
            <w:tcW w:w="124" w:type="dxa"/>
            <w:tcBorders/>
            <w:vAlign w:val="center"/>
          </w:tcPr>
          <w:p>
            <w:pPr>
              <w:pStyle w:val="TableContents"/>
              <w:bidi w:val="0"/>
              <w:spacing w:before="0" w:after="0"/>
              <w:ind w:left="0" w:right="0" w:hanging="0"/>
              <w:jc w:val="left"/>
              <w:rPr/>
            </w:pPr>
            <w:r>
              <w:rPr/>
              <w:t>​</w:t>
            </w:r>
          </w:p>
        </w:tc>
        <w:tc>
          <w:tcPr>
            <w:tcW w:w="385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385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LENDER SIGNATURE PAGE TO</w:t>
            </w:r>
          </w:p>
        </w:tc>
      </w:tr>
      <w:tr>
        <w:trPr/>
        <w:tc>
          <w:tcPr>
            <w:tcW w:w="124" w:type="dxa"/>
            <w:tcBorders/>
            <w:vAlign w:val="center"/>
          </w:tcPr>
          <w:p>
            <w:pPr>
              <w:pStyle w:val="TableContents"/>
              <w:bidi w:val="0"/>
              <w:spacing w:before="0" w:after="0"/>
              <w:ind w:left="0" w:right="0" w:hanging="0"/>
              <w:jc w:val="both"/>
              <w:rPr/>
            </w:pPr>
            <w:r>
              <w:rPr/>
              <w:t>​</w:t>
            </w:r>
          </w:p>
        </w:tc>
        <w:tc>
          <w:tcPr>
            <w:tcW w:w="385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AMENDMENT NO. 1 TO</w:t>
            </w:r>
          </w:p>
        </w:tc>
      </w:tr>
      <w:tr>
        <w:trPr/>
        <w:tc>
          <w:tcPr>
            <w:tcW w:w="124" w:type="dxa"/>
            <w:tcBorders/>
            <w:vAlign w:val="center"/>
          </w:tcPr>
          <w:p>
            <w:pPr>
              <w:pStyle w:val="TableContents"/>
              <w:bidi w:val="0"/>
              <w:spacing w:before="0" w:after="0"/>
              <w:ind w:left="0" w:right="0" w:hanging="0"/>
              <w:jc w:val="both"/>
              <w:rPr/>
            </w:pPr>
            <w:r>
              <w:rPr/>
              <w:t>​</w:t>
            </w:r>
          </w:p>
        </w:tc>
        <w:tc>
          <w:tcPr>
            <w:tcW w:w="385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THE CREDIT AGREEMENT</w:t>
            </w:r>
          </w:p>
        </w:tc>
      </w:tr>
      <w:tr>
        <w:trPr/>
        <w:tc>
          <w:tcPr>
            <w:tcW w:w="124" w:type="dxa"/>
            <w:tcBorders/>
            <w:vAlign w:val="center"/>
          </w:tcPr>
          <w:p>
            <w:pPr>
              <w:pStyle w:val="TableContents"/>
              <w:bidi w:val="0"/>
              <w:spacing w:before="0" w:after="0"/>
              <w:ind w:left="0" w:right="0" w:hanging="0"/>
              <w:jc w:val="both"/>
              <w:rPr/>
            </w:pPr>
            <w:r>
              <w:rPr/>
              <w:t>​</w:t>
            </w:r>
          </w:p>
        </w:tc>
        <w:tc>
          <w:tcPr>
            <w:tcW w:w="385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OF MONSTER BEVERAGE CORPORATION</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4399" w:type="dxa"/>
        <w:jc w:val="left"/>
        <w:tblInd w:w="0" w:type="dxa"/>
        <w:tblLayout w:type="fixed"/>
        <w:tblCellMar>
          <w:top w:w="0" w:type="dxa"/>
          <w:left w:w="0" w:type="dxa"/>
          <w:bottom w:w="0" w:type="dxa"/>
          <w:right w:w="0" w:type="dxa"/>
        </w:tblCellMar>
      </w:tblPr>
      <w:tblGrid>
        <w:gridCol w:w="124"/>
        <w:gridCol w:w="508"/>
        <w:gridCol w:w="1015"/>
        <w:gridCol w:w="2752"/>
      </w:tblGrid>
      <w:tr>
        <w:trPr/>
        <w:tc>
          <w:tcPr>
            <w:tcW w:w="124" w:type="dxa"/>
            <w:tcBorders/>
            <w:vAlign w:val="center"/>
          </w:tcPr>
          <w:p>
            <w:pPr>
              <w:pStyle w:val="TableContents"/>
              <w:bidi w:val="0"/>
              <w:spacing w:before="0" w:after="0"/>
              <w:ind w:left="0" w:right="0" w:hanging="0"/>
              <w:jc w:val="left"/>
              <w:rPr/>
            </w:pPr>
            <w:r>
              <w:rPr/>
              <w:t>​</w:t>
            </w:r>
          </w:p>
        </w:tc>
        <w:tc>
          <w:tcPr>
            <w:tcW w:w="508" w:type="dxa"/>
            <w:tcBorders/>
            <w:vAlign w:val="center"/>
          </w:tcPr>
          <w:p>
            <w:pPr>
              <w:pStyle w:val="TableContents"/>
              <w:bidi w:val="0"/>
              <w:spacing w:before="0" w:after="0"/>
              <w:ind w:left="0" w:right="0" w:hanging="0"/>
              <w:jc w:val="left"/>
              <w:rPr/>
            </w:pPr>
            <w:r>
              <w:rPr/>
              <w:t>​</w:t>
            </w:r>
          </w:p>
        </w:tc>
        <w:tc>
          <w:tcPr>
            <w:tcW w:w="1015" w:type="dxa"/>
            <w:tcBorders/>
            <w:vAlign w:val="center"/>
          </w:tcPr>
          <w:p>
            <w:pPr>
              <w:pStyle w:val="TableContents"/>
              <w:bidi w:val="0"/>
              <w:spacing w:before="0" w:after="0"/>
              <w:ind w:left="0" w:right="0" w:hanging="0"/>
              <w:jc w:val="left"/>
              <w:rPr/>
            </w:pPr>
            <w:r>
              <w:rPr/>
              <w:t>​</w:t>
            </w:r>
          </w:p>
        </w:tc>
        <w:tc>
          <w:tcPr>
            <w:tcW w:w="2752"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4275" w:type="dxa"/>
            <w:gridSpan w:val="3"/>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CITIBANK, N.A., as a Lender and an Issuing Bank:</w:t>
            </w:r>
          </w:p>
        </w:tc>
      </w:tr>
      <w:tr>
        <w:trPr/>
        <w:tc>
          <w:tcPr>
            <w:tcW w:w="124" w:type="dxa"/>
            <w:tcBorders/>
            <w:vAlign w:val="center"/>
          </w:tcPr>
          <w:p>
            <w:pPr>
              <w:pStyle w:val="TableContents"/>
              <w:bidi w:val="0"/>
              <w:spacing w:before="0" w:after="0"/>
              <w:ind w:left="0" w:right="0" w:hanging="0"/>
              <w:jc w:val="both"/>
              <w:rPr/>
            </w:pPr>
            <w:r>
              <w:rPr/>
              <w:t>​</w:t>
            </w:r>
          </w:p>
        </w:tc>
        <w:tc>
          <w:tcPr>
            <w:tcW w:w="4275" w:type="dxa"/>
            <w:gridSpan w:val="3"/>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50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3767" w:type="dxa"/>
            <w:gridSpan w:val="2"/>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508" w:type="dxa"/>
            <w:tcBorders/>
            <w:vAlign w:val="center"/>
          </w:tcPr>
          <w:p>
            <w:pPr>
              <w:pStyle w:val="TableContents"/>
              <w:bidi w:val="0"/>
              <w:spacing w:before="0" w:after="0"/>
              <w:ind w:left="0" w:right="0" w:hanging="0"/>
              <w:jc w:val="both"/>
              <w:rPr/>
            </w:pPr>
            <w:r>
              <w:rPr/>
              <w:t>​</w:t>
            </w:r>
          </w:p>
        </w:tc>
        <w:tc>
          <w:tcPr>
            <w:tcW w:w="3767" w:type="dxa"/>
            <w:gridSpan w:val="2"/>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 Michael Vondriska</w:t>
            </w:r>
          </w:p>
        </w:tc>
      </w:tr>
      <w:tr>
        <w:trPr/>
        <w:tc>
          <w:tcPr>
            <w:tcW w:w="124" w:type="dxa"/>
            <w:tcBorders/>
            <w:vAlign w:val="center"/>
          </w:tcPr>
          <w:p>
            <w:pPr>
              <w:pStyle w:val="TableContents"/>
              <w:bidi w:val="0"/>
              <w:spacing w:before="0" w:after="0"/>
              <w:ind w:left="0" w:right="0" w:hanging="0"/>
              <w:jc w:val="both"/>
              <w:rPr/>
            </w:pPr>
            <w:r>
              <w:rPr/>
              <w:t>​</w:t>
            </w:r>
          </w:p>
        </w:tc>
        <w:tc>
          <w:tcPr>
            <w:tcW w:w="508" w:type="dxa"/>
            <w:tcBorders/>
            <w:vAlign w:val="center"/>
          </w:tcPr>
          <w:p>
            <w:pPr>
              <w:pStyle w:val="TableContents"/>
              <w:bidi w:val="0"/>
              <w:spacing w:before="0" w:after="0"/>
              <w:ind w:left="0" w:right="0" w:hanging="0"/>
              <w:jc w:val="both"/>
              <w:rPr/>
            </w:pPr>
            <w:r>
              <w:rPr/>
              <w:t>​</w:t>
            </w:r>
          </w:p>
        </w:tc>
        <w:tc>
          <w:tcPr>
            <w:tcW w:w="1015"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2752"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Michael Vondriska</w:t>
            </w:r>
          </w:p>
        </w:tc>
      </w:tr>
      <w:tr>
        <w:trPr/>
        <w:tc>
          <w:tcPr>
            <w:tcW w:w="124" w:type="dxa"/>
            <w:tcBorders/>
            <w:vAlign w:val="center"/>
          </w:tcPr>
          <w:p>
            <w:pPr>
              <w:pStyle w:val="TableContents"/>
              <w:bidi w:val="0"/>
              <w:spacing w:before="0" w:after="0"/>
              <w:ind w:left="0" w:right="0" w:hanging="0"/>
              <w:jc w:val="both"/>
              <w:rPr/>
            </w:pPr>
            <w:r>
              <w:rPr/>
              <w:t>​</w:t>
            </w:r>
          </w:p>
        </w:tc>
        <w:tc>
          <w:tcPr>
            <w:tcW w:w="508" w:type="dxa"/>
            <w:tcBorders/>
            <w:vAlign w:val="center"/>
          </w:tcPr>
          <w:p>
            <w:pPr>
              <w:pStyle w:val="TableContents"/>
              <w:bidi w:val="0"/>
              <w:spacing w:before="0" w:after="0"/>
              <w:ind w:left="0" w:right="0" w:hanging="0"/>
              <w:jc w:val="both"/>
              <w:rPr/>
            </w:pPr>
            <w:r>
              <w:rPr/>
              <w:t>​</w:t>
            </w:r>
          </w:p>
        </w:tc>
        <w:tc>
          <w:tcPr>
            <w:tcW w:w="10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275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Vice President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3980" w:type="dxa"/>
        <w:jc w:val="left"/>
        <w:tblInd w:w="0" w:type="dxa"/>
        <w:tblLayout w:type="fixed"/>
        <w:tblCellMar>
          <w:top w:w="0" w:type="dxa"/>
          <w:left w:w="0" w:type="dxa"/>
          <w:bottom w:w="0" w:type="dxa"/>
          <w:right w:w="0" w:type="dxa"/>
        </w:tblCellMar>
      </w:tblPr>
      <w:tblGrid>
        <w:gridCol w:w="124"/>
        <w:gridCol w:w="3856"/>
      </w:tblGrid>
      <w:tr>
        <w:trPr/>
        <w:tc>
          <w:tcPr>
            <w:tcW w:w="124" w:type="dxa"/>
            <w:tcBorders/>
            <w:vAlign w:val="center"/>
          </w:tcPr>
          <w:p>
            <w:pPr>
              <w:pStyle w:val="TableContents"/>
              <w:bidi w:val="0"/>
              <w:spacing w:before="0" w:after="0"/>
              <w:ind w:left="0" w:right="0" w:hanging="0"/>
              <w:jc w:val="left"/>
              <w:rPr/>
            </w:pPr>
            <w:r>
              <w:rPr/>
              <w:t>​</w:t>
            </w:r>
          </w:p>
        </w:tc>
        <w:tc>
          <w:tcPr>
            <w:tcW w:w="385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385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LENDER SIGNATURE PAGE TO</w:t>
            </w:r>
          </w:p>
        </w:tc>
      </w:tr>
      <w:tr>
        <w:trPr/>
        <w:tc>
          <w:tcPr>
            <w:tcW w:w="124" w:type="dxa"/>
            <w:tcBorders/>
            <w:vAlign w:val="center"/>
          </w:tcPr>
          <w:p>
            <w:pPr>
              <w:pStyle w:val="TableContents"/>
              <w:bidi w:val="0"/>
              <w:spacing w:before="0" w:after="0"/>
              <w:ind w:left="0" w:right="0" w:hanging="0"/>
              <w:jc w:val="both"/>
              <w:rPr/>
            </w:pPr>
            <w:r>
              <w:rPr/>
              <w:t>​</w:t>
            </w:r>
          </w:p>
        </w:tc>
        <w:tc>
          <w:tcPr>
            <w:tcW w:w="385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AMENDMENT NO. 1 TO</w:t>
            </w:r>
          </w:p>
        </w:tc>
      </w:tr>
      <w:tr>
        <w:trPr/>
        <w:tc>
          <w:tcPr>
            <w:tcW w:w="124" w:type="dxa"/>
            <w:tcBorders/>
            <w:vAlign w:val="center"/>
          </w:tcPr>
          <w:p>
            <w:pPr>
              <w:pStyle w:val="TableContents"/>
              <w:bidi w:val="0"/>
              <w:spacing w:before="0" w:after="0"/>
              <w:ind w:left="0" w:right="0" w:hanging="0"/>
              <w:jc w:val="both"/>
              <w:rPr/>
            </w:pPr>
            <w:r>
              <w:rPr/>
              <w:t>​</w:t>
            </w:r>
          </w:p>
        </w:tc>
        <w:tc>
          <w:tcPr>
            <w:tcW w:w="385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THE CREDIT AGREEMENT</w:t>
            </w:r>
          </w:p>
        </w:tc>
      </w:tr>
      <w:tr>
        <w:trPr/>
        <w:tc>
          <w:tcPr>
            <w:tcW w:w="124" w:type="dxa"/>
            <w:tcBorders/>
            <w:vAlign w:val="center"/>
          </w:tcPr>
          <w:p>
            <w:pPr>
              <w:pStyle w:val="TableContents"/>
              <w:bidi w:val="0"/>
              <w:spacing w:before="0" w:after="0"/>
              <w:ind w:left="0" w:right="0" w:hanging="0"/>
              <w:jc w:val="both"/>
              <w:rPr/>
            </w:pPr>
            <w:r>
              <w:rPr/>
              <w:t>​</w:t>
            </w:r>
          </w:p>
        </w:tc>
        <w:tc>
          <w:tcPr>
            <w:tcW w:w="385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OF MONSTER BEVERAGE CORPORATION</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7448" w:type="dxa"/>
        <w:jc w:val="left"/>
        <w:tblInd w:w="0" w:type="dxa"/>
        <w:tblLayout w:type="fixed"/>
        <w:tblCellMar>
          <w:top w:w="0" w:type="dxa"/>
          <w:left w:w="0" w:type="dxa"/>
          <w:bottom w:w="0" w:type="dxa"/>
          <w:right w:w="0" w:type="dxa"/>
        </w:tblCellMar>
      </w:tblPr>
      <w:tblGrid>
        <w:gridCol w:w="124"/>
        <w:gridCol w:w="967"/>
        <w:gridCol w:w="1931"/>
        <w:gridCol w:w="4272"/>
        <w:gridCol w:w="154"/>
      </w:tblGrid>
      <w:tr>
        <w:trPr/>
        <w:tc>
          <w:tcPr>
            <w:tcW w:w="124" w:type="dxa"/>
            <w:tcBorders/>
            <w:vAlign w:val="center"/>
          </w:tcPr>
          <w:p>
            <w:pPr>
              <w:pStyle w:val="TableContents"/>
              <w:bidi w:val="0"/>
              <w:spacing w:before="0" w:after="0"/>
              <w:ind w:left="0" w:right="0" w:hanging="0"/>
              <w:jc w:val="both"/>
              <w:rPr/>
            </w:pPr>
            <w:r>
              <w:rPr/>
              <w:t>​</w:t>
            </w:r>
          </w:p>
        </w:tc>
        <w:tc>
          <w:tcPr>
            <w:tcW w:w="7170" w:type="dxa"/>
            <w:gridSpan w:val="3"/>
            <w:vMerge w:val="restart"/>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HSBC BANK USA, NATIONAL ASSOCIATION (executing in its capacity as a Lender):</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both"/>
              <w:rPr/>
            </w:pPr>
            <w:r>
              <w:rPr/>
              <w:t>​</w:t>
            </w:r>
          </w:p>
        </w:tc>
        <w:tc>
          <w:tcPr>
            <w:tcW w:w="7170" w:type="dxa"/>
            <w:gridSpan w:val="3"/>
            <w:vMerge w:val="continue"/>
            <w:tcBorders/>
            <w:vAlign w:val="center"/>
          </w:tcPr>
          <w:p>
            <w:pPr>
              <w:pStyle w:val="Normal"/>
              <w:bidi w:val="0"/>
              <w:jc w:val="left"/>
              <w:rPr/>
            </w:pPr>
            <w:r>
              <w:rPr/>
            </w:r>
          </w:p>
        </w:tc>
        <w:tc>
          <w:tcPr>
            <w:tcW w:w="154"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7170" w:type="dxa"/>
            <w:gridSpan w:val="3"/>
            <w:tcBorders/>
            <w:vAlign w:val="center"/>
          </w:tcPr>
          <w:p>
            <w:pPr>
              <w:pStyle w:val="TableContents"/>
              <w:bidi w:val="0"/>
              <w:spacing w:before="0" w:after="0"/>
              <w:ind w:left="0" w:right="0" w:hanging="0"/>
              <w:jc w:val="both"/>
              <w:rPr/>
            </w:pPr>
            <w:r>
              <w:rPr/>
              <w:t>​</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both"/>
              <w:rPr/>
            </w:pPr>
            <w:r>
              <w:rPr/>
              <w:t>​</w:t>
            </w:r>
          </w:p>
        </w:tc>
        <w:tc>
          <w:tcPr>
            <w:tcW w:w="96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6203" w:type="dxa"/>
            <w:gridSpan w:val="2"/>
            <w:tcBorders/>
            <w:vAlign w:val="center"/>
          </w:tcPr>
          <w:p>
            <w:pPr>
              <w:pStyle w:val="TableContents"/>
              <w:bidi w:val="0"/>
              <w:spacing w:before="0" w:after="0"/>
              <w:ind w:left="0" w:right="0" w:hanging="0"/>
              <w:jc w:val="both"/>
              <w:rPr/>
            </w:pPr>
            <w:r>
              <w:rPr/>
              <w:t>​</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both"/>
              <w:rPr/>
            </w:pPr>
            <w:r>
              <w:rPr/>
              <w:t>​</w:t>
            </w:r>
          </w:p>
        </w:tc>
        <w:tc>
          <w:tcPr>
            <w:tcW w:w="967" w:type="dxa"/>
            <w:tcBorders/>
            <w:vAlign w:val="center"/>
          </w:tcPr>
          <w:p>
            <w:pPr>
              <w:pStyle w:val="TableContents"/>
              <w:bidi w:val="0"/>
              <w:spacing w:before="0" w:after="0"/>
              <w:ind w:left="0" w:right="0" w:hanging="0"/>
              <w:jc w:val="both"/>
              <w:rPr/>
            </w:pPr>
            <w:r>
              <w:rPr/>
              <w:t>​</w:t>
            </w:r>
          </w:p>
        </w:tc>
        <w:tc>
          <w:tcPr>
            <w:tcW w:w="6203" w:type="dxa"/>
            <w:gridSpan w:val="2"/>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 Catherine Dong</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both"/>
              <w:rPr/>
            </w:pPr>
            <w:r>
              <w:rPr/>
              <w:t>​</w:t>
            </w:r>
          </w:p>
        </w:tc>
        <w:tc>
          <w:tcPr>
            <w:tcW w:w="967" w:type="dxa"/>
            <w:tcBorders/>
            <w:vAlign w:val="center"/>
          </w:tcPr>
          <w:p>
            <w:pPr>
              <w:pStyle w:val="TableContents"/>
              <w:bidi w:val="0"/>
              <w:spacing w:before="0" w:after="0"/>
              <w:ind w:left="0" w:right="0" w:hanging="0"/>
              <w:jc w:val="both"/>
              <w:rPr/>
            </w:pPr>
            <w:r>
              <w:rPr/>
              <w:t>​</w:t>
            </w:r>
          </w:p>
        </w:tc>
        <w:tc>
          <w:tcPr>
            <w:tcW w:w="193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4272"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Catherine Dong</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both"/>
              <w:rPr/>
            </w:pPr>
            <w:r>
              <w:rPr/>
              <w:t>​</w:t>
            </w:r>
          </w:p>
        </w:tc>
        <w:tc>
          <w:tcPr>
            <w:tcW w:w="967" w:type="dxa"/>
            <w:tcBorders/>
            <w:vAlign w:val="center"/>
          </w:tcPr>
          <w:p>
            <w:pPr>
              <w:pStyle w:val="TableContents"/>
              <w:bidi w:val="0"/>
              <w:spacing w:before="0" w:after="0"/>
              <w:ind w:left="0" w:right="0" w:hanging="0"/>
              <w:jc w:val="both"/>
              <w:rPr/>
            </w:pPr>
            <w:r>
              <w:rPr/>
              <w:t>​</w:t>
            </w:r>
          </w:p>
        </w:tc>
        <w:tc>
          <w:tcPr>
            <w:tcW w:w="19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427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Director</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3980" w:type="dxa"/>
        <w:jc w:val="left"/>
        <w:tblInd w:w="0" w:type="dxa"/>
        <w:tblLayout w:type="fixed"/>
        <w:tblCellMar>
          <w:top w:w="0" w:type="dxa"/>
          <w:left w:w="0" w:type="dxa"/>
          <w:bottom w:w="0" w:type="dxa"/>
          <w:right w:w="0" w:type="dxa"/>
        </w:tblCellMar>
      </w:tblPr>
      <w:tblGrid>
        <w:gridCol w:w="124"/>
        <w:gridCol w:w="3856"/>
      </w:tblGrid>
      <w:tr>
        <w:trPr/>
        <w:tc>
          <w:tcPr>
            <w:tcW w:w="124" w:type="dxa"/>
            <w:tcBorders/>
            <w:vAlign w:val="center"/>
          </w:tcPr>
          <w:p>
            <w:pPr>
              <w:pStyle w:val="TableContents"/>
              <w:bidi w:val="0"/>
              <w:spacing w:before="0" w:after="0"/>
              <w:ind w:left="0" w:right="0" w:hanging="0"/>
              <w:jc w:val="left"/>
              <w:rPr/>
            </w:pPr>
            <w:r>
              <w:rPr/>
              <w:t>​</w:t>
            </w:r>
          </w:p>
        </w:tc>
        <w:tc>
          <w:tcPr>
            <w:tcW w:w="385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385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LENDER SIGNATURE PAGE TO</w:t>
            </w:r>
          </w:p>
        </w:tc>
      </w:tr>
      <w:tr>
        <w:trPr/>
        <w:tc>
          <w:tcPr>
            <w:tcW w:w="124" w:type="dxa"/>
            <w:tcBorders/>
            <w:vAlign w:val="center"/>
          </w:tcPr>
          <w:p>
            <w:pPr>
              <w:pStyle w:val="TableContents"/>
              <w:bidi w:val="0"/>
              <w:spacing w:before="0" w:after="0"/>
              <w:ind w:left="0" w:right="0" w:hanging="0"/>
              <w:jc w:val="both"/>
              <w:rPr/>
            </w:pPr>
            <w:r>
              <w:rPr/>
              <w:t>​</w:t>
            </w:r>
          </w:p>
        </w:tc>
        <w:tc>
          <w:tcPr>
            <w:tcW w:w="385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AMENDMENT NO. 1 TO</w:t>
            </w:r>
          </w:p>
        </w:tc>
      </w:tr>
      <w:tr>
        <w:trPr/>
        <w:tc>
          <w:tcPr>
            <w:tcW w:w="124" w:type="dxa"/>
            <w:tcBorders/>
            <w:vAlign w:val="center"/>
          </w:tcPr>
          <w:p>
            <w:pPr>
              <w:pStyle w:val="TableContents"/>
              <w:bidi w:val="0"/>
              <w:spacing w:before="0" w:after="0"/>
              <w:ind w:left="0" w:right="0" w:hanging="0"/>
              <w:jc w:val="both"/>
              <w:rPr/>
            </w:pPr>
            <w:r>
              <w:rPr/>
              <w:t>​</w:t>
            </w:r>
          </w:p>
        </w:tc>
        <w:tc>
          <w:tcPr>
            <w:tcW w:w="385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THE CREDIT AGREEMENT</w:t>
            </w:r>
          </w:p>
        </w:tc>
      </w:tr>
      <w:tr>
        <w:trPr/>
        <w:tc>
          <w:tcPr>
            <w:tcW w:w="124" w:type="dxa"/>
            <w:tcBorders/>
            <w:vAlign w:val="center"/>
          </w:tcPr>
          <w:p>
            <w:pPr>
              <w:pStyle w:val="TableContents"/>
              <w:bidi w:val="0"/>
              <w:spacing w:before="0" w:after="0"/>
              <w:ind w:left="0" w:right="0" w:hanging="0"/>
              <w:jc w:val="both"/>
              <w:rPr/>
            </w:pPr>
            <w:r>
              <w:rPr/>
              <w:t>​</w:t>
            </w:r>
          </w:p>
        </w:tc>
        <w:tc>
          <w:tcPr>
            <w:tcW w:w="385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OF MONSTER BEVERAGE CORPORATION</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4683" w:type="dxa"/>
        <w:jc w:val="left"/>
        <w:tblInd w:w="0" w:type="dxa"/>
        <w:tblLayout w:type="fixed"/>
        <w:tblCellMar>
          <w:top w:w="0" w:type="dxa"/>
          <w:left w:w="0" w:type="dxa"/>
          <w:bottom w:w="0" w:type="dxa"/>
          <w:right w:w="0" w:type="dxa"/>
        </w:tblCellMar>
      </w:tblPr>
      <w:tblGrid>
        <w:gridCol w:w="124"/>
        <w:gridCol w:w="652"/>
        <w:gridCol w:w="1303"/>
        <w:gridCol w:w="2604"/>
      </w:tblGrid>
      <w:tr>
        <w:trPr/>
        <w:tc>
          <w:tcPr>
            <w:tcW w:w="124" w:type="dxa"/>
            <w:tcBorders/>
            <w:vAlign w:val="center"/>
          </w:tcPr>
          <w:p>
            <w:pPr>
              <w:pStyle w:val="TableContents"/>
              <w:bidi w:val="0"/>
              <w:spacing w:before="0" w:after="0"/>
              <w:ind w:left="0" w:right="0" w:hanging="0"/>
              <w:jc w:val="left"/>
              <w:rPr/>
            </w:pPr>
            <w:r>
              <w:rPr/>
              <w:t>​</w:t>
            </w:r>
          </w:p>
        </w:tc>
        <w:tc>
          <w:tcPr>
            <w:tcW w:w="652" w:type="dxa"/>
            <w:tcBorders/>
            <w:vAlign w:val="center"/>
          </w:tcPr>
          <w:p>
            <w:pPr>
              <w:pStyle w:val="TableContents"/>
              <w:bidi w:val="0"/>
              <w:spacing w:before="0" w:after="0"/>
              <w:ind w:left="0" w:right="0" w:hanging="0"/>
              <w:jc w:val="left"/>
              <w:rPr/>
            </w:pPr>
            <w:r>
              <w:rPr/>
              <w:t>​</w:t>
            </w:r>
          </w:p>
        </w:tc>
        <w:tc>
          <w:tcPr>
            <w:tcW w:w="1303" w:type="dxa"/>
            <w:tcBorders/>
            <w:vAlign w:val="center"/>
          </w:tcPr>
          <w:p>
            <w:pPr>
              <w:pStyle w:val="TableContents"/>
              <w:bidi w:val="0"/>
              <w:spacing w:before="0" w:after="0"/>
              <w:ind w:left="0" w:right="0" w:hanging="0"/>
              <w:jc w:val="left"/>
              <w:rPr/>
            </w:pPr>
            <w:r>
              <w:rPr/>
              <w:t>​</w:t>
            </w:r>
          </w:p>
        </w:tc>
        <w:tc>
          <w:tcPr>
            <w:tcW w:w="260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4559" w:type="dxa"/>
            <w:gridSpan w:val="3"/>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BNP PARIBAS (executing in its capacity as a Lender):</w:t>
            </w:r>
          </w:p>
        </w:tc>
      </w:tr>
      <w:tr>
        <w:trPr/>
        <w:tc>
          <w:tcPr>
            <w:tcW w:w="124" w:type="dxa"/>
            <w:tcBorders/>
            <w:vAlign w:val="center"/>
          </w:tcPr>
          <w:p>
            <w:pPr>
              <w:pStyle w:val="TableContents"/>
              <w:bidi w:val="0"/>
              <w:spacing w:before="0" w:after="0"/>
              <w:ind w:left="0" w:right="0" w:hanging="0"/>
              <w:jc w:val="both"/>
              <w:rPr/>
            </w:pPr>
            <w:r>
              <w:rPr/>
              <w:t>​</w:t>
            </w:r>
          </w:p>
        </w:tc>
        <w:tc>
          <w:tcPr>
            <w:tcW w:w="4559" w:type="dxa"/>
            <w:gridSpan w:val="3"/>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65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3907" w:type="dxa"/>
            <w:gridSpan w:val="2"/>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652" w:type="dxa"/>
            <w:tcBorders/>
            <w:vAlign w:val="center"/>
          </w:tcPr>
          <w:p>
            <w:pPr>
              <w:pStyle w:val="TableContents"/>
              <w:bidi w:val="0"/>
              <w:spacing w:before="0" w:after="0"/>
              <w:ind w:left="0" w:right="0" w:hanging="0"/>
              <w:jc w:val="both"/>
              <w:rPr/>
            </w:pPr>
            <w:r>
              <w:rPr/>
              <w:t>​</w:t>
            </w:r>
          </w:p>
        </w:tc>
        <w:tc>
          <w:tcPr>
            <w:tcW w:w="3907" w:type="dxa"/>
            <w:gridSpan w:val="2"/>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 Alan Vitulich</w:t>
            </w:r>
          </w:p>
        </w:tc>
      </w:tr>
      <w:tr>
        <w:trPr/>
        <w:tc>
          <w:tcPr>
            <w:tcW w:w="124" w:type="dxa"/>
            <w:tcBorders/>
            <w:vAlign w:val="center"/>
          </w:tcPr>
          <w:p>
            <w:pPr>
              <w:pStyle w:val="TableContents"/>
              <w:bidi w:val="0"/>
              <w:spacing w:before="0" w:after="0"/>
              <w:ind w:left="0" w:right="0" w:hanging="0"/>
              <w:jc w:val="both"/>
              <w:rPr/>
            </w:pPr>
            <w:r>
              <w:rPr/>
              <w:t>​</w:t>
            </w:r>
          </w:p>
        </w:tc>
        <w:tc>
          <w:tcPr>
            <w:tcW w:w="652" w:type="dxa"/>
            <w:tcBorders/>
            <w:vAlign w:val="center"/>
          </w:tcPr>
          <w:p>
            <w:pPr>
              <w:pStyle w:val="TableContents"/>
              <w:bidi w:val="0"/>
              <w:spacing w:before="0" w:after="0"/>
              <w:ind w:left="0" w:right="0" w:hanging="0"/>
              <w:jc w:val="both"/>
              <w:rPr/>
            </w:pPr>
            <w:r>
              <w:rPr/>
              <w:t>​</w:t>
            </w:r>
          </w:p>
        </w:tc>
        <w:tc>
          <w:tcPr>
            <w:tcW w:w="1303"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2604"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Alan Vitulich</w:t>
            </w:r>
          </w:p>
        </w:tc>
      </w:tr>
      <w:tr>
        <w:trPr/>
        <w:tc>
          <w:tcPr>
            <w:tcW w:w="124" w:type="dxa"/>
            <w:tcBorders/>
            <w:vAlign w:val="center"/>
          </w:tcPr>
          <w:p>
            <w:pPr>
              <w:pStyle w:val="TableContents"/>
              <w:bidi w:val="0"/>
              <w:spacing w:before="0" w:after="0"/>
              <w:ind w:left="0" w:right="0" w:hanging="0"/>
              <w:jc w:val="both"/>
              <w:rPr/>
            </w:pPr>
            <w:r>
              <w:rPr/>
              <w:t>​</w:t>
            </w:r>
          </w:p>
        </w:tc>
        <w:tc>
          <w:tcPr>
            <w:tcW w:w="652" w:type="dxa"/>
            <w:tcBorders/>
            <w:vAlign w:val="center"/>
          </w:tcPr>
          <w:p>
            <w:pPr>
              <w:pStyle w:val="TableContents"/>
              <w:bidi w:val="0"/>
              <w:spacing w:before="0" w:after="0"/>
              <w:ind w:left="0" w:right="0" w:hanging="0"/>
              <w:jc w:val="both"/>
              <w:rPr/>
            </w:pPr>
            <w:r>
              <w:rPr/>
              <w:t>​</w:t>
            </w:r>
          </w:p>
        </w:tc>
        <w:tc>
          <w:tcPr>
            <w:tcW w:w="130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260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Director</w:t>
            </w:r>
          </w:p>
        </w:tc>
      </w:tr>
      <w:tr>
        <w:trPr/>
        <w:tc>
          <w:tcPr>
            <w:tcW w:w="124" w:type="dxa"/>
            <w:tcBorders/>
            <w:vAlign w:val="center"/>
          </w:tcPr>
          <w:p>
            <w:pPr>
              <w:pStyle w:val="TableContents"/>
              <w:bidi w:val="0"/>
              <w:spacing w:before="0" w:after="0"/>
              <w:ind w:left="0" w:right="0" w:hanging="0"/>
              <w:jc w:val="both"/>
              <w:rPr/>
            </w:pPr>
            <w:r>
              <w:rPr/>
              <w:t>​</w:t>
            </w:r>
          </w:p>
        </w:tc>
        <w:tc>
          <w:tcPr>
            <w:tcW w:w="4559" w:type="dxa"/>
            <w:gridSpan w:val="3"/>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4559" w:type="dxa"/>
            <w:gridSpan w:val="3"/>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65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3907" w:type="dxa"/>
            <w:gridSpan w:val="2"/>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652" w:type="dxa"/>
            <w:tcBorders/>
            <w:vAlign w:val="center"/>
          </w:tcPr>
          <w:p>
            <w:pPr>
              <w:pStyle w:val="TableContents"/>
              <w:bidi w:val="0"/>
              <w:spacing w:before="0" w:after="0"/>
              <w:ind w:left="0" w:right="0" w:hanging="0"/>
              <w:jc w:val="both"/>
              <w:rPr/>
            </w:pPr>
            <w:r>
              <w:rPr/>
              <w:t>​</w:t>
            </w:r>
          </w:p>
        </w:tc>
        <w:tc>
          <w:tcPr>
            <w:tcW w:w="3907" w:type="dxa"/>
            <w:gridSpan w:val="2"/>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 David Foster</w:t>
            </w:r>
          </w:p>
        </w:tc>
      </w:tr>
      <w:tr>
        <w:trPr/>
        <w:tc>
          <w:tcPr>
            <w:tcW w:w="124" w:type="dxa"/>
            <w:tcBorders/>
            <w:vAlign w:val="center"/>
          </w:tcPr>
          <w:p>
            <w:pPr>
              <w:pStyle w:val="TableContents"/>
              <w:bidi w:val="0"/>
              <w:spacing w:before="0" w:after="0"/>
              <w:ind w:left="0" w:right="0" w:hanging="0"/>
              <w:jc w:val="both"/>
              <w:rPr/>
            </w:pPr>
            <w:r>
              <w:rPr/>
              <w:t>​</w:t>
            </w:r>
          </w:p>
        </w:tc>
        <w:tc>
          <w:tcPr>
            <w:tcW w:w="652" w:type="dxa"/>
            <w:tcBorders/>
            <w:vAlign w:val="center"/>
          </w:tcPr>
          <w:p>
            <w:pPr>
              <w:pStyle w:val="TableContents"/>
              <w:bidi w:val="0"/>
              <w:spacing w:before="0" w:after="0"/>
              <w:ind w:left="0" w:right="0" w:hanging="0"/>
              <w:jc w:val="both"/>
              <w:rPr/>
            </w:pPr>
            <w:r>
              <w:rPr/>
              <w:t>​</w:t>
            </w:r>
          </w:p>
        </w:tc>
        <w:tc>
          <w:tcPr>
            <w:tcW w:w="1303"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2604"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David Foster</w:t>
            </w:r>
          </w:p>
        </w:tc>
      </w:tr>
      <w:tr>
        <w:trPr/>
        <w:tc>
          <w:tcPr>
            <w:tcW w:w="124" w:type="dxa"/>
            <w:tcBorders/>
            <w:vAlign w:val="center"/>
          </w:tcPr>
          <w:p>
            <w:pPr>
              <w:pStyle w:val="TableContents"/>
              <w:bidi w:val="0"/>
              <w:spacing w:before="0" w:after="0"/>
              <w:ind w:left="0" w:right="0" w:hanging="0"/>
              <w:jc w:val="both"/>
              <w:rPr/>
            </w:pPr>
            <w:r>
              <w:rPr/>
              <w:t>​</w:t>
            </w:r>
          </w:p>
        </w:tc>
        <w:tc>
          <w:tcPr>
            <w:tcW w:w="652" w:type="dxa"/>
            <w:tcBorders/>
            <w:vAlign w:val="center"/>
          </w:tcPr>
          <w:p>
            <w:pPr>
              <w:pStyle w:val="TableContents"/>
              <w:bidi w:val="0"/>
              <w:spacing w:before="0" w:after="0"/>
              <w:ind w:left="0" w:right="0" w:hanging="0"/>
              <w:jc w:val="both"/>
              <w:rPr/>
            </w:pPr>
            <w:r>
              <w:rPr/>
              <w:t>​</w:t>
            </w:r>
          </w:p>
        </w:tc>
        <w:tc>
          <w:tcPr>
            <w:tcW w:w="130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260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Director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3980" w:type="dxa"/>
        <w:jc w:val="left"/>
        <w:tblInd w:w="0" w:type="dxa"/>
        <w:tblLayout w:type="fixed"/>
        <w:tblCellMar>
          <w:top w:w="0" w:type="dxa"/>
          <w:left w:w="0" w:type="dxa"/>
          <w:bottom w:w="0" w:type="dxa"/>
          <w:right w:w="0" w:type="dxa"/>
        </w:tblCellMar>
      </w:tblPr>
      <w:tblGrid>
        <w:gridCol w:w="124"/>
        <w:gridCol w:w="3856"/>
      </w:tblGrid>
      <w:tr>
        <w:trPr/>
        <w:tc>
          <w:tcPr>
            <w:tcW w:w="124" w:type="dxa"/>
            <w:tcBorders/>
            <w:vAlign w:val="center"/>
          </w:tcPr>
          <w:p>
            <w:pPr>
              <w:pStyle w:val="TableContents"/>
              <w:bidi w:val="0"/>
              <w:spacing w:before="0" w:after="0"/>
              <w:ind w:left="0" w:right="0" w:hanging="0"/>
              <w:jc w:val="left"/>
              <w:rPr/>
            </w:pPr>
            <w:r>
              <w:rPr/>
              <w:t>​</w:t>
            </w:r>
          </w:p>
        </w:tc>
        <w:tc>
          <w:tcPr>
            <w:tcW w:w="385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385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LENDER SIGNATURE PAGE TO</w:t>
            </w:r>
          </w:p>
        </w:tc>
      </w:tr>
      <w:tr>
        <w:trPr/>
        <w:tc>
          <w:tcPr>
            <w:tcW w:w="124" w:type="dxa"/>
            <w:tcBorders/>
            <w:vAlign w:val="center"/>
          </w:tcPr>
          <w:p>
            <w:pPr>
              <w:pStyle w:val="TableContents"/>
              <w:bidi w:val="0"/>
              <w:spacing w:before="0" w:after="0"/>
              <w:ind w:left="0" w:right="0" w:hanging="0"/>
              <w:jc w:val="both"/>
              <w:rPr/>
            </w:pPr>
            <w:r>
              <w:rPr/>
              <w:t>​</w:t>
            </w:r>
          </w:p>
        </w:tc>
        <w:tc>
          <w:tcPr>
            <w:tcW w:w="385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AMENDMENT NO. 1 TO</w:t>
            </w:r>
          </w:p>
        </w:tc>
      </w:tr>
      <w:tr>
        <w:trPr/>
        <w:tc>
          <w:tcPr>
            <w:tcW w:w="124" w:type="dxa"/>
            <w:tcBorders/>
            <w:vAlign w:val="center"/>
          </w:tcPr>
          <w:p>
            <w:pPr>
              <w:pStyle w:val="TableContents"/>
              <w:bidi w:val="0"/>
              <w:spacing w:before="0" w:after="0"/>
              <w:ind w:left="0" w:right="0" w:hanging="0"/>
              <w:jc w:val="both"/>
              <w:rPr/>
            </w:pPr>
            <w:r>
              <w:rPr/>
              <w:t>​</w:t>
            </w:r>
          </w:p>
        </w:tc>
        <w:tc>
          <w:tcPr>
            <w:tcW w:w="385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THE CREDIT AGREEMENT</w:t>
            </w:r>
          </w:p>
        </w:tc>
      </w:tr>
      <w:tr>
        <w:trPr/>
        <w:tc>
          <w:tcPr>
            <w:tcW w:w="124" w:type="dxa"/>
            <w:tcBorders/>
            <w:vAlign w:val="center"/>
          </w:tcPr>
          <w:p>
            <w:pPr>
              <w:pStyle w:val="TableContents"/>
              <w:bidi w:val="0"/>
              <w:spacing w:before="0" w:after="0"/>
              <w:ind w:left="0" w:right="0" w:hanging="0"/>
              <w:jc w:val="both"/>
              <w:rPr/>
            </w:pPr>
            <w:r>
              <w:rPr/>
              <w:t>​</w:t>
            </w:r>
          </w:p>
        </w:tc>
        <w:tc>
          <w:tcPr>
            <w:tcW w:w="385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OF MONSTER BEVERAGE CORPORATION</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977" w:type="dxa"/>
        <w:jc w:val="left"/>
        <w:tblInd w:w="0" w:type="dxa"/>
        <w:tblLayout w:type="fixed"/>
        <w:tblCellMar>
          <w:top w:w="0" w:type="dxa"/>
          <w:left w:w="0" w:type="dxa"/>
          <w:bottom w:w="0" w:type="dxa"/>
          <w:right w:w="0" w:type="dxa"/>
        </w:tblCellMar>
      </w:tblPr>
      <w:tblGrid>
        <w:gridCol w:w="124"/>
        <w:gridCol w:w="316"/>
        <w:gridCol w:w="631"/>
        <w:gridCol w:w="1906"/>
      </w:tblGrid>
      <w:tr>
        <w:trPr/>
        <w:tc>
          <w:tcPr>
            <w:tcW w:w="124"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190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2853" w:type="dxa"/>
            <w:gridSpan w:val="3"/>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Morgan Stanley Bank, N.A.:</w:t>
            </w:r>
          </w:p>
        </w:tc>
      </w:tr>
      <w:tr>
        <w:trPr/>
        <w:tc>
          <w:tcPr>
            <w:tcW w:w="124" w:type="dxa"/>
            <w:tcBorders/>
            <w:vAlign w:val="center"/>
          </w:tcPr>
          <w:p>
            <w:pPr>
              <w:pStyle w:val="TableContents"/>
              <w:bidi w:val="0"/>
              <w:spacing w:before="0" w:after="0"/>
              <w:ind w:left="0" w:right="0" w:hanging="0"/>
              <w:jc w:val="both"/>
              <w:rPr/>
            </w:pPr>
            <w:r>
              <w:rPr/>
              <w:t>​</w:t>
            </w:r>
          </w:p>
        </w:tc>
        <w:tc>
          <w:tcPr>
            <w:tcW w:w="2853" w:type="dxa"/>
            <w:gridSpan w:val="3"/>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3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2537" w:type="dxa"/>
            <w:gridSpan w:val="2"/>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316" w:type="dxa"/>
            <w:tcBorders/>
            <w:vAlign w:val="center"/>
          </w:tcPr>
          <w:p>
            <w:pPr>
              <w:pStyle w:val="TableContents"/>
              <w:bidi w:val="0"/>
              <w:spacing w:before="0" w:after="0"/>
              <w:ind w:left="0" w:right="0" w:hanging="0"/>
              <w:jc w:val="both"/>
              <w:rPr/>
            </w:pPr>
            <w:r>
              <w:rPr/>
              <w:t>​</w:t>
            </w:r>
          </w:p>
        </w:tc>
        <w:tc>
          <w:tcPr>
            <w:tcW w:w="2537" w:type="dxa"/>
            <w:gridSpan w:val="2"/>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 Adria Phillips</w:t>
            </w:r>
          </w:p>
        </w:tc>
      </w:tr>
      <w:tr>
        <w:trPr/>
        <w:tc>
          <w:tcPr>
            <w:tcW w:w="124" w:type="dxa"/>
            <w:tcBorders/>
            <w:vAlign w:val="center"/>
          </w:tcPr>
          <w:p>
            <w:pPr>
              <w:pStyle w:val="TableContents"/>
              <w:bidi w:val="0"/>
              <w:spacing w:before="0" w:after="0"/>
              <w:ind w:left="0" w:right="0" w:hanging="0"/>
              <w:jc w:val="both"/>
              <w:rPr/>
            </w:pPr>
            <w:r>
              <w:rPr/>
              <w:t>​</w:t>
            </w:r>
          </w:p>
        </w:tc>
        <w:tc>
          <w:tcPr>
            <w:tcW w:w="316" w:type="dxa"/>
            <w:tcBorders/>
            <w:vAlign w:val="center"/>
          </w:tcPr>
          <w:p>
            <w:pPr>
              <w:pStyle w:val="TableContents"/>
              <w:bidi w:val="0"/>
              <w:spacing w:before="0" w:after="0"/>
              <w:ind w:left="0" w:right="0" w:hanging="0"/>
              <w:jc w:val="both"/>
              <w:rPr/>
            </w:pPr>
            <w:r>
              <w:rPr/>
              <w:t>​</w:t>
            </w:r>
          </w:p>
        </w:tc>
        <w:tc>
          <w:tcPr>
            <w:tcW w:w="63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1906"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Adria Phillips</w:t>
            </w:r>
          </w:p>
        </w:tc>
      </w:tr>
      <w:tr>
        <w:trPr/>
        <w:tc>
          <w:tcPr>
            <w:tcW w:w="124" w:type="dxa"/>
            <w:tcBorders/>
            <w:vAlign w:val="center"/>
          </w:tcPr>
          <w:p>
            <w:pPr>
              <w:pStyle w:val="TableContents"/>
              <w:bidi w:val="0"/>
              <w:spacing w:before="0" w:after="0"/>
              <w:ind w:left="0" w:right="0" w:hanging="0"/>
              <w:jc w:val="both"/>
              <w:rPr/>
            </w:pPr>
            <w:r>
              <w:rPr/>
              <w:t>​</w:t>
            </w:r>
          </w:p>
        </w:tc>
        <w:tc>
          <w:tcPr>
            <w:tcW w:w="31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19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Authorized Signatory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3980" w:type="dxa"/>
        <w:jc w:val="left"/>
        <w:tblInd w:w="0" w:type="dxa"/>
        <w:tblLayout w:type="fixed"/>
        <w:tblCellMar>
          <w:top w:w="0" w:type="dxa"/>
          <w:left w:w="0" w:type="dxa"/>
          <w:bottom w:w="0" w:type="dxa"/>
          <w:right w:w="0" w:type="dxa"/>
        </w:tblCellMar>
      </w:tblPr>
      <w:tblGrid>
        <w:gridCol w:w="124"/>
        <w:gridCol w:w="3856"/>
      </w:tblGrid>
      <w:tr>
        <w:trPr/>
        <w:tc>
          <w:tcPr>
            <w:tcW w:w="124" w:type="dxa"/>
            <w:tcBorders/>
            <w:vAlign w:val="center"/>
          </w:tcPr>
          <w:p>
            <w:pPr>
              <w:pStyle w:val="TableContents"/>
              <w:bidi w:val="0"/>
              <w:spacing w:before="0" w:after="0"/>
              <w:ind w:left="0" w:right="0" w:hanging="0"/>
              <w:jc w:val="left"/>
              <w:rPr/>
            </w:pPr>
            <w:r>
              <w:rPr/>
              <w:t>​</w:t>
            </w:r>
          </w:p>
        </w:tc>
        <w:tc>
          <w:tcPr>
            <w:tcW w:w="385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385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LENDER SIGNATURE PAGE TO</w:t>
            </w:r>
          </w:p>
        </w:tc>
      </w:tr>
      <w:tr>
        <w:trPr/>
        <w:tc>
          <w:tcPr>
            <w:tcW w:w="124" w:type="dxa"/>
            <w:tcBorders/>
            <w:vAlign w:val="center"/>
          </w:tcPr>
          <w:p>
            <w:pPr>
              <w:pStyle w:val="TableContents"/>
              <w:bidi w:val="0"/>
              <w:spacing w:before="0" w:after="0"/>
              <w:ind w:left="0" w:right="0" w:hanging="0"/>
              <w:jc w:val="both"/>
              <w:rPr/>
            </w:pPr>
            <w:r>
              <w:rPr/>
              <w:t>​</w:t>
            </w:r>
          </w:p>
        </w:tc>
        <w:tc>
          <w:tcPr>
            <w:tcW w:w="385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AMENDMENT NO. 1 TO</w:t>
            </w:r>
          </w:p>
        </w:tc>
      </w:tr>
      <w:tr>
        <w:trPr/>
        <w:tc>
          <w:tcPr>
            <w:tcW w:w="124" w:type="dxa"/>
            <w:tcBorders/>
            <w:vAlign w:val="center"/>
          </w:tcPr>
          <w:p>
            <w:pPr>
              <w:pStyle w:val="TableContents"/>
              <w:bidi w:val="0"/>
              <w:spacing w:before="0" w:after="0"/>
              <w:ind w:left="0" w:right="0" w:hanging="0"/>
              <w:jc w:val="both"/>
              <w:rPr/>
            </w:pPr>
            <w:r>
              <w:rPr/>
              <w:t>​</w:t>
            </w:r>
          </w:p>
        </w:tc>
        <w:tc>
          <w:tcPr>
            <w:tcW w:w="385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THE CREDIT AGREEMENT</w:t>
            </w:r>
          </w:p>
        </w:tc>
      </w:tr>
      <w:tr>
        <w:trPr/>
        <w:tc>
          <w:tcPr>
            <w:tcW w:w="124" w:type="dxa"/>
            <w:tcBorders/>
            <w:vAlign w:val="center"/>
          </w:tcPr>
          <w:p>
            <w:pPr>
              <w:pStyle w:val="TableContents"/>
              <w:bidi w:val="0"/>
              <w:spacing w:before="0" w:after="0"/>
              <w:ind w:left="0" w:right="0" w:hanging="0"/>
              <w:jc w:val="both"/>
              <w:rPr/>
            </w:pPr>
            <w:r>
              <w:rPr/>
              <w:t>​</w:t>
            </w:r>
          </w:p>
        </w:tc>
        <w:tc>
          <w:tcPr>
            <w:tcW w:w="385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OF MONSTER BEVERAGE CORPORATION</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962" w:type="dxa"/>
        <w:jc w:val="left"/>
        <w:tblInd w:w="0" w:type="dxa"/>
        <w:tblLayout w:type="fixed"/>
        <w:tblCellMar>
          <w:top w:w="0" w:type="dxa"/>
          <w:left w:w="0" w:type="dxa"/>
          <w:bottom w:w="0" w:type="dxa"/>
          <w:right w:w="0" w:type="dxa"/>
        </w:tblCellMar>
      </w:tblPr>
      <w:tblGrid>
        <w:gridCol w:w="124"/>
        <w:gridCol w:w="316"/>
        <w:gridCol w:w="631"/>
        <w:gridCol w:w="1891"/>
      </w:tblGrid>
      <w:tr>
        <w:trPr/>
        <w:tc>
          <w:tcPr>
            <w:tcW w:w="124"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189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2838" w:type="dxa"/>
            <w:gridSpan w:val="3"/>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Comerica Bank:</w:t>
            </w:r>
          </w:p>
        </w:tc>
      </w:tr>
      <w:tr>
        <w:trPr/>
        <w:tc>
          <w:tcPr>
            <w:tcW w:w="124" w:type="dxa"/>
            <w:tcBorders/>
            <w:vAlign w:val="center"/>
          </w:tcPr>
          <w:p>
            <w:pPr>
              <w:pStyle w:val="TableContents"/>
              <w:bidi w:val="0"/>
              <w:spacing w:before="0" w:after="0"/>
              <w:ind w:left="0" w:right="0" w:hanging="0"/>
              <w:jc w:val="both"/>
              <w:rPr/>
            </w:pPr>
            <w:r>
              <w:rPr/>
              <w:t>​</w:t>
            </w:r>
          </w:p>
        </w:tc>
        <w:tc>
          <w:tcPr>
            <w:tcW w:w="2838" w:type="dxa"/>
            <w:gridSpan w:val="3"/>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3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2522" w:type="dxa"/>
            <w:gridSpan w:val="2"/>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316" w:type="dxa"/>
            <w:tcBorders/>
            <w:vAlign w:val="center"/>
          </w:tcPr>
          <w:p>
            <w:pPr>
              <w:pStyle w:val="TableContents"/>
              <w:bidi w:val="0"/>
              <w:spacing w:before="0" w:after="0"/>
              <w:ind w:left="0" w:right="0" w:hanging="0"/>
              <w:jc w:val="both"/>
              <w:rPr/>
            </w:pPr>
            <w:r>
              <w:rPr/>
              <w:t>​</w:t>
            </w:r>
          </w:p>
        </w:tc>
        <w:tc>
          <w:tcPr>
            <w:tcW w:w="2522" w:type="dxa"/>
            <w:gridSpan w:val="2"/>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 David De Filippo</w:t>
            </w:r>
          </w:p>
        </w:tc>
      </w:tr>
      <w:tr>
        <w:trPr/>
        <w:tc>
          <w:tcPr>
            <w:tcW w:w="124" w:type="dxa"/>
            <w:tcBorders/>
            <w:vAlign w:val="center"/>
          </w:tcPr>
          <w:p>
            <w:pPr>
              <w:pStyle w:val="TableContents"/>
              <w:bidi w:val="0"/>
              <w:spacing w:before="0" w:after="0"/>
              <w:ind w:left="0" w:right="0" w:hanging="0"/>
              <w:jc w:val="both"/>
              <w:rPr/>
            </w:pPr>
            <w:r>
              <w:rPr/>
              <w:t>​</w:t>
            </w:r>
          </w:p>
        </w:tc>
        <w:tc>
          <w:tcPr>
            <w:tcW w:w="316" w:type="dxa"/>
            <w:tcBorders/>
            <w:vAlign w:val="center"/>
          </w:tcPr>
          <w:p>
            <w:pPr>
              <w:pStyle w:val="TableContents"/>
              <w:bidi w:val="0"/>
              <w:spacing w:before="0" w:after="0"/>
              <w:ind w:left="0" w:right="0" w:hanging="0"/>
              <w:jc w:val="both"/>
              <w:rPr/>
            </w:pPr>
            <w:r>
              <w:rPr/>
              <w:t>​</w:t>
            </w:r>
          </w:p>
        </w:tc>
        <w:tc>
          <w:tcPr>
            <w:tcW w:w="63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189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David De Filippo</w:t>
            </w:r>
          </w:p>
        </w:tc>
      </w:tr>
      <w:tr>
        <w:trPr/>
        <w:tc>
          <w:tcPr>
            <w:tcW w:w="124" w:type="dxa"/>
            <w:tcBorders/>
            <w:vAlign w:val="center"/>
          </w:tcPr>
          <w:p>
            <w:pPr>
              <w:pStyle w:val="TableContents"/>
              <w:bidi w:val="0"/>
              <w:spacing w:before="0" w:after="0"/>
              <w:ind w:left="0" w:right="0" w:hanging="0"/>
              <w:jc w:val="both"/>
              <w:rPr/>
            </w:pPr>
            <w:r>
              <w:rPr/>
              <w:t>​</w:t>
            </w:r>
          </w:p>
        </w:tc>
        <w:tc>
          <w:tcPr>
            <w:tcW w:w="31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189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Senior Vice President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3980" w:type="dxa"/>
        <w:jc w:val="left"/>
        <w:tblInd w:w="0" w:type="dxa"/>
        <w:tblLayout w:type="fixed"/>
        <w:tblCellMar>
          <w:top w:w="0" w:type="dxa"/>
          <w:left w:w="0" w:type="dxa"/>
          <w:bottom w:w="0" w:type="dxa"/>
          <w:right w:w="0" w:type="dxa"/>
        </w:tblCellMar>
      </w:tblPr>
      <w:tblGrid>
        <w:gridCol w:w="124"/>
        <w:gridCol w:w="3856"/>
      </w:tblGrid>
      <w:tr>
        <w:trPr/>
        <w:tc>
          <w:tcPr>
            <w:tcW w:w="124" w:type="dxa"/>
            <w:tcBorders/>
            <w:vAlign w:val="center"/>
          </w:tcPr>
          <w:p>
            <w:pPr>
              <w:pStyle w:val="TableContents"/>
              <w:bidi w:val="0"/>
              <w:spacing w:before="0" w:after="0"/>
              <w:ind w:left="0" w:right="0" w:hanging="0"/>
              <w:jc w:val="left"/>
              <w:rPr/>
            </w:pPr>
            <w:r>
              <w:rPr/>
              <w:t>​</w:t>
            </w:r>
          </w:p>
        </w:tc>
        <w:tc>
          <w:tcPr>
            <w:tcW w:w="385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385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LENDER SIGNATURE PAGE TO</w:t>
            </w:r>
          </w:p>
        </w:tc>
      </w:tr>
      <w:tr>
        <w:trPr/>
        <w:tc>
          <w:tcPr>
            <w:tcW w:w="124" w:type="dxa"/>
            <w:tcBorders/>
            <w:vAlign w:val="center"/>
          </w:tcPr>
          <w:p>
            <w:pPr>
              <w:pStyle w:val="TableContents"/>
              <w:bidi w:val="0"/>
              <w:spacing w:before="0" w:after="0"/>
              <w:ind w:left="0" w:right="0" w:hanging="0"/>
              <w:jc w:val="both"/>
              <w:rPr/>
            </w:pPr>
            <w:r>
              <w:rPr/>
              <w:t>​</w:t>
            </w:r>
          </w:p>
        </w:tc>
        <w:tc>
          <w:tcPr>
            <w:tcW w:w="385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AMENDMENT NO. 1 TO</w:t>
            </w:r>
          </w:p>
        </w:tc>
      </w:tr>
      <w:tr>
        <w:trPr/>
        <w:tc>
          <w:tcPr>
            <w:tcW w:w="124" w:type="dxa"/>
            <w:tcBorders/>
            <w:vAlign w:val="center"/>
          </w:tcPr>
          <w:p>
            <w:pPr>
              <w:pStyle w:val="TableContents"/>
              <w:bidi w:val="0"/>
              <w:spacing w:before="0" w:after="0"/>
              <w:ind w:left="0" w:right="0" w:hanging="0"/>
              <w:jc w:val="both"/>
              <w:rPr/>
            </w:pPr>
            <w:r>
              <w:rPr/>
              <w:t>​</w:t>
            </w:r>
          </w:p>
        </w:tc>
        <w:tc>
          <w:tcPr>
            <w:tcW w:w="385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THE CREDIT AGREEMENT</w:t>
            </w:r>
          </w:p>
        </w:tc>
      </w:tr>
      <w:tr>
        <w:trPr/>
        <w:tc>
          <w:tcPr>
            <w:tcW w:w="124" w:type="dxa"/>
            <w:tcBorders/>
            <w:vAlign w:val="center"/>
          </w:tcPr>
          <w:p>
            <w:pPr>
              <w:pStyle w:val="TableContents"/>
              <w:bidi w:val="0"/>
              <w:spacing w:before="0" w:after="0"/>
              <w:ind w:left="0" w:right="0" w:hanging="0"/>
              <w:jc w:val="both"/>
              <w:rPr/>
            </w:pPr>
            <w:r>
              <w:rPr/>
              <w:t>​</w:t>
            </w:r>
          </w:p>
        </w:tc>
        <w:tc>
          <w:tcPr>
            <w:tcW w:w="385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OF MONSTER BEVERAGE CORPORATION</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508" w:type="dxa"/>
        <w:jc w:val="left"/>
        <w:tblInd w:w="0" w:type="dxa"/>
        <w:tblLayout w:type="fixed"/>
        <w:tblCellMar>
          <w:top w:w="0" w:type="dxa"/>
          <w:left w:w="0" w:type="dxa"/>
          <w:bottom w:w="0" w:type="dxa"/>
          <w:right w:w="0" w:type="dxa"/>
        </w:tblCellMar>
      </w:tblPr>
      <w:tblGrid>
        <w:gridCol w:w="124"/>
        <w:gridCol w:w="332"/>
        <w:gridCol w:w="663"/>
        <w:gridCol w:w="1389"/>
      </w:tblGrid>
      <w:tr>
        <w:trPr/>
        <w:tc>
          <w:tcPr>
            <w:tcW w:w="124"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left"/>
              <w:rPr/>
            </w:pPr>
            <w:r>
              <w:rPr/>
              <w:t>​</w:t>
            </w:r>
          </w:p>
        </w:tc>
        <w:tc>
          <w:tcPr>
            <w:tcW w:w="1389"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2384" w:type="dxa"/>
            <w:gridSpan w:val="3"/>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SANTANDER BANK, N.A.,</w:t>
            </w:r>
          </w:p>
        </w:tc>
      </w:tr>
      <w:tr>
        <w:trPr/>
        <w:tc>
          <w:tcPr>
            <w:tcW w:w="124" w:type="dxa"/>
            <w:tcBorders/>
            <w:vAlign w:val="center"/>
          </w:tcPr>
          <w:p>
            <w:pPr>
              <w:pStyle w:val="TableContents"/>
              <w:bidi w:val="0"/>
              <w:spacing w:before="0" w:after="0"/>
              <w:ind w:left="0" w:right="0" w:hanging="0"/>
              <w:jc w:val="both"/>
              <w:rPr/>
            </w:pPr>
            <w:r>
              <w:rPr/>
              <w:t>​</w:t>
            </w:r>
          </w:p>
        </w:tc>
        <w:tc>
          <w:tcPr>
            <w:tcW w:w="2384" w:type="dxa"/>
            <w:gridSpan w:val="3"/>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33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2052" w:type="dxa"/>
            <w:gridSpan w:val="2"/>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332" w:type="dxa"/>
            <w:tcBorders/>
            <w:vAlign w:val="center"/>
          </w:tcPr>
          <w:p>
            <w:pPr>
              <w:pStyle w:val="TableContents"/>
              <w:bidi w:val="0"/>
              <w:spacing w:before="0" w:after="0"/>
              <w:ind w:left="0" w:right="0" w:hanging="0"/>
              <w:jc w:val="both"/>
              <w:rPr/>
            </w:pPr>
            <w:r>
              <w:rPr/>
              <w:t>​</w:t>
            </w:r>
          </w:p>
        </w:tc>
        <w:tc>
          <w:tcPr>
            <w:tcW w:w="2052" w:type="dxa"/>
            <w:gridSpan w:val="2"/>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 Syed Raza</w:t>
            </w:r>
          </w:p>
        </w:tc>
      </w:tr>
      <w:tr>
        <w:trPr/>
        <w:tc>
          <w:tcPr>
            <w:tcW w:w="124" w:type="dxa"/>
            <w:tcBorders/>
            <w:vAlign w:val="center"/>
          </w:tcPr>
          <w:p>
            <w:pPr>
              <w:pStyle w:val="TableContents"/>
              <w:bidi w:val="0"/>
              <w:spacing w:before="0" w:after="0"/>
              <w:ind w:left="0" w:right="0" w:hanging="0"/>
              <w:jc w:val="both"/>
              <w:rPr/>
            </w:pPr>
            <w:r>
              <w:rPr/>
              <w:t>​</w:t>
            </w:r>
          </w:p>
        </w:tc>
        <w:tc>
          <w:tcPr>
            <w:tcW w:w="332" w:type="dxa"/>
            <w:tcBorders/>
            <w:vAlign w:val="center"/>
          </w:tcPr>
          <w:p>
            <w:pPr>
              <w:pStyle w:val="TableContents"/>
              <w:bidi w:val="0"/>
              <w:spacing w:before="0" w:after="0"/>
              <w:ind w:left="0" w:right="0" w:hanging="0"/>
              <w:jc w:val="both"/>
              <w:rPr/>
            </w:pPr>
            <w:r>
              <w:rPr/>
              <w:t>​</w:t>
            </w:r>
          </w:p>
        </w:tc>
        <w:tc>
          <w:tcPr>
            <w:tcW w:w="663"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1389"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Syed Raza</w:t>
            </w:r>
          </w:p>
        </w:tc>
      </w:tr>
      <w:tr>
        <w:trPr/>
        <w:tc>
          <w:tcPr>
            <w:tcW w:w="124" w:type="dxa"/>
            <w:tcBorders/>
            <w:vAlign w:val="center"/>
          </w:tcPr>
          <w:p>
            <w:pPr>
              <w:pStyle w:val="TableContents"/>
              <w:bidi w:val="0"/>
              <w:spacing w:before="0" w:after="0"/>
              <w:ind w:left="0" w:right="0" w:hanging="0"/>
              <w:jc w:val="both"/>
              <w:rPr/>
            </w:pPr>
            <w:r>
              <w:rPr/>
              <w:t>​</w:t>
            </w:r>
          </w:p>
        </w:tc>
        <w:tc>
          <w:tcPr>
            <w:tcW w:w="332" w:type="dxa"/>
            <w:tcBorders/>
            <w:vAlign w:val="center"/>
          </w:tcPr>
          <w:p>
            <w:pPr>
              <w:pStyle w:val="TableContents"/>
              <w:bidi w:val="0"/>
              <w:spacing w:before="0" w:after="0"/>
              <w:ind w:left="0" w:right="0" w:hanging="0"/>
              <w:jc w:val="both"/>
              <w:rPr/>
            </w:pPr>
            <w:r>
              <w:rPr/>
              <w:t>​</w:t>
            </w:r>
          </w:p>
        </w:tc>
        <w:tc>
          <w:tcPr>
            <w:tcW w:w="66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138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Vice President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right"/>
        <w:rPr>
          <w:rFonts w:ascii="Times New Roman;Times;serif" w:hAnsi="Times New Roman;Times;serif"/>
          <w:sz w:val="20"/>
        </w:rPr>
      </w:pPr>
      <w:r>
        <w:rPr>
          <w:rFonts w:ascii="Times New Roman;Times;serif" w:hAnsi="Times New Roman;Times;serif"/>
          <w:sz w:val="20"/>
        </w:rPr>
        <w:t>EXHIBIT A</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AMENDMENTS TO CREDIT AGREEMENT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[Attached]</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070" w:type="dxa"/>
        <w:jc w:val="center"/>
        <w:tblInd w:w="0" w:type="dxa"/>
        <w:tblLayout w:type="fixed"/>
        <w:tblCellMar>
          <w:top w:w="0" w:type="dxa"/>
          <w:left w:w="0" w:type="dxa"/>
          <w:bottom w:w="0" w:type="dxa"/>
          <w:right w:w="0" w:type="dxa"/>
        </w:tblCellMar>
      </w:tblPr>
      <w:tblGrid>
        <w:gridCol w:w="124"/>
        <w:gridCol w:w="3946"/>
      </w:tblGrid>
      <w:tr>
        <w:trPr/>
        <w:tc>
          <w:tcPr>
            <w:tcW w:w="124" w:type="dxa"/>
            <w:tcBorders/>
            <w:vAlign w:val="center"/>
          </w:tcPr>
          <w:p>
            <w:pPr>
              <w:pStyle w:val="TableContents"/>
              <w:bidi w:val="0"/>
              <w:spacing w:before="0" w:after="0"/>
              <w:ind w:left="0" w:right="0" w:hanging="0"/>
              <w:jc w:val="left"/>
              <w:rPr/>
            </w:pPr>
            <w:r>
              <w:rPr/>
              <w:t>​</w:t>
            </w:r>
          </w:p>
        </w:tc>
        <w:tc>
          <w:tcPr>
            <w:tcW w:w="394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3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aps/>
                <w:sz w:val="20"/>
              </w:rPr>
              <w:t xml:space="preserve">ADDED TEXT SHOWN </w:t>
            </w:r>
            <w:r>
              <w:rPr>
                <w:rFonts w:ascii="Times New Roman;Times;serif" w:hAnsi="Times New Roman;Times;serif"/>
                <w:caps/>
                <w:color w:val="0000FF"/>
                <w:sz w:val="20"/>
                <w:u w:val="single"/>
              </w:rPr>
              <w:t>UNDERSCORED</w:t>
            </w:r>
          </w:p>
        </w:tc>
      </w:tr>
      <w:tr>
        <w:trPr/>
        <w:tc>
          <w:tcPr>
            <w:tcW w:w="124" w:type="dxa"/>
            <w:tcBorders/>
            <w:vAlign w:val="center"/>
          </w:tcPr>
          <w:p>
            <w:pPr>
              <w:pStyle w:val="TableContents"/>
              <w:bidi w:val="0"/>
              <w:spacing w:before="0" w:after="0"/>
              <w:ind w:left="0" w:right="0" w:hanging="0"/>
              <w:jc w:val="both"/>
              <w:rPr/>
            </w:pPr>
            <w:r>
              <w:rPr/>
              <w:t>​</w:t>
            </w:r>
          </w:p>
        </w:tc>
        <w:tc>
          <w:tcPr>
            <w:tcW w:w="3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aps/>
                <w:sz w:val="20"/>
              </w:rPr>
              <w:t xml:space="preserve">DELETED TEXT SHOWN </w:t>
            </w:r>
            <w:r>
              <w:rPr>
                <w:rFonts w:ascii="Times New Roman;Times;serif" w:hAnsi="Times New Roman;Times;serif"/>
                <w:caps/>
                <w:color w:val="FF0000"/>
                <w:sz w:val="20"/>
              </w:rPr>
              <w:t>STRIKETHROUGH</w:t>
            </w:r>
          </w:p>
        </w:tc>
      </w:tr>
      <w:tr>
        <w:trPr/>
        <w:tc>
          <w:tcPr>
            <w:tcW w:w="124" w:type="dxa"/>
            <w:tcBorders/>
            <w:vAlign w:val="center"/>
          </w:tcPr>
          <w:p>
            <w:pPr>
              <w:pStyle w:val="TableContents"/>
              <w:bidi w:val="0"/>
              <w:spacing w:before="0" w:after="0"/>
              <w:ind w:left="0" w:right="0" w:hanging="0"/>
              <w:jc w:val="both"/>
              <w:rPr/>
            </w:pPr>
            <w:r>
              <w:rPr/>
              <w:t>​</w:t>
            </w:r>
          </w:p>
        </w:tc>
        <w:tc>
          <w:tcPr>
            <w:tcW w:w="394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EXHIBIT A</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CREDIT AGREEMENT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dated as of May 22, 2024,</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among</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b/>
          <w:sz w:val="20"/>
        </w:rPr>
        <w:t>MONSTER BEVERAGE CORPORATION</w:t>
      </w:r>
      <w:r>
        <w:rPr>
          <w:rFonts w:ascii="Times New Roman;Times;serif" w:hAnsi="Times New Roman;Times;serif"/>
          <w:sz w:val="20"/>
        </w:rPr>
        <w:t>,</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 xml:space="preserve">the </w:t>
      </w:r>
      <w:r>
        <w:rPr>
          <w:rFonts w:ascii="Times New Roman;Times;serif" w:hAnsi="Times New Roman;Times;serif"/>
          <w:b/>
          <w:sz w:val="20"/>
        </w:rPr>
        <w:t>BORROWING SUBSIDIARIES</w:t>
      </w:r>
      <w:r>
        <w:rPr>
          <w:rFonts w:ascii="Times New Roman;Times;serif" w:hAnsi="Times New Roman;Times;serif"/>
          <w:sz w:val="20"/>
        </w:rPr>
        <w:t xml:space="preserve"> party hereto,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the </w:t>
      </w:r>
      <w:r>
        <w:rPr>
          <w:rFonts w:ascii="Times New Roman;Times;serif" w:hAnsi="Times New Roman;Times;serif"/>
          <w:b/>
          <w:sz w:val="20"/>
        </w:rPr>
        <w:t xml:space="preserve">LENDERS </w:t>
      </w:r>
      <w:r>
        <w:rPr>
          <w:rFonts w:ascii="Times New Roman;Times;serif" w:hAnsi="Times New Roman;Times;serif"/>
          <w:sz w:val="20"/>
        </w:rPr>
        <w:t>party hereto</w:t>
      </w:r>
    </w:p>
    <w:p>
      <w:pPr>
        <w:pStyle w:val="TextBody"/>
        <w:bidi w:val="0"/>
        <w:spacing w:before="0" w:after="0"/>
        <w:ind w:left="0" w:right="0" w:hanging="0"/>
        <w:jc w:val="center"/>
        <w:rPr/>
      </w:pPr>
      <w:r>
        <w:rPr/>
        <w:t>​</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and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JPMORGAN CHASE BANK, N.A.</w:t>
      </w:r>
      <w:r>
        <w:rPr>
          <w:rFonts w:ascii="Times New Roman;Times;serif" w:hAnsi="Times New Roman;Times;serif"/>
          <w:sz w:val="20"/>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 Administrative Agent</w:t>
      </w:r>
    </w:p>
    <w:p>
      <w:pPr>
        <w:pStyle w:val="HorizontalLine"/>
        <w:pBdr>
          <w:bottom w:val="single" w:sz="6" w:space="0" w:color="000000"/>
        </w:pBdr>
        <w:bidi w:val="0"/>
        <w:spacing w:before="0" w:after="0"/>
        <w:ind w:left="2551" w:right="2551" w:hanging="0"/>
        <w:jc w:val="left"/>
        <w:rPr/>
      </w:pPr>
      <w:r>
        <w:rPr/>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JPMORGAN CHASE BANK, N.A.</w:t>
      </w:r>
      <w:r>
        <w:rPr>
          <w:rFonts w:ascii="Times New Roman;Times;serif" w:hAnsi="Times New Roman;Times;serif"/>
          <w:sz w:val="20"/>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BOFA SECURITIES, INC.</w:t>
      </w:r>
      <w:r>
        <w:rPr>
          <w:rFonts w:ascii="Times New Roman;Times;serif" w:hAnsi="Times New Roman;Times;serif"/>
          <w:sz w:val="20"/>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b/>
          <w:sz w:val="20"/>
        </w:rPr>
        <w:t>CITIBANK, N.A</w:t>
      </w:r>
      <w:r>
        <w:rPr>
          <w:rFonts w:ascii="Times New Roman;Times;serif" w:hAnsi="Times New Roman;Times;serif"/>
          <w:sz w:val="20"/>
        </w:rPr>
        <w:t>.</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and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HSBC BANK USA, NATIONAL ASSOCIATION</w:t>
      </w:r>
      <w:r>
        <w:rPr>
          <w:rFonts w:ascii="Times New Roman;Times;serif" w:hAnsi="Times New Roman;Times;serif"/>
          <w:sz w:val="20"/>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as Joint Lead Arrangers and Joint Bookrunners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BANK OF AMERICA, N.A.</w:t>
      </w:r>
      <w:r>
        <w:rPr>
          <w:rFonts w:ascii="Times New Roman;Times;serif" w:hAnsi="Times New Roman;Times;serif"/>
          <w:sz w:val="20"/>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 Syndication Agent</w:t>
      </w:r>
    </w:p>
    <w:p>
      <w:pPr>
        <w:pStyle w:val="TextBody"/>
        <w:bidi w:val="0"/>
        <w:spacing w:before="0" w:after="0"/>
        <w:ind w:left="0" w:right="0" w:hanging="0"/>
        <w:jc w:val="center"/>
        <w:rPr/>
      </w:pPr>
      <w:r>
        <w:rPr/>
        <w:t>​</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CITIBANK, N.A.</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and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HSBC BANK USA, NATIONAL ASSOCIATION</w:t>
      </w:r>
      <w:r>
        <w:rPr>
          <w:rFonts w:ascii="Times New Roman;Times;serif" w:hAnsi="Times New Roman;Times;serif"/>
          <w:sz w:val="20"/>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 Co-Documentation Agents</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TABLE OF CONTENTS</w:t>
      </w:r>
    </w:p>
    <w:p>
      <w:pPr>
        <w:pStyle w:val="TextBody"/>
        <w:bidi w:val="0"/>
        <w:spacing w:before="0" w:after="0"/>
        <w:ind w:left="0" w:right="0" w:hanging="0"/>
        <w:jc w:val="left"/>
        <w:rPr/>
      </w:pPr>
      <w:r>
        <w:rPr/>
        <w:t>​</w:t>
      </w:r>
    </w:p>
    <w:tbl>
      <w:tblPr>
        <w:tblW w:w="6948" w:type="dxa"/>
        <w:jc w:val="left"/>
        <w:tblInd w:w="0" w:type="dxa"/>
        <w:tblLayout w:type="fixed"/>
        <w:tblCellMar>
          <w:top w:w="0" w:type="dxa"/>
          <w:left w:w="0" w:type="dxa"/>
          <w:bottom w:w="0" w:type="dxa"/>
          <w:right w:w="0" w:type="dxa"/>
        </w:tblCellMar>
      </w:tblPr>
      <w:tblGrid>
        <w:gridCol w:w="1381"/>
        <w:gridCol w:w="4996"/>
        <w:gridCol w:w="571"/>
      </w:tblGrid>
      <w:tr>
        <w:trPr/>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876935" cy="175260"/>
                      <wp:effectExtent l="0" t="0" r="0" b="0"/>
                      <wp:wrapNone/>
                      <wp:docPr id="520" name="Frame520"/>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3172460" cy="175260"/>
                      <wp:effectExtent l="0" t="0" r="0" b="0"/>
                      <wp:wrapNone/>
                      <wp:docPr id="521" name="Frame521"/>
                      <a:graphic xmlns:a="http://schemas.openxmlformats.org/drawingml/2006/main">
                        <a:graphicData uri="http://schemas.microsoft.com/office/word/2010/wordprocessingShape">
                          <wps:wsp>
                            <wps:cNvSpPr txBox="1"/>
                            <wps:spPr>
                              <a:xfrm>
                                <a:off x="0" y="0"/>
                                <a:ext cx="3172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362585" cy="175260"/>
                      <wp:effectExtent l="0" t="0" r="0" b="0"/>
                      <wp:wrapNone/>
                      <wp:docPr id="522" name="Frame52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81" w:type="dxa"/>
            <w:tcBorders/>
            <w:vAlign w:val="center"/>
          </w:tcPr>
          <w:p>
            <w:pPr>
              <w:pStyle w:val="TableContents"/>
              <w:bidi w:val="0"/>
              <w:spacing w:before="0" w:after="0"/>
              <w:ind w:left="0" w:right="0" w:hanging="0"/>
              <w:jc w:val="left"/>
              <w:rPr/>
            </w:pPr>
            <w:r>
              <w:rPr/>
              <w:t>​</w:t>
            </w:r>
          </w:p>
        </w:tc>
        <w:tc>
          <w:tcPr>
            <w:tcW w:w="499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6948"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ARTICLE I</w:t>
            </w:r>
          </w:p>
        </w:tc>
      </w:tr>
      <w:tr>
        <w:trPr/>
        <w:tc>
          <w:tcPr>
            <w:tcW w:w="1381" w:type="dxa"/>
            <w:tcBorders/>
            <w:vAlign w:val="center"/>
          </w:tcPr>
          <w:p>
            <w:pPr>
              <w:pStyle w:val="TableContents"/>
              <w:bidi w:val="0"/>
              <w:spacing w:before="0" w:after="0"/>
              <w:ind w:left="0" w:right="0" w:hanging="0"/>
              <w:jc w:val="left"/>
              <w:rPr/>
            </w:pPr>
            <w:r>
              <w:rPr/>
              <w:t>​</w:t>
            </w:r>
          </w:p>
        </w:tc>
        <w:tc>
          <w:tcPr>
            <w:tcW w:w="49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6948"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Definitions</w:t>
            </w:r>
          </w:p>
        </w:tc>
      </w:tr>
      <w:tr>
        <w:trPr/>
        <w:tc>
          <w:tcPr>
            <w:tcW w:w="6948" w:type="dxa"/>
            <w:gridSpan w:val="3"/>
            <w:tcBorders/>
            <w:vAlign w:val="center"/>
          </w:tcPr>
          <w:p>
            <w:pPr>
              <w:pStyle w:val="TableContents"/>
              <w:bidi w:val="0"/>
              <w:spacing w:before="0" w:after="0"/>
              <w:ind w:left="0" w:right="0" w:hanging="0"/>
              <w:jc w:val="center"/>
              <w:rPr/>
            </w:pPr>
            <w:r>
              <w:rPr/>
              <w:t>​</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1.01.</w:t>
            </w:r>
          </w:p>
        </w:tc>
        <w:tc>
          <w:tcPr>
            <w:tcW w:w="4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Defined Terms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1.02.</w:t>
            </w:r>
          </w:p>
        </w:tc>
        <w:tc>
          <w:tcPr>
            <w:tcW w:w="4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Classification of Loans and Borrowings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39</w:t>
            </w:r>
            <w:r>
              <w:rPr>
                <w:rFonts w:ascii="Times New Roman;Times;serif" w:hAnsi="Times New Roman;Times;serif"/>
                <w:color w:val="0000FF"/>
                <w:sz w:val="20"/>
                <w:u w:val="single"/>
              </w:rPr>
              <w:t>38</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1.03.</w:t>
            </w:r>
          </w:p>
        </w:tc>
        <w:tc>
          <w:tcPr>
            <w:tcW w:w="4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Terms Generally</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1.04.</w:t>
            </w:r>
          </w:p>
        </w:tc>
        <w:tc>
          <w:tcPr>
            <w:tcW w:w="4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Accounting Terms; GAAP; Pro Forma Calculations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1.05.</w:t>
            </w:r>
          </w:p>
        </w:tc>
        <w:tc>
          <w:tcPr>
            <w:tcW w:w="4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Exchange Rates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1.06.</w:t>
            </w:r>
          </w:p>
        </w:tc>
        <w:tc>
          <w:tcPr>
            <w:tcW w:w="4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Rates; Benchmark Notification</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1.07.</w:t>
            </w:r>
          </w:p>
        </w:tc>
        <w:tc>
          <w:tcPr>
            <w:tcW w:w="4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Divisions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41</w:t>
            </w:r>
            <w:r>
              <w:rPr>
                <w:rFonts w:ascii="Times New Roman;Times;serif" w:hAnsi="Times New Roman;Times;serif"/>
                <w:color w:val="0000FF"/>
                <w:sz w:val="20"/>
                <w:u w:val="single"/>
              </w:rPr>
              <w:t>40</w:t>
            </w:r>
          </w:p>
        </w:tc>
      </w:tr>
      <w:tr>
        <w:trPr/>
        <w:tc>
          <w:tcPr>
            <w:tcW w:w="1381" w:type="dxa"/>
            <w:tcBorders/>
            <w:vAlign w:val="center"/>
          </w:tcPr>
          <w:p>
            <w:pPr>
              <w:pStyle w:val="TableContents"/>
              <w:bidi w:val="0"/>
              <w:spacing w:before="0" w:after="0"/>
              <w:ind w:left="0" w:right="0" w:hanging="0"/>
              <w:jc w:val="left"/>
              <w:rPr/>
            </w:pPr>
            <w:r>
              <w:rPr/>
              <w:t>​</w:t>
            </w:r>
          </w:p>
        </w:tc>
        <w:tc>
          <w:tcPr>
            <w:tcW w:w="49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color w:val="FF0000"/>
              </w:rPr>
            </w:pPr>
            <w:r>
              <w:rPr>
                <w:color w:val="FF0000"/>
              </w:rPr>
              <w:t>​</w:t>
            </w:r>
          </w:p>
        </w:tc>
      </w:tr>
      <w:tr>
        <w:trPr/>
        <w:tc>
          <w:tcPr>
            <w:tcW w:w="6948"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ARTICLE II</w:t>
            </w:r>
          </w:p>
        </w:tc>
      </w:tr>
      <w:tr>
        <w:trPr/>
        <w:tc>
          <w:tcPr>
            <w:tcW w:w="1381" w:type="dxa"/>
            <w:tcBorders/>
            <w:vAlign w:val="center"/>
          </w:tcPr>
          <w:p>
            <w:pPr>
              <w:pStyle w:val="TableContents"/>
              <w:bidi w:val="0"/>
              <w:spacing w:before="0" w:after="0"/>
              <w:ind w:left="0" w:right="0" w:hanging="0"/>
              <w:jc w:val="left"/>
              <w:rPr/>
            </w:pPr>
            <w:r>
              <w:rPr/>
              <w:t>​</w:t>
            </w:r>
          </w:p>
        </w:tc>
        <w:tc>
          <w:tcPr>
            <w:tcW w:w="49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6948"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Credits</w:t>
            </w:r>
          </w:p>
        </w:tc>
      </w:tr>
      <w:tr>
        <w:trPr/>
        <w:tc>
          <w:tcPr>
            <w:tcW w:w="6948" w:type="dxa"/>
            <w:gridSpan w:val="3"/>
            <w:tcBorders/>
            <w:vAlign w:val="center"/>
          </w:tcPr>
          <w:p>
            <w:pPr>
              <w:pStyle w:val="TableContents"/>
              <w:bidi w:val="0"/>
              <w:spacing w:before="0" w:after="0"/>
              <w:ind w:left="0" w:right="0" w:hanging="0"/>
              <w:jc w:val="center"/>
              <w:rPr/>
            </w:pPr>
            <w:r>
              <w:rPr/>
              <w:t>​</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2.01.</w:t>
            </w:r>
          </w:p>
        </w:tc>
        <w:tc>
          <w:tcPr>
            <w:tcW w:w="4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2.02.</w:t>
            </w:r>
          </w:p>
        </w:tc>
        <w:tc>
          <w:tcPr>
            <w:tcW w:w="4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and Borrowings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2.03.</w:t>
            </w:r>
          </w:p>
        </w:tc>
        <w:tc>
          <w:tcPr>
            <w:tcW w:w="4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Requests for Borrowings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2.04.</w:t>
            </w:r>
          </w:p>
        </w:tc>
        <w:tc>
          <w:tcPr>
            <w:tcW w:w="4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Swingline Loans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2.05.</w:t>
            </w:r>
          </w:p>
        </w:tc>
        <w:tc>
          <w:tcPr>
            <w:tcW w:w="4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Letters of Credit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2.06.</w:t>
            </w:r>
          </w:p>
        </w:tc>
        <w:tc>
          <w:tcPr>
            <w:tcW w:w="4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Funding of Borrowings; Administrative Agent’s Clawback</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2.07.</w:t>
            </w:r>
          </w:p>
        </w:tc>
        <w:tc>
          <w:tcPr>
            <w:tcW w:w="4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Elections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51</w:t>
            </w:r>
            <w:r>
              <w:rPr>
                <w:rFonts w:ascii="Times New Roman;Times;serif" w:hAnsi="Times New Roman;Times;serif"/>
                <w:color w:val="0000FF"/>
                <w:sz w:val="20"/>
                <w:u w:val="single"/>
              </w:rPr>
              <w:t>50</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2.08.</w:t>
            </w:r>
          </w:p>
        </w:tc>
        <w:tc>
          <w:tcPr>
            <w:tcW w:w="4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Termination and Reduction of Commitments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2.09.</w:t>
            </w:r>
          </w:p>
        </w:tc>
        <w:tc>
          <w:tcPr>
            <w:tcW w:w="4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 of Loans; Evidence of Debt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2.10.</w:t>
            </w:r>
          </w:p>
        </w:tc>
        <w:tc>
          <w:tcPr>
            <w:tcW w:w="4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Prepayment of Loans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2.11.</w:t>
            </w:r>
          </w:p>
        </w:tc>
        <w:tc>
          <w:tcPr>
            <w:tcW w:w="4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Fees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2.12.</w:t>
            </w:r>
          </w:p>
        </w:tc>
        <w:tc>
          <w:tcPr>
            <w:tcW w:w="4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56</w:t>
            </w:r>
            <w:r>
              <w:rPr>
                <w:rFonts w:ascii="Times New Roman;Times;serif" w:hAnsi="Times New Roman;Times;serif"/>
                <w:color w:val="0000FF"/>
                <w:sz w:val="20"/>
                <w:u w:val="single"/>
              </w:rPr>
              <w:t>55</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2.13.</w:t>
            </w:r>
          </w:p>
        </w:tc>
        <w:tc>
          <w:tcPr>
            <w:tcW w:w="4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Alternate Rate of Interest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57</w:t>
            </w:r>
            <w:r>
              <w:rPr>
                <w:rFonts w:ascii="Times New Roman;Times;serif" w:hAnsi="Times New Roman;Times;serif"/>
                <w:color w:val="0000FF"/>
                <w:sz w:val="20"/>
                <w:u w:val="single"/>
              </w:rPr>
              <w:t>56</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2.14.</w:t>
            </w:r>
          </w:p>
        </w:tc>
        <w:tc>
          <w:tcPr>
            <w:tcW w:w="4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Increased Costs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2.15.</w:t>
            </w:r>
          </w:p>
        </w:tc>
        <w:tc>
          <w:tcPr>
            <w:tcW w:w="4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Break Funding Payments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2.16.</w:t>
            </w:r>
          </w:p>
        </w:tc>
        <w:tc>
          <w:tcPr>
            <w:tcW w:w="4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Taxes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2.17.</w:t>
            </w:r>
          </w:p>
        </w:tc>
        <w:tc>
          <w:tcPr>
            <w:tcW w:w="4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Generally; Pro Rata Treatment; Sharing of Set-offs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2.18.</w:t>
            </w:r>
          </w:p>
        </w:tc>
        <w:tc>
          <w:tcPr>
            <w:tcW w:w="4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Mitigation Obligations; Replacement of Lenders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67</w:t>
            </w:r>
            <w:r>
              <w:rPr>
                <w:rFonts w:ascii="Times New Roman;Times;serif" w:hAnsi="Times New Roman;Times;serif"/>
                <w:color w:val="0000FF"/>
                <w:sz w:val="20"/>
                <w:u w:val="single"/>
              </w:rPr>
              <w:t>66</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2.19.</w:t>
            </w:r>
          </w:p>
        </w:tc>
        <w:tc>
          <w:tcPr>
            <w:tcW w:w="4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Incremental Facilities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68</w:t>
            </w:r>
            <w:r>
              <w:rPr>
                <w:rFonts w:ascii="Times New Roman;Times;serif" w:hAnsi="Times New Roman;Times;serif"/>
                <w:color w:val="0000FF"/>
                <w:sz w:val="20"/>
                <w:u w:val="single"/>
              </w:rPr>
              <w:t>67</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2.20.</w:t>
            </w:r>
          </w:p>
        </w:tc>
        <w:tc>
          <w:tcPr>
            <w:tcW w:w="4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Extension of Revolving Maturity Date</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2.21.</w:t>
            </w:r>
          </w:p>
        </w:tc>
        <w:tc>
          <w:tcPr>
            <w:tcW w:w="4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Defaulting Lenders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72</w:t>
            </w:r>
            <w:r>
              <w:rPr>
                <w:rFonts w:ascii="Times New Roman;Times;serif" w:hAnsi="Times New Roman;Times;serif"/>
                <w:color w:val="0000FF"/>
                <w:sz w:val="20"/>
                <w:u w:val="single"/>
              </w:rPr>
              <w:t>71</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2.22.</w:t>
            </w:r>
          </w:p>
        </w:tc>
        <w:tc>
          <w:tcPr>
            <w:tcW w:w="4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Illegality</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2.23.</w:t>
            </w:r>
          </w:p>
        </w:tc>
        <w:tc>
          <w:tcPr>
            <w:tcW w:w="4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Borrowing Subsidiaries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1381" w:type="dxa"/>
            <w:tcBorders/>
            <w:vAlign w:val="center"/>
          </w:tcPr>
          <w:p>
            <w:pPr>
              <w:pStyle w:val="TableContents"/>
              <w:bidi w:val="0"/>
              <w:spacing w:before="0" w:after="0"/>
              <w:ind w:left="0" w:right="0" w:hanging="0"/>
              <w:jc w:val="left"/>
              <w:rPr/>
            </w:pPr>
            <w:r>
              <w:rPr/>
              <w:t>​</w:t>
            </w:r>
          </w:p>
        </w:tc>
        <w:tc>
          <w:tcPr>
            <w:tcW w:w="49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637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ARTICLE III</w:t>
            </w:r>
          </w:p>
        </w:tc>
        <w:tc>
          <w:tcPr>
            <w:tcW w:w="571" w:type="dxa"/>
            <w:tcBorders/>
            <w:vAlign w:val="center"/>
          </w:tcPr>
          <w:p>
            <w:pPr>
              <w:pStyle w:val="TableContents"/>
              <w:bidi w:val="0"/>
              <w:spacing w:before="0" w:after="0"/>
              <w:ind w:left="0" w:right="0" w:hanging="0"/>
              <w:jc w:val="left"/>
              <w:rPr/>
            </w:pPr>
            <w:r>
              <w:rPr/>
              <w:t>​</w:t>
            </w:r>
          </w:p>
        </w:tc>
      </w:tr>
      <w:tr>
        <w:trPr/>
        <w:tc>
          <w:tcPr>
            <w:tcW w:w="1381" w:type="dxa"/>
            <w:tcBorders/>
            <w:vAlign w:val="center"/>
          </w:tcPr>
          <w:p>
            <w:pPr>
              <w:pStyle w:val="TableContents"/>
              <w:bidi w:val="0"/>
              <w:spacing w:before="0" w:after="0"/>
              <w:ind w:left="0" w:right="0" w:hanging="0"/>
              <w:jc w:val="left"/>
              <w:rPr/>
            </w:pPr>
            <w:r>
              <w:rPr/>
              <w:t>​</w:t>
            </w:r>
          </w:p>
        </w:tc>
        <w:tc>
          <w:tcPr>
            <w:tcW w:w="49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6948"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Representations and Warranties</w:t>
            </w:r>
          </w:p>
        </w:tc>
      </w:tr>
      <w:tr>
        <w:trPr/>
        <w:tc>
          <w:tcPr>
            <w:tcW w:w="6948" w:type="dxa"/>
            <w:gridSpan w:val="3"/>
            <w:tcBorders/>
            <w:vAlign w:val="center"/>
          </w:tcPr>
          <w:p>
            <w:pPr>
              <w:pStyle w:val="TableContents"/>
              <w:bidi w:val="0"/>
              <w:spacing w:before="0" w:after="0"/>
              <w:ind w:left="0" w:right="0" w:hanging="0"/>
              <w:jc w:val="center"/>
              <w:rPr/>
            </w:pPr>
            <w:r>
              <w:rPr/>
              <w:t>​</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3.01.</w:t>
            </w:r>
          </w:p>
        </w:tc>
        <w:tc>
          <w:tcPr>
            <w:tcW w:w="4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Organization; Powers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3.02.</w:t>
            </w:r>
          </w:p>
        </w:tc>
        <w:tc>
          <w:tcPr>
            <w:tcW w:w="4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Authorization; Enforceability</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3.03.</w:t>
            </w:r>
          </w:p>
        </w:tc>
        <w:tc>
          <w:tcPr>
            <w:tcW w:w="4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Governmental Approvals; No Conflicts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8013" w:type="dxa"/>
        <w:jc w:val="left"/>
        <w:tblInd w:w="0" w:type="dxa"/>
        <w:tblLayout w:type="fixed"/>
        <w:tblCellMar>
          <w:top w:w="0" w:type="dxa"/>
          <w:left w:w="0" w:type="dxa"/>
          <w:bottom w:w="0" w:type="dxa"/>
          <w:right w:w="0" w:type="dxa"/>
        </w:tblCellMar>
      </w:tblPr>
      <w:tblGrid>
        <w:gridCol w:w="1381"/>
        <w:gridCol w:w="6061"/>
        <w:gridCol w:w="571"/>
      </w:tblGrid>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3.04.</w:t>
            </w:r>
          </w:p>
        </w:tc>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Condition; No Material Adverse Change</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77</w:t>
            </w:r>
            <w:r>
              <w:rPr>
                <w:rFonts w:ascii="Times New Roman;Times;serif" w:hAnsi="Times New Roman;Times;serif"/>
                <w:color w:val="0000FF"/>
                <w:sz w:val="20"/>
                <w:u w:val="single"/>
              </w:rPr>
              <w:t>76</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3.05.</w:t>
            </w:r>
          </w:p>
        </w:tc>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Litigation and Environmental Matters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3.06.</w:t>
            </w:r>
          </w:p>
        </w:tc>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Compliance with Laws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3.07.</w:t>
            </w:r>
          </w:p>
        </w:tc>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Company Status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3.08.</w:t>
            </w:r>
          </w:p>
        </w:tc>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ERISA</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3.09.</w:t>
            </w:r>
          </w:p>
        </w:tc>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Disclosure</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3.10.</w:t>
            </w:r>
          </w:p>
        </w:tc>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Anti-Corruption Laws and Anti-Money Laundering; Sanctions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3.11.</w:t>
            </w:r>
          </w:p>
        </w:tc>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Affected Financial Institution</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1381" w:type="dxa"/>
            <w:tcBorders/>
            <w:vAlign w:val="center"/>
          </w:tcPr>
          <w:p>
            <w:pPr>
              <w:pStyle w:val="TableContents"/>
              <w:bidi w:val="0"/>
              <w:spacing w:before="0" w:after="0"/>
              <w:ind w:left="0" w:right="0" w:hanging="0"/>
              <w:jc w:val="left"/>
              <w:rPr/>
            </w:pPr>
            <w:r>
              <w:rPr/>
              <w:t>​</w:t>
            </w:r>
          </w:p>
        </w:tc>
        <w:tc>
          <w:tcPr>
            <w:tcW w:w="606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8013"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ARTICLE IV</w:t>
            </w:r>
          </w:p>
        </w:tc>
      </w:tr>
      <w:tr>
        <w:trPr/>
        <w:tc>
          <w:tcPr>
            <w:tcW w:w="1381" w:type="dxa"/>
            <w:tcBorders/>
            <w:vAlign w:val="center"/>
          </w:tcPr>
          <w:p>
            <w:pPr>
              <w:pStyle w:val="TableContents"/>
              <w:bidi w:val="0"/>
              <w:spacing w:before="0" w:after="0"/>
              <w:ind w:left="0" w:right="0" w:hanging="0"/>
              <w:jc w:val="left"/>
              <w:rPr/>
            </w:pPr>
            <w:r>
              <w:rPr/>
              <w:t>​</w:t>
            </w:r>
          </w:p>
        </w:tc>
        <w:tc>
          <w:tcPr>
            <w:tcW w:w="606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8013"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Conditions</w:t>
            </w:r>
          </w:p>
        </w:tc>
      </w:tr>
      <w:tr>
        <w:trPr/>
        <w:tc>
          <w:tcPr>
            <w:tcW w:w="8013" w:type="dxa"/>
            <w:gridSpan w:val="3"/>
            <w:tcBorders/>
            <w:vAlign w:val="center"/>
          </w:tcPr>
          <w:p>
            <w:pPr>
              <w:pStyle w:val="TableContents"/>
              <w:bidi w:val="0"/>
              <w:spacing w:before="0" w:after="0"/>
              <w:ind w:left="0" w:right="0" w:hanging="0"/>
              <w:jc w:val="center"/>
              <w:rPr/>
            </w:pPr>
            <w:r>
              <w:rPr/>
              <w:t>​</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4.01.</w:t>
            </w:r>
          </w:p>
        </w:tc>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Conditions to Effectiveness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4.02.</w:t>
            </w:r>
          </w:p>
        </w:tc>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Conditions to all Credit Extensions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4.03.</w:t>
            </w:r>
          </w:p>
        </w:tc>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Conditions to Initial Credit Extension to each New Borrowing Subsidiary</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1381" w:type="dxa"/>
            <w:tcBorders/>
            <w:vAlign w:val="center"/>
          </w:tcPr>
          <w:p>
            <w:pPr>
              <w:pStyle w:val="TableContents"/>
              <w:bidi w:val="0"/>
              <w:spacing w:before="0" w:after="0"/>
              <w:ind w:left="0" w:right="0" w:hanging="0"/>
              <w:jc w:val="left"/>
              <w:rPr/>
            </w:pPr>
            <w:r>
              <w:rPr/>
              <w:t>​</w:t>
            </w:r>
          </w:p>
        </w:tc>
        <w:tc>
          <w:tcPr>
            <w:tcW w:w="606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8013"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ARTICLE V</w:t>
            </w:r>
          </w:p>
        </w:tc>
      </w:tr>
      <w:tr>
        <w:trPr/>
        <w:tc>
          <w:tcPr>
            <w:tcW w:w="1381" w:type="dxa"/>
            <w:tcBorders/>
            <w:vAlign w:val="center"/>
          </w:tcPr>
          <w:p>
            <w:pPr>
              <w:pStyle w:val="TableContents"/>
              <w:bidi w:val="0"/>
              <w:spacing w:before="0" w:after="0"/>
              <w:ind w:left="0" w:right="0" w:hanging="0"/>
              <w:jc w:val="left"/>
              <w:rPr/>
            </w:pPr>
            <w:r>
              <w:rPr/>
              <w:t>​</w:t>
            </w:r>
          </w:p>
        </w:tc>
        <w:tc>
          <w:tcPr>
            <w:tcW w:w="606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8013"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Affirmative Covenants</w:t>
            </w:r>
          </w:p>
        </w:tc>
      </w:tr>
      <w:tr>
        <w:trPr/>
        <w:tc>
          <w:tcPr>
            <w:tcW w:w="8013" w:type="dxa"/>
            <w:gridSpan w:val="3"/>
            <w:tcBorders/>
            <w:vAlign w:val="center"/>
          </w:tcPr>
          <w:p>
            <w:pPr>
              <w:pStyle w:val="TableContents"/>
              <w:bidi w:val="0"/>
              <w:spacing w:before="0" w:after="0"/>
              <w:ind w:left="0" w:right="0" w:hanging="0"/>
              <w:jc w:val="center"/>
              <w:rPr/>
            </w:pPr>
            <w:r>
              <w:rPr/>
              <w:t>​</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5.01.</w:t>
            </w:r>
          </w:p>
        </w:tc>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Statements and Other Information</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5.02.</w:t>
            </w:r>
          </w:p>
        </w:tc>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Notices of Material Events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5.03.</w:t>
            </w:r>
          </w:p>
        </w:tc>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Existence; Conduct of Business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5.04.</w:t>
            </w:r>
          </w:p>
        </w:tc>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of Taxes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83</w:t>
            </w:r>
            <w:r>
              <w:rPr>
                <w:rFonts w:ascii="Times New Roman;Times;serif" w:hAnsi="Times New Roman;Times;serif"/>
                <w:color w:val="0000FF"/>
                <w:sz w:val="20"/>
                <w:u w:val="single"/>
              </w:rPr>
              <w:t>82</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5.05.</w:t>
            </w:r>
          </w:p>
        </w:tc>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Books and Records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83</w:t>
            </w:r>
            <w:r>
              <w:rPr>
                <w:rFonts w:ascii="Times New Roman;Times;serif" w:hAnsi="Times New Roman;Times;serif"/>
                <w:color w:val="0000FF"/>
                <w:sz w:val="20"/>
                <w:u w:val="single"/>
              </w:rPr>
              <w:t>82</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5.06.</w:t>
            </w:r>
          </w:p>
        </w:tc>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Compliance with Laws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83</w:t>
            </w:r>
            <w:r>
              <w:rPr>
                <w:rFonts w:ascii="Times New Roman;Times;serif" w:hAnsi="Times New Roman;Times;serif"/>
                <w:color w:val="0000FF"/>
                <w:sz w:val="20"/>
                <w:u w:val="single"/>
              </w:rPr>
              <w:t>82</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5.07.</w:t>
            </w:r>
          </w:p>
        </w:tc>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Use of Proceeds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r>
      <w:tr>
        <w:trPr/>
        <w:tc>
          <w:tcPr>
            <w:tcW w:w="1381" w:type="dxa"/>
            <w:tcBorders/>
            <w:vAlign w:val="center"/>
          </w:tcPr>
          <w:p>
            <w:pPr>
              <w:pStyle w:val="TableContents"/>
              <w:bidi w:val="0"/>
              <w:spacing w:before="0" w:after="0"/>
              <w:ind w:left="0" w:right="0" w:hanging="0"/>
              <w:jc w:val="left"/>
              <w:rPr/>
            </w:pPr>
            <w:r>
              <w:rPr/>
              <w:t>​</w:t>
            </w:r>
          </w:p>
        </w:tc>
        <w:tc>
          <w:tcPr>
            <w:tcW w:w="606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8013"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ARTICLE VI</w:t>
            </w:r>
          </w:p>
        </w:tc>
      </w:tr>
      <w:tr>
        <w:trPr/>
        <w:tc>
          <w:tcPr>
            <w:tcW w:w="1381" w:type="dxa"/>
            <w:tcBorders/>
            <w:vAlign w:val="center"/>
          </w:tcPr>
          <w:p>
            <w:pPr>
              <w:pStyle w:val="TableContents"/>
              <w:bidi w:val="0"/>
              <w:spacing w:before="0" w:after="0"/>
              <w:ind w:left="0" w:right="0" w:hanging="0"/>
              <w:jc w:val="left"/>
              <w:rPr/>
            </w:pPr>
            <w:r>
              <w:rPr/>
              <w:t>​</w:t>
            </w:r>
          </w:p>
        </w:tc>
        <w:tc>
          <w:tcPr>
            <w:tcW w:w="606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8013"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Negative Covenants</w:t>
            </w:r>
          </w:p>
        </w:tc>
      </w:tr>
      <w:tr>
        <w:trPr/>
        <w:tc>
          <w:tcPr>
            <w:tcW w:w="8013" w:type="dxa"/>
            <w:gridSpan w:val="3"/>
            <w:tcBorders/>
            <w:vAlign w:val="center"/>
          </w:tcPr>
          <w:p>
            <w:pPr>
              <w:pStyle w:val="TableContents"/>
              <w:bidi w:val="0"/>
              <w:spacing w:before="0" w:after="0"/>
              <w:ind w:left="0" w:right="0" w:hanging="0"/>
              <w:jc w:val="center"/>
              <w:rPr/>
            </w:pPr>
            <w:r>
              <w:rPr/>
              <w:t>​</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6.01.</w:t>
            </w:r>
          </w:p>
        </w:tc>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Liens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6.02.</w:t>
            </w:r>
          </w:p>
        </w:tc>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Fundamental Changes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6.03.</w:t>
            </w:r>
          </w:p>
        </w:tc>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Leverage Ratio</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86</w:t>
            </w:r>
            <w:r>
              <w:rPr>
                <w:rFonts w:ascii="Times New Roman;Times;serif" w:hAnsi="Times New Roman;Times;serif"/>
                <w:color w:val="0000FF"/>
                <w:sz w:val="20"/>
                <w:u w:val="single"/>
              </w:rPr>
              <w:t>85</w:t>
            </w:r>
          </w:p>
        </w:tc>
      </w:tr>
      <w:tr>
        <w:trPr/>
        <w:tc>
          <w:tcPr>
            <w:tcW w:w="1381" w:type="dxa"/>
            <w:tcBorders/>
            <w:vAlign w:val="center"/>
          </w:tcPr>
          <w:p>
            <w:pPr>
              <w:pStyle w:val="TableContents"/>
              <w:bidi w:val="0"/>
              <w:spacing w:before="0" w:after="0"/>
              <w:ind w:left="0" w:right="0" w:hanging="0"/>
              <w:jc w:val="left"/>
              <w:rPr/>
            </w:pPr>
            <w:r>
              <w:rPr/>
              <w:t>​</w:t>
            </w:r>
          </w:p>
        </w:tc>
        <w:tc>
          <w:tcPr>
            <w:tcW w:w="606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color w:val="FF0000"/>
              </w:rPr>
            </w:pPr>
            <w:r>
              <w:rPr>
                <w:color w:val="FF0000"/>
              </w:rPr>
              <w:t>​</w:t>
            </w:r>
          </w:p>
        </w:tc>
      </w:tr>
      <w:tr>
        <w:trPr/>
        <w:tc>
          <w:tcPr>
            <w:tcW w:w="8013"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ARTICLE VII</w:t>
            </w:r>
          </w:p>
        </w:tc>
      </w:tr>
      <w:tr>
        <w:trPr/>
        <w:tc>
          <w:tcPr>
            <w:tcW w:w="1381" w:type="dxa"/>
            <w:tcBorders/>
            <w:vAlign w:val="center"/>
          </w:tcPr>
          <w:p>
            <w:pPr>
              <w:pStyle w:val="TableContents"/>
              <w:bidi w:val="0"/>
              <w:spacing w:before="0" w:after="0"/>
              <w:ind w:left="0" w:right="0" w:hanging="0"/>
              <w:jc w:val="left"/>
              <w:rPr/>
            </w:pPr>
            <w:r>
              <w:rPr/>
              <w:t>​</w:t>
            </w:r>
          </w:p>
        </w:tc>
        <w:tc>
          <w:tcPr>
            <w:tcW w:w="606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8013"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Events of Default</w:t>
            </w:r>
          </w:p>
        </w:tc>
      </w:tr>
      <w:tr>
        <w:trPr/>
        <w:tc>
          <w:tcPr>
            <w:tcW w:w="8013" w:type="dxa"/>
            <w:gridSpan w:val="3"/>
            <w:tcBorders/>
            <w:vAlign w:val="center"/>
          </w:tcPr>
          <w:p>
            <w:pPr>
              <w:pStyle w:val="TableContents"/>
              <w:bidi w:val="0"/>
              <w:spacing w:before="0" w:after="0"/>
              <w:ind w:left="0" w:right="0" w:hanging="0"/>
              <w:jc w:val="center"/>
              <w:rPr/>
            </w:pPr>
            <w:r>
              <w:rPr/>
              <w:t>​</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7.01.</w:t>
            </w:r>
          </w:p>
        </w:tc>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Events of Default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7.02.</w:t>
            </w:r>
          </w:p>
        </w:tc>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Remedies upon Event of Default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88</w:t>
            </w:r>
            <w:r>
              <w:rPr>
                <w:rFonts w:ascii="Times New Roman;Times;serif" w:hAnsi="Times New Roman;Times;serif"/>
                <w:color w:val="0000FF"/>
                <w:sz w:val="20"/>
                <w:u w:val="single"/>
              </w:rPr>
              <w:t>87</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7.03.</w:t>
            </w:r>
          </w:p>
        </w:tc>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Application of Funds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r>
      <w:tr>
        <w:trPr/>
        <w:tc>
          <w:tcPr>
            <w:tcW w:w="1381" w:type="dxa"/>
            <w:tcBorders/>
            <w:vAlign w:val="center"/>
          </w:tcPr>
          <w:p>
            <w:pPr>
              <w:pStyle w:val="TableContents"/>
              <w:bidi w:val="0"/>
              <w:spacing w:before="0" w:after="0"/>
              <w:ind w:left="0" w:right="0" w:hanging="0"/>
              <w:jc w:val="left"/>
              <w:rPr/>
            </w:pPr>
            <w:r>
              <w:rPr/>
              <w:t>​</w:t>
            </w:r>
          </w:p>
        </w:tc>
        <w:tc>
          <w:tcPr>
            <w:tcW w:w="606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8013"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ARTICLE VIII</w:t>
            </w:r>
          </w:p>
        </w:tc>
      </w:tr>
      <w:tr>
        <w:trPr/>
        <w:tc>
          <w:tcPr>
            <w:tcW w:w="1381" w:type="dxa"/>
            <w:tcBorders/>
            <w:vAlign w:val="center"/>
          </w:tcPr>
          <w:p>
            <w:pPr>
              <w:pStyle w:val="TableContents"/>
              <w:bidi w:val="0"/>
              <w:spacing w:before="0" w:after="0"/>
              <w:ind w:left="0" w:right="0" w:hanging="0"/>
              <w:jc w:val="left"/>
              <w:rPr/>
            </w:pPr>
            <w:r>
              <w:rPr/>
              <w:t>​</w:t>
            </w:r>
          </w:p>
        </w:tc>
        <w:tc>
          <w:tcPr>
            <w:tcW w:w="606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8013"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Administrative Agent</w:t>
            </w:r>
          </w:p>
        </w:tc>
      </w:tr>
      <w:tr>
        <w:trPr/>
        <w:tc>
          <w:tcPr>
            <w:tcW w:w="8013" w:type="dxa"/>
            <w:gridSpan w:val="3"/>
            <w:tcBorders/>
            <w:vAlign w:val="center"/>
          </w:tcPr>
          <w:p>
            <w:pPr>
              <w:pStyle w:val="TableContents"/>
              <w:bidi w:val="0"/>
              <w:spacing w:before="0" w:after="0"/>
              <w:ind w:left="0" w:right="0" w:hanging="0"/>
              <w:jc w:val="center"/>
              <w:rPr/>
            </w:pPr>
            <w:r>
              <w:rPr/>
              <w:t>​</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8.01.</w:t>
            </w:r>
          </w:p>
        </w:tc>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Authorization and Action</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8.02.</w:t>
            </w:r>
          </w:p>
        </w:tc>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Administrative Agent’s Reliance, Limitation of Liability, Etc</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8418" w:type="dxa"/>
        <w:jc w:val="left"/>
        <w:tblInd w:w="0" w:type="dxa"/>
        <w:tblLayout w:type="fixed"/>
        <w:tblCellMar>
          <w:top w:w="0" w:type="dxa"/>
          <w:left w:w="0" w:type="dxa"/>
          <w:bottom w:w="0" w:type="dxa"/>
          <w:right w:w="0" w:type="dxa"/>
        </w:tblCellMar>
      </w:tblPr>
      <w:tblGrid>
        <w:gridCol w:w="1381"/>
        <w:gridCol w:w="6256"/>
        <w:gridCol w:w="781"/>
      </w:tblGrid>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8.03.</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Posting of Communications; Approved Borrower Portal</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8.04.</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Administrative Agent Individually</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8.05.</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Successor Administrative Agent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8.06.</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Acknowledgements of Lenders and Issuing Banks</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8.07.</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Certain ERISA Matters</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97</w:t>
            </w:r>
            <w:r>
              <w:rPr>
                <w:rFonts w:ascii="Times New Roman;Times;serif" w:hAnsi="Times New Roman;Times;serif"/>
                <w:color w:val="0000FF"/>
                <w:sz w:val="20"/>
                <w:u w:val="single"/>
              </w:rPr>
              <w:t>96</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8.08.</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Miscellaneous</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r>
      <w:tr>
        <w:trPr/>
        <w:tc>
          <w:tcPr>
            <w:tcW w:w="1381"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8418"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ARTICLE IX</w:t>
            </w:r>
          </w:p>
        </w:tc>
      </w:tr>
      <w:tr>
        <w:trPr/>
        <w:tc>
          <w:tcPr>
            <w:tcW w:w="1381"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8418"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Miscellaneous</w:t>
            </w:r>
          </w:p>
        </w:tc>
      </w:tr>
      <w:tr>
        <w:trPr/>
        <w:tc>
          <w:tcPr>
            <w:tcW w:w="1381"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9.01.</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Notices</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9.02.</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Waivers; Amendments</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100</w:t>
            </w:r>
            <w:r>
              <w:rPr>
                <w:rFonts w:ascii="Times New Roman;Times;serif" w:hAnsi="Times New Roman;Times;serif"/>
                <w:color w:val="0000FF"/>
                <w:sz w:val="20"/>
                <w:u w:val="single"/>
              </w:rPr>
              <w:t>99</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9.03.</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 Indemnity; Limitation of Liability</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9.04.</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Successors and Assigns</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9.05.</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Survival</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9.06.</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Counterparts; Integration; Effectiveness; Electronic Execution</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9.07.</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Severability</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9.08.</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 of Setoff; Payments Set Aside</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9.09.</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Governing Law; Jurisdiction; Consent to Service of Process</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9.10.</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WAIVER OF JURY TRIAL</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9.11.</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Headings</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9.12.</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Confidentiality</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9.13.</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Limitation</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114</w:t>
            </w:r>
            <w:r>
              <w:rPr>
                <w:rFonts w:ascii="Times New Roman;Times;serif" w:hAnsi="Times New Roman;Times;serif"/>
                <w:color w:val="0000FF"/>
                <w:sz w:val="20"/>
                <w:u w:val="single"/>
              </w:rPr>
              <w:t>113</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9.14.</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Judgment Currency</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9.15.</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Subsidiary Guarantors</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9.16.</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USA PATRIOT Act Notice</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115</w:t>
            </w:r>
            <w:r>
              <w:rPr>
                <w:rFonts w:ascii="Times New Roman;Times;serif" w:hAnsi="Times New Roman;Times;serif"/>
                <w:color w:val="0000FF"/>
                <w:sz w:val="20"/>
                <w:u w:val="single"/>
              </w:rPr>
              <w:t>114</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9.17.</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 Advisory or Fiduciary Responsibility</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9.18.</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Acknowledgement and Consent to Bail-In of Affected Financial Institutions</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9.19.</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Acknowledgement Regarding Any Supported QFCs</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b/>
          <w:sz w:val="20"/>
        </w:rPr>
        <w:t xml:space="preserve">CREDIT AGREEMENT </w:t>
      </w:r>
      <w:r>
        <w:rPr>
          <w:rFonts w:ascii="Times New Roman;Times;serif" w:hAnsi="Times New Roman;Times;serif"/>
          <w:sz w:val="20"/>
        </w:rPr>
        <w:t>dated as of May 22, 2024 (this “</w:t>
      </w:r>
      <w:r>
        <w:rPr>
          <w:rFonts w:ascii="Times New Roman;Times;serif" w:hAnsi="Times New Roman;Times;serif"/>
          <w:sz w:val="20"/>
          <w:u w:val="single"/>
        </w:rPr>
        <w:t>Agreement</w:t>
      </w:r>
      <w:r>
        <w:rPr>
          <w:rFonts w:ascii="Times New Roman;Times;serif" w:hAnsi="Times New Roman;Times;serif"/>
          <w:sz w:val="20"/>
        </w:rPr>
        <w:t xml:space="preserve">”), among </w:t>
      </w:r>
      <w:r>
        <w:rPr>
          <w:rFonts w:ascii="Times New Roman;Times;serif" w:hAnsi="Times New Roman;Times;serif"/>
          <w:b/>
          <w:sz w:val="20"/>
        </w:rPr>
        <w:t>MONSTER BEVERAGE CORPORATION</w:t>
      </w:r>
      <w:r>
        <w:rPr>
          <w:rFonts w:ascii="Times New Roman;Times;serif" w:hAnsi="Times New Roman;Times;serif"/>
          <w:sz w:val="20"/>
        </w:rPr>
        <w:t xml:space="preserve">, a Delaware corporation, the </w:t>
      </w:r>
      <w:r>
        <w:rPr>
          <w:rFonts w:ascii="Times New Roman;Times;serif" w:hAnsi="Times New Roman;Times;serif"/>
          <w:b/>
          <w:sz w:val="20"/>
        </w:rPr>
        <w:t>BORROWING SUBSIDIARIES</w:t>
      </w:r>
      <w:r>
        <w:rPr>
          <w:rFonts w:ascii="Times New Roman;Times;serif" w:hAnsi="Times New Roman;Times;serif"/>
          <w:sz w:val="20"/>
        </w:rPr>
        <w:t xml:space="preserve"> party hereto, the </w:t>
      </w:r>
      <w:r>
        <w:rPr>
          <w:rFonts w:ascii="Times New Roman;Times;serif" w:hAnsi="Times New Roman;Times;serif"/>
          <w:b/>
          <w:sz w:val="20"/>
        </w:rPr>
        <w:t>LENDERS</w:t>
      </w:r>
      <w:r>
        <w:rPr>
          <w:rFonts w:ascii="Times New Roman;Times;serif" w:hAnsi="Times New Roman;Times;serif"/>
          <w:sz w:val="20"/>
        </w:rPr>
        <w:t xml:space="preserve"> party hereto and </w:t>
      </w:r>
      <w:r>
        <w:rPr>
          <w:rFonts w:ascii="Times New Roman;Times;serif" w:hAnsi="Times New Roman;Times;serif"/>
          <w:b/>
          <w:sz w:val="20"/>
        </w:rPr>
        <w:t>JPMORGAN CHASE BANK, N.A.</w:t>
      </w:r>
      <w:r>
        <w:rPr>
          <w:rFonts w:ascii="Times New Roman;Times;serif" w:hAnsi="Times New Roman;Times;serif"/>
          <w:sz w:val="20"/>
        </w:rPr>
        <w:t>, as Administrative Agent.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The parties hereto agree as follows:</w:t>
      </w:r>
    </w:p>
    <w:p>
      <w:pPr>
        <w:pStyle w:val="TextBody"/>
        <w:bidi w:val="0"/>
        <w:spacing w:before="0" w:after="0"/>
        <w:ind w:left="0" w:right="0" w:hanging="0"/>
        <w:jc w:val="center"/>
        <w:rPr>
          <w:rFonts w:ascii="Times New Roman;Times;serif" w:hAnsi="Times New Roman;Times;serif"/>
          <w:caps/>
          <w:sz w:val="20"/>
        </w:rPr>
      </w:pPr>
      <w:r>
        <w:rPr>
          <w:rFonts w:ascii="Times New Roman;Times;serif" w:hAnsi="Times New Roman;Times;serif"/>
          <w:caps/>
          <w:sz w:val="20"/>
        </w:rPr>
        <w:t>ARTICLE I______</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Definitions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1.01.</w:t>
      </w:r>
      <w:r>
        <w:rPr>
          <w:rFonts w:ascii="Times New Roman;Times;serif" w:hAnsi="Times New Roman;Times;serif"/>
          <w:sz w:val="20"/>
          <w:u w:val="single"/>
        </w:rPr>
        <w:t>Defined Terms</w:t>
      </w:r>
      <w:r>
        <w:rPr>
          <w:rFonts w:ascii="Times New Roman;Times;serif" w:hAnsi="Times New Roman;Times;serif"/>
          <w:sz w:val="20"/>
        </w:rPr>
        <w:t>. As used in this Agreement, the following terms have the meanings specified below:</w:t>
      </w:r>
    </w:p>
    <w:p>
      <w:pPr>
        <w:pStyle w:val="TextBody"/>
        <w:bidi w:val="0"/>
        <w:spacing w:before="0" w:after="240"/>
        <w:ind w:left="0" w:right="0" w:firstLine="1440"/>
        <w:jc w:val="both"/>
        <w:rPr/>
      </w:pPr>
      <w:r>
        <w:rPr/>
        <w:t>“</w:t>
      </w:r>
      <w:r>
        <w:rPr>
          <w:rFonts w:ascii="Times New Roman;Times;serif" w:hAnsi="Times New Roman;Times;serif"/>
          <w:sz w:val="20"/>
          <w:u w:val="single"/>
        </w:rPr>
        <w:t>Acquisition</w:t>
      </w:r>
      <w:r>
        <w:rPr>
          <w:rFonts w:ascii="Times New Roman;Times;serif" w:hAnsi="Times New Roman;Times;serif"/>
          <w:sz w:val="20"/>
        </w:rPr>
        <w:t>” means any transaction or series of related transactions resulting, directly or indirectly, in (a) the acquisition by the Company or any Subsidiary of all or substantially all of the assets of a Person, or of any business unit, division or line of business of a Person, (b) the acquisition by the Company or any Subsidiary of more than 50% of the issued and outstanding Equity Interests in any Person not previously a Subsidiary if, as a result thereof, such Person becomes a Subsidiary, or any Person not previously a Subsidiary otherwise becoming a Subsidiary, or (c) a merger or consolidation or any other combination of the Company or any Subsidiary with another Person (other than the Company or any Subsidiary) in which the Company or a Subsidiary is the surviving entity.</w:t>
      </w:r>
    </w:p>
    <w:p>
      <w:pPr>
        <w:pStyle w:val="TextBody"/>
        <w:bidi w:val="0"/>
        <w:spacing w:before="0" w:after="240"/>
        <w:ind w:left="0" w:right="0" w:firstLine="1440"/>
        <w:jc w:val="both"/>
        <w:rPr/>
      </w:pPr>
      <w:r>
        <w:rPr/>
        <w:t>“</w:t>
      </w:r>
      <w:r>
        <w:rPr>
          <w:rFonts w:ascii="Times New Roman;Times;serif" w:hAnsi="Times New Roman;Times;serif"/>
          <w:sz w:val="20"/>
          <w:u w:val="single"/>
        </w:rPr>
        <w:t>Acquisition Indebtedness</w:t>
      </w:r>
      <w:r>
        <w:rPr>
          <w:rFonts w:ascii="Times New Roman;Times;serif" w:hAnsi="Times New Roman;Times;serif"/>
          <w:sz w:val="20"/>
        </w:rPr>
        <w:t xml:space="preserve">” means any Indebtedness of the Company or any Subsidiary that has been incurred for the purpose of financing, in whole or in part, a Qualified Material Acquisition and any related transactions (including for the purpose of refinancing or replacing all or a portion of any related bridge facilities or any pre-existing Indebtedness of the Persons or assets to be acquired); </w:t>
      </w:r>
      <w:r>
        <w:rPr>
          <w:rFonts w:ascii="Times New Roman;Times;serif" w:hAnsi="Times New Roman;Times;serif"/>
          <w:sz w:val="20"/>
          <w:u w:val="single"/>
        </w:rPr>
        <w:t>provided</w:t>
      </w:r>
      <w:r>
        <w:rPr>
          <w:rFonts w:ascii="Times New Roman;Times;serif" w:hAnsi="Times New Roman;Times;serif"/>
          <w:sz w:val="20"/>
        </w:rPr>
        <w:t xml:space="preserve"> that either (a) the release of the proceeds thereof to the Company and its Subsidiaries is contingent upon the substantially simultaneous consummation of such Qualified Material Acquisition (and, if the definitive agreement for such Qualified Material Acquisition is terminated prior to the consummation of such Qualified Material Acquisition, or if such Qualified Material Acquisition is otherwise not consummated by the date specified in the definitive documentation for such Indebtedness (subject to any extensions of such date agreed by the parties thereto), then, in each case, such proceeds are, and pursuant to the terms of such definitive documentation are required to be, promptly applied to satisfy and discharge all obligations of the Company and its Subsidiaries in respect of such Indebtedness) or (b) such Indebtedness contains a “special mandatory redemption” provision (or a similar provision) if such Qualified Material Acquisition is not consummated by the date specified in the definitive documentation for such Indebtedness (and, if the definitive agreement for such Qualified Material Acquisition is terminated prior to the consummation of such Qualified Material Acquisition or such Qualified Material Acquisition is otherwise not consummated by the date so specified (subject to any extensions of such date agreed by the parties thereto), such Indebtedness is, and pursuant to such “special mandatory redemption” (or similar) provision is required to be, redeemed or otherwise satisfied and discharged within 90 days of such termination or such specified date, as the case may be).</w:t>
      </w:r>
    </w:p>
    <w:p>
      <w:pPr>
        <w:pStyle w:val="TextBody"/>
        <w:bidi w:val="0"/>
        <w:spacing w:before="0" w:after="240"/>
        <w:ind w:left="0" w:right="0" w:firstLine="1440"/>
        <w:jc w:val="both"/>
        <w:rPr/>
      </w:pPr>
      <w:r>
        <w:rPr/>
        <w:t>“</w:t>
      </w:r>
      <w:r>
        <w:rPr>
          <w:rFonts w:ascii="Times New Roman;Times;serif" w:hAnsi="Times New Roman;Times;serif"/>
          <w:sz w:val="20"/>
          <w:u w:val="single"/>
        </w:rPr>
        <w:t>Adjusted Daily Simple SOFR</w:t>
      </w:r>
      <w:r>
        <w:rPr>
          <w:rFonts w:ascii="Times New Roman;Times;serif" w:hAnsi="Times New Roman;Times;serif"/>
          <w:sz w:val="20"/>
        </w:rPr>
        <w:t xml:space="preserve">” means an interest rate per annum equal to (a) the Daily Simple SOFR </w:t>
      </w:r>
      <w:r>
        <w:rPr>
          <w:rFonts w:ascii="Times New Roman;Times;serif" w:hAnsi="Times New Roman;Times;serif"/>
          <w:sz w:val="20"/>
          <w:u w:val="single"/>
        </w:rPr>
        <w:t>plus</w:t>
      </w:r>
      <w:r>
        <w:rPr>
          <w:rFonts w:ascii="Times New Roman;Times;serif" w:hAnsi="Times New Roman;Times;serif"/>
          <w:sz w:val="20"/>
        </w:rPr>
        <w:t xml:space="preserve"> (b) 0.10%; </w:t>
      </w:r>
      <w:r>
        <w:rPr>
          <w:rFonts w:ascii="Times New Roman;Times;serif" w:hAnsi="Times New Roman;Times;serif"/>
          <w:sz w:val="20"/>
          <w:u w:val="single"/>
        </w:rPr>
        <w:t>provided</w:t>
      </w:r>
      <w:r>
        <w:rPr>
          <w:rFonts w:ascii="Times New Roman;Times;serif" w:hAnsi="Times New Roman;Times;serif"/>
          <w:sz w:val="20"/>
        </w:rPr>
        <w:t xml:space="preserve"> that if the Adjusted Daily Simple SOFR as so determined shall be less than zero, such rate shall be deemed to be zero.</w:t>
      </w:r>
    </w:p>
    <w:p>
      <w:pPr>
        <w:pStyle w:val="TextBody"/>
        <w:bidi w:val="0"/>
        <w:spacing w:before="0" w:after="240"/>
        <w:ind w:left="0" w:right="0" w:firstLine="1440"/>
        <w:jc w:val="both"/>
        <w:rPr/>
      </w:pPr>
      <w:r>
        <w:rPr/>
        <w:t>“</w:t>
      </w:r>
      <w:r>
        <w:rPr>
          <w:rFonts w:ascii="Times New Roman;Times;serif" w:hAnsi="Times New Roman;Times;serif"/>
          <w:sz w:val="20"/>
          <w:u w:val="single"/>
        </w:rPr>
        <w:t>Adjusted EURIBOR</w:t>
      </w:r>
      <w:r>
        <w:rPr>
          <w:rFonts w:ascii="Times New Roman;Times;serif" w:hAnsi="Times New Roman;Times;serif"/>
          <w:sz w:val="20"/>
        </w:rPr>
        <w:t>” means, with respect to any Term Benchmark Borrowing denominated in Euro for any Interest Period, an interest rate per annum equal to (a) the EURIBOR for such</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Interest Period multiplied by (b) the Statutory Reserve Rate; </w:t>
      </w:r>
      <w:r>
        <w:rPr>
          <w:rFonts w:ascii="Times New Roman;Times;serif" w:hAnsi="Times New Roman;Times;serif"/>
          <w:sz w:val="20"/>
          <w:u w:val="single"/>
        </w:rPr>
        <w:t>provided</w:t>
      </w:r>
      <w:r>
        <w:rPr>
          <w:rFonts w:ascii="Times New Roman;Times;serif" w:hAnsi="Times New Roman;Times;serif"/>
          <w:sz w:val="20"/>
        </w:rPr>
        <w:t xml:space="preserve"> that if the Adjusted EURIBOR as so determined shall be less than zero, such rate shall be deemed to be zero.</w:t>
      </w:r>
    </w:p>
    <w:p>
      <w:pPr>
        <w:pStyle w:val="TextBody"/>
        <w:bidi w:val="0"/>
        <w:spacing w:before="0" w:after="240"/>
        <w:ind w:left="0" w:right="0" w:firstLine="1440"/>
        <w:jc w:val="both"/>
        <w:rPr/>
      </w:pPr>
      <w:r>
        <w:rPr/>
        <w:t>“</w:t>
      </w:r>
      <w:r>
        <w:rPr>
          <w:rFonts w:ascii="Times New Roman;Times;serif" w:hAnsi="Times New Roman;Times;serif"/>
          <w:sz w:val="20"/>
          <w:u w:val="single"/>
        </w:rPr>
        <w:t>Adjusted Term SOFR</w:t>
      </w:r>
      <w:r>
        <w:rPr>
          <w:rFonts w:ascii="Times New Roman;Times;serif" w:hAnsi="Times New Roman;Times;serif"/>
          <w:sz w:val="20"/>
        </w:rPr>
        <w:t xml:space="preserve">” means, with respect to any Term Benchmark Borrowing denominated in U.S. Dollars for any Interest Period, an interest rate per annum equal to (a) the Term SOFR for such Interest Period </w:t>
      </w:r>
      <w:r>
        <w:rPr>
          <w:rFonts w:ascii="Times New Roman;Times;serif" w:hAnsi="Times New Roman;Times;serif"/>
          <w:sz w:val="20"/>
          <w:u w:val="single"/>
        </w:rPr>
        <w:t>plus</w:t>
      </w:r>
      <w:r>
        <w:rPr>
          <w:rFonts w:ascii="Times New Roman;Times;serif" w:hAnsi="Times New Roman;Times;serif"/>
          <w:sz w:val="20"/>
        </w:rPr>
        <w:t xml:space="preserve"> (b) 0.10%; </w:t>
      </w:r>
      <w:r>
        <w:rPr>
          <w:rFonts w:ascii="Times New Roman;Times;serif" w:hAnsi="Times New Roman;Times;serif"/>
          <w:sz w:val="20"/>
          <w:u w:val="single"/>
        </w:rPr>
        <w:t>provided</w:t>
      </w:r>
      <w:r>
        <w:rPr>
          <w:rFonts w:ascii="Times New Roman;Times;serif" w:hAnsi="Times New Roman;Times;serif"/>
          <w:sz w:val="20"/>
        </w:rPr>
        <w:t xml:space="preserve"> that if the Adjusted Term SOFR as so determined shall be less than zero, such rate shall be deemed to be zero.</w:t>
      </w:r>
    </w:p>
    <w:p>
      <w:pPr>
        <w:pStyle w:val="TextBody"/>
        <w:bidi w:val="0"/>
        <w:spacing w:before="0" w:after="240"/>
        <w:ind w:left="0" w:right="0" w:firstLine="1440"/>
        <w:jc w:val="both"/>
        <w:rPr/>
      </w:pPr>
      <w:r>
        <w:rPr/>
        <w:t>“</w:t>
      </w:r>
      <w:r>
        <w:rPr>
          <w:rFonts w:ascii="Times New Roman;Times;serif" w:hAnsi="Times New Roman;Times;serif"/>
          <w:sz w:val="20"/>
          <w:u w:val="single"/>
        </w:rPr>
        <w:t>Administrative Agent</w:t>
      </w:r>
      <w:r>
        <w:rPr>
          <w:rFonts w:ascii="Times New Roman;Times;serif" w:hAnsi="Times New Roman;Times;serif"/>
          <w:sz w:val="20"/>
        </w:rPr>
        <w:t>” means JPMorgan, in its capacity as administrative agent under the Loan Documents, or any successor administrative agent.</w:t>
      </w:r>
    </w:p>
    <w:p>
      <w:pPr>
        <w:pStyle w:val="TextBody"/>
        <w:bidi w:val="0"/>
        <w:spacing w:before="0" w:after="240"/>
        <w:ind w:left="0" w:right="0" w:firstLine="1440"/>
        <w:jc w:val="both"/>
        <w:rPr/>
      </w:pPr>
      <w:r>
        <w:rPr/>
        <w:t>“</w:t>
      </w:r>
      <w:r>
        <w:rPr>
          <w:rFonts w:ascii="Times New Roman;Times;serif" w:hAnsi="Times New Roman;Times;serif"/>
          <w:sz w:val="20"/>
          <w:u w:val="single"/>
        </w:rPr>
        <w:t>Administrative Questionnaire</w:t>
      </w:r>
      <w:r>
        <w:rPr>
          <w:rFonts w:ascii="Times New Roman;Times;serif" w:hAnsi="Times New Roman;Times;serif"/>
          <w:sz w:val="20"/>
        </w:rPr>
        <w:t>” means an Administrative Questionnaire in a form supplied by the Administrative Agent.</w:t>
      </w:r>
    </w:p>
    <w:p>
      <w:pPr>
        <w:pStyle w:val="TextBody"/>
        <w:bidi w:val="0"/>
        <w:spacing w:before="0" w:after="240"/>
        <w:ind w:left="0" w:right="0" w:firstLine="1440"/>
        <w:jc w:val="both"/>
        <w:rPr/>
      </w:pPr>
      <w:r>
        <w:rPr/>
        <w:t>“</w:t>
      </w:r>
      <w:r>
        <w:rPr>
          <w:rFonts w:ascii="Times New Roman;Times;serif" w:hAnsi="Times New Roman;Times;serif"/>
          <w:sz w:val="20"/>
          <w:u w:val="single"/>
        </w:rPr>
        <w:t>Affected Financial Institution</w:t>
      </w:r>
      <w:r>
        <w:rPr>
          <w:rFonts w:ascii="Times New Roman;Times;serif" w:hAnsi="Times New Roman;Times;serif"/>
          <w:sz w:val="20"/>
        </w:rPr>
        <w:t>” means (a) any EEA Financial Institution or (b) any UK Financial Institution.</w:t>
      </w:r>
    </w:p>
    <w:p>
      <w:pPr>
        <w:pStyle w:val="TextBody"/>
        <w:bidi w:val="0"/>
        <w:spacing w:before="0" w:after="240"/>
        <w:ind w:left="0" w:right="0" w:firstLine="1440"/>
        <w:jc w:val="both"/>
        <w:rPr/>
      </w:pPr>
      <w:r>
        <w:rPr/>
        <w:t>“</w:t>
      </w:r>
      <w:r>
        <w:rPr>
          <w:rFonts w:ascii="Times New Roman;Times;serif" w:hAnsi="Times New Roman;Times;serif"/>
          <w:sz w:val="20"/>
          <w:u w:val="single"/>
        </w:rPr>
        <w:t>Affiliate</w:t>
      </w:r>
      <w:r>
        <w:rPr>
          <w:rFonts w:ascii="Times New Roman;Times;serif" w:hAnsi="Times New Roman;Times;serif"/>
          <w:sz w:val="20"/>
        </w:rPr>
        <w:t>” means, with respect to a specified Person, another Person that directly, or indirectly through one or more intermediaries, Controls or is Controlled by or is under common Control with the Person specified.</w:t>
      </w:r>
    </w:p>
    <w:p>
      <w:pPr>
        <w:pStyle w:val="TextBody"/>
        <w:bidi w:val="0"/>
        <w:spacing w:before="0" w:after="240"/>
        <w:ind w:left="0" w:right="0" w:firstLine="1440"/>
        <w:jc w:val="both"/>
        <w:rPr/>
      </w:pPr>
      <w:r>
        <w:rPr/>
        <w:t>“</w:t>
      </w:r>
      <w:r>
        <w:rPr>
          <w:rFonts w:ascii="Times New Roman;Times;serif" w:hAnsi="Times New Roman;Times;serif"/>
          <w:sz w:val="20"/>
          <w:u w:val="single"/>
        </w:rPr>
        <w:t>Aggregate Revolving Commitments</w:t>
      </w:r>
      <w:r>
        <w:rPr>
          <w:rFonts w:ascii="Times New Roman;Times;serif" w:hAnsi="Times New Roman;Times;serif"/>
          <w:sz w:val="20"/>
        </w:rPr>
        <w:t>” means, at any time, the aggregate amount of Revolving Commitments in effect at such time.</w:t>
      </w:r>
    </w:p>
    <w:p>
      <w:pPr>
        <w:pStyle w:val="TextBody"/>
        <w:bidi w:val="0"/>
        <w:spacing w:before="0" w:after="240"/>
        <w:ind w:left="0" w:right="0" w:firstLine="1440"/>
        <w:jc w:val="both"/>
        <w:rPr/>
      </w:pPr>
      <w:r>
        <w:rPr/>
        <w:t>“</w:t>
      </w:r>
      <w:r>
        <w:rPr>
          <w:rFonts w:ascii="Times New Roman;Times;serif" w:hAnsi="Times New Roman;Times;serif"/>
          <w:sz w:val="20"/>
          <w:u w:val="single"/>
        </w:rPr>
        <w:t>Aggregate Revolving Credit Exposure</w:t>
      </w:r>
      <w:r>
        <w:rPr>
          <w:rFonts w:ascii="Times New Roman;Times;serif" w:hAnsi="Times New Roman;Times;serif"/>
          <w:sz w:val="20"/>
        </w:rPr>
        <w:t>” means, at any time, the sum of (a) the sum of the U.S. Dollar Equivalents of the aggregate principal amount of the Revolving Loans outstanding at such time, (b) the total LC Exposure at such time and (c) the aggregate principal amount of Swingline Loans outstanding at such time.</w:t>
      </w:r>
    </w:p>
    <w:p>
      <w:pPr>
        <w:pStyle w:val="TextBody"/>
        <w:bidi w:val="0"/>
        <w:spacing w:before="0" w:after="240"/>
        <w:ind w:left="0" w:right="0" w:firstLine="1440"/>
        <w:jc w:val="both"/>
        <w:rPr/>
      </w:pPr>
      <w:r>
        <w:rPr/>
        <w:t>“</w:t>
      </w:r>
      <w:r>
        <w:rPr>
          <w:rFonts w:ascii="Times New Roman;Times;serif" w:hAnsi="Times New Roman;Times;serif"/>
          <w:sz w:val="20"/>
          <w:u w:val="single"/>
        </w:rPr>
        <w:t>Agreed Currencies</w:t>
      </w:r>
      <w:r>
        <w:rPr>
          <w:rFonts w:ascii="Times New Roman;Times;serif" w:hAnsi="Times New Roman;Times;serif"/>
          <w:sz w:val="20"/>
        </w:rPr>
        <w:t>” means U.S. Dollars and each Alternative Currency.</w:t>
      </w:r>
    </w:p>
    <w:p>
      <w:pPr>
        <w:pStyle w:val="TextBody"/>
        <w:bidi w:val="0"/>
        <w:spacing w:before="0" w:after="240"/>
        <w:ind w:left="0" w:right="0" w:firstLine="1440"/>
        <w:jc w:val="both"/>
        <w:rPr/>
      </w:pPr>
      <w:r>
        <w:rPr/>
        <w:t>“</w:t>
      </w:r>
      <w:r>
        <w:rPr>
          <w:rFonts w:ascii="Times New Roman;Times;serif" w:hAnsi="Times New Roman;Times;serif"/>
          <w:sz w:val="20"/>
          <w:u w:val="single"/>
        </w:rPr>
        <w:t>Agreement</w:t>
      </w:r>
      <w:r>
        <w:rPr>
          <w:rFonts w:ascii="Times New Roman;Times;serif" w:hAnsi="Times New Roman;Times;serif"/>
          <w:sz w:val="20"/>
        </w:rPr>
        <w:t>” has the meaning assigned to such term in the preamble hereto.</w:t>
      </w:r>
    </w:p>
    <w:p>
      <w:pPr>
        <w:pStyle w:val="TextBody"/>
        <w:bidi w:val="0"/>
        <w:spacing w:before="0" w:after="240"/>
        <w:ind w:left="0" w:right="0" w:firstLine="1440"/>
        <w:jc w:val="both"/>
        <w:rPr/>
      </w:pPr>
      <w:r>
        <w:rPr/>
        <w:t>“</w:t>
      </w:r>
      <w:r>
        <w:rPr>
          <w:rFonts w:ascii="Times New Roman;Times;serif" w:hAnsi="Times New Roman;Times;serif"/>
          <w:sz w:val="20"/>
          <w:u w:val="single"/>
        </w:rPr>
        <w:t>Agreement Currency</w:t>
      </w:r>
      <w:r>
        <w:rPr>
          <w:rFonts w:ascii="Times New Roman;Times;serif" w:hAnsi="Times New Roman;Times;serif"/>
          <w:sz w:val="20"/>
        </w:rPr>
        <w:t xml:space="preserve">” has the meaning assigned to such term in </w:t>
      </w:r>
      <w:r>
        <w:rPr>
          <w:rFonts w:ascii="Times New Roman;Times;serif" w:hAnsi="Times New Roman;Times;serif"/>
          <w:sz w:val="20"/>
          <w:u w:val="single"/>
        </w:rPr>
        <w:t>Section 9.14(b)</w:t>
      </w:r>
      <w:r>
        <w:rPr>
          <w:rFonts w:ascii="Times New Roman;Times;serif" w:hAnsi="Times New Roman;Times;serif"/>
          <w:sz w:val="20"/>
        </w:rPr>
        <w:t>.</w:t>
      </w:r>
    </w:p>
    <w:p>
      <w:pPr>
        <w:pStyle w:val="TextBody"/>
        <w:bidi w:val="0"/>
        <w:spacing w:before="0" w:after="240"/>
        <w:ind w:left="0" w:right="0" w:firstLine="1440"/>
        <w:jc w:val="both"/>
        <w:rPr/>
      </w:pPr>
      <w:r>
        <w:rPr/>
        <w:t>“</w:t>
      </w:r>
      <w:r>
        <w:rPr>
          <w:rFonts w:ascii="Times New Roman;Times;serif" w:hAnsi="Times New Roman;Times;serif"/>
          <w:sz w:val="20"/>
          <w:u w:val="single"/>
        </w:rPr>
        <w:t>Alternative Currency</w:t>
      </w:r>
      <w:r>
        <w:rPr>
          <w:rFonts w:ascii="Times New Roman;Times;serif" w:hAnsi="Times New Roman;Times;serif"/>
          <w:sz w:val="20"/>
        </w:rPr>
        <w:t>” means each of Sterling and Euros.</w:t>
      </w:r>
    </w:p>
    <w:p>
      <w:pPr>
        <w:pStyle w:val="TextBody"/>
        <w:bidi w:val="0"/>
        <w:spacing w:before="0" w:after="240"/>
        <w:ind w:left="0" w:right="0" w:firstLine="1440"/>
        <w:jc w:val="both"/>
        <w:rPr/>
      </w:pPr>
      <w:r>
        <w:rPr/>
        <w:t>“</w:t>
      </w:r>
      <w:r>
        <w:rPr>
          <w:rFonts w:ascii="Times New Roman;Times;serif" w:hAnsi="Times New Roman;Times;serif"/>
          <w:sz w:val="20"/>
          <w:u w:val="single"/>
        </w:rPr>
        <w:t>Ancillary Document</w:t>
      </w:r>
      <w:r>
        <w:rPr>
          <w:rFonts w:ascii="Times New Roman;Times;serif" w:hAnsi="Times New Roman;Times;serif"/>
          <w:sz w:val="20"/>
        </w:rPr>
        <w:t xml:space="preserve">” has the meaning assigned to such term in </w:t>
      </w:r>
      <w:r>
        <w:rPr>
          <w:rFonts w:ascii="Times New Roman;Times;serif" w:hAnsi="Times New Roman;Times;serif"/>
          <w:sz w:val="20"/>
          <w:u w:val="single"/>
        </w:rPr>
        <w:t>Section 9.06(b)</w:t>
      </w:r>
      <w:r>
        <w:rPr>
          <w:rFonts w:ascii="Times New Roman;Times;serif" w:hAnsi="Times New Roman;Times;serif"/>
          <w:sz w:val="20"/>
        </w:rPr>
        <w:t>.</w:t>
      </w:r>
    </w:p>
    <w:p>
      <w:pPr>
        <w:pStyle w:val="TextBody"/>
        <w:bidi w:val="0"/>
        <w:spacing w:before="0" w:after="240"/>
        <w:ind w:left="0" w:right="0" w:firstLine="1440"/>
        <w:jc w:val="both"/>
        <w:rPr/>
      </w:pPr>
      <w:r>
        <w:rPr/>
        <w:t>“</w:t>
      </w:r>
      <w:r>
        <w:rPr>
          <w:rFonts w:ascii="Times New Roman;Times;serif" w:hAnsi="Times New Roman;Times;serif"/>
          <w:sz w:val="20"/>
          <w:u w:val="single"/>
        </w:rPr>
        <w:t>Anti-Corruption Laws</w:t>
      </w:r>
      <w:r>
        <w:rPr>
          <w:rFonts w:ascii="Times New Roman;Times;serif" w:hAnsi="Times New Roman;Times;serif"/>
          <w:sz w:val="20"/>
        </w:rPr>
        <w:t>” means all laws, rules, and regulations of any jurisdiction applicable to the Company or any of its Subsidiaries from time to time concerning or relating to bribery or corruption, including the United States Foreign Corrupt Practices Act of 1977, as amended, and the UK Bribery Act</w:t>
      </w:r>
      <w:r>
        <w:rPr>
          <w:rFonts w:ascii="Times New Roman;Times;serif" w:hAnsi="Times New Roman;Times;serif"/>
          <w:color w:val="0000FF"/>
          <w:sz w:val="20"/>
          <w:u w:val="single"/>
        </w:rPr>
        <w:t xml:space="preserve"> of 2010</w:t>
      </w:r>
      <w:r>
        <w:rPr>
          <w:rFonts w:ascii="Times New Roman;Times;serif" w:hAnsi="Times New Roman;Times;serif"/>
          <w:sz w:val="20"/>
        </w:rPr>
        <w:t>.</w:t>
      </w:r>
    </w:p>
    <w:p>
      <w:pPr>
        <w:pStyle w:val="TextBody"/>
        <w:bidi w:val="0"/>
        <w:spacing w:before="0" w:after="240"/>
        <w:ind w:left="0" w:right="0" w:firstLine="1440"/>
        <w:jc w:val="both"/>
        <w:rPr/>
      </w:pPr>
      <w:r>
        <w:rPr/>
        <w:t>“</w:t>
      </w:r>
      <w:r>
        <w:rPr>
          <w:rFonts w:ascii="Times New Roman;Times;serif" w:hAnsi="Times New Roman;Times;serif"/>
          <w:sz w:val="20"/>
          <w:u w:val="single"/>
        </w:rPr>
        <w:t>Applicable Creditor</w:t>
      </w:r>
      <w:r>
        <w:rPr>
          <w:rFonts w:ascii="Times New Roman;Times;serif" w:hAnsi="Times New Roman;Times;serif"/>
          <w:sz w:val="20"/>
        </w:rPr>
        <w:t xml:space="preserve">” has the meaning assigned to such term in </w:t>
      </w:r>
      <w:r>
        <w:rPr>
          <w:rFonts w:ascii="Times New Roman;Times;serif" w:hAnsi="Times New Roman;Times;serif"/>
          <w:sz w:val="20"/>
          <w:u w:val="single"/>
        </w:rPr>
        <w:t>Section 9.14(b)</w:t>
      </w:r>
      <w:r>
        <w:rPr>
          <w:rFonts w:ascii="Times New Roman;Times;serif" w:hAnsi="Times New Roman;Times;serif"/>
          <w:sz w:val="20"/>
        </w:rPr>
        <w:t>.</w:t>
      </w:r>
    </w:p>
    <w:p>
      <w:pPr>
        <w:pStyle w:val="TextBody"/>
        <w:bidi w:val="0"/>
        <w:spacing w:before="0" w:after="240"/>
        <w:ind w:left="0" w:right="0" w:firstLine="1440"/>
        <w:jc w:val="both"/>
        <w:rPr/>
      </w:pPr>
      <w:r>
        <w:rPr/>
        <w:t>“</w:t>
      </w:r>
      <w:r>
        <w:rPr>
          <w:rFonts w:ascii="Times New Roman;Times;serif" w:hAnsi="Times New Roman;Times;serif"/>
          <w:sz w:val="20"/>
          <w:u w:val="single"/>
        </w:rPr>
        <w:t>Applicable Percentage</w:t>
      </w:r>
      <w:r>
        <w:rPr>
          <w:rFonts w:ascii="Times New Roman;Times;serif" w:hAnsi="Times New Roman;Times;serif"/>
          <w:sz w:val="20"/>
        </w:rPr>
        <w:t xml:space="preserve">” means, with respect to any Revolving Lender at any time, the percentage of the Aggregate Revolving Commitments represented by such Lender’s Revolving Commitment at such time; </w:t>
      </w:r>
      <w:r>
        <w:rPr>
          <w:rFonts w:ascii="Times New Roman;Times;serif" w:hAnsi="Times New Roman;Times;serif"/>
          <w:sz w:val="20"/>
          <w:u w:val="single"/>
        </w:rPr>
        <w:t>provided</w:t>
      </w:r>
      <w:r>
        <w:rPr>
          <w:rFonts w:ascii="Times New Roman;Times;serif" w:hAnsi="Times New Roman;Times;serif"/>
          <w:sz w:val="20"/>
        </w:rPr>
        <w:t xml:space="preserve"> that, in the case of </w:t>
      </w:r>
      <w:r>
        <w:rPr>
          <w:rFonts w:ascii="Times New Roman;Times;serif" w:hAnsi="Times New Roman;Times;serif"/>
          <w:sz w:val="20"/>
          <w:u w:val="single"/>
        </w:rPr>
        <w:t>Section 2.22</w:t>
      </w:r>
      <w:r>
        <w:rPr>
          <w:rFonts w:ascii="Times New Roman;Times;serif" w:hAnsi="Times New Roman;Times;serif"/>
          <w:sz w:val="20"/>
        </w:rPr>
        <w:t xml:space="preserve"> when a Defaulting Revolving Lender shall exist, “Applicable Percentage” shall mean, with respect to any Revolving Lender at any such time, the percentage of the Aggregate Revolving Commitments (disregarding any Defaulting Revolving Lender’s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Revolving Commitment) represented by such Lender’s Revolving Commitment at such time. If the Revolving Commitments have terminated or expired, the Applicable Percentages shall be determined based upon the Revolving Commitments most recently in effect, giving effect to any assignments and to any Revolving Lender’s status as a Defaulting Revolving Lender at the time of such determination.</w:t>
      </w:r>
    </w:p>
    <w:p>
      <w:pPr>
        <w:pStyle w:val="TextBody"/>
        <w:bidi w:val="0"/>
        <w:spacing w:before="0" w:after="240"/>
        <w:ind w:left="0" w:right="0" w:firstLine="1440"/>
        <w:jc w:val="both"/>
        <w:rPr/>
      </w:pPr>
      <w:r>
        <w:rPr/>
        <w:t>“</w:t>
      </w:r>
      <w:r>
        <w:rPr>
          <w:rFonts w:ascii="Times New Roman;Times;serif" w:hAnsi="Times New Roman;Times;serif"/>
          <w:sz w:val="20"/>
          <w:u w:val="single"/>
        </w:rPr>
        <w:t>Applicable Rate</w:t>
      </w:r>
      <w:r>
        <w:rPr>
          <w:rFonts w:ascii="Times New Roman;Times;serif" w:hAnsi="Times New Roman;Times;serif"/>
          <w:sz w:val="20"/>
        </w:rPr>
        <w:t xml:space="preserve">” means, for any day, (a) with respect to any Revolving Loan of any Type (in the case of Daily Simple SOFR Loans, only if such Type is applicable pursuant to </w:t>
      </w:r>
      <w:r>
        <w:rPr>
          <w:rFonts w:ascii="Times New Roman;Times;serif" w:hAnsi="Times New Roman;Times;serif"/>
          <w:sz w:val="20"/>
          <w:u w:val="single"/>
        </w:rPr>
        <w:t>Section 2.13</w:t>
      </w:r>
      <w:r>
        <w:rPr>
          <w:rFonts w:ascii="Times New Roman;Times;serif" w:hAnsi="Times New Roman;Times;serif"/>
          <w:sz w:val="20"/>
        </w:rPr>
        <w:t>) or any Swingline Loan or with respect to Letter of Credit Fees or the Commitment Fees payable hereunder, the applicable rate per annum set forth below under the caption “Applicable Margin for Term Benchmark Loans / RFR Loans and Letter of Credit Fees”, “Applicable Margin for Base Rate Loans” or “Commitment Fee”, as the case may be, based upon the Applicable Ratings or the Total Net Leverage Ratio, as applicable:</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Revolving Facility</w:t>
      </w:r>
    </w:p>
    <w:p>
      <w:pPr>
        <w:pStyle w:val="TextBody"/>
        <w:bidi w:val="0"/>
        <w:spacing w:before="0" w:after="0"/>
        <w:ind w:left="0" w:right="0" w:hanging="0"/>
        <w:jc w:val="left"/>
        <w:rPr/>
      </w:pPr>
      <w:r>
        <w:rPr/>
        <w:t>​</w:t>
      </w:r>
    </w:p>
    <w:tbl>
      <w:tblPr>
        <w:tblW w:w="8571" w:type="dxa"/>
        <w:jc w:val="left"/>
        <w:tblInd w:w="0" w:type="dxa"/>
        <w:tblLayout w:type="fixed"/>
        <w:tblCellMar>
          <w:top w:w="0" w:type="dxa"/>
          <w:left w:w="0" w:type="dxa"/>
          <w:bottom w:w="0" w:type="dxa"/>
          <w:right w:w="0" w:type="dxa"/>
        </w:tblCellMar>
      </w:tblPr>
      <w:tblGrid>
        <w:gridCol w:w="1126"/>
        <w:gridCol w:w="1666"/>
        <w:gridCol w:w="1696"/>
        <w:gridCol w:w="1261"/>
        <w:gridCol w:w="1681"/>
        <w:gridCol w:w="1141"/>
      </w:tblGrid>
      <w:tr>
        <w:trPr/>
        <w:tc>
          <w:tcPr>
            <w:tcW w:w="1126"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c>
        <w:tc>
          <w:tcPr>
            <w:tcW w:w="169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r>
      <w:tr>
        <w:trPr/>
        <w:tc>
          <w:tcPr>
            <w:tcW w:w="11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Category</w:t>
            </w:r>
          </w:p>
        </w:tc>
        <w:tc>
          <w:tcPr>
            <w:tcW w:w="166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Ratings</w:t>
              <w:br/>
              <w:t xml:space="preserve">(S&amp;P/Moody’s/ </w:t>
              <w:br/>
              <w:t>Fitch)</w:t>
            </w:r>
          </w:p>
        </w:tc>
        <w:tc>
          <w:tcPr>
            <w:tcW w:w="16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Total Net </w:t>
              <w:br/>
              <w:t>Leverage Ratio</w:t>
            </w:r>
          </w:p>
        </w:tc>
        <w:tc>
          <w:tcPr>
            <w:tcW w:w="12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 xml:space="preserve">Commitment </w:t>
            </w:r>
            <w:r>
              <w:rPr>
                <w:rFonts w:ascii="Times New Roman;Times;serif" w:hAnsi="Times New Roman;Times;serif"/>
                <w:sz w:val="20"/>
              </w:rPr>
              <w:br/>
            </w:r>
            <w:r>
              <w:rPr>
                <w:rFonts w:ascii="Times New Roman;Times;serif" w:hAnsi="Times New Roman;Times;serif"/>
                <w:b/>
                <w:sz w:val="20"/>
              </w:rPr>
              <w:t>Fee</w:t>
            </w:r>
          </w:p>
        </w:tc>
        <w:tc>
          <w:tcPr>
            <w:tcW w:w="16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Applicable </w:t>
              <w:br/>
              <w:t xml:space="preserve">Margin for </w:t>
              <w:br/>
              <w:t>Term Benchmark/</w:t>
              <w:br/>
              <w:t xml:space="preserve">RFR Loans </w:t>
              <w:br/>
              <w:t xml:space="preserve">and Letter of </w:t>
              <w:br/>
              <w:t>Credit Fees</w:t>
            </w:r>
          </w:p>
        </w:tc>
        <w:tc>
          <w:tcPr>
            <w:tcW w:w="114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Applicable </w:t>
              <w:br/>
              <w:t xml:space="preserve">Margin for </w:t>
              <w:br/>
              <w:t xml:space="preserve">Base Rate </w:t>
              <w:br/>
              <w:t>Loans</w:t>
            </w:r>
          </w:p>
        </w:tc>
      </w:tr>
      <w:tr>
        <w:trPr/>
        <w:tc>
          <w:tcPr>
            <w:tcW w:w="1126" w:type="dxa"/>
            <w:tcBorders>
              <w:top w:val="single" w:sz="2" w:space="0" w:color="000000"/>
              <w:left w:val="single" w:sz="2" w:space="0" w:color="000000"/>
              <w:bottom w:val="single" w:sz="2" w:space="0" w:color="000000"/>
              <w:right w:val="single" w:sz="2" w:space="0" w:color="000000"/>
            </w:tcBorders>
            <w:shd w:fill="CCCCFF" w:val="clear"/>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color w:val="0000FF"/>
                <w:sz w:val="20"/>
                <w:u w:val="single"/>
              </w:rPr>
            </w:pPr>
            <w:r>
              <w:rPr>
                <w:rFonts w:ascii="Times New Roman;Times;serif" w:hAnsi="Times New Roman;Times;serif"/>
                <w:color w:val="0000FF"/>
                <w:sz w:val="20"/>
                <w:u w:val="single"/>
              </w:rPr>
              <w:t>Category 1</w:t>
            </w:r>
          </w:p>
        </w:tc>
        <w:tc>
          <w:tcPr>
            <w:tcW w:w="1666" w:type="dxa"/>
            <w:tcBorders>
              <w:top w:val="single" w:sz="2" w:space="0" w:color="000000"/>
              <w:left w:val="single" w:sz="2" w:space="0" w:color="000000"/>
              <w:bottom w:val="single" w:sz="2" w:space="0" w:color="000000"/>
              <w:right w:val="single" w:sz="2" w:space="0" w:color="000000"/>
            </w:tcBorders>
            <w:shd w:fill="CCCCFF" w:val="clear"/>
            <w:tcMar>
              <w:top w:w="28" w:type="dxa"/>
              <w:left w:w="28" w:type="dxa"/>
              <w:bottom w:w="28" w:type="dxa"/>
              <w:right w:w="28" w:type="dxa"/>
            </w:tcMar>
            <w:vAlign w:val="center"/>
          </w:tcPr>
          <w:p>
            <w:pPr>
              <w:pStyle w:val="TableContents"/>
              <w:bidi w:val="0"/>
              <w:spacing w:before="0" w:after="0"/>
              <w:ind w:left="0" w:right="0" w:hanging="0"/>
              <w:jc w:val="both"/>
              <w:rPr>
                <w:color w:val="0000FF"/>
                <w:u w:val="single"/>
              </w:rPr>
            </w:pPr>
            <w:r>
              <w:rPr>
                <w:color w:val="0000FF"/>
                <w:u w:val="single"/>
              </w:rPr>
              <w:t xml:space="preserve">≥ </w:t>
            </w:r>
            <w:r>
              <w:rPr>
                <w:rFonts w:ascii="Times New Roman;Times;serif" w:hAnsi="Times New Roman;Times;serif"/>
                <w:color w:val="0000FF"/>
                <w:sz w:val="20"/>
                <w:u w:val="single"/>
              </w:rPr>
              <w:t>A/A2/A</w:t>
            </w:r>
          </w:p>
        </w:tc>
        <w:tc>
          <w:tcPr>
            <w:tcW w:w="1696" w:type="dxa"/>
            <w:tcBorders>
              <w:top w:val="single" w:sz="2" w:space="0" w:color="000000"/>
              <w:left w:val="single" w:sz="2" w:space="0" w:color="000000"/>
              <w:bottom w:val="single" w:sz="2" w:space="0" w:color="000000"/>
              <w:right w:val="single" w:sz="2" w:space="0" w:color="000000"/>
            </w:tcBorders>
            <w:shd w:fill="CCCCFF" w:val="clear"/>
            <w:tcMar>
              <w:top w:w="28" w:type="dxa"/>
              <w:left w:w="28" w:type="dxa"/>
              <w:bottom w:w="28" w:type="dxa"/>
              <w:right w:w="28" w:type="dxa"/>
            </w:tcMar>
            <w:vAlign w:val="center"/>
          </w:tcPr>
          <w:p>
            <w:pPr>
              <w:pStyle w:val="TableContents"/>
              <w:bidi w:val="0"/>
              <w:spacing w:before="0" w:after="0"/>
              <w:ind w:left="0" w:right="0" w:hanging="0"/>
              <w:jc w:val="left"/>
              <w:rPr>
                <w:color w:val="0000FF"/>
                <w:u w:val="single"/>
              </w:rPr>
            </w:pPr>
            <w:r>
              <w:rPr>
                <w:color w:val="0000FF"/>
                <w:u w:val="single"/>
              </w:rPr>
              <w:t xml:space="preserve">≤ </w:t>
            </w:r>
            <w:r>
              <w:rPr>
                <w:rFonts w:ascii="Times New Roman;Times;serif" w:hAnsi="Times New Roman;Times;serif"/>
                <w:color w:val="0000FF"/>
                <w:sz w:val="20"/>
                <w:u w:val="single"/>
              </w:rPr>
              <w:t>0.25x</w:t>
            </w:r>
          </w:p>
        </w:tc>
        <w:tc>
          <w:tcPr>
            <w:tcW w:w="1261" w:type="dxa"/>
            <w:tcBorders>
              <w:top w:val="single" w:sz="2" w:space="0" w:color="000000"/>
              <w:left w:val="single" w:sz="2" w:space="0" w:color="000000"/>
              <w:bottom w:val="single" w:sz="2" w:space="0" w:color="000000"/>
              <w:right w:val="single" w:sz="2" w:space="0" w:color="000000"/>
            </w:tcBorders>
            <w:shd w:fill="CCCCFF"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color w:val="0000FF"/>
                <w:sz w:val="20"/>
                <w:u w:val="single"/>
              </w:rPr>
            </w:pPr>
            <w:r>
              <w:rPr>
                <w:rFonts w:ascii="Times New Roman;Times;serif" w:hAnsi="Times New Roman;Times;serif"/>
                <w:color w:val="0000FF"/>
                <w:sz w:val="20"/>
                <w:u w:val="single"/>
              </w:rPr>
              <w:t>0.070%</w:t>
            </w:r>
          </w:p>
        </w:tc>
        <w:tc>
          <w:tcPr>
            <w:tcW w:w="1681" w:type="dxa"/>
            <w:tcBorders>
              <w:top w:val="single" w:sz="2" w:space="0" w:color="000000"/>
              <w:left w:val="single" w:sz="2" w:space="0" w:color="000000"/>
              <w:bottom w:val="single" w:sz="2" w:space="0" w:color="000000"/>
              <w:right w:val="single" w:sz="2" w:space="0" w:color="000000"/>
            </w:tcBorders>
            <w:shd w:fill="CCCCFF"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color w:val="0000FF"/>
                <w:sz w:val="20"/>
                <w:u w:val="single"/>
              </w:rPr>
            </w:pPr>
            <w:r>
              <w:rPr>
                <w:rFonts w:ascii="Times New Roman;Times;serif" w:hAnsi="Times New Roman;Times;serif"/>
                <w:color w:val="0000FF"/>
                <w:sz w:val="20"/>
                <w:u w:val="single"/>
              </w:rPr>
              <w:t>0.875%</w:t>
            </w:r>
          </w:p>
        </w:tc>
        <w:tc>
          <w:tcPr>
            <w:tcW w:w="1141" w:type="dxa"/>
            <w:tcBorders>
              <w:top w:val="single" w:sz="2" w:space="0" w:color="000000"/>
              <w:left w:val="single" w:sz="2" w:space="0" w:color="000000"/>
              <w:bottom w:val="single" w:sz="2" w:space="0" w:color="000000"/>
              <w:right w:val="single" w:sz="2" w:space="0" w:color="000000"/>
            </w:tcBorders>
            <w:shd w:fill="CCCCFF"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color w:val="0000FF"/>
                <w:sz w:val="20"/>
                <w:u w:val="single"/>
              </w:rPr>
            </w:pPr>
            <w:r>
              <w:rPr>
                <w:rFonts w:ascii="Times New Roman;Times;serif" w:hAnsi="Times New Roman;Times;serif"/>
                <w:color w:val="0000FF"/>
                <w:sz w:val="20"/>
                <w:u w:val="single"/>
              </w:rPr>
              <w:t>0.000%</w:t>
            </w:r>
          </w:p>
        </w:tc>
      </w:tr>
      <w:tr>
        <w:trPr/>
        <w:tc>
          <w:tcPr>
            <w:tcW w:w="11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Category </w:t>
            </w:r>
            <w:r>
              <w:rPr>
                <w:rFonts w:ascii="Times New Roman;Times;serif" w:hAnsi="Times New Roman;Times;serif"/>
                <w:color w:val="FF0000"/>
                <w:sz w:val="20"/>
              </w:rPr>
              <w:t>1</w:t>
            </w:r>
            <w:r>
              <w:rPr>
                <w:rFonts w:ascii="Times New Roman;Times;serif" w:hAnsi="Times New Roman;Times;serif"/>
                <w:color w:val="0000FF"/>
                <w:sz w:val="20"/>
                <w:u w:val="single"/>
              </w:rPr>
              <w:t>2</w:t>
            </w:r>
          </w:p>
        </w:tc>
        <w:tc>
          <w:tcPr>
            <w:tcW w:w="166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pPr>
            <w:r>
              <w:rPr>
                <w:color w:val="FF0000"/>
              </w:rPr>
              <w:t>≥</w:t>
            </w:r>
            <w:r>
              <w:rPr/>
              <w:t xml:space="preserve"> </w:t>
            </w:r>
            <w:r>
              <w:rPr>
                <w:rFonts w:ascii="Times New Roman;Times;serif" w:hAnsi="Times New Roman;Times;serif"/>
                <w:sz w:val="20"/>
              </w:rPr>
              <w:t>A-/A3/A-</w:t>
            </w:r>
          </w:p>
        </w:tc>
        <w:tc>
          <w:tcPr>
            <w:tcW w:w="16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color w:val="0000FF"/>
                <w:sz w:val="20"/>
                <w:u w:val="single"/>
              </w:rPr>
              <w:t xml:space="preserve">&gt; 0.25x but </w:t>
            </w:r>
            <w:r>
              <w:rPr>
                <w:rFonts w:ascii="Times New Roman;Times;serif" w:hAnsi="Times New Roman;Times;serif"/>
                <w:sz w:val="20"/>
              </w:rPr>
              <w:t>≤ 0.50x</w:t>
            </w:r>
          </w:p>
        </w:tc>
        <w:tc>
          <w:tcPr>
            <w:tcW w:w="12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0.090%</w:t>
            </w:r>
          </w:p>
        </w:tc>
        <w:tc>
          <w:tcPr>
            <w:tcW w:w="16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0.875%</w:t>
            </w:r>
          </w:p>
        </w:tc>
        <w:tc>
          <w:tcPr>
            <w:tcW w:w="114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0.000%</w:t>
            </w:r>
          </w:p>
        </w:tc>
      </w:tr>
      <w:tr>
        <w:trPr/>
        <w:tc>
          <w:tcPr>
            <w:tcW w:w="11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Category </w:t>
            </w:r>
            <w:r>
              <w:rPr>
                <w:rFonts w:ascii="Times New Roman;Times;serif" w:hAnsi="Times New Roman;Times;serif"/>
                <w:color w:val="FF0000"/>
                <w:sz w:val="20"/>
              </w:rPr>
              <w:t>2</w:t>
            </w:r>
            <w:r>
              <w:rPr>
                <w:rFonts w:ascii="Times New Roman;Times;serif" w:hAnsi="Times New Roman;Times;serif"/>
                <w:color w:val="0000FF"/>
                <w:sz w:val="20"/>
                <w:u w:val="single"/>
              </w:rPr>
              <w:t>3</w:t>
            </w:r>
          </w:p>
        </w:tc>
        <w:tc>
          <w:tcPr>
            <w:tcW w:w="166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BBB+/Baa1/BBB+</w:t>
            </w:r>
          </w:p>
        </w:tc>
        <w:tc>
          <w:tcPr>
            <w:tcW w:w="16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&gt; 0.50x but ≤ 1.00x</w:t>
            </w:r>
          </w:p>
        </w:tc>
        <w:tc>
          <w:tcPr>
            <w:tcW w:w="12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0.100%</w:t>
            </w:r>
          </w:p>
        </w:tc>
        <w:tc>
          <w:tcPr>
            <w:tcW w:w="16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1.000%</w:t>
            </w:r>
          </w:p>
        </w:tc>
        <w:tc>
          <w:tcPr>
            <w:tcW w:w="114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0.000%</w:t>
            </w:r>
          </w:p>
        </w:tc>
      </w:tr>
      <w:tr>
        <w:trPr/>
        <w:tc>
          <w:tcPr>
            <w:tcW w:w="11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Category </w:t>
            </w:r>
            <w:r>
              <w:rPr>
                <w:rFonts w:ascii="Times New Roman;Times;serif" w:hAnsi="Times New Roman;Times;serif"/>
                <w:color w:val="FF0000"/>
                <w:sz w:val="20"/>
              </w:rPr>
              <w:t>3</w:t>
            </w:r>
            <w:r>
              <w:rPr>
                <w:rFonts w:ascii="Times New Roman;Times;serif" w:hAnsi="Times New Roman;Times;serif"/>
                <w:color w:val="0000FF"/>
                <w:sz w:val="20"/>
                <w:u w:val="single"/>
              </w:rPr>
              <w:t>4</w:t>
            </w:r>
          </w:p>
        </w:tc>
        <w:tc>
          <w:tcPr>
            <w:tcW w:w="166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BBB/Baa2/BBB</w:t>
            </w:r>
          </w:p>
        </w:tc>
        <w:tc>
          <w:tcPr>
            <w:tcW w:w="16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&gt; 1.00x but ≤ 2.00x</w:t>
            </w:r>
          </w:p>
        </w:tc>
        <w:tc>
          <w:tcPr>
            <w:tcW w:w="12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0.125%</w:t>
            </w:r>
          </w:p>
        </w:tc>
        <w:tc>
          <w:tcPr>
            <w:tcW w:w="16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1.125%</w:t>
            </w:r>
          </w:p>
        </w:tc>
        <w:tc>
          <w:tcPr>
            <w:tcW w:w="114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0.125%</w:t>
            </w:r>
          </w:p>
        </w:tc>
      </w:tr>
      <w:tr>
        <w:trPr/>
        <w:tc>
          <w:tcPr>
            <w:tcW w:w="11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Category </w:t>
            </w:r>
            <w:r>
              <w:rPr>
                <w:rFonts w:ascii="Times New Roman;Times;serif" w:hAnsi="Times New Roman;Times;serif"/>
                <w:color w:val="FF0000"/>
                <w:sz w:val="20"/>
              </w:rPr>
              <w:t>4</w:t>
            </w:r>
            <w:r>
              <w:rPr>
                <w:rFonts w:ascii="Times New Roman;Times;serif" w:hAnsi="Times New Roman;Times;serif"/>
                <w:color w:val="0000FF"/>
                <w:sz w:val="20"/>
                <w:u w:val="single"/>
              </w:rPr>
              <w:t>5</w:t>
            </w:r>
          </w:p>
        </w:tc>
        <w:tc>
          <w:tcPr>
            <w:tcW w:w="166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BBB-/Baa3/BBB-</w:t>
            </w:r>
          </w:p>
        </w:tc>
        <w:tc>
          <w:tcPr>
            <w:tcW w:w="16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&gt; 2.00x but ≤ 3.00x</w:t>
            </w:r>
          </w:p>
        </w:tc>
        <w:tc>
          <w:tcPr>
            <w:tcW w:w="12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0.150%</w:t>
            </w:r>
          </w:p>
        </w:tc>
        <w:tc>
          <w:tcPr>
            <w:tcW w:w="16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1.250%</w:t>
            </w:r>
          </w:p>
        </w:tc>
        <w:tc>
          <w:tcPr>
            <w:tcW w:w="114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0.250%</w:t>
            </w:r>
          </w:p>
        </w:tc>
      </w:tr>
      <w:tr>
        <w:trPr/>
        <w:tc>
          <w:tcPr>
            <w:tcW w:w="11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Category </w:t>
            </w:r>
            <w:r>
              <w:rPr>
                <w:rFonts w:ascii="Times New Roman;Times;serif" w:hAnsi="Times New Roman;Times;serif"/>
                <w:color w:val="FF0000"/>
                <w:sz w:val="20"/>
              </w:rPr>
              <w:t>5</w:t>
            </w:r>
            <w:r>
              <w:rPr>
                <w:rFonts w:ascii="Times New Roman;Times;serif" w:hAnsi="Times New Roman;Times;serif"/>
                <w:color w:val="0000FF"/>
                <w:sz w:val="20"/>
                <w:u w:val="single"/>
              </w:rPr>
              <w:t>6</w:t>
            </w:r>
          </w:p>
        </w:tc>
        <w:tc>
          <w:tcPr>
            <w:tcW w:w="166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pPr>
            <w:r>
              <w:rPr/>
              <w:t xml:space="preserve">≤ </w:t>
            </w:r>
            <w:r>
              <w:rPr>
                <w:rFonts w:ascii="Times New Roman;Times;serif" w:hAnsi="Times New Roman;Times;serif"/>
                <w:sz w:val="20"/>
              </w:rPr>
              <w:t>BB+/Ba1/BB+</w:t>
            </w:r>
          </w:p>
        </w:tc>
        <w:tc>
          <w:tcPr>
            <w:tcW w:w="16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&gt; 3.00x </w:t>
            </w:r>
          </w:p>
        </w:tc>
        <w:tc>
          <w:tcPr>
            <w:tcW w:w="12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0.175%</w:t>
            </w:r>
          </w:p>
        </w:tc>
        <w:tc>
          <w:tcPr>
            <w:tcW w:w="16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1.500%</w:t>
            </w:r>
          </w:p>
        </w:tc>
        <w:tc>
          <w:tcPr>
            <w:tcW w:w="114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0.500%</w:t>
            </w:r>
          </w:p>
        </w:tc>
      </w:tr>
    </w:tbl>
    <w:p>
      <w:pPr>
        <w:pStyle w:val="TextBody"/>
        <w:bidi w:val="0"/>
        <w:spacing w:before="0" w:after="0"/>
        <w:ind w:left="0" w:right="0" w:hanging="0"/>
        <w:jc w:val="left"/>
        <w:rPr/>
      </w:pPr>
      <w:r>
        <w:rPr/>
        <w: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or (b) with respect to any Tranche A Term Loan of any Type (in the case of Daily Simple SOFR Loans, only if such Type is applicable pursuant to </w:t>
      </w:r>
      <w:r>
        <w:rPr>
          <w:rFonts w:ascii="Times New Roman;Times;serif" w:hAnsi="Times New Roman;Times;serif"/>
          <w:sz w:val="20"/>
          <w:u w:val="single"/>
        </w:rPr>
        <w:t>Section 2.13</w:t>
      </w:r>
      <w:r>
        <w:rPr>
          <w:rFonts w:ascii="Times New Roman;Times;serif" w:hAnsi="Times New Roman;Times;serif"/>
          <w:sz w:val="20"/>
        </w:rPr>
        <w:t>) or with respect to the Ticking Fee, the applicable rate per annum set forth below under the caption “Applicable Margin for Term Benchmark Loans / RFR Loans”, “Applicable Margin for Base Rate Loans” or “Ticking Fee”, as the case may be, based upon the Applicable Ratings or the Total Net Leverage Ratio, as applicable:</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Tranche A Term Facility</w:t>
      </w:r>
    </w:p>
    <w:p>
      <w:pPr>
        <w:pStyle w:val="TextBody"/>
        <w:bidi w:val="0"/>
        <w:spacing w:before="0" w:after="0"/>
        <w:ind w:left="0" w:right="0" w:hanging="0"/>
        <w:jc w:val="left"/>
        <w:rPr/>
      </w:pPr>
      <w:r>
        <w:rPr/>
        <w:t>​</w:t>
      </w:r>
    </w:p>
    <w:tbl>
      <w:tblPr>
        <w:tblW w:w="6996" w:type="dxa"/>
        <w:jc w:val="center"/>
        <w:tblInd w:w="0" w:type="dxa"/>
        <w:tblLayout w:type="fixed"/>
        <w:tblCellMar>
          <w:top w:w="0" w:type="dxa"/>
          <w:left w:w="0" w:type="dxa"/>
          <w:bottom w:w="0" w:type="dxa"/>
          <w:right w:w="0" w:type="dxa"/>
        </w:tblCellMar>
      </w:tblPr>
      <w:tblGrid>
        <w:gridCol w:w="916"/>
        <w:gridCol w:w="1456"/>
        <w:gridCol w:w="1426"/>
        <w:gridCol w:w="811"/>
        <w:gridCol w:w="1246"/>
        <w:gridCol w:w="1141"/>
      </w:tblGrid>
      <w:tr>
        <w:trPr/>
        <w:tc>
          <w:tcPr>
            <w:tcW w:w="91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c>
        <w:tc>
          <w:tcPr>
            <w:tcW w:w="14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r>
      <w:tr>
        <w:trPr/>
        <w:tc>
          <w:tcPr>
            <w:tcW w:w="9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Category</w:t>
            </w:r>
          </w:p>
        </w:tc>
        <w:tc>
          <w:tcPr>
            <w:tcW w:w="14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Ratings</w:t>
              <w:br/>
              <w:t xml:space="preserve">(S&amp;P/Moody’s/ </w:t>
              <w:br/>
              <w:t>Fitch)</w:t>
            </w:r>
          </w:p>
        </w:tc>
        <w:tc>
          <w:tcPr>
            <w:tcW w:w="14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Total Net </w:t>
              <w:br/>
              <w:t>Leverage Ratio</w:t>
            </w:r>
          </w:p>
        </w:tc>
        <w:tc>
          <w:tcPr>
            <w:tcW w:w="81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Ticking </w:t>
              <w:br/>
              <w:t>Fee</w:t>
            </w:r>
          </w:p>
        </w:tc>
        <w:tc>
          <w:tcPr>
            <w:tcW w:w="12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Applicable </w:t>
              <w:br/>
              <w:t xml:space="preserve">Margin for </w:t>
              <w:br/>
              <w:t xml:space="preserve">Term </w:t>
              <w:br/>
              <w:t xml:space="preserve">Benchmark / </w:t>
              <w:br/>
              <w:t>RFR Loans</w:t>
            </w:r>
          </w:p>
        </w:tc>
        <w:tc>
          <w:tcPr>
            <w:tcW w:w="114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Applicable </w:t>
              <w:br/>
              <w:t xml:space="preserve">Margin for </w:t>
              <w:br/>
              <w:t xml:space="preserve">Base Rate </w:t>
              <w:br/>
              <w:t>Loans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6636" w:type="dxa"/>
        <w:jc w:val="center"/>
        <w:tblInd w:w="0" w:type="dxa"/>
        <w:tblLayout w:type="fixed"/>
        <w:tblCellMar>
          <w:top w:w="0" w:type="dxa"/>
          <w:left w:w="0" w:type="dxa"/>
          <w:bottom w:w="0" w:type="dxa"/>
          <w:right w:w="0" w:type="dxa"/>
        </w:tblCellMar>
      </w:tblPr>
      <w:tblGrid>
        <w:gridCol w:w="1021"/>
        <w:gridCol w:w="1666"/>
        <w:gridCol w:w="1696"/>
        <w:gridCol w:w="736"/>
        <w:gridCol w:w="736"/>
        <w:gridCol w:w="781"/>
      </w:tblGrid>
      <w:tr>
        <w:trPr/>
        <w:tc>
          <w:tcPr>
            <w:tcW w:w="1021"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pPr>
            <w:r>
              <w:rPr/>
              <w:t>​</w:t>
            </w:r>
          </w:p>
        </w:tc>
        <w:tc>
          <w:tcPr>
            <w:tcW w:w="16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10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Category 1</w:t>
            </w:r>
          </w:p>
        </w:tc>
        <w:tc>
          <w:tcPr>
            <w:tcW w:w="166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40"/>
              <w:ind w:left="0" w:right="0" w:hanging="0"/>
              <w:jc w:val="both"/>
              <w:rPr/>
            </w:pPr>
            <w:r>
              <w:rPr/>
              <w:t xml:space="preserve">≥ </w:t>
            </w:r>
            <w:r>
              <w:rPr>
                <w:rFonts w:ascii="Times New Roman;Times;serif" w:hAnsi="Times New Roman;Times;serif"/>
                <w:sz w:val="20"/>
              </w:rPr>
              <w:t>A-/A3/A-</w:t>
            </w:r>
          </w:p>
        </w:tc>
        <w:tc>
          <w:tcPr>
            <w:tcW w:w="16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40"/>
              <w:ind w:left="0" w:right="0" w:hanging="0"/>
              <w:jc w:val="left"/>
              <w:rPr/>
            </w:pPr>
            <w:r>
              <w:rPr/>
              <w:t xml:space="preserve">≤ </w:t>
            </w:r>
            <w:r>
              <w:rPr>
                <w:rFonts w:ascii="Times New Roman;Times;serif" w:hAnsi="Times New Roman;Times;serif"/>
                <w:sz w:val="20"/>
              </w:rPr>
              <w:t>0.50x</w:t>
            </w:r>
          </w:p>
        </w:tc>
        <w:tc>
          <w:tcPr>
            <w:tcW w:w="7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0.090%</w:t>
            </w:r>
          </w:p>
        </w:tc>
        <w:tc>
          <w:tcPr>
            <w:tcW w:w="7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0.875%</w:t>
            </w:r>
          </w:p>
        </w:tc>
        <w:tc>
          <w:tcPr>
            <w:tcW w:w="7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0.000%</w:t>
            </w:r>
          </w:p>
        </w:tc>
      </w:tr>
      <w:tr>
        <w:trPr/>
        <w:tc>
          <w:tcPr>
            <w:tcW w:w="10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Category 2</w:t>
            </w:r>
          </w:p>
        </w:tc>
        <w:tc>
          <w:tcPr>
            <w:tcW w:w="166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BBB+/Baa1/BBB+</w:t>
            </w:r>
          </w:p>
        </w:tc>
        <w:tc>
          <w:tcPr>
            <w:tcW w:w="16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&gt; 0.50x but ≤ 1.00x</w:t>
            </w:r>
          </w:p>
        </w:tc>
        <w:tc>
          <w:tcPr>
            <w:tcW w:w="7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0.100%</w:t>
            </w:r>
          </w:p>
        </w:tc>
        <w:tc>
          <w:tcPr>
            <w:tcW w:w="7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1.000%</w:t>
            </w:r>
          </w:p>
        </w:tc>
        <w:tc>
          <w:tcPr>
            <w:tcW w:w="7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0.000%</w:t>
            </w:r>
          </w:p>
        </w:tc>
      </w:tr>
      <w:tr>
        <w:trPr/>
        <w:tc>
          <w:tcPr>
            <w:tcW w:w="10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Category 3</w:t>
            </w:r>
          </w:p>
        </w:tc>
        <w:tc>
          <w:tcPr>
            <w:tcW w:w="166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BBB/Baa2/BBB</w:t>
            </w:r>
          </w:p>
        </w:tc>
        <w:tc>
          <w:tcPr>
            <w:tcW w:w="16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&gt; 1.00x but ≤ 2.00x</w:t>
            </w:r>
          </w:p>
        </w:tc>
        <w:tc>
          <w:tcPr>
            <w:tcW w:w="7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0.125%</w:t>
            </w:r>
          </w:p>
        </w:tc>
        <w:tc>
          <w:tcPr>
            <w:tcW w:w="7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1.125%</w:t>
            </w:r>
          </w:p>
        </w:tc>
        <w:tc>
          <w:tcPr>
            <w:tcW w:w="7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0.125%</w:t>
            </w:r>
          </w:p>
        </w:tc>
      </w:tr>
      <w:tr>
        <w:trPr/>
        <w:tc>
          <w:tcPr>
            <w:tcW w:w="10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Category 4</w:t>
            </w:r>
          </w:p>
        </w:tc>
        <w:tc>
          <w:tcPr>
            <w:tcW w:w="166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BBB-/Baa3/BBB-</w:t>
            </w:r>
          </w:p>
        </w:tc>
        <w:tc>
          <w:tcPr>
            <w:tcW w:w="16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&gt; 2.00x but ≤ 3.00x</w:t>
            </w:r>
          </w:p>
        </w:tc>
        <w:tc>
          <w:tcPr>
            <w:tcW w:w="7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0.150%</w:t>
            </w:r>
          </w:p>
        </w:tc>
        <w:tc>
          <w:tcPr>
            <w:tcW w:w="7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1.250%</w:t>
            </w:r>
          </w:p>
        </w:tc>
        <w:tc>
          <w:tcPr>
            <w:tcW w:w="7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0.250%</w:t>
            </w:r>
          </w:p>
        </w:tc>
      </w:tr>
      <w:tr>
        <w:trPr/>
        <w:tc>
          <w:tcPr>
            <w:tcW w:w="10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Category 5</w:t>
            </w:r>
          </w:p>
        </w:tc>
        <w:tc>
          <w:tcPr>
            <w:tcW w:w="166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40"/>
              <w:ind w:left="0" w:right="0" w:hanging="0"/>
              <w:jc w:val="both"/>
              <w:rPr/>
            </w:pPr>
            <w:r>
              <w:rPr/>
              <w:t xml:space="preserve">≤ </w:t>
            </w:r>
            <w:r>
              <w:rPr>
                <w:rFonts w:ascii="Times New Roman;Times;serif" w:hAnsi="Times New Roman;Times;serif"/>
                <w:sz w:val="20"/>
              </w:rPr>
              <w:t>BB+/Ba1/BB+</w:t>
            </w:r>
          </w:p>
        </w:tc>
        <w:tc>
          <w:tcPr>
            <w:tcW w:w="16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&gt; 3.00x </w:t>
            </w:r>
          </w:p>
        </w:tc>
        <w:tc>
          <w:tcPr>
            <w:tcW w:w="7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0.175%</w:t>
            </w:r>
          </w:p>
        </w:tc>
        <w:tc>
          <w:tcPr>
            <w:tcW w:w="7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1.500%</w:t>
            </w:r>
          </w:p>
        </w:tc>
        <w:tc>
          <w:tcPr>
            <w:tcW w:w="7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0.500%</w:t>
            </w:r>
          </w:p>
        </w:tc>
      </w:tr>
    </w:tbl>
    <w:p>
      <w:pPr>
        <w:pStyle w:val="TextBody"/>
        <w:bidi w:val="0"/>
        <w:spacing w:before="0" w:after="0"/>
        <w:ind w:left="0" w:right="0" w:hanging="0"/>
        <w:jc w:val="left"/>
        <w:rPr/>
      </w:pPr>
      <w:r>
        <w:rPr/>
        <w: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For purposes of the foregoing, the Applicable Rate for any day will be the lower of (i) the rate set forth in the Category in the applicable grid above corresponding to the Total Net Leverage Ratio as of the last day of the most recently ended Test Period and (ii) the rate set forth in the Category in the applicable grid above corresponding the Applicable Ratings as of such day.</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For the period from the </w:t>
      </w:r>
      <w:r>
        <w:rPr>
          <w:rFonts w:ascii="Times New Roman;Times;serif" w:hAnsi="Times New Roman;Times;serif"/>
          <w:color w:val="0000FF"/>
          <w:sz w:val="20"/>
          <w:u w:val="single"/>
        </w:rPr>
        <w:t xml:space="preserve">First Amendment </w:t>
      </w:r>
      <w:r>
        <w:rPr>
          <w:rFonts w:ascii="Times New Roman;Times;serif" w:hAnsi="Times New Roman;Times;serif"/>
          <w:sz w:val="20"/>
        </w:rPr>
        <w:t xml:space="preserve">Effective Date until the third Business Day immediately following the date a Compliance Certificate is delivered pursuant to </w:t>
      </w:r>
      <w:r>
        <w:rPr>
          <w:rFonts w:ascii="Times New Roman;Times;serif" w:hAnsi="Times New Roman;Times;serif"/>
          <w:sz w:val="20"/>
          <w:u w:val="single"/>
        </w:rPr>
        <w:t>Section 5.01(c)</w:t>
      </w:r>
      <w:r>
        <w:rPr>
          <w:rFonts w:ascii="Times New Roman;Times;serif" w:hAnsi="Times New Roman;Times;serif"/>
          <w:sz w:val="20"/>
        </w:rPr>
        <w:t xml:space="preserve"> for the </w:t>
      </w:r>
      <w:r>
        <w:rPr>
          <w:rFonts w:ascii="Times New Roman;Times;serif" w:hAnsi="Times New Roman;Times;serif"/>
          <w:color w:val="0000FF"/>
          <w:sz w:val="20"/>
          <w:u w:val="single"/>
        </w:rPr>
        <w:t xml:space="preserve">first </w:t>
      </w:r>
      <w:r>
        <w:rPr>
          <w:rFonts w:ascii="Times New Roman;Times;serif" w:hAnsi="Times New Roman;Times;serif"/>
          <w:sz w:val="20"/>
        </w:rPr>
        <w:t xml:space="preserve">fiscal quarter </w:t>
      </w:r>
      <w:r>
        <w:rPr>
          <w:rFonts w:ascii="Times New Roman;Times;serif" w:hAnsi="Times New Roman;Times;serif"/>
          <w:color w:val="FF0000"/>
          <w:sz w:val="20"/>
        </w:rPr>
        <w:t>ending June 30, 2024</w:t>
      </w:r>
      <w:r>
        <w:rPr>
          <w:rFonts w:ascii="Times New Roman;Times;serif" w:hAnsi="Times New Roman;Times;serif"/>
          <w:color w:val="0000FF"/>
          <w:sz w:val="20"/>
          <w:u w:val="single"/>
        </w:rPr>
        <w:t>of the Company ending after the First Amendment Effective Date</w:t>
      </w:r>
      <w:r>
        <w:rPr>
          <w:rFonts w:ascii="Times New Roman;Times;serif" w:hAnsi="Times New Roman;Times;serif"/>
          <w:sz w:val="20"/>
        </w:rPr>
        <w:t xml:space="preserve">, the applicable Category (as corresponding to the Total Net Leverage Ratio) shall be Category 1 in the applicable grid set forth above. Thereafter, any increase or decrease in the Applicable Rate resulting from a change in the Total Net Leverage Ratio shall become effective as of the third Business Day immediately following the date a Compliance Certificate is delivered pursuant to </w:t>
      </w:r>
      <w:r>
        <w:rPr>
          <w:rFonts w:ascii="Times New Roman;Times;serif" w:hAnsi="Times New Roman;Times;serif"/>
          <w:sz w:val="20"/>
          <w:u w:val="single"/>
        </w:rPr>
        <w:t>Section 5.01(c)</w:t>
      </w:r>
      <w:r>
        <w:rPr>
          <w:rFonts w:ascii="Times New Roman;Times;serif" w:hAnsi="Times New Roman;Times;serif"/>
          <w:sz w:val="20"/>
        </w:rPr>
        <w:t xml:space="preserve">; </w:t>
      </w:r>
      <w:r>
        <w:rPr>
          <w:rFonts w:ascii="Times New Roman;Times;serif" w:hAnsi="Times New Roman;Times;serif"/>
          <w:sz w:val="20"/>
          <w:u w:val="single"/>
        </w:rPr>
        <w:t>provided</w:t>
      </w:r>
      <w:r>
        <w:rPr>
          <w:rFonts w:ascii="Times New Roman;Times;serif" w:hAnsi="Times New Roman;Times;serif"/>
          <w:sz w:val="20"/>
        </w:rPr>
        <w:t xml:space="preserve"> that if any consolidated financial statements of the Company are not delivered when due in accordance with </w:t>
      </w:r>
      <w:r>
        <w:rPr>
          <w:rFonts w:ascii="Times New Roman;Times;serif" w:hAnsi="Times New Roman;Times;serif"/>
          <w:sz w:val="20"/>
          <w:u w:val="single"/>
        </w:rPr>
        <w:t>Section 5.01(a)</w:t>
      </w:r>
      <w:r>
        <w:rPr>
          <w:rFonts w:ascii="Times New Roman;Times;serif" w:hAnsi="Times New Roman;Times;serif"/>
          <w:sz w:val="20"/>
        </w:rPr>
        <w:t xml:space="preserve"> or </w:t>
      </w:r>
      <w:r>
        <w:rPr>
          <w:rFonts w:ascii="Times New Roman;Times;serif" w:hAnsi="Times New Roman;Times;serif"/>
          <w:sz w:val="20"/>
          <w:u w:val="single"/>
        </w:rPr>
        <w:t>5.01(b)</w:t>
      </w:r>
      <w:r>
        <w:rPr>
          <w:rFonts w:ascii="Times New Roman;Times;serif" w:hAnsi="Times New Roman;Times;serif"/>
          <w:sz w:val="20"/>
        </w:rPr>
        <w:t xml:space="preserve">, or if a Compliance Certificate is not delivered when due in accordance with </w:t>
      </w:r>
      <w:r>
        <w:rPr>
          <w:rFonts w:ascii="Times New Roman;Times;serif" w:hAnsi="Times New Roman;Times;serif"/>
          <w:sz w:val="20"/>
          <w:u w:val="single"/>
        </w:rPr>
        <w:t>Section 5.01(c)</w:t>
      </w:r>
      <w:r>
        <w:rPr>
          <w:rFonts w:ascii="Times New Roman;Times;serif" w:hAnsi="Times New Roman;Times;serif"/>
          <w:sz w:val="20"/>
        </w:rPr>
        <w:t xml:space="preserve">, then, from and after the first Business Day after the date on which such consolidated financial statements or such Compliance Certificate, as the case may be, was required to have been delivered and until the delivery thereof, the applicable Category (as corresponding to the Total Net Leverage Ratio) in the applicable grid set forth above shall be </w:t>
      </w:r>
      <w:r>
        <w:rPr>
          <w:rFonts w:ascii="Times New Roman;Times;serif" w:hAnsi="Times New Roman;Times;serif"/>
          <w:color w:val="0000FF"/>
          <w:sz w:val="20"/>
          <w:u w:val="single"/>
        </w:rPr>
        <w:t>in the numerically highest category (with</w:t>
      </w:r>
      <w:r>
        <w:rPr>
          <w:rFonts w:ascii="Times New Roman;Times;serif" w:hAnsi="Times New Roman;Times;serif"/>
          <w:sz w:val="20"/>
        </w:rPr>
        <w:t xml:space="preserve"> Category </w:t>
      </w:r>
      <w:r>
        <w:rPr>
          <w:rFonts w:ascii="Times New Roman;Times;serif" w:hAnsi="Times New Roman;Times;serif"/>
          <w:color w:val="FF0000"/>
          <w:sz w:val="20"/>
        </w:rPr>
        <w:t>5</w:t>
      </w:r>
      <w:r>
        <w:rPr>
          <w:rFonts w:ascii="Times New Roman;Times;serif" w:hAnsi="Times New Roman;Times;serif"/>
          <w:color w:val="0000FF"/>
          <w:sz w:val="20"/>
          <w:u w:val="single"/>
        </w:rPr>
        <w:t>6 being numerically higher than Category 1) in the applicable grid set forth above</w:t>
      </w:r>
      <w:r>
        <w:rPr>
          <w:rFonts w:ascii="Times New Roman;Times;serif" w:hAnsi="Times New Roman;Times;serif"/>
          <w:sz w:val="20"/>
        </w:rPr>
        <w: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In the event that the Applicable Ratings are provided by each of Moody’s, S&amp;P and Fitch, and such Applicable Ratings shall fall within different Categories, (i) if any two Applicable Ratings are in the same Category, that Category shall apply and (ii) if no two Applicable Ratings are in the same Category, the applicable Category shall be in the Category corresponding to the middle Applicable Ratings. In the event that the Applicable Ratings are provided only by any two of Moody’s, S&amp;P and Fitch, (A) if such Applicable Ratings shall fall in the same Category, that Category shall apply and (B) if such Applicable Ratings shall fall within different Categories, the applicable Category shall be the Category in which the higher of the Applicable Ratings shall fall unless the Applicable Ratings differ by two or more Categories, in which case the applicable Category shall be the Category one level below that corresponding to the higher Applicable Rating. In the event that an Applicable Rating is provided only by one of Moody’s, S&amp;P and Fitch, the applicable Category shall be the Category corresponding to such Applicable Rating. If at any time there shall be no Applicable Rating from any of Moody’s, S&amp;P and Fitch (other than by reason of the circumstances referred to in the last sentence of this paragraph), the Appliable Rate will be determined by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1440"/>
        <w:jc w:val="both"/>
        <w:rPr/>
      </w:pPr>
      <w:r>
        <w:rPr/>
        <w:t>“</w:t>
      </w:r>
      <w:r>
        <w:rPr>
          <w:rFonts w:ascii="Times New Roman;Times;serif" w:hAnsi="Times New Roman;Times;serif"/>
          <w:sz w:val="20"/>
          <w:u w:val="single"/>
        </w:rPr>
        <w:t>Extending Lender</w:t>
      </w:r>
      <w:r>
        <w:rPr>
          <w:rFonts w:ascii="Times New Roman;Times;serif" w:hAnsi="Times New Roman;Times;serif"/>
          <w:sz w:val="20"/>
        </w:rPr>
        <w:t xml:space="preserve">” has the meaning assigned to such term in </w:t>
      </w:r>
      <w:r>
        <w:rPr>
          <w:rFonts w:ascii="Times New Roman;Times;serif" w:hAnsi="Times New Roman;Times;serif"/>
          <w:sz w:val="20"/>
          <w:u w:val="single"/>
        </w:rPr>
        <w:t>Section 2.20(a)</w:t>
      </w:r>
      <w:r>
        <w:rPr>
          <w:rFonts w:ascii="Times New Roman;Times;serif" w:hAnsi="Times New Roman;Times;serif"/>
          <w:sz w:val="20"/>
        </w:rPr>
        <w:t>.</w:t>
      </w:r>
    </w:p>
    <w:p>
      <w:pPr>
        <w:pStyle w:val="TextBody"/>
        <w:bidi w:val="0"/>
        <w:spacing w:before="0" w:after="240"/>
        <w:ind w:left="0" w:right="0" w:firstLine="1440"/>
        <w:jc w:val="both"/>
        <w:rPr/>
      </w:pPr>
      <w:r>
        <w:rPr/>
        <w:t>“</w:t>
      </w:r>
      <w:r>
        <w:rPr>
          <w:rFonts w:ascii="Times New Roman;Times;serif" w:hAnsi="Times New Roman;Times;serif"/>
          <w:sz w:val="20"/>
          <w:u w:val="single"/>
        </w:rPr>
        <w:t>Extension</w:t>
      </w:r>
      <w:r>
        <w:rPr>
          <w:rFonts w:ascii="Times New Roman;Times;serif" w:hAnsi="Times New Roman;Times;serif"/>
          <w:sz w:val="20"/>
        </w:rPr>
        <w:t xml:space="preserve">” has the meaning assigned to such term in </w:t>
      </w:r>
      <w:r>
        <w:rPr>
          <w:rFonts w:ascii="Times New Roman;Times;serif" w:hAnsi="Times New Roman;Times;serif"/>
          <w:sz w:val="20"/>
          <w:u w:val="single"/>
        </w:rPr>
        <w:t>Section 2.20(a)</w:t>
      </w:r>
      <w:r>
        <w:rPr>
          <w:rFonts w:ascii="Times New Roman;Times;serif" w:hAnsi="Times New Roman;Times;serif"/>
          <w:sz w:val="20"/>
        </w:rPr>
        <w:t>.</w:t>
      </w:r>
    </w:p>
    <w:p>
      <w:pPr>
        <w:pStyle w:val="TextBody"/>
        <w:bidi w:val="0"/>
        <w:spacing w:before="0" w:after="240"/>
        <w:ind w:left="0" w:right="0" w:firstLine="1440"/>
        <w:jc w:val="both"/>
        <w:rPr/>
      </w:pPr>
      <w:r>
        <w:rPr/>
        <w:t>“</w:t>
      </w:r>
      <w:r>
        <w:rPr>
          <w:rFonts w:ascii="Times New Roman;Times;serif" w:hAnsi="Times New Roman;Times;serif"/>
          <w:sz w:val="20"/>
          <w:u w:val="single"/>
        </w:rPr>
        <w:t>Extension Closing Date</w:t>
      </w:r>
      <w:r>
        <w:rPr>
          <w:rFonts w:ascii="Times New Roman;Times;serif" w:hAnsi="Times New Roman;Times;serif"/>
          <w:sz w:val="20"/>
        </w:rPr>
        <w:t xml:space="preserve">” has the meaning assigned to such term in </w:t>
      </w:r>
      <w:r>
        <w:rPr>
          <w:rFonts w:ascii="Times New Roman;Times;serif" w:hAnsi="Times New Roman;Times;serif"/>
          <w:sz w:val="20"/>
          <w:u w:val="single"/>
        </w:rPr>
        <w:t>Section 2.20(b)</w:t>
      </w:r>
      <w:r>
        <w:rPr>
          <w:rFonts w:ascii="Times New Roman;Times;serif" w:hAnsi="Times New Roman;Times;serif"/>
          <w:sz w:val="20"/>
        </w:rPr>
        <w:t>.</w:t>
      </w:r>
    </w:p>
    <w:p>
      <w:pPr>
        <w:pStyle w:val="TextBody"/>
        <w:bidi w:val="0"/>
        <w:spacing w:before="0" w:after="240"/>
        <w:ind w:left="0" w:right="0" w:firstLine="1440"/>
        <w:jc w:val="both"/>
        <w:rPr/>
      </w:pPr>
      <w:r>
        <w:rPr/>
        <w:t>“</w:t>
      </w:r>
      <w:r>
        <w:rPr>
          <w:rFonts w:ascii="Times New Roman;Times;serif" w:hAnsi="Times New Roman;Times;serif"/>
          <w:sz w:val="20"/>
          <w:u w:val="single"/>
        </w:rPr>
        <w:t>Extension Notice</w:t>
      </w:r>
      <w:r>
        <w:rPr>
          <w:rFonts w:ascii="Times New Roman;Times;serif" w:hAnsi="Times New Roman;Times;serif"/>
          <w:sz w:val="20"/>
        </w:rPr>
        <w:t xml:space="preserve">” has the meaning assigned to such term in </w:t>
      </w:r>
      <w:r>
        <w:rPr>
          <w:rFonts w:ascii="Times New Roman;Times;serif" w:hAnsi="Times New Roman;Times;serif"/>
          <w:sz w:val="20"/>
          <w:u w:val="single"/>
        </w:rPr>
        <w:t>Section 2.20(a)</w:t>
      </w:r>
      <w:r>
        <w:rPr>
          <w:rFonts w:ascii="Times New Roman;Times;serif" w:hAnsi="Times New Roman;Times;serif"/>
          <w:sz w:val="20"/>
        </w:rPr>
        <w:t>.</w:t>
      </w:r>
    </w:p>
    <w:p>
      <w:pPr>
        <w:pStyle w:val="TextBody"/>
        <w:bidi w:val="0"/>
        <w:spacing w:before="0" w:after="240"/>
        <w:ind w:left="0" w:right="0" w:firstLine="1440"/>
        <w:jc w:val="both"/>
        <w:rPr/>
      </w:pPr>
      <w:r>
        <w:rPr/>
        <w:t>“</w:t>
      </w:r>
      <w:r>
        <w:rPr>
          <w:rFonts w:ascii="Times New Roman;Times;serif" w:hAnsi="Times New Roman;Times;serif"/>
          <w:sz w:val="20"/>
          <w:u w:val="single"/>
        </w:rPr>
        <w:t>FATCA</w:t>
      </w:r>
      <w:r>
        <w:rPr>
          <w:rFonts w:ascii="Times New Roman;Times;serif" w:hAnsi="Times New Roman;Times;serif"/>
          <w:sz w:val="20"/>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pStyle w:val="TextBody"/>
        <w:bidi w:val="0"/>
        <w:spacing w:before="0" w:after="240"/>
        <w:ind w:left="0" w:right="0" w:firstLine="1440"/>
        <w:jc w:val="both"/>
        <w:rPr/>
      </w:pPr>
      <w:r>
        <w:rPr/>
        <w:t>“</w:t>
      </w:r>
      <w:r>
        <w:rPr>
          <w:rFonts w:ascii="Times New Roman;Times;serif" w:hAnsi="Times New Roman;Times;serif"/>
          <w:sz w:val="20"/>
          <w:u w:val="single"/>
        </w:rPr>
        <w:t>Federal Funds Effective Rate</w:t>
      </w:r>
      <w:r>
        <w:rPr>
          <w:rFonts w:ascii="Times New Roman;Times;serif" w:hAnsi="Times New Roman;Times;serif"/>
          <w:sz w:val="20"/>
        </w:rPr>
        <w:t xml:space="preserve">” means, for any day, the rate calculated by the NYFRB based on such day’s federal funds transactions by depository institutions (as determined in such manner as shall be set forth on the NYFRB’s Website from time to time) and published on the next succeeding business day by the NYFRB as the effective federal funds rate; </w:t>
      </w:r>
      <w:r>
        <w:rPr>
          <w:rFonts w:ascii="Times New Roman;Times;serif" w:hAnsi="Times New Roman;Times;serif"/>
          <w:sz w:val="20"/>
          <w:u w:val="single"/>
        </w:rPr>
        <w:t>provided</w:t>
      </w:r>
      <w:r>
        <w:rPr>
          <w:rFonts w:ascii="Times New Roman;Times;serif" w:hAnsi="Times New Roman;Times;serif"/>
          <w:sz w:val="20"/>
        </w:rPr>
        <w:t xml:space="preserve"> that if such rate would be less than zero, such rate shall be deemed to be zero.</w:t>
      </w:r>
    </w:p>
    <w:p>
      <w:pPr>
        <w:pStyle w:val="TextBody"/>
        <w:bidi w:val="0"/>
        <w:spacing w:before="0" w:after="240"/>
        <w:ind w:left="0" w:right="0" w:firstLine="1440"/>
        <w:jc w:val="both"/>
        <w:rPr/>
      </w:pPr>
      <w:r>
        <w:rPr/>
        <w:t>“</w:t>
      </w:r>
      <w:r>
        <w:rPr>
          <w:rFonts w:ascii="Times New Roman;Times;serif" w:hAnsi="Times New Roman;Times;serif"/>
          <w:sz w:val="20"/>
          <w:u w:val="single"/>
        </w:rPr>
        <w:t>Federal Reserve Board</w:t>
      </w:r>
      <w:r>
        <w:rPr>
          <w:rFonts w:ascii="Times New Roman;Times;serif" w:hAnsi="Times New Roman;Times;serif"/>
          <w:sz w:val="20"/>
        </w:rPr>
        <w:t>” means the Board of Governors of the Federal Reserve System of the United States of America.</w:t>
      </w:r>
    </w:p>
    <w:p>
      <w:pPr>
        <w:pStyle w:val="TextBody"/>
        <w:bidi w:val="0"/>
        <w:spacing w:before="0" w:after="240"/>
        <w:ind w:left="0" w:right="0" w:firstLine="1440"/>
        <w:jc w:val="both"/>
        <w:rPr/>
      </w:pPr>
      <w:r>
        <w:rPr/>
        <w:t>“</w:t>
      </w:r>
      <w:r>
        <w:rPr>
          <w:rFonts w:ascii="Times New Roman;Times;serif" w:hAnsi="Times New Roman;Times;serif"/>
          <w:sz w:val="20"/>
          <w:u w:val="single"/>
        </w:rPr>
        <w:t>Fee Letters</w:t>
      </w:r>
      <w:r>
        <w:rPr>
          <w:rFonts w:ascii="Times New Roman;Times;serif" w:hAnsi="Times New Roman;Times;serif"/>
          <w:sz w:val="20"/>
        </w:rPr>
        <w:t>” has the meaning assigned to such term in the Commitment Letter.</w:t>
      </w:r>
    </w:p>
    <w:p>
      <w:pPr>
        <w:pStyle w:val="TextBody"/>
        <w:bidi w:val="0"/>
        <w:spacing w:before="0" w:after="240"/>
        <w:ind w:left="0" w:right="0" w:firstLine="1440"/>
        <w:jc w:val="both"/>
        <w:rPr/>
      </w:pPr>
      <w:r>
        <w:rPr/>
        <w:t>“</w:t>
      </w:r>
      <w:r>
        <w:rPr>
          <w:rFonts w:ascii="Times New Roman;Times;serif" w:hAnsi="Times New Roman;Times;serif"/>
          <w:sz w:val="20"/>
          <w:u w:val="single"/>
        </w:rPr>
        <w:t>Financial Officer</w:t>
      </w:r>
      <w:r>
        <w:rPr>
          <w:rFonts w:ascii="Times New Roman;Times;serif" w:hAnsi="Times New Roman;Times;serif"/>
          <w:sz w:val="20"/>
        </w:rPr>
        <w:t>” means, with respect to any Person, the chief financial officer, deputy chief financial officer, treasurer, assistant treasurer or controller of such Person.</w:t>
      </w:r>
    </w:p>
    <w:p>
      <w:pPr>
        <w:pStyle w:val="TextBody"/>
        <w:bidi w:val="0"/>
        <w:spacing w:before="0" w:after="240"/>
        <w:ind w:left="0" w:right="0" w:firstLine="1440"/>
        <w:jc w:val="both"/>
        <w:rPr>
          <w:color w:val="0000FF"/>
          <w:u w:val="single"/>
        </w:rPr>
      </w:pPr>
      <w:r>
        <w:rPr>
          <w:color w:val="0000FF"/>
          <w:u w:val="single"/>
        </w:rPr>
        <w:t>“</w:t>
      </w:r>
      <w:r>
        <w:rPr>
          <w:rFonts w:ascii="Times New Roman;Times;serif" w:hAnsi="Times New Roman;Times;serif"/>
          <w:color w:val="0000FF"/>
          <w:sz w:val="20"/>
          <w:u w:val="single"/>
        </w:rPr>
        <w:t>First Amendment Effective Date” means October 17, 2025, which date is the “Amendment Effective Date” under, and as defined in, Amendment No. 1, dated as of October 17, 2025, to this Agreement, among the Company, the Lenders party thereto and the Administrative Agent.</w:t>
      </w:r>
    </w:p>
    <w:p>
      <w:pPr>
        <w:pStyle w:val="TextBody"/>
        <w:bidi w:val="0"/>
        <w:spacing w:before="0" w:after="240"/>
        <w:ind w:left="0" w:right="0" w:firstLine="1440"/>
        <w:jc w:val="both"/>
        <w:rPr/>
      </w:pPr>
      <w:r>
        <w:rPr/>
        <w:t>“</w:t>
      </w:r>
      <w:r>
        <w:rPr>
          <w:rFonts w:ascii="Times New Roman;Times;serif" w:hAnsi="Times New Roman;Times;serif"/>
          <w:sz w:val="20"/>
          <w:u w:val="single"/>
        </w:rPr>
        <w:t>Fitch</w:t>
      </w:r>
      <w:r>
        <w:rPr>
          <w:rFonts w:ascii="Times New Roman;Times;serif" w:hAnsi="Times New Roman;Times;serif"/>
          <w:sz w:val="20"/>
        </w:rPr>
        <w:t>” means Fitch Ratings Inc. or any successor to its rating agency business.</w:t>
      </w:r>
    </w:p>
    <w:p>
      <w:pPr>
        <w:pStyle w:val="TextBody"/>
        <w:bidi w:val="0"/>
        <w:spacing w:before="0" w:after="240"/>
        <w:ind w:left="0" w:right="0" w:firstLine="1440"/>
        <w:jc w:val="both"/>
        <w:rPr/>
      </w:pPr>
      <w:r>
        <w:rPr/>
        <w:t>“</w:t>
      </w:r>
      <w:r>
        <w:rPr>
          <w:rFonts w:ascii="Times New Roman;Times;serif" w:hAnsi="Times New Roman;Times;serif"/>
          <w:sz w:val="20"/>
          <w:u w:val="single"/>
        </w:rPr>
        <w:t>Floor</w:t>
      </w:r>
      <w:r>
        <w:rPr>
          <w:rFonts w:ascii="Times New Roman;Times;serif" w:hAnsi="Times New Roman;Times;serif"/>
          <w:sz w:val="20"/>
        </w:rPr>
        <w:t>” means the benchmark rate floor, if any, provided in this Agreement initially (as of the Effective Date, the further modification, amendment or renewal of this Agreement or otherwise) with respect to the Relevant Rate.</w:t>
      </w:r>
    </w:p>
    <w:p>
      <w:pPr>
        <w:pStyle w:val="TextBody"/>
        <w:bidi w:val="0"/>
        <w:spacing w:before="0" w:after="240"/>
        <w:ind w:left="0" w:right="0" w:firstLine="1440"/>
        <w:jc w:val="both"/>
        <w:rPr/>
      </w:pPr>
      <w:r>
        <w:rPr/>
        <w:t>“</w:t>
      </w:r>
      <w:r>
        <w:rPr>
          <w:rFonts w:ascii="Times New Roman;Times;serif" w:hAnsi="Times New Roman;Times;serif"/>
          <w:sz w:val="20"/>
          <w:u w:val="single"/>
        </w:rPr>
        <w:t>Foreign Currency Overnight Rate</w:t>
      </w:r>
      <w:r>
        <w:rPr>
          <w:rFonts w:ascii="Times New Roman;Times;serif" w:hAnsi="Times New Roman;Times;serif"/>
          <w:sz w:val="20"/>
        </w:rPr>
        <w:t>” means, for any day, with respect to any currency, a rate per annum at which overnight deposits in such currency, in an amount approximately equal to the amount with respect to which such rate is being determined, would be offered for such day in the principal interbank market for such currency, as such rate is determined by the Administrative Agent or the applicable Issuing Bank, as applicable, by such means as the Administrative Agent or such Issuing Bank, as the case may be, shall determine to be reasonable.</w:t>
      </w:r>
    </w:p>
    <w:p>
      <w:pPr>
        <w:pStyle w:val="TextBody"/>
        <w:bidi w:val="0"/>
        <w:spacing w:before="0" w:after="240"/>
        <w:ind w:left="0" w:right="0" w:firstLine="1440"/>
        <w:jc w:val="both"/>
        <w:rPr/>
      </w:pPr>
      <w:r>
        <w:rPr/>
        <w:t>“</w:t>
      </w:r>
      <w:r>
        <w:rPr>
          <w:rFonts w:ascii="Times New Roman;Times;serif" w:hAnsi="Times New Roman;Times;serif"/>
          <w:sz w:val="20"/>
          <w:u w:val="single"/>
        </w:rPr>
        <w:t>Foreign Lender</w:t>
      </w:r>
      <w:r>
        <w:rPr>
          <w:rFonts w:ascii="Times New Roman;Times;serif" w:hAnsi="Times New Roman;Times;serif"/>
          <w:sz w:val="20"/>
        </w:rPr>
        <w:t>” means (a) if a Borrower is a U.S. Person, a Lender, with respect to such Borrower, that is not a U.S. Person, and (b) if a Borrower is not a U.S. Person, a Lender, with respect to such Borrower, that is resident or organized under the laws of a jurisdiction other than that in which such Borrower is resident for tax purposes.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1440"/>
        <w:jc w:val="both"/>
        <w:rPr/>
      </w:pPr>
      <w:r>
        <w:rPr/>
        <w:t>“</w:t>
      </w:r>
      <w:r>
        <w:rPr>
          <w:rFonts w:ascii="Times New Roman;Times;serif" w:hAnsi="Times New Roman;Times;serif"/>
          <w:sz w:val="20"/>
          <w:u w:val="single"/>
        </w:rPr>
        <w:t>Reuters</w:t>
      </w:r>
      <w:r>
        <w:rPr>
          <w:rFonts w:ascii="Times New Roman;Times;serif" w:hAnsi="Times New Roman;Times;serif"/>
          <w:sz w:val="20"/>
        </w:rPr>
        <w:t>” means Thomson Reuters Corporation, Refinitiv or, in each case, a successor thereto.</w:t>
      </w:r>
    </w:p>
    <w:p>
      <w:pPr>
        <w:pStyle w:val="TextBody"/>
        <w:bidi w:val="0"/>
        <w:spacing w:before="0" w:after="240"/>
        <w:ind w:left="0" w:right="0" w:firstLine="1440"/>
        <w:jc w:val="both"/>
        <w:rPr/>
      </w:pPr>
      <w:r>
        <w:rPr/>
        <w:t>“</w:t>
      </w:r>
      <w:r>
        <w:rPr>
          <w:rFonts w:ascii="Times New Roman;Times;serif" w:hAnsi="Times New Roman;Times;serif"/>
          <w:sz w:val="20"/>
          <w:u w:val="single"/>
        </w:rPr>
        <w:t>Revolving Availability Period</w:t>
      </w:r>
      <w:r>
        <w:rPr>
          <w:rFonts w:ascii="Times New Roman;Times;serif" w:hAnsi="Times New Roman;Times;serif"/>
          <w:sz w:val="20"/>
        </w:rPr>
        <w:t>” means the period from and including the Effective Date to the earlier of (a) the Revolving Maturity Date and (b) the date of termination of the Aggregate Revolving Commitments.</w:t>
      </w:r>
    </w:p>
    <w:p>
      <w:pPr>
        <w:pStyle w:val="TextBody"/>
        <w:bidi w:val="0"/>
        <w:spacing w:before="0" w:after="240"/>
        <w:ind w:left="0" w:right="0" w:firstLine="1440"/>
        <w:jc w:val="both"/>
        <w:rPr/>
      </w:pPr>
      <w:r>
        <w:rPr/>
        <w:t>“</w:t>
      </w:r>
      <w:r>
        <w:rPr>
          <w:rFonts w:ascii="Times New Roman;Times;serif" w:hAnsi="Times New Roman;Times;serif"/>
          <w:sz w:val="20"/>
          <w:u w:val="single"/>
        </w:rPr>
        <w:t>Revolving Borrowing</w:t>
      </w:r>
      <w:r>
        <w:rPr>
          <w:rFonts w:ascii="Times New Roman;Times;serif" w:hAnsi="Times New Roman;Times;serif"/>
          <w:sz w:val="20"/>
        </w:rPr>
        <w:t>” means a Borrowing comprised of Revolving Loans.</w:t>
      </w:r>
    </w:p>
    <w:p>
      <w:pPr>
        <w:pStyle w:val="TextBody"/>
        <w:bidi w:val="0"/>
        <w:spacing w:before="0" w:after="240"/>
        <w:ind w:left="0" w:right="0" w:firstLine="1440"/>
        <w:jc w:val="both"/>
        <w:rPr/>
      </w:pPr>
      <w:r>
        <w:rPr/>
        <w:t>“</w:t>
      </w:r>
      <w:r>
        <w:rPr>
          <w:rFonts w:ascii="Times New Roman;Times;serif" w:hAnsi="Times New Roman;Times;serif"/>
          <w:sz w:val="20"/>
          <w:u w:val="single"/>
        </w:rPr>
        <w:t>Revolving Commitment</w:t>
      </w:r>
      <w:r>
        <w:rPr>
          <w:rFonts w:ascii="Times New Roman;Times;serif" w:hAnsi="Times New Roman;Times;serif"/>
          <w:sz w:val="20"/>
        </w:rPr>
        <w:t xml:space="preserve">” means, with respect to each Lender, the commitment, if any, of such Lender to make Revolving Loans and to acquire participations in Letters of Credit and Swingline Loans hereunder, expressed as an amount representing the maximum aggregate amount of such Lender’s Revolving Credit Exposure hereunder, as such commitment may be (a) reduced from time to time pursuant to </w:t>
      </w:r>
      <w:r>
        <w:rPr>
          <w:rFonts w:ascii="Times New Roman;Times;serif" w:hAnsi="Times New Roman;Times;serif"/>
          <w:sz w:val="20"/>
          <w:u w:val="single"/>
        </w:rPr>
        <w:t>Section 2.08</w:t>
      </w:r>
      <w:r>
        <w:rPr>
          <w:rFonts w:ascii="Times New Roman;Times;serif" w:hAnsi="Times New Roman;Times;serif"/>
          <w:sz w:val="20"/>
        </w:rPr>
        <w:t xml:space="preserve">, (b) increased from time to time pursuant to </w:t>
      </w:r>
      <w:r>
        <w:rPr>
          <w:rFonts w:ascii="Times New Roman;Times;serif" w:hAnsi="Times New Roman;Times;serif"/>
          <w:sz w:val="20"/>
          <w:u w:val="single"/>
        </w:rPr>
        <w:t>Section 2.19</w:t>
      </w:r>
      <w:r>
        <w:rPr>
          <w:rFonts w:ascii="Times New Roman;Times;serif" w:hAnsi="Times New Roman;Times;serif"/>
          <w:sz w:val="20"/>
        </w:rPr>
        <w:t xml:space="preserve"> and (c) reduced or increased from time to time pursuant to assignments by or to such Lender pursuant to </w:t>
      </w:r>
      <w:r>
        <w:rPr>
          <w:rFonts w:ascii="Times New Roman;Times;serif" w:hAnsi="Times New Roman;Times;serif"/>
          <w:sz w:val="20"/>
          <w:u w:val="single"/>
        </w:rPr>
        <w:t>Section 9.04</w:t>
      </w:r>
      <w:r>
        <w:rPr>
          <w:rFonts w:ascii="Times New Roman;Times;serif" w:hAnsi="Times New Roman;Times;serif"/>
          <w:sz w:val="20"/>
        </w:rPr>
        <w:t xml:space="preserve">. The initial amount of each Lender’s Revolving Commitment is set forth on </w:t>
      </w:r>
      <w:r>
        <w:rPr>
          <w:rFonts w:ascii="Times New Roman;Times;serif" w:hAnsi="Times New Roman;Times;serif"/>
          <w:sz w:val="20"/>
          <w:u w:val="single"/>
        </w:rPr>
        <w:t>Schedule 2.01</w:t>
      </w:r>
      <w:r>
        <w:rPr>
          <w:rFonts w:ascii="Times New Roman;Times;serif" w:hAnsi="Times New Roman;Times;serif"/>
          <w:sz w:val="20"/>
        </w:rPr>
        <w:t xml:space="preserve">, or in the Assignment and Assumption or the Incremental Facility Agreement pursuant to which such Lender shall have assumed or provided its Revolving Commitment, as applicable. The aggregate amount of the Lenders’ Revolving Commitments as of the </w:t>
      </w:r>
      <w:r>
        <w:rPr>
          <w:rFonts w:ascii="Times New Roman;Times;serif" w:hAnsi="Times New Roman;Times;serif"/>
          <w:color w:val="0000FF"/>
          <w:sz w:val="20"/>
          <w:u w:val="single"/>
        </w:rPr>
        <w:t xml:space="preserve">First Amendment </w:t>
      </w:r>
      <w:r>
        <w:rPr>
          <w:rFonts w:ascii="Times New Roman;Times;serif" w:hAnsi="Times New Roman;Times;serif"/>
          <w:sz w:val="20"/>
        </w:rPr>
        <w:t>Effective Date is $</w:t>
      </w:r>
      <w:r>
        <w:rPr>
          <w:rFonts w:ascii="Times New Roman;Times;serif" w:hAnsi="Times New Roman;Times;serif"/>
          <w:color w:val="FF0000"/>
          <w:sz w:val="20"/>
        </w:rPr>
        <w:t>750,000,000</w:t>
      </w:r>
      <w:r>
        <w:rPr>
          <w:rFonts w:ascii="Times New Roman;Times;serif" w:hAnsi="Times New Roman;Times;serif"/>
          <w:color w:val="0000FF"/>
          <w:sz w:val="20"/>
          <w:u w:val="single"/>
        </w:rPr>
        <w:t>500,000,000</w:t>
      </w:r>
      <w:r>
        <w:rPr>
          <w:rFonts w:ascii="Times New Roman;Times;serif" w:hAnsi="Times New Roman;Times;serif"/>
          <w:sz w:val="20"/>
        </w:rPr>
        <w:t>.</w:t>
      </w:r>
    </w:p>
    <w:p>
      <w:pPr>
        <w:pStyle w:val="TextBody"/>
        <w:bidi w:val="0"/>
        <w:spacing w:before="0" w:after="240"/>
        <w:ind w:left="0" w:right="0" w:firstLine="1440"/>
        <w:jc w:val="both"/>
        <w:rPr/>
      </w:pPr>
      <w:r>
        <w:rPr/>
        <w:t>“</w:t>
      </w:r>
      <w:r>
        <w:rPr>
          <w:rFonts w:ascii="Times New Roman;Times;serif" w:hAnsi="Times New Roman;Times;serif"/>
          <w:sz w:val="20"/>
          <w:u w:val="single"/>
        </w:rPr>
        <w:t>Revolving Credit Exposure</w:t>
      </w:r>
      <w:r>
        <w:rPr>
          <w:rFonts w:ascii="Times New Roman;Times;serif" w:hAnsi="Times New Roman;Times;serif"/>
          <w:sz w:val="20"/>
        </w:rPr>
        <w:t>” means, with respect to any Lender at any time, the sum of (a) the sum of the U.S. Dollar Equivalents of the aggregate principal amount of such Lender’s Revolving Loans outstanding at such time, (b) its LC Exposure at such time and (c) its Swingline Exposure at such time.</w:t>
      </w:r>
    </w:p>
    <w:p>
      <w:pPr>
        <w:pStyle w:val="TextBody"/>
        <w:bidi w:val="0"/>
        <w:spacing w:before="0" w:after="240"/>
        <w:ind w:left="0" w:right="0" w:firstLine="1440"/>
        <w:jc w:val="both"/>
        <w:rPr/>
      </w:pPr>
      <w:r>
        <w:rPr/>
        <w:t>“</w:t>
      </w:r>
      <w:r>
        <w:rPr>
          <w:rFonts w:ascii="Times New Roman;Times;serif" w:hAnsi="Times New Roman;Times;serif"/>
          <w:sz w:val="20"/>
          <w:u w:val="single"/>
        </w:rPr>
        <w:t>Revolving Lender</w:t>
      </w:r>
      <w:r>
        <w:rPr>
          <w:rFonts w:ascii="Times New Roman;Times;serif" w:hAnsi="Times New Roman;Times;serif"/>
          <w:sz w:val="20"/>
        </w:rPr>
        <w:t>” means a Lender with a Revolving Commitment or Revolving Credit Exposure.</w:t>
      </w:r>
    </w:p>
    <w:p>
      <w:pPr>
        <w:pStyle w:val="TextBody"/>
        <w:bidi w:val="0"/>
        <w:spacing w:before="0" w:after="240"/>
        <w:ind w:left="0" w:right="0" w:firstLine="1440"/>
        <w:jc w:val="both"/>
        <w:rPr/>
      </w:pPr>
      <w:r>
        <w:rPr/>
        <w:t>“</w:t>
      </w:r>
      <w:r>
        <w:rPr>
          <w:rFonts w:ascii="Times New Roman;Times;serif" w:hAnsi="Times New Roman;Times;serif"/>
          <w:sz w:val="20"/>
          <w:u w:val="single"/>
        </w:rPr>
        <w:t>Revolving Loan</w:t>
      </w:r>
      <w:r>
        <w:rPr>
          <w:rFonts w:ascii="Times New Roman;Times;serif" w:hAnsi="Times New Roman;Times;serif"/>
          <w:sz w:val="20"/>
        </w:rPr>
        <w:t xml:space="preserve">” means a Loan made pursuant to </w:t>
      </w:r>
      <w:r>
        <w:rPr>
          <w:rFonts w:ascii="Times New Roman;Times;serif" w:hAnsi="Times New Roman;Times;serif"/>
          <w:sz w:val="20"/>
          <w:u w:val="single"/>
        </w:rPr>
        <w:t>Section 2.01(a)</w:t>
      </w:r>
      <w:r>
        <w:rPr>
          <w:rFonts w:ascii="Times New Roman;Times;serif" w:hAnsi="Times New Roman;Times;serif"/>
          <w:sz w:val="20"/>
        </w:rPr>
        <w:t>.</w:t>
      </w:r>
    </w:p>
    <w:p>
      <w:pPr>
        <w:pStyle w:val="TextBody"/>
        <w:bidi w:val="0"/>
        <w:spacing w:before="0" w:after="240"/>
        <w:ind w:left="0" w:right="0" w:firstLine="1440"/>
        <w:jc w:val="both"/>
        <w:rPr/>
      </w:pPr>
      <w:r>
        <w:rPr/>
        <w:t>“</w:t>
      </w:r>
      <w:r>
        <w:rPr>
          <w:rFonts w:ascii="Times New Roman;Times;serif" w:hAnsi="Times New Roman;Times;serif"/>
          <w:sz w:val="20"/>
          <w:u w:val="single"/>
        </w:rPr>
        <w:t>Revolving Maturity Date</w:t>
      </w:r>
      <w:r>
        <w:rPr>
          <w:rFonts w:ascii="Times New Roman;Times;serif" w:hAnsi="Times New Roman;Times;serif"/>
          <w:sz w:val="20"/>
        </w:rPr>
        <w:t xml:space="preserve">” means May 22, 2029, as such date may be extended pursuant to </w:t>
      </w:r>
      <w:r>
        <w:rPr>
          <w:rFonts w:ascii="Times New Roman;Times;serif" w:hAnsi="Times New Roman;Times;serif"/>
          <w:sz w:val="20"/>
          <w:u w:val="single"/>
        </w:rPr>
        <w:t>Section 2.20</w:t>
      </w:r>
      <w:r>
        <w:rPr>
          <w:rFonts w:ascii="Times New Roman;Times;serif" w:hAnsi="Times New Roman;Times;serif"/>
          <w:sz w:val="20"/>
        </w:rPr>
        <w:t xml:space="preserve">; </w:t>
      </w:r>
      <w:r>
        <w:rPr>
          <w:rFonts w:ascii="Times New Roman;Times;serif" w:hAnsi="Times New Roman;Times;serif"/>
          <w:sz w:val="20"/>
          <w:u w:val="single"/>
        </w:rPr>
        <w:t>provided</w:t>
      </w:r>
      <w:r>
        <w:rPr>
          <w:rFonts w:ascii="Times New Roman;Times;serif" w:hAnsi="Times New Roman;Times;serif"/>
          <w:sz w:val="20"/>
        </w:rPr>
        <w:t xml:space="preserve"> that if such day shall not be a Business Day, the Revolving Maturity Date shall be the immediately preceding Business Day.</w:t>
      </w:r>
    </w:p>
    <w:p>
      <w:pPr>
        <w:pStyle w:val="TextBody"/>
        <w:bidi w:val="0"/>
        <w:spacing w:before="0" w:after="240"/>
        <w:ind w:left="0" w:right="0" w:firstLine="1440"/>
        <w:jc w:val="both"/>
        <w:rPr/>
      </w:pPr>
      <w:r>
        <w:rPr/>
        <w:t>“</w:t>
      </w:r>
      <w:r>
        <w:rPr>
          <w:rFonts w:ascii="Times New Roman;Times;serif" w:hAnsi="Times New Roman;Times;serif"/>
          <w:sz w:val="20"/>
          <w:u w:val="single"/>
        </w:rPr>
        <w:t>RFR</w:t>
      </w:r>
      <w:r>
        <w:rPr>
          <w:rFonts w:ascii="Times New Roman;Times;serif" w:hAnsi="Times New Roman;Times;serif"/>
          <w:sz w:val="20"/>
        </w:rPr>
        <w:t>” means, (a) with respect to any Loan denominated in U.S. Dollars, the Daily Simple SOFR and (b) with respect to any Loan denominated in Sterling, the SONIA.</w:t>
      </w:r>
    </w:p>
    <w:p>
      <w:pPr>
        <w:pStyle w:val="TextBody"/>
        <w:bidi w:val="0"/>
        <w:spacing w:before="0" w:after="240"/>
        <w:ind w:left="0" w:right="0" w:firstLine="1440"/>
        <w:jc w:val="both"/>
        <w:rPr/>
      </w:pPr>
      <w:r>
        <w:rPr/>
        <w:t>“</w:t>
      </w:r>
      <w:r>
        <w:rPr>
          <w:rFonts w:ascii="Times New Roman;Times;serif" w:hAnsi="Times New Roman;Times;serif"/>
          <w:sz w:val="20"/>
          <w:u w:val="single"/>
        </w:rPr>
        <w:t>RFR Borrowing</w:t>
      </w:r>
      <w:r>
        <w:rPr>
          <w:rFonts w:ascii="Times New Roman;Times;serif" w:hAnsi="Times New Roman;Times;serif"/>
          <w:sz w:val="20"/>
        </w:rPr>
        <w:t>” means any Borrowing comprised of RFR Loans.</w:t>
      </w:r>
    </w:p>
    <w:p>
      <w:pPr>
        <w:pStyle w:val="TextBody"/>
        <w:bidi w:val="0"/>
        <w:spacing w:before="0" w:after="240"/>
        <w:ind w:left="0" w:right="0" w:firstLine="1440"/>
        <w:jc w:val="both"/>
        <w:rPr/>
      </w:pPr>
      <w:r>
        <w:rPr/>
        <w:t>“</w:t>
      </w:r>
      <w:r>
        <w:rPr>
          <w:rFonts w:ascii="Times New Roman;Times;serif" w:hAnsi="Times New Roman;Times;serif"/>
          <w:sz w:val="20"/>
          <w:u w:val="single"/>
        </w:rPr>
        <w:t>RFR Business Day</w:t>
      </w:r>
      <w:r>
        <w:rPr>
          <w:rFonts w:ascii="Times New Roman;Times;serif" w:hAnsi="Times New Roman;Times;serif"/>
          <w:sz w:val="20"/>
        </w:rPr>
        <w:t>” means, (a) for any Loan denominated in U.S. Dollars, a U.S. Government Securities Business Day and (b) for any Loan denominated in Sterling, any day except for (i) a Saturday, (ii) a Sunday or (iii) a day on which banks are closed for general business in London.</w:t>
      </w:r>
    </w:p>
    <w:p>
      <w:pPr>
        <w:pStyle w:val="TextBody"/>
        <w:bidi w:val="0"/>
        <w:spacing w:before="0" w:after="240"/>
        <w:ind w:left="0" w:right="0" w:firstLine="1440"/>
        <w:jc w:val="both"/>
        <w:rPr/>
      </w:pPr>
      <w:r>
        <w:rPr/>
        <w:t>“</w:t>
      </w:r>
      <w:r>
        <w:rPr>
          <w:rFonts w:ascii="Times New Roman;Times;serif" w:hAnsi="Times New Roman;Times;serif"/>
          <w:sz w:val="20"/>
          <w:u w:val="single"/>
        </w:rPr>
        <w:t>RFR Loan</w:t>
      </w:r>
      <w:r>
        <w:rPr>
          <w:rFonts w:ascii="Times New Roman;Times;serif" w:hAnsi="Times New Roman;Times;serif"/>
          <w:sz w:val="20"/>
        </w:rPr>
        <w:t>” means a Loan that bears interest at a rate determined by reference to the Daily Simple RFR.</w:t>
      </w:r>
    </w:p>
    <w:p>
      <w:pPr>
        <w:pStyle w:val="TextBody"/>
        <w:bidi w:val="0"/>
        <w:spacing w:before="0" w:after="240"/>
        <w:ind w:left="0" w:right="0" w:firstLine="1440"/>
        <w:jc w:val="both"/>
        <w:rPr/>
      </w:pPr>
      <w:r>
        <w:rPr/>
        <w:t>“</w:t>
      </w:r>
      <w:r>
        <w:rPr>
          <w:rFonts w:ascii="Times New Roman;Times;serif" w:hAnsi="Times New Roman;Times;serif"/>
          <w:sz w:val="20"/>
          <w:u w:val="single"/>
        </w:rPr>
        <w:t>S&amp;P</w:t>
      </w:r>
      <w:r>
        <w:rPr>
          <w:rFonts w:ascii="Times New Roman;Times;serif" w:hAnsi="Times New Roman;Times;serif"/>
          <w:sz w:val="20"/>
        </w:rPr>
        <w:t>” means Standard &amp; Poor’s Rating Services, a Standard &amp; Poor’s Financial Services LLC business, or any successor to its rating agency business.</w:t>
      </w:r>
    </w:p>
    <w:p>
      <w:pPr>
        <w:pStyle w:val="TextBody"/>
        <w:bidi w:val="0"/>
        <w:spacing w:before="0" w:after="240"/>
        <w:ind w:left="0" w:right="0" w:firstLine="1440"/>
        <w:jc w:val="both"/>
        <w:rPr/>
      </w:pPr>
      <w:r>
        <w:rPr/>
        <w:t>“</w:t>
      </w:r>
      <w:r>
        <w:rPr>
          <w:rFonts w:ascii="Times New Roman;Times;serif" w:hAnsi="Times New Roman;Times;serif"/>
          <w:sz w:val="20"/>
          <w:u w:val="single"/>
        </w:rPr>
        <w:t>Sanctioned Country</w:t>
      </w:r>
      <w:r>
        <w:rPr>
          <w:rFonts w:ascii="Times New Roman;Times;serif" w:hAnsi="Times New Roman;Times;serif"/>
          <w:sz w:val="20"/>
        </w:rPr>
        <w:t>” means, at any time, a country, region or territory which is itself the subject or target of any Sanctions (at the time of this Agreement, the so-called Donetsk People’s Republic,</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commencement of such tenor comparable to the applicable Interest Period, as such rate is published by the CME Term SOFR Administrator.</w:t>
      </w:r>
    </w:p>
    <w:p>
      <w:pPr>
        <w:pStyle w:val="TextBody"/>
        <w:bidi w:val="0"/>
        <w:spacing w:before="0" w:after="240"/>
        <w:ind w:left="0" w:right="0" w:firstLine="1440"/>
        <w:jc w:val="both"/>
        <w:rPr/>
      </w:pPr>
      <w:r>
        <w:rPr/>
        <w:t>“</w:t>
      </w:r>
      <w:r>
        <w:rPr>
          <w:rFonts w:ascii="Times New Roman;Times;serif" w:hAnsi="Times New Roman;Times;serif"/>
          <w:sz w:val="20"/>
          <w:u w:val="single"/>
        </w:rPr>
        <w:t>Term SOFR Borrowing</w:t>
      </w:r>
      <w:r>
        <w:rPr>
          <w:rFonts w:ascii="Times New Roman;Times;serif" w:hAnsi="Times New Roman;Times;serif"/>
          <w:sz w:val="20"/>
        </w:rPr>
        <w:t>” means a Borrowing comprised of Term SOFR Loans.</w:t>
      </w:r>
    </w:p>
    <w:p>
      <w:pPr>
        <w:pStyle w:val="TextBody"/>
        <w:bidi w:val="0"/>
        <w:spacing w:before="0" w:after="240"/>
        <w:ind w:left="0" w:right="0" w:firstLine="1440"/>
        <w:jc w:val="both"/>
        <w:rPr/>
      </w:pPr>
      <w:r>
        <w:rPr/>
        <w:t>“</w:t>
      </w:r>
      <w:r>
        <w:rPr>
          <w:rFonts w:ascii="Times New Roman;Times;serif" w:hAnsi="Times New Roman;Times;serif"/>
          <w:sz w:val="20"/>
          <w:u w:val="single"/>
        </w:rPr>
        <w:t>Term SOFR Loan</w:t>
      </w:r>
      <w:r>
        <w:rPr>
          <w:rFonts w:ascii="Times New Roman;Times;serif" w:hAnsi="Times New Roman;Times;serif"/>
          <w:sz w:val="20"/>
        </w:rPr>
        <w:t>” means any Loan bearing interest at a rate determined by reference to the Adjusted Term SOFR (other than as a result of clause (c) of the definition of “Base Rate”).</w:t>
      </w:r>
    </w:p>
    <w:p>
      <w:pPr>
        <w:pStyle w:val="TextBody"/>
        <w:bidi w:val="0"/>
        <w:spacing w:before="0" w:after="240"/>
        <w:ind w:left="0" w:right="0" w:firstLine="1440"/>
        <w:jc w:val="both"/>
        <w:rPr/>
      </w:pPr>
      <w:r>
        <w:rPr/>
        <w:t>“</w:t>
      </w:r>
      <w:r>
        <w:rPr>
          <w:rFonts w:ascii="Times New Roman;Times;serif" w:hAnsi="Times New Roman;Times;serif"/>
          <w:sz w:val="20"/>
          <w:u w:val="single"/>
        </w:rPr>
        <w:t>Term SOFR Reference Rate</w:t>
      </w:r>
      <w:r>
        <w:rPr>
          <w:rFonts w:ascii="Times New Roman;Times;serif" w:hAnsi="Times New Roman;Times;serif"/>
          <w:sz w:val="20"/>
        </w:rPr>
        <w:t>” means, for any day and time (such day, the “</w:t>
      </w:r>
      <w:r>
        <w:rPr>
          <w:rFonts w:ascii="Times New Roman;Times;serif" w:hAnsi="Times New Roman;Times;serif"/>
          <w:sz w:val="20"/>
          <w:u w:val="single"/>
        </w:rPr>
        <w:t>Term SOFR Determination Day</w:t>
      </w:r>
      <w:r>
        <w:rPr>
          <w:rFonts w:ascii="Times New Roman;Times;serif" w:hAnsi="Times New Roman;Times;serif"/>
          <w:sz w:val="20"/>
        </w:rPr>
        <w:t>”), with respect to any Term Benchmark Borrowing denominated in U.S. Dollars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U.S. Government Securities Business Days prior to such Term SOFR Determination Day.</w:t>
      </w:r>
    </w:p>
    <w:p>
      <w:pPr>
        <w:pStyle w:val="TextBody"/>
        <w:bidi w:val="0"/>
        <w:spacing w:before="0" w:after="240"/>
        <w:ind w:left="0" w:right="0" w:firstLine="1440"/>
        <w:jc w:val="both"/>
        <w:rPr/>
      </w:pPr>
      <w:r>
        <w:rPr/>
        <w:t>“</w:t>
      </w:r>
      <w:r>
        <w:rPr>
          <w:rFonts w:ascii="Times New Roman;Times;serif" w:hAnsi="Times New Roman;Times;serif"/>
          <w:sz w:val="20"/>
          <w:u w:val="single"/>
        </w:rPr>
        <w:t>Test Period</w:t>
      </w:r>
      <w:r>
        <w:rPr>
          <w:rFonts w:ascii="Times New Roman;Times;serif" w:hAnsi="Times New Roman;Times;serif"/>
          <w:sz w:val="20"/>
        </w:rPr>
        <w:t xml:space="preserve">” means, as of any date, the period of four consecutive fiscal quarters of the Company then most recently ended for which consolidated financial statements have been delivered (or are required to have been delivered) pursuant to </w:t>
      </w:r>
      <w:r>
        <w:rPr>
          <w:rFonts w:ascii="Times New Roman;Times;serif" w:hAnsi="Times New Roman;Times;serif"/>
          <w:sz w:val="20"/>
          <w:u w:val="single"/>
        </w:rPr>
        <w:t>Section 5.01(a)</w:t>
      </w:r>
      <w:r>
        <w:rPr>
          <w:rFonts w:ascii="Times New Roman;Times;serif" w:hAnsi="Times New Roman;Times;serif"/>
          <w:sz w:val="20"/>
        </w:rPr>
        <w:t xml:space="preserve"> or </w:t>
      </w:r>
      <w:r>
        <w:rPr>
          <w:rFonts w:ascii="Times New Roman;Times;serif" w:hAnsi="Times New Roman;Times;serif"/>
          <w:sz w:val="20"/>
          <w:u w:val="single"/>
        </w:rPr>
        <w:t>5.01(b)</w:t>
      </w:r>
      <w:r>
        <w:rPr>
          <w:rFonts w:ascii="Times New Roman;Times;serif" w:hAnsi="Times New Roman;Times;serif"/>
          <w:sz w:val="20"/>
        </w:rPr>
        <w:t xml:space="preserve"> (or, prior to the first such delivery, are referred to in </w:t>
      </w:r>
      <w:r>
        <w:rPr>
          <w:rFonts w:ascii="Times New Roman;Times;serif" w:hAnsi="Times New Roman;Times;serif"/>
          <w:sz w:val="20"/>
          <w:u w:val="single"/>
        </w:rPr>
        <w:t>Section 3.04(a)</w:t>
      </w:r>
      <w:r>
        <w:rPr>
          <w:rFonts w:ascii="Times New Roman;Times;serif" w:hAnsi="Times New Roman;Times;serif"/>
          <w:sz w:val="20"/>
        </w:rPr>
        <w:t>).</w:t>
      </w:r>
    </w:p>
    <w:p>
      <w:pPr>
        <w:pStyle w:val="TextBody"/>
        <w:bidi w:val="0"/>
        <w:spacing w:before="0" w:after="240"/>
        <w:ind w:left="0" w:right="0" w:firstLine="1440"/>
        <w:jc w:val="both"/>
        <w:rPr/>
      </w:pPr>
      <w:r>
        <w:rPr/>
        <w:t>“</w:t>
      </w:r>
      <w:r>
        <w:rPr>
          <w:rFonts w:ascii="Times New Roman;Times;serif" w:hAnsi="Times New Roman;Times;serif"/>
          <w:sz w:val="20"/>
          <w:u w:val="single"/>
        </w:rPr>
        <w:t>Ticking Fee</w:t>
      </w:r>
      <w:r>
        <w:rPr>
          <w:rFonts w:ascii="Times New Roman;Times;serif" w:hAnsi="Times New Roman;Times;serif"/>
          <w:sz w:val="20"/>
        </w:rPr>
        <w:t xml:space="preserve">” has the meaning assigned to such term in </w:t>
      </w:r>
      <w:r>
        <w:rPr>
          <w:rFonts w:ascii="Times New Roman;Times;serif" w:hAnsi="Times New Roman;Times;serif"/>
          <w:sz w:val="20"/>
          <w:u w:val="single"/>
        </w:rPr>
        <w:t>Section 2.11(d)</w:t>
      </w:r>
      <w:r>
        <w:rPr>
          <w:rFonts w:ascii="Times New Roman;Times;serif" w:hAnsi="Times New Roman;Times;serif"/>
          <w:sz w:val="20"/>
        </w:rPr>
        <w:t>.</w:t>
      </w:r>
    </w:p>
    <w:p>
      <w:pPr>
        <w:pStyle w:val="TextBody"/>
        <w:bidi w:val="0"/>
        <w:spacing w:before="0" w:after="240"/>
        <w:ind w:left="0" w:right="0" w:firstLine="1440"/>
        <w:jc w:val="both"/>
        <w:rPr/>
      </w:pPr>
      <w:r>
        <w:rPr/>
        <w:t>“</w:t>
      </w:r>
      <w:r>
        <w:rPr>
          <w:rFonts w:ascii="Times New Roman;Times;serif" w:hAnsi="Times New Roman;Times;serif"/>
          <w:sz w:val="20"/>
          <w:u w:val="single"/>
        </w:rPr>
        <w:t>Total Indebtedness</w:t>
      </w:r>
      <w:r>
        <w:rPr>
          <w:rFonts w:ascii="Times New Roman;Times;serif" w:hAnsi="Times New Roman;Times;serif"/>
          <w:sz w:val="20"/>
        </w:rPr>
        <w:t xml:space="preserve">” means, as of any date, (a) the aggregate amount of Indebtedness of the Company and the Subsidiaries on such date, without duplication, as determined on a consolidated basis in accordance with GAAP, but only to the extent such Indebtedness is of the type referred to in clause (a), (b), (c) and (f) of the definition of the term Indebtedness </w:t>
      </w:r>
      <w:r>
        <w:rPr>
          <w:rFonts w:ascii="Times New Roman;Times;serif" w:hAnsi="Times New Roman;Times;serif"/>
          <w:sz w:val="20"/>
          <w:u w:val="single"/>
        </w:rPr>
        <w:t>plus</w:t>
      </w:r>
      <w:r>
        <w:rPr>
          <w:rFonts w:ascii="Times New Roman;Times;serif" w:hAnsi="Times New Roman;Times;serif"/>
          <w:sz w:val="20"/>
        </w:rPr>
        <w:t xml:space="preserve"> (b) the aggregate amount of Indebtedness of the Company and the Subsidiaries on such date, without duplication, of the type referred to in clause (d) or (e) of the definition of Indebtedness, but only to the extent such Indebtedness is with respect to Indebtedness of the type referred to in clause (a) of this definition of any Person that is not the Company or a Subsidiary; </w:t>
      </w:r>
      <w:r>
        <w:rPr>
          <w:rFonts w:ascii="Times New Roman;Times;serif" w:hAnsi="Times New Roman;Times;serif"/>
          <w:sz w:val="20"/>
          <w:u w:val="single"/>
        </w:rPr>
        <w:t>provided</w:t>
      </w:r>
      <w:r>
        <w:rPr>
          <w:rFonts w:ascii="Times New Roman;Times;serif" w:hAnsi="Times New Roman;Times;serif"/>
          <w:sz w:val="20"/>
        </w:rPr>
        <w:t xml:space="preserve"> that, for purposes of determining Total Indebtedness at any time after the definitive agreement for any Qualified Material Acquisition shall have been executed, any Acquisition Indebtedness with respect to such Qualified Material Acquisition shall, unless such Qualified Material Acquisition has been consummated, be disregarded.</w:t>
      </w:r>
    </w:p>
    <w:p>
      <w:pPr>
        <w:pStyle w:val="TextBody"/>
        <w:bidi w:val="0"/>
        <w:spacing w:before="0" w:after="240"/>
        <w:ind w:left="0" w:right="0" w:firstLine="1440"/>
        <w:jc w:val="both"/>
        <w:rPr/>
      </w:pPr>
      <w:r>
        <w:rPr/>
        <w:t>“</w:t>
      </w:r>
      <w:r>
        <w:rPr>
          <w:rFonts w:ascii="Times New Roman;Times;serif" w:hAnsi="Times New Roman;Times;serif"/>
          <w:sz w:val="20"/>
          <w:u w:val="single"/>
        </w:rPr>
        <w:t>Total Net Leverage Ratio</w:t>
      </w:r>
      <w:r>
        <w:rPr>
          <w:rFonts w:ascii="Times New Roman;Times;serif" w:hAnsi="Times New Roman;Times;serif"/>
          <w:sz w:val="20"/>
        </w:rPr>
        <w:t xml:space="preserve">” means, as of any date, the ratio of (a) Total Indebtedness as of such date, </w:t>
      </w:r>
      <w:r>
        <w:rPr>
          <w:rFonts w:ascii="Times New Roman;Times;serif" w:hAnsi="Times New Roman;Times;serif"/>
          <w:sz w:val="20"/>
          <w:u w:val="single"/>
        </w:rPr>
        <w:t>minus</w:t>
      </w:r>
      <w:r>
        <w:rPr>
          <w:rFonts w:ascii="Times New Roman;Times;serif" w:hAnsi="Times New Roman;Times;serif"/>
          <w:sz w:val="20"/>
        </w:rPr>
        <w:t xml:space="preserve"> Unrestricted Cash as of such date to (b) Consolidated EBITDA for the Test Period most recently ended on or prior to such date.</w:t>
      </w:r>
    </w:p>
    <w:p>
      <w:pPr>
        <w:pStyle w:val="TextBody"/>
        <w:bidi w:val="0"/>
        <w:spacing w:before="0" w:after="240"/>
        <w:ind w:left="0" w:right="0" w:firstLine="1440"/>
        <w:jc w:val="both"/>
        <w:rPr/>
      </w:pPr>
      <w:r>
        <w:rPr/>
        <w:t>“</w:t>
      </w:r>
      <w:r>
        <w:rPr>
          <w:rFonts w:ascii="Times New Roman;Times;serif" w:hAnsi="Times New Roman;Times;serif"/>
          <w:sz w:val="20"/>
          <w:u w:val="single"/>
        </w:rPr>
        <w:t>Tranche A Term Borrowing</w:t>
      </w:r>
      <w:r>
        <w:rPr>
          <w:rFonts w:ascii="Times New Roman;Times;serif" w:hAnsi="Times New Roman;Times;serif"/>
          <w:sz w:val="20"/>
        </w:rPr>
        <w:t>” means a Borrowing comprised of Tranche A Term Loans.</w:t>
      </w:r>
    </w:p>
    <w:p>
      <w:pPr>
        <w:pStyle w:val="TextBody"/>
        <w:bidi w:val="0"/>
        <w:spacing w:before="0" w:after="240"/>
        <w:ind w:left="0" w:right="0" w:firstLine="1440"/>
        <w:jc w:val="both"/>
        <w:rPr/>
      </w:pPr>
      <w:r>
        <w:rPr/>
        <w:t>“</w:t>
      </w:r>
      <w:r>
        <w:rPr>
          <w:rFonts w:ascii="Times New Roman;Times;serif" w:hAnsi="Times New Roman;Times;serif"/>
          <w:sz w:val="20"/>
          <w:u w:val="single"/>
        </w:rPr>
        <w:t>Tranche A Term Commitment</w:t>
      </w:r>
      <w:r>
        <w:rPr>
          <w:rFonts w:ascii="Times New Roman;Times;serif" w:hAnsi="Times New Roman;Times;serif"/>
          <w:sz w:val="20"/>
        </w:rPr>
        <w:t xml:space="preserve">” </w:t>
      </w:r>
      <w:r>
        <w:rPr>
          <w:rFonts w:ascii="Times New Roman;Times;serif" w:hAnsi="Times New Roman;Times;serif"/>
          <w:color w:val="FF0000"/>
          <w:sz w:val="20"/>
        </w:rPr>
        <w:t xml:space="preserve">means, with respect to each Lender, the commitment, if any, of such Lender to make a Tranche A Term Loan during the Delayed Draw Availability Period, expressed as an amount representing the maximum principal amount of the Tranche A Term Loan to be made by such Lender, as such commitment may be (a) reduced from time to time pursuant to </w:t>
      </w:r>
      <w:r>
        <w:rPr>
          <w:rFonts w:ascii="Times New Roman;Times;serif" w:hAnsi="Times New Roman;Times;serif"/>
          <w:color w:val="FF0000"/>
          <w:sz w:val="20"/>
          <w:u w:val="single"/>
        </w:rPr>
        <w:t>Section 2.08</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color w:val="FF0000"/>
          <w:sz w:val="20"/>
        </w:rPr>
        <w:t xml:space="preserve">and (b) reduced or increased from time to time pursuant to assignments by or to such Lender pursuant to </w:t>
      </w:r>
      <w:r>
        <w:rPr>
          <w:rFonts w:ascii="Times New Roman;Times;serif" w:hAnsi="Times New Roman;Times;serif"/>
          <w:color w:val="FF0000"/>
          <w:sz w:val="20"/>
          <w:u w:val="single"/>
        </w:rPr>
        <w:t>Section 9.04</w:t>
      </w:r>
      <w:r>
        <w:rPr>
          <w:rFonts w:ascii="Times New Roman;Times;serif" w:hAnsi="Times New Roman;Times;serif"/>
          <w:color w:val="FF0000"/>
          <w:sz w:val="20"/>
        </w:rPr>
        <w:t xml:space="preserve">. The initial amount of each Lender’s Tranche A Term Commitment is set forth on </w:t>
      </w:r>
      <w:r>
        <w:rPr>
          <w:rFonts w:ascii="Times New Roman;Times;serif" w:hAnsi="Times New Roman;Times;serif"/>
          <w:color w:val="FF0000"/>
          <w:sz w:val="20"/>
          <w:u w:val="single"/>
        </w:rPr>
        <w:t>Schedule 2.01</w:t>
      </w:r>
      <w:r>
        <w:rPr>
          <w:rFonts w:ascii="Times New Roman;Times;serif" w:hAnsi="Times New Roman;Times;serif"/>
          <w:color w:val="FF0000"/>
          <w:sz w:val="20"/>
        </w:rPr>
        <w:t>, or in the Assignment and Assumption pursuant to which such Lender shall have assumed its Tranche A Term Commitment, as applicable. The aggregate amount of the Lenders’</w:t>
      </w:r>
      <w:r>
        <w:rPr>
          <w:rFonts w:ascii="Times New Roman;Times;serif" w:hAnsi="Times New Roman;Times;serif"/>
          <w:color w:val="0000FF"/>
          <w:sz w:val="20"/>
          <w:u w:val="single"/>
        </w:rPr>
        <w:t>has the meaning assigned to such term in this Agreement as in effect prior to the First Amendment Effective Date. The parties hereto acknowledge that all the</w:t>
      </w:r>
      <w:r>
        <w:rPr>
          <w:rFonts w:ascii="Times New Roman;Times;serif" w:hAnsi="Times New Roman;Times;serif"/>
          <w:sz w:val="20"/>
        </w:rPr>
        <w:t xml:space="preserve"> Tranche A Term Commitments </w:t>
      </w:r>
      <w:r>
        <w:rPr>
          <w:rFonts w:ascii="Times New Roman;Times;serif" w:hAnsi="Times New Roman;Times;serif"/>
          <w:color w:val="FF0000"/>
          <w:sz w:val="20"/>
        </w:rPr>
        <w:t>as of the</w:t>
      </w:r>
      <w:r>
        <w:rPr>
          <w:rFonts w:ascii="Times New Roman;Times;serif" w:hAnsi="Times New Roman;Times;serif"/>
          <w:color w:val="0000FF"/>
          <w:sz w:val="20"/>
          <w:u w:val="single"/>
        </w:rPr>
        <w:t>have terminated in full prior to the First Amendment</w:t>
      </w:r>
      <w:r>
        <w:rPr>
          <w:rFonts w:ascii="Times New Roman;Times;serif" w:hAnsi="Times New Roman;Times;serif"/>
          <w:sz w:val="20"/>
        </w:rPr>
        <w:t xml:space="preserve"> Effective Date</w:t>
      </w:r>
      <w:r>
        <w:rPr>
          <w:rFonts w:ascii="Times New Roman;Times;serif" w:hAnsi="Times New Roman;Times;serif"/>
          <w:color w:val="FF0000"/>
          <w:sz w:val="20"/>
        </w:rPr>
        <w:t xml:space="preserve"> is $750,000,000</w:t>
      </w:r>
      <w:r>
        <w:rPr>
          <w:rFonts w:ascii="Times New Roman;Times;serif" w:hAnsi="Times New Roman;Times;serif"/>
          <w:sz w:val="20"/>
        </w:rPr>
        <w:t>.</w:t>
      </w:r>
    </w:p>
    <w:p>
      <w:pPr>
        <w:pStyle w:val="TextBody"/>
        <w:bidi w:val="0"/>
        <w:spacing w:before="0" w:after="240"/>
        <w:ind w:left="0" w:right="0" w:firstLine="1440"/>
        <w:jc w:val="both"/>
        <w:rPr/>
      </w:pPr>
      <w:r>
        <w:rPr/>
        <w:t>“</w:t>
      </w:r>
      <w:r>
        <w:rPr>
          <w:rFonts w:ascii="Times New Roman;Times;serif" w:hAnsi="Times New Roman;Times;serif"/>
          <w:sz w:val="20"/>
          <w:u w:val="single"/>
        </w:rPr>
        <w:t>Tranche A Term Lender</w:t>
      </w:r>
      <w:r>
        <w:rPr>
          <w:rFonts w:ascii="Times New Roman;Times;serif" w:hAnsi="Times New Roman;Times;serif"/>
          <w:sz w:val="20"/>
        </w:rPr>
        <w:t>” means a Lender with a Tranche A Term Commitment or an outstanding Tranche A Term Loan.</w:t>
      </w:r>
    </w:p>
    <w:p>
      <w:pPr>
        <w:pStyle w:val="TextBody"/>
        <w:bidi w:val="0"/>
        <w:spacing w:before="0" w:after="240"/>
        <w:ind w:left="0" w:right="0" w:firstLine="1440"/>
        <w:jc w:val="both"/>
        <w:rPr/>
      </w:pPr>
      <w:r>
        <w:rPr/>
        <w:t>“</w:t>
      </w:r>
      <w:r>
        <w:rPr>
          <w:rFonts w:ascii="Times New Roman;Times;serif" w:hAnsi="Times New Roman;Times;serif"/>
          <w:sz w:val="20"/>
          <w:u w:val="single"/>
        </w:rPr>
        <w:t>Tranche A Term Loan</w:t>
      </w:r>
      <w:r>
        <w:rPr>
          <w:rFonts w:ascii="Times New Roman;Times;serif" w:hAnsi="Times New Roman;Times;serif"/>
          <w:sz w:val="20"/>
        </w:rPr>
        <w:t xml:space="preserve">” means a Loan made pursuant to </w:t>
      </w:r>
      <w:r>
        <w:rPr>
          <w:rFonts w:ascii="Times New Roman;Times;serif" w:hAnsi="Times New Roman;Times;serif"/>
          <w:sz w:val="20"/>
          <w:u w:val="single"/>
        </w:rPr>
        <w:t>Section 2.01(b)</w:t>
      </w:r>
      <w:r>
        <w:rPr>
          <w:rFonts w:ascii="Times New Roman;Times;serif" w:hAnsi="Times New Roman;Times;serif"/>
          <w:sz w:val="20"/>
        </w:rPr>
        <w:t>.</w:t>
      </w:r>
    </w:p>
    <w:p>
      <w:pPr>
        <w:pStyle w:val="TextBody"/>
        <w:bidi w:val="0"/>
        <w:spacing w:before="0" w:after="240"/>
        <w:ind w:left="0" w:right="0" w:firstLine="1440"/>
        <w:jc w:val="both"/>
        <w:rPr/>
      </w:pPr>
      <w:r>
        <w:rPr/>
        <w:t>“</w:t>
      </w:r>
      <w:r>
        <w:rPr>
          <w:rFonts w:ascii="Times New Roman;Times;serif" w:hAnsi="Times New Roman;Times;serif"/>
          <w:sz w:val="20"/>
          <w:u w:val="single"/>
        </w:rPr>
        <w:t>Tranche A Term Maturity Date</w:t>
      </w:r>
      <w:r>
        <w:rPr>
          <w:rFonts w:ascii="Times New Roman;Times;serif" w:hAnsi="Times New Roman;Times;serif"/>
          <w:sz w:val="20"/>
        </w:rPr>
        <w:t xml:space="preserve">” means May 22, 2027; </w:t>
      </w:r>
      <w:r>
        <w:rPr>
          <w:rFonts w:ascii="Times New Roman;Times;serif" w:hAnsi="Times New Roman;Times;serif"/>
          <w:sz w:val="20"/>
          <w:u w:val="single"/>
        </w:rPr>
        <w:t>provided</w:t>
      </w:r>
      <w:r>
        <w:rPr>
          <w:rFonts w:ascii="Times New Roman;Times;serif" w:hAnsi="Times New Roman;Times;serif"/>
          <w:sz w:val="20"/>
        </w:rPr>
        <w:t xml:space="preserve"> that if such day shall not be a Business Day, the Tranche A Term Maturity Date shall be the immediately preceding Business Day.</w:t>
      </w:r>
    </w:p>
    <w:p>
      <w:pPr>
        <w:pStyle w:val="TextBody"/>
        <w:bidi w:val="0"/>
        <w:spacing w:before="0" w:after="240"/>
        <w:ind w:left="0" w:right="0" w:firstLine="1440"/>
        <w:jc w:val="both"/>
        <w:rPr/>
      </w:pPr>
      <w:r>
        <w:rPr/>
        <w:t>“</w:t>
      </w:r>
      <w:r>
        <w:rPr>
          <w:rFonts w:ascii="Times New Roman;Times;serif" w:hAnsi="Times New Roman;Times;serif"/>
          <w:sz w:val="20"/>
          <w:u w:val="single"/>
        </w:rPr>
        <w:t>Transactions</w:t>
      </w:r>
      <w:r>
        <w:rPr>
          <w:rFonts w:ascii="Times New Roman;Times;serif" w:hAnsi="Times New Roman;Times;serif"/>
          <w:sz w:val="20"/>
        </w:rPr>
        <w:t>” means the execution, delivery and performance by the Borrowers of this Agreement and by any Loan Party of each other Loan Document to which it is a party, the borrowing of Loans, the use of the proceeds thereof and the issuance of Letters of Credit hereunder.</w:t>
      </w:r>
    </w:p>
    <w:p>
      <w:pPr>
        <w:pStyle w:val="TextBody"/>
        <w:bidi w:val="0"/>
        <w:spacing w:before="0" w:after="240"/>
        <w:ind w:left="0" w:right="0" w:firstLine="1440"/>
        <w:jc w:val="both"/>
        <w:rPr/>
      </w:pPr>
      <w:r>
        <w:rPr/>
        <w:t>“</w:t>
      </w:r>
      <w:r>
        <w:rPr>
          <w:rFonts w:ascii="Times New Roman;Times;serif" w:hAnsi="Times New Roman;Times;serif"/>
          <w:sz w:val="20"/>
          <w:u w:val="single"/>
        </w:rPr>
        <w:t>Type</w:t>
      </w:r>
      <w:r>
        <w:rPr>
          <w:rFonts w:ascii="Times New Roman;Times;serif" w:hAnsi="Times New Roman;Times;serif"/>
          <w:sz w:val="20"/>
        </w:rPr>
        <w:t xml:space="preserve">”, when used in reference to any Loan or Borrowing, refers to whether the rate of interest on such Loan, or on the Loans comprising such Borrowing, is determined by reference to the Adjusted Term SOFR (other than as a result of clause (c) of the definition of “Base Rate”), the Adjusted EURIBOR, the Adjusted Daily Simple SOFR (if applicable pursuant to </w:t>
      </w:r>
      <w:r>
        <w:rPr>
          <w:rFonts w:ascii="Times New Roman;Times;serif" w:hAnsi="Times New Roman;Times;serif"/>
          <w:sz w:val="20"/>
          <w:u w:val="single"/>
        </w:rPr>
        <w:t>Section 2.13</w:t>
      </w:r>
      <w:r>
        <w:rPr>
          <w:rFonts w:ascii="Times New Roman;Times;serif" w:hAnsi="Times New Roman;Times;serif"/>
          <w:sz w:val="20"/>
        </w:rPr>
        <w:t>), the Daily Simple SONIA or the Base Rate.</w:t>
      </w:r>
    </w:p>
    <w:p>
      <w:pPr>
        <w:pStyle w:val="TextBody"/>
        <w:bidi w:val="0"/>
        <w:spacing w:before="0" w:after="240"/>
        <w:ind w:left="0" w:right="0" w:firstLine="1440"/>
        <w:jc w:val="both"/>
        <w:rPr/>
      </w:pPr>
      <w:r>
        <w:rPr/>
        <w:t>“</w:t>
      </w:r>
      <w:r>
        <w:rPr>
          <w:rFonts w:ascii="Times New Roman;Times;serif" w:hAnsi="Times New Roman;Times;serif"/>
          <w:sz w:val="20"/>
          <w:u w:val="single"/>
        </w:rPr>
        <w:t>UK Financial Institutions</w:t>
      </w:r>
      <w:r>
        <w:rPr>
          <w:rFonts w:ascii="Times New Roman;Times;serif" w:hAnsi="Times New Roman;Times;serif"/>
          <w:sz w:val="20"/>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240"/>
        <w:ind w:left="0" w:right="0" w:firstLine="1440"/>
        <w:jc w:val="both"/>
        <w:rPr/>
      </w:pPr>
      <w:r>
        <w:rPr/>
        <w:t>“</w:t>
      </w:r>
      <w:r>
        <w:rPr>
          <w:rFonts w:ascii="Times New Roman;Times;serif" w:hAnsi="Times New Roman;Times;serif"/>
          <w:sz w:val="20"/>
          <w:u w:val="single"/>
        </w:rPr>
        <w:t>UK Resolution Authority</w:t>
      </w:r>
      <w:r>
        <w:rPr>
          <w:rFonts w:ascii="Times New Roman;Times;serif" w:hAnsi="Times New Roman;Times;serif"/>
          <w:sz w:val="20"/>
        </w:rPr>
        <w:t>” means the Bank of England or any other public administrative authority having responsibility for the resolution of any UK Financial Institution.</w:t>
      </w:r>
    </w:p>
    <w:p>
      <w:pPr>
        <w:pStyle w:val="TextBody"/>
        <w:bidi w:val="0"/>
        <w:spacing w:before="0" w:after="240"/>
        <w:ind w:left="0" w:right="0" w:firstLine="1440"/>
        <w:jc w:val="both"/>
        <w:rPr/>
      </w:pPr>
      <w:r>
        <w:rPr/>
        <w:t>“</w:t>
      </w:r>
      <w:r>
        <w:rPr>
          <w:rFonts w:ascii="Times New Roman;Times;serif" w:hAnsi="Times New Roman;Times;serif"/>
          <w:sz w:val="20"/>
          <w:u w:val="single"/>
        </w:rPr>
        <w:t>Unadjusted Benchmark Replacement</w:t>
      </w:r>
      <w:r>
        <w:rPr>
          <w:rFonts w:ascii="Times New Roman;Times;serif" w:hAnsi="Times New Roman;Times;serif"/>
          <w:sz w:val="20"/>
        </w:rPr>
        <w:t>” means the applicable Benchmark Replacement excluding the related Benchmark Replacement Adjustment.</w:t>
      </w:r>
    </w:p>
    <w:p>
      <w:pPr>
        <w:pStyle w:val="TextBody"/>
        <w:bidi w:val="0"/>
        <w:spacing w:before="0" w:after="240"/>
        <w:ind w:left="0" w:right="0" w:firstLine="1440"/>
        <w:jc w:val="both"/>
        <w:rPr/>
      </w:pPr>
      <w:r>
        <w:rPr/>
        <w:t>“</w:t>
      </w:r>
      <w:r>
        <w:rPr>
          <w:rFonts w:ascii="Times New Roman;Times;serif" w:hAnsi="Times New Roman;Times;serif"/>
          <w:sz w:val="20"/>
          <w:u w:val="single"/>
        </w:rPr>
        <w:t>Unrestricted Cash</w:t>
      </w:r>
      <w:r>
        <w:rPr>
          <w:rFonts w:ascii="Times New Roman;Times;serif" w:hAnsi="Times New Roman;Times;serif"/>
          <w:sz w:val="20"/>
        </w:rPr>
        <w:t xml:space="preserve">” means, as of any date, the aggregate amount of cash and cash equivalents owned on such date by the Company and its Subsidiaries in the amount that would be reflected on the consolidated balance sheet of the Company prepared as of such date in accordance with GAAP; </w:t>
      </w:r>
      <w:r>
        <w:rPr>
          <w:rFonts w:ascii="Times New Roman;Times;serif" w:hAnsi="Times New Roman;Times;serif"/>
          <w:sz w:val="20"/>
          <w:u w:val="single"/>
        </w:rPr>
        <w:t>provided</w:t>
      </w:r>
      <w:r>
        <w:rPr>
          <w:rFonts w:ascii="Times New Roman;Times;serif" w:hAnsi="Times New Roman;Times;serif"/>
          <w:sz w:val="20"/>
        </w:rPr>
        <w:t xml:space="preserve"> that (a) such cash and cash equivalents do not appear (and would not be, in accordance with GAAP, required to appear) as “restricted” on such consolidated balance sheet and (b) at any time that any Acquisition Indebtedness is disregarded in the determination of Total Indebtedness, the direct or indirect proceeds of such Acquisition Indebtedness shall be disregarded in the determination of Unrestricted Cash; provided further that if Unrestricted Cash determined as set forth above shall exceed $500,000,000 at any time, the amount of Unrestricted Cash at such time shall be deemed to be $500,000,000.</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(i)a reduction in full or in part or cancellation of any such liability;</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(iii)the variation of the terms of such liability in connection with the exercise of the Write-Down and Conversion Powers of the applicable Resolution Authority.</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9.19.</w:t>
      </w:r>
      <w:r>
        <w:rPr>
          <w:rFonts w:ascii="Times New Roman;Times;serif" w:hAnsi="Times New Roman;Times;serif"/>
          <w:sz w:val="20"/>
          <w:u w:val="single"/>
        </w:rPr>
        <w:t>Acknowledgement Regarding Any Supported QFCs</w:t>
      </w:r>
      <w:r>
        <w:rPr>
          <w:rFonts w:ascii="Times New Roman;Times;serif" w:hAnsi="Times New Roman;Times;serif"/>
          <w:sz w:val="20"/>
        </w:rPr>
        <w:t>. To the extent that the Loan Documents provide support, through a guarantee or otherwise, for Swap Contracts or any other agreement or instrument that is a QFC (such support “</w:t>
      </w:r>
      <w:r>
        <w:rPr>
          <w:rFonts w:ascii="Times New Roman;Times;serif" w:hAnsi="Times New Roman;Times;serif"/>
          <w:sz w:val="20"/>
          <w:u w:val="single"/>
        </w:rPr>
        <w:t>QFC Credit Support</w:t>
      </w:r>
      <w:r>
        <w:rPr>
          <w:rFonts w:ascii="Times New Roman;Times;serif" w:hAnsi="Times New Roman;Times;serif"/>
          <w:sz w:val="20"/>
        </w:rPr>
        <w:t>” and each such QFC a “</w:t>
      </w:r>
      <w:r>
        <w:rPr>
          <w:rFonts w:ascii="Times New Roman;Times;serif" w:hAnsi="Times New Roman;Times;serif"/>
          <w:sz w:val="20"/>
          <w:u w:val="single"/>
        </w:rPr>
        <w:t>Supported QFC</w:t>
      </w:r>
      <w:r>
        <w:rPr>
          <w:rFonts w:ascii="Times New Roman;Times;serif" w:hAnsi="Times New Roman;Times;serif"/>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Times;serif" w:hAnsi="Times New Roman;Times;serif"/>
          <w:sz w:val="20"/>
          <w:u w:val="single"/>
        </w:rPr>
        <w:t>U.S. Special Resolution Regimes</w:t>
      </w:r>
      <w:r>
        <w:rPr>
          <w:rFonts w:ascii="Times New Roman;Times;serif" w:hAnsi="Times New Roman;Times;serif"/>
          <w:sz w:val="20"/>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In the event a Covered Entity that is party to a Supported QFC (each, a “</w:t>
      </w:r>
      <w:r>
        <w:rPr>
          <w:rFonts w:ascii="Times New Roman;Times;serif" w:hAnsi="Times New Roman;Times;serif"/>
          <w:sz w:val="20"/>
          <w:u w:val="single"/>
        </w:rPr>
        <w:t>Covered Party</w:t>
      </w:r>
      <w:r>
        <w:rPr>
          <w:rFonts w:ascii="Times New Roman;Times;serif" w:hAnsi="Times New Roman;Times;serif"/>
          <w:sz w:val="20"/>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 xml:space="preserve">[Signature Pages </w:t>
      </w:r>
      <w:r>
        <w:rPr>
          <w:rFonts w:ascii="Times New Roman;Times;serif" w:hAnsi="Times New Roman;Times;serif"/>
          <w:i/>
          <w:color w:val="FF0000"/>
          <w:sz w:val="20"/>
        </w:rPr>
        <w:t>Follow</w:t>
      </w:r>
      <w:r>
        <w:rPr>
          <w:rFonts w:ascii="Times New Roman;Times;serif" w:hAnsi="Times New Roman;Times;serif"/>
          <w:i/>
          <w:color w:val="0000FF"/>
          <w:sz w:val="20"/>
        </w:rPr>
        <w:t>Intentionally Removed</w:t>
      </w:r>
      <w:r>
        <w:rPr>
          <w:rFonts w:ascii="Times New Roman;Times;serif" w:hAnsi="Times New Roman;Times;serif"/>
          <w:i/>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996" w:name="mnst-20250930xex31d1.htm"/>
      <w:bookmarkStart w:id="1997" w:name="ksmnst20250930xex31d1"/>
      <w:bookmarkEnd w:id="1996"/>
      <w:bookmarkEnd w:id="1997"/>
      <w:r>
        <w:rPr>
          <w:rFonts w:ascii="Times New Roman;Times;serif" w:hAnsi="Times New Roman;Times;serif"/>
          <w:b/>
          <w:sz w:val="20"/>
        </w:rPr>
        <w:t>EXHIBIT 31.1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 RULE 13A-14(a) OR 15D-14(a) OF THE SECURITIES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EXCHANGE ACT OF 1934, AS ADOPTED PURSUANT TO SECTION 302 OF THE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Hilton Schlosberg, certify that:</w:t>
      </w:r>
    </w:p>
    <w:p>
      <w:pPr>
        <w:pStyle w:val="TextBody"/>
        <w:bidi w:val="0"/>
        <w:spacing w:before="0" w:after="0"/>
        <w:ind w:left="0" w:right="0" w:hanging="0"/>
        <w:jc w:val="left"/>
        <w:rPr/>
      </w:pPr>
      <w:r>
        <w:rPr/>
        <w:t>​</w:t>
      </w:r>
    </w:p>
    <w:tbl>
      <w:tblPr>
        <w:tblW w:w="7120" w:type="dxa"/>
        <w:jc w:val="left"/>
        <w:tblInd w:w="0" w:type="dxa"/>
        <w:tblLayout w:type="fixed"/>
        <w:tblCellMar>
          <w:top w:w="0" w:type="dxa"/>
          <w:left w:w="0" w:type="dxa"/>
          <w:bottom w:w="0" w:type="dxa"/>
          <w:right w:w="0" w:type="dxa"/>
        </w:tblCellMar>
      </w:tblPr>
      <w:tblGrid>
        <w:gridCol w:w="170"/>
        <w:gridCol w:w="6950"/>
      </w:tblGrid>
      <w:tr>
        <w:trPr/>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695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 have reviewed this quarterly report on Form 10-Q of Monster Beverage Corporation;</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36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bidi w:val="0"/>
        <w:spacing w:before="0" w:after="0"/>
        <w:ind w:left="144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4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before="0" w:after="0"/>
        <w:ind w:left="144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pBdr/>
        <w:bidi w:val="0"/>
        <w:spacing w:before="0" w:after="0"/>
        <w:ind w:left="144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4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6313" w:type="dxa"/>
        <w:jc w:val="left"/>
        <w:tblInd w:w="0" w:type="dxa"/>
        <w:tblLayout w:type="fixed"/>
        <w:tblCellMar>
          <w:top w:w="0" w:type="dxa"/>
          <w:left w:w="0" w:type="dxa"/>
          <w:bottom w:w="0" w:type="dxa"/>
          <w:right w:w="0" w:type="dxa"/>
        </w:tblCellMar>
      </w:tblPr>
      <w:tblGrid>
        <w:gridCol w:w="2236"/>
        <w:gridCol w:w="326"/>
        <w:gridCol w:w="3751"/>
      </w:tblGrid>
      <w:tr>
        <w:trPr/>
        <w:tc>
          <w:tcPr>
            <w:tcW w:w="2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6, 2025</w:t>
            </w:r>
          </w:p>
        </w:tc>
        <w:tc>
          <w:tcPr>
            <w:tcW w:w="326" w:type="dxa"/>
            <w:tcBorders/>
            <w:vAlign w:val="center"/>
          </w:tcPr>
          <w:p>
            <w:pPr>
              <w:pStyle w:val="TableContents"/>
              <w:bidi w:val="0"/>
              <w:spacing w:before="0" w:after="0"/>
              <w:ind w:left="0" w:right="0" w:hanging="0"/>
              <w:jc w:val="left"/>
              <w:rPr/>
            </w:pPr>
            <w:r>
              <w:rPr/>
              <w:t>    </w:t>
            </w:r>
          </w:p>
        </w:tc>
        <w:tc>
          <w:tcPr>
            <w:tcW w:w="37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Hilton H. Schlosberg</w:t>
            </w:r>
          </w:p>
        </w:tc>
      </w:tr>
      <w:tr>
        <w:trPr/>
        <w:tc>
          <w:tcPr>
            <w:tcW w:w="2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Hilton H. Schlosberg</w:t>
            </w:r>
          </w:p>
        </w:tc>
      </w:tr>
      <w:tr>
        <w:trPr/>
        <w:tc>
          <w:tcPr>
            <w:tcW w:w="2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Chairman of the Board of Directors and</w:t>
            </w:r>
          </w:p>
        </w:tc>
      </w:tr>
      <w:tr>
        <w:trPr/>
        <w:tc>
          <w:tcPr>
            <w:tcW w:w="2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998" w:name="mnst-20250930xex31d2.htm"/>
      <w:bookmarkStart w:id="1999" w:name="ksmnst20250930xex31d2"/>
      <w:bookmarkEnd w:id="1998"/>
      <w:bookmarkEnd w:id="1999"/>
      <w:r>
        <w:rPr>
          <w:rFonts w:ascii="Times New Roman;Times;serif" w:hAnsi="Times New Roman;Times;serif"/>
          <w:b/>
          <w:sz w:val="20"/>
        </w:rPr>
        <w:t>EXHIBIT 31.2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 RULE 13A-14(a) OR 15D-14(a) OF THE SECURITIES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EXCHANGE ACT OF 1934, AS ADOPTED PURSUANT TO SECTION 302 OF THE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Thomas Kelly, certify that:</w:t>
      </w:r>
    </w:p>
    <w:p>
      <w:pPr>
        <w:pStyle w:val="TextBody"/>
        <w:bidi w:val="0"/>
        <w:spacing w:before="0" w:after="0"/>
        <w:ind w:left="0" w:right="0" w:hanging="0"/>
        <w:jc w:val="left"/>
        <w:rPr/>
      </w:pPr>
      <w:r>
        <w:rPr/>
        <w:t>​</w:t>
      </w:r>
    </w:p>
    <w:tbl>
      <w:tblPr>
        <w:tblW w:w="7120" w:type="dxa"/>
        <w:jc w:val="left"/>
        <w:tblInd w:w="0" w:type="dxa"/>
        <w:tblLayout w:type="fixed"/>
        <w:tblCellMar>
          <w:top w:w="0" w:type="dxa"/>
          <w:left w:w="0" w:type="dxa"/>
          <w:bottom w:w="0" w:type="dxa"/>
          <w:right w:w="0" w:type="dxa"/>
        </w:tblCellMar>
      </w:tblPr>
      <w:tblGrid>
        <w:gridCol w:w="170"/>
        <w:gridCol w:w="6950"/>
      </w:tblGrid>
      <w:tr>
        <w:trPr/>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695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 have reviewed this quarterly report on Form 10-Q of Monster Beverage Corporation;</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36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bidi w:val="0"/>
        <w:spacing w:before="0" w:after="0"/>
        <w:ind w:left="144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4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before="0" w:after="0"/>
        <w:ind w:left="144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pBdr/>
        <w:bidi w:val="0"/>
        <w:spacing w:before="0" w:after="0"/>
        <w:ind w:left="144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4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4573" w:type="dxa"/>
        <w:jc w:val="left"/>
        <w:tblInd w:w="0" w:type="dxa"/>
        <w:tblLayout w:type="fixed"/>
        <w:tblCellMar>
          <w:top w:w="0" w:type="dxa"/>
          <w:left w:w="0" w:type="dxa"/>
          <w:bottom w:w="0" w:type="dxa"/>
          <w:right w:w="0" w:type="dxa"/>
        </w:tblCellMar>
      </w:tblPr>
      <w:tblGrid>
        <w:gridCol w:w="2236"/>
        <w:gridCol w:w="326"/>
        <w:gridCol w:w="2011"/>
      </w:tblGrid>
      <w:tr>
        <w:trPr/>
        <w:tc>
          <w:tcPr>
            <w:tcW w:w="2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6, 2025</w:t>
            </w:r>
          </w:p>
        </w:tc>
        <w:tc>
          <w:tcPr>
            <w:tcW w:w="326" w:type="dxa"/>
            <w:tcBorders/>
            <w:vAlign w:val="center"/>
          </w:tcPr>
          <w:p>
            <w:pPr>
              <w:pStyle w:val="TableContents"/>
              <w:bidi w:val="0"/>
              <w:spacing w:before="0" w:after="0"/>
              <w:ind w:left="0" w:right="0" w:hanging="0"/>
              <w:jc w:val="left"/>
              <w:rPr/>
            </w:pPr>
            <w:r>
              <w:rPr/>
              <w:t>    </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Thomas J. Kelly</w:t>
            </w:r>
          </w:p>
        </w:tc>
      </w:tr>
      <w:tr>
        <w:trPr/>
        <w:tc>
          <w:tcPr>
            <w:tcW w:w="2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J. Kelly</w:t>
            </w:r>
          </w:p>
        </w:tc>
      </w:tr>
      <w:tr>
        <w:trPr/>
        <w:tc>
          <w:tcPr>
            <w:tcW w:w="2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000" w:name="mnst-20250930xex32d1.htm"/>
      <w:bookmarkStart w:id="2001" w:name="ksmnst20250930xex32d1"/>
      <w:bookmarkEnd w:id="2000"/>
      <w:bookmarkEnd w:id="2001"/>
      <w:r>
        <w:rPr>
          <w:rFonts w:ascii="Times New Roman;Times;serif" w:hAnsi="Times New Roman;Times;serif"/>
          <w:b/>
          <w:sz w:val="20"/>
        </w:rPr>
        <w:t>EXHIBIT 32.1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 U.S.C. SECTION 1350,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 ADOPTED PURSUANT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of Monster Beverage Corporation (the “Company”) on Form 10-Q for the quarter ended September 30, 2025 as filed with the Securities and Exchange Commission (the “Report”), the undersigned, Hilton H. Schlosberg, Vice Chairman of the Board of Directors and Chief Executive Officer of the Company, certifies, pursuant to 18 U.S.C. 1350, as adopted pursuant to Section 906 of the Sarbanes-Oxley Act of 2002, that:</w:t>
      </w:r>
    </w:p>
    <w:p>
      <w:pPr>
        <w:pStyle w:val="TextBody"/>
        <w:bidi w:val="0"/>
        <w:spacing w:before="0" w:after="0"/>
        <w:ind w:left="0" w:right="0" w:hanging="0"/>
        <w:jc w:val="left"/>
        <w:rPr/>
      </w:pPr>
      <w:r>
        <w:rPr/>
        <w: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6313" w:type="dxa"/>
        <w:jc w:val="left"/>
        <w:tblInd w:w="0" w:type="dxa"/>
        <w:tblLayout w:type="fixed"/>
        <w:tblCellMar>
          <w:top w:w="0" w:type="dxa"/>
          <w:left w:w="0" w:type="dxa"/>
          <w:bottom w:w="0" w:type="dxa"/>
          <w:right w:w="0" w:type="dxa"/>
        </w:tblCellMar>
      </w:tblPr>
      <w:tblGrid>
        <w:gridCol w:w="2236"/>
        <w:gridCol w:w="326"/>
        <w:gridCol w:w="3751"/>
      </w:tblGrid>
      <w:tr>
        <w:trPr/>
        <w:tc>
          <w:tcPr>
            <w:tcW w:w="2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6, 2025</w:t>
            </w:r>
          </w:p>
        </w:tc>
        <w:tc>
          <w:tcPr>
            <w:tcW w:w="326" w:type="dxa"/>
            <w:tcBorders/>
            <w:vAlign w:val="center"/>
          </w:tcPr>
          <w:p>
            <w:pPr>
              <w:pStyle w:val="TableContents"/>
              <w:bidi w:val="0"/>
              <w:spacing w:before="0" w:after="0"/>
              <w:ind w:left="0" w:right="0" w:hanging="0"/>
              <w:jc w:val="left"/>
              <w:rPr/>
            </w:pPr>
            <w:r>
              <w:rPr/>
              <w:t>    </w:t>
            </w:r>
          </w:p>
        </w:tc>
        <w:tc>
          <w:tcPr>
            <w:tcW w:w="37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Hilton H. Schlosberg</w:t>
            </w:r>
          </w:p>
        </w:tc>
      </w:tr>
      <w:tr>
        <w:trPr/>
        <w:tc>
          <w:tcPr>
            <w:tcW w:w="2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Hilton H. Schlosberg</w:t>
            </w:r>
          </w:p>
        </w:tc>
      </w:tr>
      <w:tr>
        <w:trPr/>
        <w:tc>
          <w:tcPr>
            <w:tcW w:w="2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Chairman of the Board of Directors and</w:t>
            </w:r>
          </w:p>
        </w:tc>
      </w:tr>
      <w:tr>
        <w:trPr/>
        <w:tc>
          <w:tcPr>
            <w:tcW w:w="2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002" w:name="mnst-20250930xex32d2.htm"/>
      <w:bookmarkStart w:id="2003" w:name="ksmnst20250930xex32d2"/>
      <w:bookmarkEnd w:id="2002"/>
      <w:bookmarkEnd w:id="2003"/>
      <w:r>
        <w:rPr>
          <w:rFonts w:ascii="Times New Roman;Times;serif" w:hAnsi="Times New Roman;Times;serif"/>
          <w:b/>
          <w:sz w:val="20"/>
        </w:rPr>
        <w:t>EXHIBIT 32.2</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 U.S.C. SECTION 1350,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 ADOPTED PURSUANT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of Monster Beverage Corporation (the “Company”) on Form 10-Q for the quarter ended September 30, 2025 as filed with the Securities and Exchange Commission (the “Report”), the undersigned, Thomas J. Kelly, Chief Financial Officer of the Company, certifies, pursuant to 18 U.S.C. 1350, as adopted pursuant to Section 906 of the Sarbanes-Oxley Act of 2002, that:</w:t>
      </w:r>
    </w:p>
    <w:p>
      <w:pPr>
        <w:pStyle w:val="TextBody"/>
        <w:bidi w:val="0"/>
        <w:spacing w:before="0" w:after="0"/>
        <w:ind w:left="0" w:right="0" w:hanging="0"/>
        <w:jc w:val="left"/>
        <w:rPr/>
      </w:pPr>
      <w:r>
        <w:rPr/>
        <w: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pBdr/>
        <w:bidi w:val="0"/>
        <w:spacing w:before="0" w:after="0"/>
        <w:ind w:left="720" w:right="0" w:hanging="360"/>
        <w:jc w:val="left"/>
        <w:rPr/>
      </w:pPr>
      <w:r>
        <w:rPr/>
        <w:t>​</w:t>
      </w:r>
    </w:p>
    <w:tbl>
      <w:tblPr>
        <w:tblW w:w="4573" w:type="dxa"/>
        <w:jc w:val="left"/>
        <w:tblInd w:w="0" w:type="dxa"/>
        <w:tblLayout w:type="fixed"/>
        <w:tblCellMar>
          <w:top w:w="0" w:type="dxa"/>
          <w:left w:w="0" w:type="dxa"/>
          <w:bottom w:w="0" w:type="dxa"/>
          <w:right w:w="0" w:type="dxa"/>
        </w:tblCellMar>
      </w:tblPr>
      <w:tblGrid>
        <w:gridCol w:w="2236"/>
        <w:gridCol w:w="326"/>
        <w:gridCol w:w="2011"/>
      </w:tblGrid>
      <w:tr>
        <w:trPr/>
        <w:tc>
          <w:tcPr>
            <w:tcW w:w="2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6, 2025</w:t>
            </w:r>
          </w:p>
        </w:tc>
        <w:tc>
          <w:tcPr>
            <w:tcW w:w="326" w:type="dxa"/>
            <w:tcBorders/>
            <w:vAlign w:val="center"/>
          </w:tcPr>
          <w:p>
            <w:pPr>
              <w:pStyle w:val="TableContents"/>
              <w:bidi w:val="0"/>
              <w:spacing w:before="0" w:after="0"/>
              <w:ind w:left="0" w:right="0" w:hanging="0"/>
              <w:jc w:val="left"/>
              <w:rPr/>
            </w:pPr>
            <w:r>
              <w:rPr/>
              <w:t>    </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Thomas J. Kelly</w:t>
            </w:r>
          </w:p>
        </w:tc>
      </w:tr>
      <w:tr>
        <w:trPr/>
        <w:tc>
          <w:tcPr>
            <w:tcW w:w="2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J. Kelly</w:t>
            </w:r>
          </w:p>
        </w:tc>
      </w:tr>
      <w:tr>
        <w:trPr/>
        <w:tc>
          <w:tcPr>
            <w:tcW w:w="2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65752/000110465923074933/tm2319592d1_ex3-1.htm" TargetMode="External"/><Relationship Id="rId3" Type="http://schemas.openxmlformats.org/officeDocument/2006/relationships/hyperlink" Target="https://www.sec.gov/Archives/edgar/data/865752/000110465924115332/tm2427782d1_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29939</Words>
  <Characters>169379</Characters>
  <CharactersWithSpaces>202558</CharactersWithSpaces>
  <Paragraphs>10104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