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63" w:lineRule="exact"/>
        <w:rPr>
          <w:sz w:val="24"/>
          <w:szCs w:val="24"/>
          <w:color w:val="auto"/>
        </w:rPr>
      </w:pPr>
    </w:p>
    <w:p>
      <w:pPr>
        <w:spacing w:after="0"/>
        <w:tabs>
          <w:tab w:leader="none" w:pos="8640" w:val="left"/>
        </w:tabs>
        <w:rPr>
          <w:sz w:val="20"/>
          <w:szCs w:val="20"/>
          <w:color w:val="auto"/>
        </w:rPr>
      </w:pPr>
      <w:r>
        <w:rPr>
          <w:rFonts w:ascii="Arial" w:cs="Arial" w:eastAsia="Arial" w:hAnsi="Arial"/>
          <w:sz w:val="20"/>
          <w:szCs w:val="20"/>
          <w:color w:val="auto"/>
        </w:rPr>
        <w:t>For the quarterly period ended September 30, 2014</w:t>
      </w:r>
      <w:r>
        <w:rPr>
          <w:sz w:val="20"/>
          <w:szCs w:val="20"/>
          <w:color w:val="auto"/>
        </w:rPr>
        <w:tab/>
      </w:r>
      <w:r>
        <w:rPr>
          <w:rFonts w:ascii="Arial" w:cs="Arial" w:eastAsia="Arial" w:hAnsi="Arial"/>
          <w:sz w:val="18"/>
          <w:szCs w:val="18"/>
          <w:color w:val="auto"/>
        </w:rPr>
        <w:t>Commission File Number 0-18761</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194" w:lineRule="exact"/>
        <w:rPr>
          <w:sz w:val="24"/>
          <w:szCs w:val="24"/>
          <w:color w:val="auto"/>
        </w:rPr>
      </w:pPr>
    </w:p>
    <w:p>
      <w:pPr>
        <w:ind w:left="28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39-1679918</w:t>
      </w:r>
    </w:p>
    <w:p>
      <w:pPr>
        <w:spacing w:after="0" w:line="43"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2" w:lineRule="exact"/>
        <w:rPr>
          <w:sz w:val="24"/>
          <w:szCs w:val="24"/>
          <w:color w:val="auto"/>
        </w:rPr>
      </w:pPr>
    </w:p>
    <w:p>
      <w:pPr>
        <w:ind w:left="2840"/>
        <w:spacing w:after="0"/>
        <w:rPr>
          <w:sz w:val="20"/>
          <w:szCs w:val="20"/>
          <w:color w:val="auto"/>
        </w:rPr>
      </w:pPr>
      <w:r>
        <w:rPr>
          <w:rFonts w:ascii="Arial" w:cs="Arial" w:eastAsia="Arial" w:hAnsi="Arial"/>
          <w:sz w:val="13"/>
          <w:szCs w:val="13"/>
          <w:color w:val="auto"/>
        </w:rPr>
        <w:t>(State or other jurisdiction of</w:t>
      </w:r>
    </w:p>
    <w:p>
      <w:pPr>
        <w:ind w:left="28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94"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05"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16"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9"/>
          <w:szCs w:val="19"/>
          <w:color w:val="auto"/>
        </w:rPr>
        <w:t>o</w:t>
      </w:r>
    </w:p>
    <w:p>
      <w:pPr>
        <w:spacing w:after="0" w:line="146" w:lineRule="exact"/>
        <w:rPr>
          <w:sz w:val="24"/>
          <w:szCs w:val="24"/>
          <w:color w:val="auto"/>
        </w:rPr>
      </w:pPr>
    </w:p>
    <w:p>
      <w:pPr>
        <w:sectPr>
          <w:pgSz w:w="11900" w:h="16838" w:orient="portrait"/>
          <w:cols w:equalWidth="0" w:num="2">
            <w:col w:w="6880" w:space="720"/>
            <w:col w:w="382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9"/>
          <w:szCs w:val="19"/>
          <w:color w:val="auto"/>
        </w:rPr>
        <w:t>o</w:t>
      </w:r>
      <w:r>
        <w:rPr>
          <w:rFonts w:ascii="Arial" w:cs="Arial" w:eastAsia="Arial" w:hAnsi="Arial"/>
          <w:sz w:val="18"/>
          <w:szCs w:val="18"/>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xml:space="preserve">Smaller reporting company </w:t>
      </w:r>
      <w:r>
        <w:rPr>
          <w:rFonts w:ascii="Arial" w:cs="Arial" w:eastAsia="Arial" w:hAnsi="Arial"/>
          <w:sz w:val="19"/>
          <w:szCs w:val="19"/>
          <w:color w:val="auto"/>
        </w:rPr>
        <w:t>o</w:t>
      </w:r>
    </w:p>
    <w:p>
      <w:pPr>
        <w:spacing w:after="0" w:line="200" w:lineRule="exact"/>
        <w:rPr>
          <w:sz w:val="24"/>
          <w:szCs w:val="24"/>
          <w:color w:val="auto"/>
        </w:rPr>
      </w:pPr>
    </w:p>
    <w:p>
      <w:pPr>
        <w:sectPr>
          <w:pgSz w:w="11900" w:h="16838" w:orient="portrait"/>
          <w:cols w:equalWidth="0" w:num="2">
            <w:col w:w="6880" w:space="720"/>
            <w:col w:w="3820"/>
          </w:cols>
          <w:pgMar w:left="240" w:top="233" w:right="239" w:bottom="0" w:gutter="0" w:footer="0" w:header="0"/>
          <w:type w:val="continuous"/>
        </w:sectPr>
      </w:pPr>
    </w:p>
    <w:p>
      <w:pPr>
        <w:spacing w:after="0" w:line="288"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16"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9"/>
          <w:szCs w:val="19"/>
          <w:color w:val="auto"/>
        </w:rPr>
        <w:t>The Registrant had 167,637,920 shares of common stock, par value $0.005 per share, outstanding as of October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SEPTEMBER 30, 2014</w:t>
      </w: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INDEX</w:t>
            </w:r>
          </w:p>
        </w:tc>
        <w:tc>
          <w:tcPr>
            <w:tcW w:w="464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r>
      <w:tr>
        <w:trPr>
          <w:trHeight w:val="439"/>
        </w:trPr>
        <w:tc>
          <w:tcPr>
            <w:tcW w:w="560" w:type="dxa"/>
            <w:vAlign w:val="bottom"/>
            <w:tcBorders>
              <w:bottom w:val="single" w:sz="8" w:color="0000EE"/>
            </w:tcBorders>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940" w:type="dxa"/>
            <w:vAlign w:val="bottom"/>
          </w:tcPr>
          <w:p>
            <w:pPr>
              <w:spacing w:after="0"/>
              <w:rPr>
                <w:sz w:val="24"/>
                <w:szCs w:val="24"/>
                <w:color w:val="auto"/>
              </w:rPr>
            </w:pPr>
          </w:p>
        </w:tc>
        <w:tc>
          <w:tcPr>
            <w:tcW w:w="2640" w:type="dxa"/>
            <w:vAlign w:val="bottom"/>
            <w:tcBorders>
              <w:bottom w:val="single" w:sz="8" w:color="0000EE"/>
            </w:tcBorders>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540" w:type="dxa"/>
            <w:vAlign w:val="bottom"/>
            <w:gridSpan w:val="5"/>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4"/>
              </w:rPr>
              <w:t>Page No.</w:t>
            </w:r>
          </w:p>
        </w:tc>
      </w:tr>
      <w:tr>
        <w:trPr>
          <w:trHeight w:val="439"/>
        </w:trPr>
        <w:tc>
          <w:tcPr>
            <w:tcW w:w="1500" w:type="dxa"/>
            <w:vAlign w:val="bottom"/>
            <w:gridSpan w:val="2"/>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180" w:type="dxa"/>
            <w:vAlign w:val="bottom"/>
            <w:gridSpan w:val="6"/>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00" w:type="dxa"/>
            <w:vAlign w:val="bottom"/>
            <w:gridSpan w:val="4"/>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80" w:type="dxa"/>
            <w:vAlign w:val="bottom"/>
            <w:gridSpan w:val="6"/>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Balance Sheets as of September 30, 2014 and December 31, 2013</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0"/>
        </w:trPr>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300" w:type="dxa"/>
            <w:vAlign w:val="bottom"/>
            <w:gridSpan w:val="20"/>
          </w:tcPr>
          <w:p>
            <w:pPr>
              <w:spacing w:after="0"/>
              <w:rPr>
                <w:rFonts w:ascii="Arial" w:cs="Arial" w:eastAsia="Arial" w:hAnsi="Arial"/>
                <w:sz w:val="20"/>
                <w:szCs w:val="20"/>
                <w:color w:val="0000EE"/>
                <w:w w:val="91"/>
              </w:rPr>
            </w:pPr>
            <w:hyperlink w:anchor="page3">
              <w:r>
                <w:rPr>
                  <w:rFonts w:ascii="Arial" w:cs="Arial" w:eastAsia="Arial" w:hAnsi="Arial"/>
                  <w:sz w:val="20"/>
                  <w:szCs w:val="20"/>
                  <w:color w:val="0000EE"/>
                  <w:w w:val="91"/>
                </w:rPr>
                <w:t>Condensed Consolidated Statements of Income for the Three- and Nine-Months Ended September 30,</w:t>
              </w:r>
            </w:hyperlink>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Borders>
              <w:top w:val="single" w:sz="8" w:color="0000EE"/>
            </w:tcBorders>
            <w:gridSpan w:val="13"/>
          </w:tcPr>
          <w:p>
            <w:pPr>
              <w:spacing w:after="0" w:line="209" w:lineRule="exact"/>
              <w:rPr>
                <w:rFonts w:ascii="Arial" w:cs="Arial" w:eastAsia="Arial" w:hAnsi="Arial"/>
                <w:sz w:val="20"/>
                <w:szCs w:val="20"/>
                <w:color w:val="0000EE"/>
              </w:rPr>
            </w:pPr>
            <w:hyperlink w:anchor="page3">
              <w:r>
                <w:rPr>
                  <w:rFonts w:ascii="Arial" w:cs="Arial" w:eastAsia="Arial" w:hAnsi="Arial"/>
                  <w:sz w:val="20"/>
                  <w:szCs w:val="20"/>
                  <w:color w:val="0000EE"/>
                </w:rPr>
                <w:t>2014 and 2013</w:t>
              </w:r>
            </w:hyperlink>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00" w:type="dxa"/>
            <w:vAlign w:val="bottom"/>
            <w:gridSpan w:val="20"/>
          </w:tcPr>
          <w:p>
            <w:pPr>
              <w:spacing w:after="0"/>
              <w:rPr>
                <w:rFonts w:ascii="Arial" w:cs="Arial" w:eastAsia="Arial" w:hAnsi="Arial"/>
                <w:sz w:val="20"/>
                <w:szCs w:val="20"/>
                <w:color w:val="0000EE"/>
                <w:w w:val="90"/>
              </w:rPr>
            </w:pPr>
            <w:hyperlink w:anchor="page4">
              <w:r>
                <w:rPr>
                  <w:rFonts w:ascii="Arial" w:cs="Arial" w:eastAsia="Arial" w:hAnsi="Arial"/>
                  <w:sz w:val="20"/>
                  <w:szCs w:val="20"/>
                  <w:color w:val="0000EE"/>
                  <w:w w:val="90"/>
                </w:rPr>
                <w:t>Condensed Consolidated Statements of Comprehensive Income for the Three- and Nine-Months Ended</w:t>
              </w:r>
            </w:hyperlink>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top w:val="single" w:sz="8" w:color="0000EE"/>
              <w:bottom w:val="single" w:sz="8" w:color="0000EE"/>
            </w:tcBorders>
            <w:gridSpan w:val="9"/>
          </w:tcPr>
          <w:p>
            <w:pPr>
              <w:spacing w:after="0" w:line="209" w:lineRule="exact"/>
              <w:rPr>
                <w:rFonts w:ascii="Arial" w:cs="Arial" w:eastAsia="Arial" w:hAnsi="Arial"/>
                <w:sz w:val="20"/>
                <w:szCs w:val="20"/>
                <w:color w:val="0000EE"/>
                <w:w w:val="87"/>
              </w:rPr>
            </w:pPr>
            <w:hyperlink w:anchor="page4">
              <w:r>
                <w:rPr>
                  <w:rFonts w:ascii="Arial" w:cs="Arial" w:eastAsia="Arial" w:hAnsi="Arial"/>
                  <w:sz w:val="20"/>
                  <w:szCs w:val="20"/>
                  <w:color w:val="0000EE"/>
                  <w:w w:val="87"/>
                </w:rPr>
                <w:t>September 30, 2014 and 2013</w:t>
              </w:r>
            </w:hyperlink>
          </w:p>
        </w:tc>
        <w:tc>
          <w:tcPr>
            <w:tcW w:w="3900" w:type="dxa"/>
            <w:vAlign w:val="bottom"/>
            <w:tcBorders>
              <w:top w:val="single" w:sz="8" w:color="0000EE"/>
            </w:tcBorders>
            <w:gridSpan w:val="4"/>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00" w:type="dxa"/>
            <w:vAlign w:val="bottom"/>
            <w:tcBorders>
              <w:bottom w:val="single" w:sz="8" w:color="0000EE"/>
            </w:tcBorders>
            <w:gridSpan w:val="20"/>
          </w:tcPr>
          <w:p>
            <w:pPr>
              <w:spacing w:after="0"/>
              <w:rPr>
                <w:rFonts w:ascii="Arial" w:cs="Arial" w:eastAsia="Arial" w:hAnsi="Arial"/>
                <w:sz w:val="20"/>
                <w:szCs w:val="20"/>
                <w:color w:val="0000EE"/>
                <w:w w:val="88"/>
              </w:rPr>
            </w:pPr>
            <w:hyperlink w:anchor="page4">
              <w:r>
                <w:rPr>
                  <w:rFonts w:ascii="Arial" w:cs="Arial" w:eastAsia="Arial" w:hAnsi="Arial"/>
                  <w:sz w:val="20"/>
                  <w:szCs w:val="20"/>
                  <w:color w:val="0000EE"/>
                  <w:w w:val="88"/>
                </w:rPr>
                <w:t>Condensed Consolidated Statements of Cash Flows for the Nine-Months Ended September 30, 2014 and</w:t>
              </w:r>
            </w:hyperlink>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0000EE"/>
            </w:tcBorders>
          </w:tcPr>
          <w:p>
            <w:pPr>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2013</w:t>
              </w:r>
            </w:hyperlink>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18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Item 2.</w:t>
              </w:r>
            </w:hyperlink>
          </w:p>
        </w:tc>
        <w:tc>
          <w:tcPr>
            <w:tcW w:w="8300" w:type="dxa"/>
            <w:vAlign w:val="bottom"/>
            <w:gridSpan w:val="20"/>
          </w:tcPr>
          <w:p>
            <w:pPr>
              <w:spacing w:after="0"/>
              <w:rPr>
                <w:rFonts w:ascii="Arial" w:cs="Arial" w:eastAsia="Arial" w:hAnsi="Arial"/>
                <w:sz w:val="20"/>
                <w:szCs w:val="20"/>
                <w:color w:val="0000EE"/>
              </w:rPr>
            </w:pPr>
            <w:hyperlink w:anchor="page20">
              <w:r>
                <w:rPr>
                  <w:rFonts w:ascii="Arial" w:cs="Arial" w:eastAsia="Arial" w:hAnsi="Arial"/>
                  <w:sz w:val="20"/>
                  <w:szCs w:val="20"/>
                  <w:color w:val="0000EE"/>
                </w:rPr>
                <w:t>Management’s Discussion and Analysis of Financial Condition and Results of Operations</w:t>
              </w:r>
            </w:hyperlink>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Item 3.</w:t>
              </w:r>
            </w:hyperlink>
          </w:p>
        </w:tc>
        <w:tc>
          <w:tcPr>
            <w:tcW w:w="6280" w:type="dxa"/>
            <w:vAlign w:val="bottom"/>
            <w:gridSpan w:val="13"/>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Quantitative and Qualitative Disclosures About Market Risk</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4.</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Controls and Procedures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Borders>
              <w:bottom w:val="single" w:sz="8" w:color="0000EE"/>
            </w:tcBorders>
            <w:gridSpan w:val="2"/>
          </w:tcPr>
          <w:p>
            <w:pPr>
              <w:spacing w:after="0"/>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Part II.</w:t>
              </w:r>
            </w:hyperlink>
          </w:p>
        </w:tc>
        <w:tc>
          <w:tcPr>
            <w:tcW w:w="860" w:type="dxa"/>
            <w:vAlign w:val="bottom"/>
            <w:gridSpan w:val="3"/>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20"/>
                <w:szCs w:val="20"/>
                <w:b w:val="1"/>
                <w:bCs w:val="1"/>
                <w:color w:val="0000EE"/>
              </w:rPr>
            </w:pPr>
            <w:hyperlink w:anchor="page32">
              <w:r>
                <w:rPr>
                  <w:rFonts w:ascii="Arial" w:cs="Arial" w:eastAsia="Arial" w:hAnsi="Arial"/>
                  <w:sz w:val="20"/>
                  <w:szCs w:val="20"/>
                  <w:b w:val="1"/>
                  <w:bCs w:val="1"/>
                  <w:color w:val="0000EE"/>
                </w:rPr>
                <w:t>OTHER INFORMATION</w:t>
              </w:r>
            </w:hyperlink>
          </w:p>
        </w:tc>
        <w:tc>
          <w:tcPr>
            <w:tcW w:w="404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1.</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Legal Proceedings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w w:val="93"/>
              </w:rPr>
            </w:pPr>
            <w:hyperlink w:anchor="page32">
              <w:r>
                <w:rPr>
                  <w:rFonts w:ascii="Arial" w:cs="Arial" w:eastAsia="Arial" w:hAnsi="Arial"/>
                  <w:sz w:val="20"/>
                  <w:szCs w:val="20"/>
                  <w:color w:val="0000EE"/>
                  <w:w w:val="93"/>
                </w:rPr>
                <w:t>Item 1A.</w:t>
              </w:r>
            </w:hyperlink>
          </w:p>
        </w:tc>
        <w:tc>
          <w:tcPr>
            <w:tcW w:w="780" w:type="dxa"/>
            <w:vAlign w:val="bottom"/>
            <w:gridSpan w:val="2"/>
          </w:tcPr>
          <w:p>
            <w:pPr>
              <w:spacing w:after="0"/>
              <w:rPr>
                <w:sz w:val="24"/>
                <w:szCs w:val="24"/>
                <w:color w:val="auto"/>
              </w:rPr>
            </w:pPr>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Risk Factors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2.</w:t>
              </w:r>
            </w:hyperlink>
          </w:p>
        </w:tc>
        <w:tc>
          <w:tcPr>
            <w:tcW w:w="780" w:type="dxa"/>
            <w:vAlign w:val="bottom"/>
            <w:gridSpan w:val="2"/>
          </w:tcPr>
          <w:p>
            <w:pPr>
              <w:spacing w:after="0"/>
              <w:rPr>
                <w:sz w:val="24"/>
                <w:szCs w:val="24"/>
                <w:color w:val="auto"/>
              </w:rPr>
            </w:pPr>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Unregistered Sales of Equity Securities and Use of Proceeds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3.</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Defaults Upon Senior Securities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4.</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Mine Safety Disclosures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5.</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Other Information</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500" w:type="dxa"/>
            <w:vAlign w:val="bottom"/>
            <w:gridSpan w:val="5"/>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Item 6.</w:t>
              </w:r>
            </w:hyperlink>
          </w:p>
        </w:tc>
        <w:tc>
          <w:tcPr>
            <w:tcW w:w="6280" w:type="dxa"/>
            <w:vAlign w:val="bottom"/>
            <w:gridSpan w:val="13"/>
          </w:tcPr>
          <w:p>
            <w:pPr>
              <w:spacing w:after="0"/>
              <w:rPr>
                <w:rFonts w:ascii="Arial" w:cs="Arial" w:eastAsia="Arial" w:hAnsi="Arial"/>
                <w:sz w:val="20"/>
                <w:szCs w:val="20"/>
                <w:color w:val="0000EE"/>
              </w:rPr>
            </w:pPr>
            <w:hyperlink w:anchor="page32">
              <w:r>
                <w:rPr>
                  <w:rFonts w:ascii="Arial" w:cs="Arial" w:eastAsia="Arial" w:hAnsi="Arial"/>
                  <w:sz w:val="20"/>
                  <w:szCs w:val="20"/>
                  <w:color w:val="0000EE"/>
                </w:rPr>
                <w:t>Exhibits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gridSpan w:val="13"/>
          </w:tcPr>
          <w:p>
            <w:pPr>
              <w:spacing w:after="0"/>
              <w:rPr>
                <w:rFonts w:ascii="Arial" w:cs="Arial" w:eastAsia="Arial" w:hAnsi="Arial"/>
                <w:sz w:val="20"/>
                <w:szCs w:val="20"/>
                <w:color w:val="0000EE"/>
              </w:rPr>
            </w:pPr>
            <w:hyperlink w:anchor="page33">
              <w:r>
                <w:rPr>
                  <w:rFonts w:ascii="Arial" w:cs="Arial" w:eastAsia="Arial" w:hAnsi="Arial"/>
                  <w:sz w:val="20"/>
                  <w:szCs w:val="20"/>
                  <w:color w:val="0000EE"/>
                </w:rPr>
                <w:t>Signatures</w:t>
              </w:r>
            </w:hyperlink>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3560" w:type="dxa"/>
            <w:vAlign w:val="bottom"/>
            <w:gridSpan w:val="8"/>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0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4"/>
            <w:shd w:val="clear" w:color="auto" w:fill="0000EE"/>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PART I – FINANCIAL INFORMATION</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MONSTER BEVERAGE CORPORATION AND SUBSIDIARIES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CONDENSED CONSOLIDATED BALANCE SHEETS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18"/>
          </w:tcPr>
          <w:p>
            <w:pPr>
              <w:spacing w:after="0"/>
              <w:rPr>
                <w:sz w:val="20"/>
                <w:szCs w:val="20"/>
                <w:color w:val="auto"/>
              </w:rPr>
            </w:pPr>
            <w:r>
              <w:rPr>
                <w:rFonts w:ascii="Arial" w:cs="Arial" w:eastAsia="Arial" w:hAnsi="Arial"/>
                <w:sz w:val="20"/>
                <w:szCs w:val="20"/>
                <w:b w:val="1"/>
                <w:bCs w:val="1"/>
                <w:color w:val="auto"/>
              </w:rPr>
              <w:t>AS OF SEPTEMBER 30, 2014 AND DECEMBER 31, 2013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80" w:type="dxa"/>
            <w:vAlign w:val="bottom"/>
            <w:tcBorders>
              <w:bottom w:val="single" w:sz="8" w:color="auto"/>
            </w:tcBorders>
            <w:gridSpan w:val="18"/>
          </w:tcPr>
          <w:p>
            <w:pPr>
              <w:spacing w:after="0"/>
              <w:rPr>
                <w:sz w:val="20"/>
                <w:szCs w:val="20"/>
                <w:color w:val="auto"/>
              </w:rPr>
            </w:pPr>
            <w:r>
              <w:rPr>
                <w:rFonts w:ascii="Arial" w:cs="Arial" w:eastAsia="Arial" w:hAnsi="Arial"/>
                <w:sz w:val="20"/>
                <w:szCs w:val="20"/>
                <w:b w:val="1"/>
                <w:bCs w:val="1"/>
                <w:color w:val="auto"/>
              </w:rPr>
              <w:t>(In Thousands, Except Par Value) (Unaudited)</w:t>
            </w: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6"/>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4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20" w:type="dxa"/>
            <w:vAlign w:val="bottom"/>
            <w:gridSpan w:val="7"/>
            <w:vMerge w:val="restart"/>
          </w:tcPr>
          <w:p>
            <w:pPr>
              <w:jc w:val="center"/>
              <w:ind w:right="3240"/>
              <w:spacing w:after="0"/>
              <w:rPr>
                <w:sz w:val="20"/>
                <w:szCs w:val="20"/>
                <w:color w:val="auto"/>
              </w:rPr>
            </w:pPr>
            <w:r>
              <w:rPr>
                <w:rFonts w:ascii="Arial" w:cs="Arial" w:eastAsia="Arial" w:hAnsi="Arial"/>
                <w:sz w:val="16"/>
                <w:szCs w:val="16"/>
                <w:b w:val="1"/>
                <w:bCs w:val="1"/>
                <w:color w:val="auto"/>
                <w:w w:val="96"/>
              </w:rPr>
              <w:t>ASSETS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00" w:type="dxa"/>
            <w:vAlign w:val="bottom"/>
            <w:gridSpan w:val="5"/>
            <w:vMerge w:val="restart"/>
          </w:tcPr>
          <w:p>
            <w:pPr>
              <w:spacing w:after="0"/>
              <w:rPr>
                <w:sz w:val="20"/>
                <w:szCs w:val="20"/>
                <w:color w:val="auto"/>
              </w:rPr>
            </w:pPr>
            <w:r>
              <w:rPr>
                <w:rFonts w:ascii="Arial" w:cs="Arial" w:eastAsia="Arial" w:hAnsi="Arial"/>
                <w:sz w:val="16"/>
                <w:szCs w:val="16"/>
                <w:color w:val="auto"/>
                <w:w w:val="98"/>
              </w:rPr>
              <w:t>CURRENT ASSETS: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20" w:type="dxa"/>
            <w:vAlign w:val="bottom"/>
            <w:gridSpan w:val="7"/>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50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408,323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211,349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588,041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402,247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330,176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291,638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5"/>
          </w:tcPr>
          <w:p>
            <w:pPr>
              <w:spacing w:after="0"/>
              <w:rPr>
                <w:sz w:val="20"/>
                <w:szCs w:val="20"/>
                <w:color w:val="auto"/>
              </w:rPr>
            </w:pPr>
            <w:r>
              <w:rPr>
                <w:rFonts w:ascii="Arial" w:cs="Arial" w:eastAsia="Arial" w:hAnsi="Arial"/>
                <w:sz w:val="16"/>
                <w:szCs w:val="16"/>
                <w:color w:val="auto"/>
                <w:w w:val="93"/>
              </w:rPr>
              <w:t>Distributor receivables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2,989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4,542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205,449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221,449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25,472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21,376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Intangibles held-for-sale, net</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18,079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5"/>
          </w:tcPr>
          <w:p>
            <w:pPr>
              <w:spacing w:after="0"/>
              <w:rPr>
                <w:sz w:val="20"/>
                <w:szCs w:val="20"/>
                <w:color w:val="auto"/>
              </w:rPr>
            </w:pPr>
            <w:r>
              <w:rPr>
                <w:rFonts w:ascii="Arial" w:cs="Arial" w:eastAsia="Arial" w:hAnsi="Arial"/>
                <w:sz w:val="16"/>
                <w:szCs w:val="16"/>
                <w:color w:val="auto"/>
                <w:w w:val="96"/>
              </w:rPr>
              <w:t>Prepaid income taxes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18,026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9,518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5"/>
          </w:tcPr>
          <w:p>
            <w:pPr>
              <w:spacing w:after="0"/>
              <w:rPr>
                <w:sz w:val="20"/>
                <w:szCs w:val="20"/>
                <w:color w:val="auto"/>
              </w:rPr>
            </w:pPr>
            <w:r>
              <w:rPr>
                <w:rFonts w:ascii="Arial" w:cs="Arial" w:eastAsia="Arial" w:hAnsi="Arial"/>
                <w:sz w:val="16"/>
                <w:szCs w:val="16"/>
                <w:color w:val="auto"/>
                <w:w w:val="91"/>
              </w:rPr>
              <w:t>Deferred income taxes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20,924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20,924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5"/>
          </w:tcPr>
          <w:p>
            <w:pPr>
              <w:ind w:left="180"/>
              <w:spacing w:after="0"/>
              <w:rPr>
                <w:sz w:val="20"/>
                <w:szCs w:val="20"/>
                <w:color w:val="auto"/>
              </w:rPr>
            </w:pPr>
            <w:r>
              <w:rPr>
                <w:rFonts w:ascii="Arial" w:cs="Arial" w:eastAsia="Arial" w:hAnsi="Arial"/>
                <w:sz w:val="16"/>
                <w:szCs w:val="16"/>
                <w:color w:val="auto"/>
                <w:w w:val="92"/>
              </w:rPr>
              <w:t>Total current assets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1,617,479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1,183,043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1500" w:type="dxa"/>
            <w:vAlign w:val="bottom"/>
            <w:gridSpan w:val="5"/>
          </w:tcPr>
          <w:p>
            <w:pPr>
              <w:spacing w:after="0"/>
              <w:rPr>
                <w:sz w:val="20"/>
                <w:szCs w:val="20"/>
                <w:color w:val="auto"/>
              </w:rPr>
            </w:pPr>
            <w:r>
              <w:rPr>
                <w:rFonts w:ascii="Arial" w:cs="Arial" w:eastAsia="Arial" w:hAnsi="Arial"/>
                <w:sz w:val="16"/>
                <w:szCs w:val="16"/>
                <w:color w:val="auto"/>
              </w:rPr>
              <w:t>INVESTMENTS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28,419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9,792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88,487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88,143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18"/>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71,530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63,611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49,100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65,774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00" w:type="dxa"/>
            <w:vAlign w:val="bottom"/>
            <w:gridSpan w:val="5"/>
          </w:tcPr>
          <w:p>
            <w:pPr>
              <w:spacing w:after="0"/>
              <w:rPr>
                <w:sz w:val="20"/>
                <w:szCs w:val="20"/>
                <w:color w:val="auto"/>
              </w:rPr>
            </w:pPr>
            <w:r>
              <w:rPr>
                <w:rFonts w:ascii="Arial" w:cs="Arial" w:eastAsia="Arial" w:hAnsi="Arial"/>
                <w:sz w:val="16"/>
                <w:szCs w:val="16"/>
                <w:color w:val="auto"/>
              </w:rPr>
              <w:t>OTHER ASSETS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7,863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10,146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20" w:type="dxa"/>
            <w:vAlign w:val="bottom"/>
            <w:gridSpan w:val="7"/>
          </w:tcPr>
          <w:p>
            <w:pPr>
              <w:jc w:val="center"/>
              <w:ind w:right="3240"/>
              <w:spacing w:after="0"/>
              <w:rPr>
                <w:sz w:val="20"/>
                <w:szCs w:val="20"/>
                <w:color w:val="auto"/>
              </w:rPr>
            </w:pPr>
            <w:r>
              <w:rPr>
                <w:rFonts w:ascii="Arial" w:cs="Arial" w:eastAsia="Arial" w:hAnsi="Arial"/>
                <w:sz w:val="16"/>
                <w:szCs w:val="16"/>
                <w:b w:val="1"/>
                <w:bCs w:val="1"/>
                <w:color w:val="auto"/>
                <w:w w:val="86"/>
              </w:rPr>
              <w:t>Total Assets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1,862,878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1,420,509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-4606925</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-4606925</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9" w:lineRule="exact"/>
        <w:rPr>
          <w:sz w:val="20"/>
          <w:szCs w:val="20"/>
          <w:color w:val="auto"/>
        </w:rPr>
      </w:pPr>
    </w:p>
    <w:p>
      <w:pPr>
        <w:ind w:left="1980"/>
        <w:spacing w:after="0"/>
        <w:rPr>
          <w:sz w:val="20"/>
          <w:szCs w:val="20"/>
          <w:color w:val="auto"/>
        </w:rPr>
      </w:pPr>
      <w:r>
        <w:rPr>
          <w:rFonts w:ascii="Arial" w:cs="Arial" w:eastAsia="Arial" w:hAnsi="Arial"/>
          <w:sz w:val="16"/>
          <w:szCs w:val="16"/>
          <w:b w:val="1"/>
          <w:bCs w:val="1"/>
          <w:u w:val="single" w:color="auto"/>
          <w:color w:val="auto"/>
        </w:rPr>
        <w:t>LIABILITIES AND STOCKHOLDERS’ EQUITY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ectPr>
          <w:pgSz w:w="11900" w:h="16838" w:orient="portrait"/>
          <w:cols w:equalWidth="0" w:num="1">
            <w:col w:w="11460"/>
          </w:cols>
          <w:pgMar w:left="240" w:top="32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Accounts payable</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145,373</w:t>
            </w:r>
          </w:p>
        </w:tc>
        <w:tc>
          <w:tcPr>
            <w:tcW w:w="220" w:type="dxa"/>
            <w:vAlign w:val="bottom"/>
          </w:tcPr>
          <w:p>
            <w:pPr>
              <w:spacing w:after="0"/>
              <w:rPr>
                <w:sz w:val="17"/>
                <w:szCs w:val="17"/>
                <w:color w:val="auto"/>
              </w:rPr>
            </w:pP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119,376</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Accrued liabilities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66,599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59,113</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Accrued promotional allowances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127,265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99,470</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14,335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13,832</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Accrued compensation</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14,342</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14,864</w:t>
            </w:r>
          </w:p>
        </w:tc>
      </w:tr>
      <w:tr>
        <w:trPr>
          <w:trHeight w:val="206"/>
        </w:trPr>
        <w:tc>
          <w:tcPr>
            <w:tcW w:w="7780" w:type="dxa"/>
            <w:vAlign w:val="bottom"/>
          </w:tcPr>
          <w:p>
            <w:pPr>
              <w:spacing w:after="0"/>
              <w:rPr>
                <w:sz w:val="20"/>
                <w:szCs w:val="20"/>
                <w:color w:val="auto"/>
              </w:rPr>
            </w:pPr>
            <w:r>
              <w:rPr>
                <w:rFonts w:ascii="Arial" w:cs="Arial" w:eastAsia="Arial" w:hAnsi="Arial"/>
                <w:sz w:val="16"/>
                <w:szCs w:val="16"/>
                <w:color w:val="auto"/>
              </w:rPr>
              <w:t>Income taxes payable</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2,697</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9,359</w:t>
            </w:r>
          </w:p>
        </w:tc>
      </w:tr>
      <w:tr>
        <w:trPr>
          <w:trHeight w:val="206"/>
        </w:trPr>
        <w:tc>
          <w:tcPr>
            <w:tcW w:w="77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370,611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316,014</w:t>
            </w:r>
          </w:p>
        </w:tc>
      </w:tr>
      <w:tr>
        <w:trPr>
          <w:trHeight w:val="395"/>
        </w:trPr>
        <w:tc>
          <w:tcPr>
            <w:tcW w:w="7780" w:type="dxa"/>
            <w:vAlign w:val="bottom"/>
          </w:tcPr>
          <w:p>
            <w:pPr>
              <w:spacing w:after="0"/>
              <w:rPr>
                <w:sz w:val="20"/>
                <w:szCs w:val="20"/>
                <w:color w:val="auto"/>
              </w:rPr>
            </w:pPr>
            <w:r>
              <w:rPr>
                <w:rFonts w:ascii="Arial" w:cs="Arial" w:eastAsia="Arial" w:hAnsi="Arial"/>
                <w:sz w:val="16"/>
                <w:szCs w:val="16"/>
                <w:color w:val="auto"/>
              </w:rPr>
              <w:t>DEFERRED REVENUE</w:t>
            </w:r>
          </w:p>
        </w:tc>
        <w:tc>
          <w:tcPr>
            <w:tcW w:w="540" w:type="dxa"/>
            <w:vAlign w:val="bottom"/>
          </w:tcPr>
          <w:p>
            <w:pPr>
              <w:spacing w:after="0"/>
              <w:rPr>
                <w:sz w:val="24"/>
                <w:szCs w:val="24"/>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105,827</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112,216</w:t>
            </w:r>
          </w:p>
        </w:tc>
      </w:tr>
      <w:tr>
        <w:trPr>
          <w:trHeight w:val="405"/>
        </w:trPr>
        <w:tc>
          <w:tcPr>
            <w:tcW w:w="778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1"/>
        </w:trPr>
        <w:tc>
          <w:tcPr>
            <w:tcW w:w="7780" w:type="dxa"/>
            <w:vAlign w:val="bottom"/>
          </w:tcPr>
          <w:p>
            <w:pPr>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w w:val="93"/>
              </w:rPr>
              <w:t>Common stock - $0.005 par value; 240,000 shares authorized; 206,918 shares issued and 167,636 outstanding as of</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780" w:type="dxa"/>
            <w:vAlign w:val="bottom"/>
          </w:tcPr>
          <w:p>
            <w:pPr>
              <w:ind w:left="180"/>
              <w:spacing w:after="0"/>
              <w:rPr>
                <w:sz w:val="20"/>
                <w:szCs w:val="20"/>
                <w:color w:val="auto"/>
              </w:rPr>
            </w:pPr>
            <w:r>
              <w:rPr>
                <w:rFonts w:ascii="Arial" w:cs="Arial" w:eastAsia="Arial" w:hAnsi="Arial"/>
                <w:sz w:val="16"/>
                <w:szCs w:val="16"/>
                <w:color w:val="auto"/>
              </w:rPr>
              <w:t>September 30, 2014; 206,014 shares issued and 166,822 outstanding as of December 31, 2013</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1,030</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417,601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368,069</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Retained earnings</w:t>
            </w:r>
          </w:p>
        </w:tc>
        <w:tc>
          <w:tcPr>
            <w:tcW w:w="54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2,205,179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1,847,325</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(6,337)</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(1,233)</w:t>
            </w:r>
          </w:p>
        </w:tc>
      </w:tr>
      <w:tr>
        <w:trPr>
          <w:trHeight w:val="203"/>
        </w:trPr>
        <w:tc>
          <w:tcPr>
            <w:tcW w:w="7780" w:type="dxa"/>
            <w:vAlign w:val="bottom"/>
          </w:tcPr>
          <w:p>
            <w:pPr>
              <w:spacing w:after="0"/>
              <w:rPr>
                <w:sz w:val="20"/>
                <w:szCs w:val="20"/>
                <w:color w:val="auto"/>
              </w:rPr>
            </w:pPr>
            <w:r>
              <w:rPr>
                <w:rFonts w:ascii="Arial" w:cs="Arial" w:eastAsia="Arial" w:hAnsi="Arial"/>
                <w:sz w:val="16"/>
                <w:szCs w:val="16"/>
                <w:color w:val="auto"/>
                <w:w w:val="96"/>
              </w:rPr>
              <w:t>Common stock in treasury, at cost; 39,282 and 39,192 shares as of September 30, 2014 and December 31, 2013,</w:t>
            </w: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7780" w:type="dxa"/>
            <w:vAlign w:val="bottom"/>
          </w:tcPr>
          <w:p>
            <w:pPr>
              <w:ind w:left="180"/>
              <w:spacing w:after="0"/>
              <w:rPr>
                <w:sz w:val="20"/>
                <w:szCs w:val="20"/>
                <w:color w:val="auto"/>
              </w:rPr>
            </w:pPr>
            <w:r>
              <w:rPr>
                <w:rFonts w:ascii="Arial" w:cs="Arial" w:eastAsia="Arial" w:hAnsi="Arial"/>
                <w:sz w:val="16"/>
                <w:szCs w:val="16"/>
                <w:color w:val="auto"/>
              </w:rPr>
              <w:t>respectively</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(1,231,038)</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(1,222,912)</w:t>
            </w:r>
          </w:p>
        </w:tc>
      </w:tr>
      <w:tr>
        <w:trPr>
          <w:trHeight w:val="202"/>
        </w:trPr>
        <w:tc>
          <w:tcPr>
            <w:tcW w:w="7780" w:type="dxa"/>
            <w:vAlign w:val="bottom"/>
          </w:tcPr>
          <w:p>
            <w:pPr>
              <w:ind w:left="18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1,386,440</w:t>
            </w:r>
          </w:p>
        </w:tc>
        <w:tc>
          <w:tcPr>
            <w:tcW w:w="2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992,279</w:t>
            </w:r>
          </w:p>
        </w:tc>
      </w:tr>
      <w:tr>
        <w:trPr>
          <w:trHeight w:val="196"/>
        </w:trPr>
        <w:tc>
          <w:tcPr>
            <w:tcW w:w="7780" w:type="dxa"/>
            <w:vAlign w:val="bottom"/>
          </w:tcPr>
          <w:p>
            <w:pPr>
              <w:ind w:left="2300"/>
              <w:spacing w:after="0"/>
              <w:rPr>
                <w:sz w:val="20"/>
                <w:szCs w:val="20"/>
                <w:color w:val="auto"/>
              </w:rPr>
            </w:pPr>
            <w:r>
              <w:rPr>
                <w:rFonts w:ascii="Arial" w:cs="Arial" w:eastAsia="Arial" w:hAnsi="Arial"/>
                <w:sz w:val="16"/>
                <w:szCs w:val="16"/>
                <w:b w:val="1"/>
                <w:bCs w:val="1"/>
                <w:color w:val="auto"/>
              </w:rPr>
              <w:t>Total Liabilities and Stockholders’ Equity</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1,862,878</w:t>
            </w:r>
          </w:p>
        </w:tc>
        <w:tc>
          <w:tcPr>
            <w:tcW w:w="220" w:type="dxa"/>
            <w:vAlign w:val="bottom"/>
          </w:tcPr>
          <w:p>
            <w:pPr>
              <w:spacing w:after="0"/>
              <w:rPr>
                <w:sz w:val="17"/>
                <w:szCs w:val="17"/>
                <w:color w:val="auto"/>
              </w:rPr>
            </w:pPr>
          </w:p>
        </w:tc>
        <w:tc>
          <w:tcPr>
            <w:tcW w:w="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1,420,509</w:t>
            </w:r>
          </w:p>
        </w:tc>
      </w:tr>
      <w:tr>
        <w:trPr>
          <w:trHeight w:val="20"/>
        </w:trPr>
        <w:tc>
          <w:tcPr>
            <w:tcW w:w="7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INCOME</w:t>
      </w:r>
    </w:p>
    <w:p>
      <w:pPr>
        <w:ind w:right="4080"/>
        <w:spacing w:after="0" w:line="244" w:lineRule="auto"/>
        <w:rPr>
          <w:sz w:val="20"/>
          <w:szCs w:val="20"/>
          <w:color w:val="auto"/>
        </w:rPr>
      </w:pPr>
      <w:r>
        <w:rPr>
          <w:rFonts w:ascii="Arial" w:cs="Arial" w:eastAsia="Arial" w:hAnsi="Arial"/>
          <w:sz w:val="20"/>
          <w:szCs w:val="20"/>
          <w:b w:val="1"/>
          <w:bCs w:val="1"/>
          <w:color w:val="auto"/>
        </w:rPr>
        <w:t>FOR THE THREE- AND NINE-MONTHS ENDED SEPTEMBER 30, 2014 AND 2013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Three-Months Ended</w:t>
            </w:r>
          </w:p>
        </w:tc>
        <w:tc>
          <w:tcPr>
            <w:tcW w:w="340" w:type="dxa"/>
            <w:vAlign w:val="bottom"/>
          </w:tcPr>
          <w:p>
            <w:pPr>
              <w:spacing w:after="0"/>
              <w:rPr>
                <w:sz w:val="18"/>
                <w:szCs w:val="18"/>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Nine-Months Ended</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2013</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635,972</w:t>
            </w:r>
          </w:p>
        </w:tc>
        <w:tc>
          <w:tcPr>
            <w:tcW w:w="300" w:type="dxa"/>
            <w:vAlign w:val="bottom"/>
          </w:tcPr>
          <w:p>
            <w:pPr>
              <w:spacing w:after="0"/>
              <w:rPr>
                <w:sz w:val="24"/>
                <w:szCs w:val="24"/>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590,422</w:t>
            </w:r>
          </w:p>
        </w:tc>
        <w:tc>
          <w:tcPr>
            <w:tcW w:w="280" w:type="dxa"/>
            <w:vAlign w:val="bottom"/>
          </w:tcPr>
          <w:p>
            <w:pPr>
              <w:spacing w:after="0"/>
              <w:rPr>
                <w:sz w:val="24"/>
                <w:szCs w:val="24"/>
                <w:color w:val="auto"/>
              </w:rPr>
            </w:pPr>
          </w:p>
        </w:tc>
        <w:tc>
          <w:tcPr>
            <w:tcW w:w="34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1,859,301</w:t>
            </w:r>
          </w:p>
        </w:tc>
        <w:tc>
          <w:tcPr>
            <w:tcW w:w="280" w:type="dxa"/>
            <w:vAlign w:val="bottom"/>
          </w:tcPr>
          <w:p>
            <w:pPr>
              <w:spacing w:after="0"/>
              <w:rPr>
                <w:sz w:val="24"/>
                <w:szCs w:val="24"/>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1,705,579</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294,052</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282,952</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851,274</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809,809</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341,920</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307,470</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1,008,027</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895,770</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152,013</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156,041</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453,443</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457,610</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189,907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151,429</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554,584</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438,160</w:t>
            </w:r>
          </w:p>
        </w:tc>
        <w:tc>
          <w:tcPr>
            <w:tcW w:w="0" w:type="dxa"/>
            <w:vAlign w:val="bottom"/>
          </w:tcPr>
          <w:p>
            <w:pPr>
              <w:spacing w:after="0"/>
              <w:rPr>
                <w:sz w:val="1"/>
                <w:szCs w:val="1"/>
                <w:color w:val="auto"/>
              </w:rPr>
            </w:pPr>
          </w:p>
        </w:tc>
      </w:tr>
      <w:tr>
        <w:trPr>
          <w:trHeight w:val="418"/>
        </w:trPr>
        <w:tc>
          <w:tcPr>
            <w:tcW w:w="5000" w:type="dxa"/>
            <w:vAlign w:val="bottom"/>
          </w:tcPr>
          <w:p>
            <w:pPr>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(Loss) gain on investments and put options, net (Note 4)</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0"/>
        </w:trPr>
        <w:tc>
          <w:tcPr>
            <w:tcW w:w="5000" w:type="dxa"/>
            <w:vAlign w:val="bottom"/>
          </w:tcPr>
          <w:p>
            <w:pPr>
              <w:ind w:left="42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188,869</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150,723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553,877</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432,151</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67,269</w:t>
            </w: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58,536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196,023</w:t>
            </w: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169,596</w:t>
            </w:r>
          </w:p>
        </w:tc>
        <w:tc>
          <w:tcPr>
            <w:tcW w:w="0" w:type="dxa"/>
            <w:vAlign w:val="bottom"/>
          </w:tcPr>
          <w:p>
            <w:pPr>
              <w:spacing w:after="0"/>
              <w:rPr>
                <w:sz w:val="1"/>
                <w:szCs w:val="1"/>
                <w:color w:val="auto"/>
              </w:rPr>
            </w:pPr>
          </w:p>
        </w:tc>
      </w:tr>
      <w:tr>
        <w:trPr>
          <w:trHeight w:val="42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121,600</w:t>
            </w:r>
          </w:p>
        </w:tc>
        <w:tc>
          <w:tcPr>
            <w:tcW w:w="300" w:type="dxa"/>
            <w:vAlign w:val="bottom"/>
          </w:tcPr>
          <w:p>
            <w:pPr>
              <w:spacing w:after="0"/>
              <w:rPr>
                <w:sz w:val="24"/>
                <w:szCs w:val="24"/>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92,187</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357,854</w:t>
            </w:r>
          </w:p>
        </w:tc>
        <w:tc>
          <w:tcPr>
            <w:tcW w:w="28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262,555</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0" w:type="dxa"/>
            <w:vAlign w:val="bottom"/>
            <w:vMerge w:val="continue"/>
          </w:tcPr>
          <w:p>
            <w:pPr>
              <w:spacing w:after="0"/>
              <w:rPr>
                <w:sz w:val="24"/>
                <w:szCs w:val="24"/>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0.73</w:t>
            </w:r>
          </w:p>
        </w:tc>
        <w:tc>
          <w:tcPr>
            <w:tcW w:w="300" w:type="dxa"/>
            <w:vAlign w:val="bottom"/>
          </w:tcPr>
          <w:p>
            <w:pPr>
              <w:spacing w:after="0"/>
              <w:rPr>
                <w:sz w:val="24"/>
                <w:szCs w:val="24"/>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24"/>
                <w:szCs w:val="24"/>
                <w:color w:val="auto"/>
              </w:rPr>
            </w:pPr>
          </w:p>
        </w:tc>
        <w:tc>
          <w:tcPr>
            <w:tcW w:w="340" w:type="dxa"/>
            <w:vAlign w:val="bottom"/>
            <w:vMerge w:val="restart"/>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24"/>
                <w:szCs w:val="24"/>
                <w:color w:val="auto"/>
              </w:rPr>
            </w:pPr>
          </w:p>
        </w:tc>
        <w:tc>
          <w:tcPr>
            <w:tcW w:w="44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7"/>
        </w:trPr>
        <w:tc>
          <w:tcPr>
            <w:tcW w:w="500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0.70</w:t>
            </w:r>
          </w:p>
        </w:tc>
        <w:tc>
          <w:tcPr>
            <w:tcW w:w="300" w:type="dxa"/>
            <w:vAlign w:val="bottom"/>
          </w:tcPr>
          <w:p>
            <w:pPr>
              <w:spacing w:after="0"/>
              <w:rPr>
                <w:sz w:val="17"/>
                <w:szCs w:val="17"/>
                <w:color w:val="auto"/>
              </w:rPr>
            </w:pPr>
          </w:p>
        </w:tc>
        <w:tc>
          <w:tcPr>
            <w:tcW w:w="4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0.53</w:t>
            </w: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2.06</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COMMON STOCK AND COMMON STOCK</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340" w:type="dxa"/>
            <w:vAlign w:val="bottom"/>
          </w:tcPr>
          <w:p>
            <w:pPr>
              <w:spacing w:after="0"/>
              <w:rPr>
                <w:sz w:val="19"/>
                <w:szCs w:val="19"/>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167,346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167,457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167,116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166,483</w:t>
            </w:r>
          </w:p>
        </w:tc>
        <w:tc>
          <w:tcPr>
            <w:tcW w:w="0" w:type="dxa"/>
            <w:vAlign w:val="bottom"/>
          </w:tcPr>
          <w:p>
            <w:pPr>
              <w:spacing w:after="0"/>
              <w:rPr>
                <w:sz w:val="1"/>
                <w:szCs w:val="1"/>
                <w:color w:val="auto"/>
              </w:rPr>
            </w:pPr>
          </w:p>
        </w:tc>
      </w:tr>
      <w:tr>
        <w:trPr>
          <w:trHeight w:val="217"/>
        </w:trPr>
        <w:tc>
          <w:tcPr>
            <w:tcW w:w="500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174,270</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173,948</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174,016</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173,344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0" w:right="239" w:bottom="0" w:gutter="0" w:footer="0" w:header="0"/>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jc w:val="both"/>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THREE-AND NINE-MONTHS ENDED SEPTEMBER 30, 2014 AND 2013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center"/>
              <w:ind w:right="640"/>
              <w:spacing w:after="0"/>
              <w:rPr>
                <w:sz w:val="20"/>
                <w:szCs w:val="20"/>
                <w:color w:val="auto"/>
              </w:rPr>
            </w:pPr>
            <w:r>
              <w:rPr>
                <w:rFonts w:ascii="Arial" w:cs="Arial" w:eastAsia="Arial" w:hAnsi="Arial"/>
                <w:sz w:val="20"/>
                <w:szCs w:val="20"/>
                <w:color w:val="auto"/>
                <w:w w:val="89"/>
              </w:rPr>
              <w:t>Three-Months Ended</w:t>
            </w:r>
          </w:p>
        </w:tc>
        <w:tc>
          <w:tcPr>
            <w:tcW w:w="340" w:type="dxa"/>
            <w:vAlign w:val="bottom"/>
          </w:tcPr>
          <w:p>
            <w:pPr>
              <w:spacing w:after="0"/>
              <w:rPr>
                <w:sz w:val="19"/>
                <w:szCs w:val="19"/>
                <w:color w:val="auto"/>
              </w:rPr>
            </w:pPr>
          </w:p>
        </w:tc>
        <w:tc>
          <w:tcPr>
            <w:tcW w:w="2780" w:type="dxa"/>
            <w:vAlign w:val="bottom"/>
            <w:gridSpan w:val="4"/>
          </w:tcPr>
          <w:p>
            <w:pPr>
              <w:jc w:val="right"/>
              <w:ind w:right="70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20"/>
                <w:szCs w:val="20"/>
                <w:color w:val="auto"/>
                <w:w w:val="86"/>
              </w:rPr>
              <w:t>September 30,</w:t>
            </w:r>
          </w:p>
        </w:tc>
        <w:tc>
          <w:tcPr>
            <w:tcW w:w="9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94"/>
              </w:rPr>
              <w:t>2013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w w:val="89"/>
              </w:rPr>
              <w:t>2013</w:t>
            </w: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34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121,600</w:t>
            </w:r>
          </w:p>
        </w:tc>
        <w:tc>
          <w:tcPr>
            <w:tcW w:w="300" w:type="dxa"/>
            <w:vAlign w:val="bottom"/>
          </w:tcPr>
          <w:p>
            <w:pPr>
              <w:spacing w:after="0"/>
              <w:rPr>
                <w:sz w:val="17"/>
                <w:szCs w:val="17"/>
                <w:color w:val="auto"/>
              </w:rPr>
            </w:pPr>
          </w:p>
        </w:tc>
        <w:tc>
          <w:tcPr>
            <w:tcW w:w="440" w:type="dxa"/>
            <w:vAlign w:val="bottom"/>
          </w:tcPr>
          <w:p>
            <w:pPr>
              <w:jc w:val="right"/>
              <w:ind w:right="181"/>
              <w:spacing w:after="0" w:line="207" w:lineRule="exact"/>
              <w:rPr>
                <w:sz w:val="20"/>
                <w:szCs w:val="20"/>
                <w:color w:val="auto"/>
              </w:rPr>
            </w:pPr>
            <w:r>
              <w:rPr>
                <w:rFonts w:ascii="Arial" w:cs="Arial" w:eastAsia="Arial" w:hAnsi="Arial"/>
                <w:sz w:val="20"/>
                <w:szCs w:val="20"/>
                <w:color w:val="auto"/>
              </w:rPr>
              <w:t>$</w:t>
            </w:r>
          </w:p>
        </w:tc>
        <w:tc>
          <w:tcPr>
            <w:tcW w:w="9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92,187</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357,854</w:t>
            </w:r>
          </w:p>
        </w:tc>
        <w:tc>
          <w:tcPr>
            <w:tcW w:w="280" w:type="dxa"/>
            <w:vAlign w:val="bottom"/>
          </w:tcPr>
          <w:p>
            <w:pPr>
              <w:spacing w:after="0"/>
              <w:rPr>
                <w:sz w:val="17"/>
                <w:szCs w:val="17"/>
                <w:color w:val="auto"/>
              </w:rPr>
            </w:pPr>
          </w:p>
        </w:tc>
        <w:tc>
          <w:tcPr>
            <w:tcW w:w="4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line="207" w:lineRule="exact"/>
              <w:rPr>
                <w:sz w:val="20"/>
                <w:szCs w:val="20"/>
                <w:color w:val="auto"/>
              </w:rPr>
            </w:pPr>
            <w:r>
              <w:rPr>
                <w:rFonts w:ascii="Arial" w:cs="Arial" w:eastAsia="Arial" w:hAnsi="Arial"/>
                <w:sz w:val="20"/>
                <w:szCs w:val="20"/>
                <w:color w:val="auto"/>
              </w:rPr>
              <w:t>262,555</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Other comprehensive (loss) income: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(5,716)</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1,850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(5,104)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(1,683)</w:t>
            </w: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00"/>
              <w:spacing w:after="0"/>
              <w:rPr>
                <w:sz w:val="20"/>
                <w:szCs w:val="20"/>
                <w:color w:val="auto"/>
              </w:rPr>
            </w:pPr>
            <w:r>
              <w:rPr>
                <w:rFonts w:ascii="Arial" w:cs="Arial" w:eastAsia="Arial" w:hAnsi="Arial"/>
                <w:sz w:val="20"/>
                <w:szCs w:val="20"/>
                <w:color w:val="auto"/>
              </w:rPr>
              <w:t>Change in net unrealized gains</w:t>
            </w: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500"/>
              <w:spacing w:after="0"/>
              <w:rPr>
                <w:sz w:val="20"/>
                <w:szCs w:val="20"/>
                <w:color w:val="auto"/>
              </w:rPr>
            </w:pPr>
            <w:r>
              <w:rPr>
                <w:rFonts w:ascii="Arial" w:cs="Arial" w:eastAsia="Arial" w:hAnsi="Arial"/>
                <w:sz w:val="20"/>
                <w:szCs w:val="20"/>
                <w:color w:val="auto"/>
                <w:w w:val="97"/>
              </w:rPr>
              <w:t>Reclassification adjustment for net gains included in</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ind w:left="680"/>
              <w:spacing w:after="0"/>
              <w:rPr>
                <w:sz w:val="20"/>
                <w:szCs w:val="20"/>
                <w:color w:val="auto"/>
              </w:rPr>
            </w:pPr>
            <w:r>
              <w:rPr>
                <w:rFonts w:ascii="Arial" w:cs="Arial" w:eastAsia="Arial" w:hAnsi="Arial"/>
                <w:sz w:val="20"/>
                <w:szCs w:val="20"/>
                <w:color w:val="auto"/>
              </w:rPr>
              <w:t>net income</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5000" w:type="dxa"/>
            <w:vAlign w:val="bottom"/>
          </w:tcPr>
          <w:p>
            <w:pPr>
              <w:ind w:left="50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(1,525)</w:t>
            </w: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Other comprehensive (loss) income</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(5,716)</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1,850</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(5,104)</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(3,208)</w:t>
            </w: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115,884</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4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94,037</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352,750</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259,347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2014 AND 2013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Nine-Months Ended</w:t>
            </w:r>
          </w:p>
        </w:tc>
        <w:tc>
          <w:tcPr>
            <w:tcW w:w="0" w:type="dxa"/>
            <w:vAlign w:val="bottom"/>
          </w:tcPr>
          <w:p>
            <w:pPr>
              <w:spacing w:after="0"/>
              <w:rPr>
                <w:sz w:val="1"/>
                <w:szCs w:val="1"/>
                <w:color w:val="auto"/>
              </w:rPr>
            </w:pPr>
          </w:p>
        </w:tc>
      </w:tr>
      <w:tr>
        <w:trPr>
          <w:trHeight w:val="142"/>
        </w:trPr>
        <w:tc>
          <w:tcPr>
            <w:tcW w:w="784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80" w:type="dxa"/>
            <w:vAlign w:val="bottom"/>
          </w:tcPr>
          <w:p>
            <w:pPr>
              <w:spacing w:after="0"/>
              <w:rPr>
                <w:sz w:val="12"/>
                <w:szCs w:val="12"/>
                <w:color w:val="auto"/>
              </w:rPr>
            </w:pPr>
          </w:p>
        </w:tc>
        <w:tc>
          <w:tcPr>
            <w:tcW w:w="1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12"/>
                <w:szCs w:val="12"/>
                <w:color w:val="auto"/>
              </w:rPr>
            </w:pPr>
          </w:p>
        </w:tc>
        <w:tc>
          <w:tcPr>
            <w:tcW w:w="152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10"/>
        </w:trPr>
        <w:tc>
          <w:tcPr>
            <w:tcW w:w="7840" w:type="dxa"/>
            <w:vAlign w:val="bottom"/>
            <w:vMerge w:val="continue"/>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357,854</w:t>
            </w:r>
          </w:p>
        </w:tc>
        <w:tc>
          <w:tcPr>
            <w:tcW w:w="3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262,555</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19,124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16,444</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22,509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21,592</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Loss on put option</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771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Gain on investments, net</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(3,091)</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(7,919)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(11,541)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(30,250)</w:t>
            </w:r>
          </w:p>
        </w:tc>
        <w:tc>
          <w:tcPr>
            <w:tcW w:w="0" w:type="dxa"/>
            <w:vAlign w:val="bottom"/>
          </w:tcPr>
          <w:p>
            <w:pPr>
              <w:spacing w:after="0"/>
              <w:rPr>
                <w:sz w:val="1"/>
                <w:szCs w:val="1"/>
                <w:color w:val="auto"/>
              </w:rPr>
            </w:pPr>
          </w:p>
        </w:tc>
      </w:tr>
      <w:tr>
        <w:trPr>
          <w:trHeight w:val="149"/>
        </w:trPr>
        <w:tc>
          <w:tcPr>
            <w:tcW w:w="7840" w:type="dxa"/>
            <w:vAlign w:val="bottom"/>
          </w:tcPr>
          <w:p>
            <w:pPr>
              <w:ind w:left="36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(45,759)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(104,666)</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Distributor receivables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2,047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(3,384)</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13,300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(46,687)</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(4,564)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(13,026)</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Prepaid income taxes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(8,723)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(4,906)</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30,032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33,731</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12,387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21,157</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Accrued promotional allowances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32,421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40,175</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Accrued distributor terminations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(2,338)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Accrued compensation</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(467)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7840" w:type="dxa"/>
            <w:vAlign w:val="bottom"/>
          </w:tcPr>
          <w:p>
            <w:pPr>
              <w:ind w:left="540"/>
              <w:spacing w:after="0" w:line="149" w:lineRule="exact"/>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4,909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78,447</w:t>
            </w:r>
          </w:p>
        </w:tc>
        <w:tc>
          <w:tcPr>
            <w:tcW w:w="0" w:type="dxa"/>
            <w:vAlign w:val="bottom"/>
          </w:tcPr>
          <w:p>
            <w:pPr>
              <w:spacing w:after="0"/>
              <w:rPr>
                <w:sz w:val="1"/>
                <w:szCs w:val="1"/>
                <w:color w:val="auto"/>
              </w:rPr>
            </w:pPr>
          </w:p>
        </w:tc>
      </w:tr>
      <w:tr>
        <w:trPr>
          <w:trHeight w:val="167"/>
        </w:trPr>
        <w:tc>
          <w:tcPr>
            <w:tcW w:w="7840" w:type="dxa"/>
            <w:vAlign w:val="bottom"/>
          </w:tcPr>
          <w:p>
            <w:pPr>
              <w:ind w:left="540"/>
              <w:spacing w:after="0"/>
              <w:rPr>
                <w:sz w:val="20"/>
                <w:szCs w:val="20"/>
                <w:color w:val="auto"/>
              </w:rPr>
            </w:pPr>
            <w:r>
              <w:rPr>
                <w:rFonts w:ascii="Arial" w:cs="Arial" w:eastAsia="Arial" w:hAnsi="Arial"/>
                <w:sz w:val="14"/>
                <w:szCs w:val="14"/>
                <w:color w:val="auto"/>
              </w:rPr>
              <w:t>Deferred revenue</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4,838</w:t>
            </w:r>
          </w:p>
        </w:tc>
        <w:tc>
          <w:tcPr>
            <w:tcW w:w="0" w:type="dxa"/>
            <w:vAlign w:val="bottom"/>
          </w:tcPr>
          <w:p>
            <w:pPr>
              <w:spacing w:after="0"/>
              <w:rPr>
                <w:sz w:val="1"/>
                <w:szCs w:val="1"/>
                <w:color w:val="auto"/>
              </w:rPr>
            </w:pPr>
          </w:p>
        </w:tc>
      </w:tr>
      <w:tr>
        <w:trPr>
          <w:trHeight w:val="176"/>
        </w:trPr>
        <w:tc>
          <w:tcPr>
            <w:tcW w:w="7840" w:type="dxa"/>
            <w:vAlign w:val="bottom"/>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5"/>
                <w:szCs w:val="15"/>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407,049</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275,834</w:t>
            </w:r>
          </w:p>
        </w:tc>
        <w:tc>
          <w:tcPr>
            <w:tcW w:w="0" w:type="dxa"/>
            <w:vAlign w:val="bottom"/>
          </w:tcPr>
          <w:p>
            <w:pPr>
              <w:spacing w:after="0"/>
              <w:rPr>
                <w:sz w:val="1"/>
                <w:szCs w:val="1"/>
                <w:color w:val="auto"/>
              </w:rPr>
            </w:pPr>
          </w:p>
        </w:tc>
      </w:tr>
      <w:tr>
        <w:trPr>
          <w:trHeight w:val="177"/>
        </w:trPr>
        <w:tc>
          <w:tcPr>
            <w:tcW w:w="78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545,774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179,575</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12,075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(761,538)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(392,870)</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(19,300)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(32,612)</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8,762</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Increase in intangibles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(1,765)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(9,001)</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Decrease (increase) in other assets</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(7,576)</w:t>
            </w:r>
          </w:p>
        </w:tc>
        <w:tc>
          <w:tcPr>
            <w:tcW w:w="0" w:type="dxa"/>
            <w:vAlign w:val="bottom"/>
          </w:tcPr>
          <w:p>
            <w:pPr>
              <w:spacing w:after="0"/>
              <w:rPr>
                <w:sz w:val="1"/>
                <w:szCs w:val="1"/>
                <w:color w:val="auto"/>
              </w:rPr>
            </w:pPr>
          </w:p>
        </w:tc>
      </w:tr>
      <w:tr>
        <w:trPr>
          <w:trHeight w:val="176"/>
        </w:trPr>
        <w:tc>
          <w:tcPr>
            <w:tcW w:w="7840" w:type="dxa"/>
            <w:vAlign w:val="bottom"/>
          </w:tcPr>
          <w:p>
            <w:pPr>
              <w:ind w:left="72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(222,982)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(246,697)</w:t>
            </w:r>
          </w:p>
        </w:tc>
        <w:tc>
          <w:tcPr>
            <w:tcW w:w="0" w:type="dxa"/>
            <w:vAlign w:val="bottom"/>
          </w:tcPr>
          <w:p>
            <w:pPr>
              <w:spacing w:after="0"/>
              <w:rPr>
                <w:sz w:val="1"/>
                <w:szCs w:val="1"/>
                <w:color w:val="auto"/>
              </w:rPr>
            </w:pPr>
          </w:p>
        </w:tc>
      </w:tr>
      <w:tr>
        <w:trPr>
          <w:trHeight w:val="177"/>
        </w:trPr>
        <w:tc>
          <w:tcPr>
            <w:tcW w:w="78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11,541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30,250</w:t>
            </w:r>
          </w:p>
        </w:tc>
        <w:tc>
          <w:tcPr>
            <w:tcW w:w="0" w:type="dxa"/>
            <w:vAlign w:val="bottom"/>
          </w:tcPr>
          <w:p>
            <w:pPr>
              <w:spacing w:after="0"/>
              <w:rPr>
                <w:sz w:val="1"/>
                <w:szCs w:val="1"/>
                <w:color w:val="auto"/>
              </w:rPr>
            </w:pPr>
          </w:p>
        </w:tc>
      </w:tr>
      <w:tr>
        <w:trPr>
          <w:trHeight w:val="149"/>
        </w:trPr>
        <w:tc>
          <w:tcPr>
            <w:tcW w:w="78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8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15,050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18,198</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(13,401)</w:t>
            </w:r>
          </w:p>
        </w:tc>
        <w:tc>
          <w:tcPr>
            <w:tcW w:w="0" w:type="dxa"/>
            <w:vAlign w:val="bottom"/>
          </w:tcPr>
          <w:p>
            <w:pPr>
              <w:spacing w:after="0"/>
              <w:rPr>
                <w:sz w:val="1"/>
                <w:szCs w:val="1"/>
                <w:color w:val="auto"/>
              </w:rPr>
            </w:pPr>
          </w:p>
        </w:tc>
      </w:tr>
      <w:tr>
        <w:trPr>
          <w:trHeight w:val="142"/>
        </w:trPr>
        <w:tc>
          <w:tcPr>
            <w:tcW w:w="7840" w:type="dxa"/>
            <w:vAlign w:val="bottom"/>
          </w:tcPr>
          <w:p>
            <w:pPr>
              <w:ind w:left="7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17,149</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33,725</w:t>
            </w:r>
          </w:p>
        </w:tc>
        <w:tc>
          <w:tcPr>
            <w:tcW w:w="0" w:type="dxa"/>
            <w:vAlign w:val="bottom"/>
          </w:tcPr>
          <w:p>
            <w:pPr>
              <w:spacing w:after="0"/>
              <w:rPr>
                <w:sz w:val="1"/>
                <w:szCs w:val="1"/>
                <w:color w:val="auto"/>
              </w:rPr>
            </w:pPr>
          </w:p>
        </w:tc>
      </w:tr>
      <w:tr>
        <w:trPr>
          <w:trHeight w:val="306"/>
        </w:trPr>
        <w:tc>
          <w:tcPr>
            <w:tcW w:w="78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(4,242)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180" w:type="dxa"/>
            <w:vAlign w:val="bottom"/>
          </w:tcPr>
          <w:p>
            <w:pPr>
              <w:spacing w:after="0"/>
              <w:rPr>
                <w:sz w:val="20"/>
                <w:szCs w:val="20"/>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196,974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64,505</w:t>
            </w:r>
          </w:p>
        </w:tc>
        <w:tc>
          <w:tcPr>
            <w:tcW w:w="0" w:type="dxa"/>
            <w:vAlign w:val="bottom"/>
          </w:tcPr>
          <w:p>
            <w:pPr>
              <w:spacing w:after="0"/>
              <w:rPr>
                <w:sz w:val="1"/>
                <w:szCs w:val="1"/>
                <w:color w:val="auto"/>
              </w:rPr>
            </w:pPr>
          </w:p>
        </w:tc>
      </w:t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211,349</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222,514</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408,323</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287,019</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600" w:type="dxa"/>
            <w:vAlign w:val="bottom"/>
            <w:vMerge w:val="restart"/>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4"/>
                <w:szCs w:val="14"/>
                <w:color w:val="auto"/>
              </w:rPr>
            </w:pPr>
          </w:p>
        </w:tc>
        <w:tc>
          <w:tcPr>
            <w:tcW w:w="62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59"/>
        </w:trPr>
        <w:tc>
          <w:tcPr>
            <w:tcW w:w="7840" w:type="dxa"/>
            <w:vAlign w:val="bottom"/>
          </w:tcPr>
          <w:p>
            <w:pPr>
              <w:ind w:left="360"/>
              <w:spacing w:after="0" w:line="154" w:lineRule="exact"/>
              <w:rPr>
                <w:sz w:val="20"/>
                <w:szCs w:val="20"/>
                <w:color w:val="auto"/>
              </w:rPr>
            </w:pPr>
            <w:r>
              <w:rPr>
                <w:rFonts w:ascii="Arial" w:cs="Arial" w:eastAsia="Arial" w:hAnsi="Arial"/>
                <w:sz w:val="14"/>
                <w:szCs w:val="14"/>
                <w:color w:val="auto"/>
              </w:rPr>
              <w:t>Interest</w:t>
            </w:r>
          </w:p>
        </w:tc>
        <w:tc>
          <w:tcPr>
            <w:tcW w:w="60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360"/>
              <w:spacing w:after="0"/>
              <w:rPr>
                <w:sz w:val="20"/>
                <w:szCs w:val="20"/>
                <w:color w:val="auto"/>
              </w:rPr>
            </w:pPr>
            <w:r>
              <w:rPr>
                <w:rFonts w:ascii="Arial" w:cs="Arial" w:eastAsia="Arial" w:hAnsi="Arial"/>
                <w:sz w:val="14"/>
                <w:szCs w:val="14"/>
                <w:color w:val="auto"/>
              </w:rPr>
              <w:t>Income taxes</w:t>
            </w: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40" w:type="dxa"/>
            <w:vAlign w:val="bottom"/>
            <w:vMerge w:val="continue"/>
          </w:tcPr>
          <w:p>
            <w:pPr>
              <w:spacing w:after="0"/>
              <w:rPr>
                <w:sz w:val="11"/>
                <w:szCs w:val="11"/>
                <w:color w:val="auto"/>
              </w:rPr>
            </w:pPr>
          </w:p>
        </w:tc>
        <w:tc>
          <w:tcPr>
            <w:tcW w:w="600" w:type="dxa"/>
            <w:vAlign w:val="bottom"/>
            <w:tcBorders>
              <w:bottom w:val="single" w:sz="8" w:color="auto"/>
            </w:tcBorders>
          </w:tcPr>
          <w:p>
            <w:pPr>
              <w:jc w:val="right"/>
              <w:ind w:right="388"/>
              <w:spacing w:after="0" w:line="129"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210,090</w:t>
            </w:r>
          </w:p>
        </w:tc>
        <w:tc>
          <w:tcPr>
            <w:tcW w:w="300" w:type="dxa"/>
            <w:vAlign w:val="bottom"/>
          </w:tcPr>
          <w:p>
            <w:pPr>
              <w:spacing w:after="0"/>
              <w:rPr>
                <w:sz w:val="11"/>
                <w:szCs w:val="11"/>
                <w:color w:val="auto"/>
              </w:rPr>
            </w:pPr>
          </w:p>
        </w:tc>
        <w:tc>
          <w:tcPr>
            <w:tcW w:w="620" w:type="dxa"/>
            <w:vAlign w:val="bottom"/>
            <w:tcBorders>
              <w:bottom w:val="single" w:sz="8" w:color="auto"/>
            </w:tcBorders>
          </w:tcPr>
          <w:p>
            <w:pPr>
              <w:jc w:val="right"/>
              <w:ind w:right="408"/>
              <w:spacing w:after="0" w:line="129"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rPr>
              <w:t>97,171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3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NINE-MONTHS ENDED SEPTEMBER 30, 2014 AND 2013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$0.7 million and $1.9 million for the nine-months ended September 30, 2014 and 2013,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2013 (“Form 10-K”) for a summary of significant accounting policies utilized by the Company and its consolidated subsidiaries and other disclosures, which should be read in conjunction with this Quarterly Report on Form 10-Q (“Form 10-Q”).</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2014 and 2013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ACQUISITIONS AND DIVESTITURES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On August 14, 2014, the Company and The Coca-Cola Company (“Coca-Cola”) entered into definitive agreements for a long-term strategic relationship in the global energy drink category (the “Coca-Cola Transaction”). In the Coca-Cola Transaction, the Company, New Laser Corporation, a wholly owned subsidiary of the Company (“NewCo”), New Laser Merger Corp., a wholly owned subsidiary of NewCo (“Merger Sub”), Coca-Cola and European Refreshments, an indirect wholly owned subsidiary of Coca-Cola, entered into a transaction agreement, and the Company, Coca-Cola and NewCo entered into an asset transfer agreement. Pursuant to the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2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Subject to the terms and conditions of the agreements, upon the closing of the Coca-Cola Transaction, (1) NewCo will issue to Coca-Cola newly issued shares of common stock representing approximately 16.7% of the total number of shares of issued and outstanding NewCo common stock (after giving effect to the new issuance) and Coca-Cola will have the right to nominate two (reduced to one in 36 months or if Coca-Cola’s equity interest in NewCo exceeds 20%) individuals to NewCo’s Board of Directors, (2) Coca-Cola will transfer its global energy drink business (including the NOS®, Full Throttle®, Burn®, Mother®, Play® and Power Play®, and Relentless® brands) to NewCo, and the</w:t>
      </w:r>
    </w:p>
    <w:p>
      <w:pPr>
        <w:sectPr>
          <w:pgSz w:w="11900" w:h="16838" w:orient="portrait"/>
          <w:cols w:equalWidth="0" w:num="1">
            <w:col w:w="11420"/>
          </w:cols>
          <w:pgMar w:left="240" w:top="122" w:right="239" w:bottom="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20"/>
          <w:szCs w:val="20"/>
          <w:color w:val="auto"/>
        </w:rPr>
        <w:t>Company will transfer its non-energy drink business (including the Hansen’s® Natural Soda, Peace Tea®, Hubert’s® Lemonade and Hansen’s® Juice Product brands) to Coca-Cola, (3) the Company and Coca-Cola will amend their current distribution coordination agreements by expanding distribution of the Company’s products into additional territories pursuant to long-term commercial agreements with Coca-Cola’s network of owned or controlled bottlers/distributors and independent bottling and distribution partners, and (4) Coca-Cola will make a net cash payment of $2.15 billion to the Company ($625.0 million of which will be held in escrow, subject to release upon achievement of milestones relating to the transfer of distribution rights).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closing of the transaction is subject to customary closing conditions and is expected to close in early 2015.</w:t>
      </w:r>
    </w:p>
    <w:p>
      <w:pPr>
        <w:spacing w:after="0" w:line="229"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firstLine="8"/>
        <w:spacing w:after="0" w:line="241" w:lineRule="auto"/>
        <w:tabs>
          <w:tab w:leader="none" w:pos="317" w:val="left"/>
        </w:tabs>
        <w:numPr>
          <w:ilvl w:val="0"/>
          <w:numId w:val="5"/>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5"/>
                <w:szCs w:val="15"/>
                <w:color w:val="auto"/>
                <w:w w:val="92"/>
              </w:rPr>
              <w:t>Continuous</w:t>
            </w:r>
          </w:p>
        </w:tc>
        <w:tc>
          <w:tcPr>
            <w:tcW w:w="980" w:type="dxa"/>
            <w:vAlign w:val="bottom"/>
          </w:tcPr>
          <w:p>
            <w:pPr>
              <w:jc w:val="center"/>
              <w:ind w:left="43"/>
              <w:spacing w:after="0"/>
              <w:rPr>
                <w:sz w:val="20"/>
                <w:szCs w:val="20"/>
                <w:color w:val="auto"/>
              </w:rPr>
            </w:pPr>
            <w:r>
              <w:rPr>
                <w:rFonts w:ascii="Arial" w:cs="Arial" w:eastAsia="Arial" w:hAnsi="Arial"/>
                <w:sz w:val="15"/>
                <w:szCs w:val="15"/>
                <w:color w:val="auto"/>
                <w:w w:val="92"/>
              </w:rPr>
              <w:t>Continuous</w:t>
            </w:r>
          </w:p>
        </w:tc>
        <w:tc>
          <w:tcPr>
            <w:tcW w:w="240" w:type="dxa"/>
            <w:vAlign w:val="bottom"/>
          </w:tcPr>
          <w:p>
            <w:pPr>
              <w:spacing w:after="0"/>
              <w:rPr>
                <w:sz w:val="15"/>
                <w:szCs w:val="15"/>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200" w:type="dxa"/>
            <w:vAlign w:val="bottom"/>
          </w:tcPr>
          <w:p>
            <w:pPr>
              <w:spacing w:after="0"/>
              <w:rPr>
                <w:sz w:val="14"/>
                <w:szCs w:val="14"/>
                <w:color w:val="auto"/>
              </w:rPr>
            </w:pPr>
          </w:p>
        </w:tc>
        <w:tc>
          <w:tcPr>
            <w:tcW w:w="960" w:type="dxa"/>
            <w:vAlign w:val="bottom"/>
          </w:tcPr>
          <w:p>
            <w:pPr>
              <w:jc w:val="center"/>
              <w:ind w:right="123"/>
              <w:spacing w:after="0" w:line="162" w:lineRule="exact"/>
              <w:rPr>
                <w:sz w:val="20"/>
                <w:szCs w:val="20"/>
                <w:color w:val="auto"/>
              </w:rPr>
            </w:pPr>
            <w:r>
              <w:rPr>
                <w:rFonts w:ascii="Arial" w:cs="Arial" w:eastAsia="Arial" w:hAnsi="Arial"/>
                <w:sz w:val="15"/>
                <w:szCs w:val="15"/>
                <w:color w:val="auto"/>
                <w:w w:val="89"/>
              </w:rPr>
              <w:t>Gross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4"/>
              </w:rPr>
              <w:t>Unrealized</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Unrealized</w:t>
            </w:r>
          </w:p>
        </w:tc>
        <w:tc>
          <w:tcPr>
            <w:tcW w:w="24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94"/>
              </w:rPr>
              <w:t>Unrealized</w:t>
            </w:r>
          </w:p>
        </w:tc>
        <w:tc>
          <w:tcPr>
            <w:tcW w:w="200" w:type="dxa"/>
            <w:vAlign w:val="bottom"/>
          </w:tcPr>
          <w:p>
            <w:pPr>
              <w:spacing w:after="0"/>
              <w:rPr>
                <w:sz w:val="14"/>
                <w:szCs w:val="14"/>
                <w:color w:val="auto"/>
              </w:rPr>
            </w:pPr>
          </w:p>
        </w:tc>
        <w:tc>
          <w:tcPr>
            <w:tcW w:w="960" w:type="dxa"/>
            <w:vAlign w:val="bottom"/>
          </w:tcPr>
          <w:p>
            <w:pPr>
              <w:jc w:val="center"/>
              <w:ind w:right="123"/>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240"/>
              <w:spacing w:after="0" w:line="162" w:lineRule="exact"/>
              <w:rPr>
                <w:sz w:val="20"/>
                <w:szCs w:val="20"/>
                <w:color w:val="auto"/>
              </w:rPr>
            </w:pPr>
            <w:r>
              <w:rPr>
                <w:rFonts w:ascii="Arial" w:cs="Arial" w:eastAsia="Arial" w:hAnsi="Arial"/>
                <w:sz w:val="15"/>
                <w:szCs w:val="15"/>
                <w:color w:val="auto"/>
                <w:w w:val="91"/>
              </w:rPr>
              <w:t>Loss Position</w:t>
            </w:r>
          </w:p>
        </w:tc>
        <w:tc>
          <w:tcPr>
            <w:tcW w:w="980" w:type="dxa"/>
            <w:vAlign w:val="bottom"/>
          </w:tcPr>
          <w:p>
            <w:pPr>
              <w:jc w:val="center"/>
              <w:ind w:left="43"/>
              <w:spacing w:after="0" w:line="162" w:lineRule="exact"/>
              <w:rPr>
                <w:sz w:val="20"/>
                <w:szCs w:val="20"/>
                <w:color w:val="auto"/>
              </w:rPr>
            </w:pPr>
            <w:r>
              <w:rPr>
                <w:rFonts w:ascii="Arial" w:cs="Arial" w:eastAsia="Arial" w:hAnsi="Arial"/>
                <w:sz w:val="15"/>
                <w:szCs w:val="15"/>
                <w:color w:val="auto"/>
                <w:w w:val="91"/>
              </w:rPr>
              <w:t>Loss Position</w:t>
            </w:r>
          </w:p>
        </w:tc>
        <w:tc>
          <w:tcPr>
            <w:tcW w:w="24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200" w:type="dxa"/>
            <w:vAlign w:val="bottom"/>
          </w:tcPr>
          <w:p>
            <w:pPr>
              <w:spacing w:after="0"/>
              <w:rPr>
                <w:sz w:val="14"/>
                <w:szCs w:val="14"/>
                <w:color w:val="auto"/>
              </w:rPr>
            </w:pPr>
          </w:p>
        </w:tc>
        <w:tc>
          <w:tcPr>
            <w:tcW w:w="960" w:type="dxa"/>
            <w:vAlign w:val="bottom"/>
          </w:tcPr>
          <w:p>
            <w:pPr>
              <w:jc w:val="center"/>
              <w:ind w:right="123"/>
              <w:spacing w:after="0" w:line="162" w:lineRule="exact"/>
              <w:rPr>
                <w:sz w:val="20"/>
                <w:szCs w:val="20"/>
                <w:color w:val="auto"/>
              </w:rPr>
            </w:pPr>
            <w:r>
              <w:rPr>
                <w:rFonts w:ascii="Arial" w:cs="Arial" w:eastAsia="Arial" w:hAnsi="Arial"/>
                <w:sz w:val="15"/>
                <w:szCs w:val="15"/>
                <w:color w:val="auto"/>
              </w:rPr>
              <w:t>Holding</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520"/>
              <w:spacing w:after="0" w:line="162" w:lineRule="exact"/>
              <w:rPr>
                <w:sz w:val="20"/>
                <w:szCs w:val="20"/>
                <w:color w:val="auto"/>
              </w:rPr>
            </w:pPr>
            <w:r>
              <w:rPr>
                <w:rFonts w:ascii="Arial" w:cs="Arial" w:eastAsia="Arial" w:hAnsi="Arial"/>
                <w:sz w:val="15"/>
                <w:szCs w:val="15"/>
                <w:color w:val="auto"/>
                <w:w w:val="92"/>
              </w:rPr>
              <w:t>Fair</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line="162" w:lineRule="exact"/>
              <w:rPr>
                <w:sz w:val="20"/>
                <w:szCs w:val="20"/>
                <w:color w:val="auto"/>
              </w:rPr>
            </w:pPr>
            <w:r>
              <w:rPr>
                <w:rFonts w:ascii="Arial" w:cs="Arial" w:eastAsia="Arial" w:hAnsi="Arial"/>
                <w:sz w:val="15"/>
                <w:szCs w:val="15"/>
                <w:color w:val="auto"/>
                <w:w w:val="88"/>
              </w:rPr>
              <w:t>less than 12</w:t>
            </w:r>
          </w:p>
        </w:tc>
        <w:tc>
          <w:tcPr>
            <w:tcW w:w="1220" w:type="dxa"/>
            <w:vAlign w:val="bottom"/>
            <w:gridSpan w:val="2"/>
          </w:tcPr>
          <w:p>
            <w:pPr>
              <w:jc w:val="center"/>
              <w:ind w:right="23"/>
              <w:spacing w:after="0" w:line="162" w:lineRule="exact"/>
              <w:rPr>
                <w:sz w:val="20"/>
                <w:szCs w:val="20"/>
                <w:color w:val="auto"/>
              </w:rPr>
            </w:pPr>
            <w:r>
              <w:rPr>
                <w:rFonts w:ascii="Arial" w:cs="Arial" w:eastAsia="Arial" w:hAnsi="Arial"/>
                <w:sz w:val="15"/>
                <w:szCs w:val="15"/>
                <w:color w:val="auto"/>
                <w:w w:val="90"/>
              </w:rPr>
              <w:t>greater than 12</w:t>
            </w: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September 30, 2014</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color w:val="auto"/>
                <w:w w:val="84"/>
              </w:rPr>
              <w:t>Losses</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5"/>
                <w:szCs w:val="15"/>
                <w:color w:val="auto"/>
                <w:w w:val="93"/>
              </w:rPr>
              <w:t>Value</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3"/>
              </w:rPr>
              <w:t>Months</w:t>
            </w:r>
          </w:p>
        </w:tc>
        <w:tc>
          <w:tcPr>
            <w:tcW w:w="980" w:type="dxa"/>
            <w:vAlign w:val="bottom"/>
            <w:tcBorders>
              <w:bottom w:val="single" w:sz="8" w:color="auto"/>
            </w:tcBorders>
          </w:tcPr>
          <w:p>
            <w:pPr>
              <w:jc w:val="center"/>
              <w:ind w:left="43"/>
              <w:spacing w:after="0"/>
              <w:rPr>
                <w:sz w:val="20"/>
                <w:szCs w:val="20"/>
                <w:color w:val="auto"/>
              </w:rPr>
            </w:pPr>
            <w:r>
              <w:rPr>
                <w:rFonts w:ascii="Arial" w:cs="Arial" w:eastAsia="Arial" w:hAnsi="Arial"/>
                <w:sz w:val="15"/>
                <w:szCs w:val="15"/>
                <w:color w:val="auto"/>
                <w:w w:val="93"/>
              </w:rPr>
              <w:t>Months</w:t>
            </w:r>
          </w:p>
        </w:tc>
        <w:tc>
          <w:tcPr>
            <w:tcW w:w="240" w:type="dxa"/>
            <w:vAlign w:val="bottom"/>
            <w:tcBorders>
              <w:bottom w:val="single" w:sz="8" w:color="auto"/>
            </w:tcBorders>
          </w:tcPr>
          <w:p>
            <w:pPr>
              <w:spacing w:after="0"/>
              <w:rPr>
                <w:sz w:val="15"/>
                <w:szCs w:val="15"/>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100" w:type="dxa"/>
            <w:vAlign w:val="bottom"/>
          </w:tcPr>
          <w:p>
            <w:pPr>
              <w:ind w:left="20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2,504</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2,504</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76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2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1,000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1,000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180" w:type="dxa"/>
            <w:vAlign w:val="bottom"/>
          </w:tcPr>
          <w:p>
            <w:pPr>
              <w:spacing w:after="0"/>
              <w:rPr>
                <w:sz w:val="14"/>
                <w:szCs w:val="14"/>
                <w:color w:val="auto"/>
              </w:rPr>
            </w:pPr>
          </w:p>
        </w:tc>
        <w:tc>
          <w:tcPr>
            <w:tcW w:w="120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579,695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123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579,818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jc w:val="right"/>
              <w:ind w:right="103"/>
              <w:spacing w:after="0" w:line="162" w:lineRule="exact"/>
              <w:rPr>
                <w:sz w:val="20"/>
                <w:szCs w:val="20"/>
                <w:color w:val="auto"/>
              </w:rPr>
            </w:pPr>
            <w:r>
              <w:rPr>
                <w:rFonts w:ascii="Arial" w:cs="Arial" w:eastAsia="Arial" w:hAnsi="Arial"/>
                <w:sz w:val="15"/>
                <w:szCs w:val="15"/>
                <w:color w:val="auto"/>
                <w:w w:val="79"/>
              </w:rPr>
              <w:t>-</w:t>
            </w: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28,419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28,423</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9"/>
              </w:rPr>
              <w:t>-</w:t>
            </w:r>
          </w:p>
        </w:tc>
      </w:tr>
      <w:tr>
        <w:trPr>
          <w:trHeight w:val="156"/>
        </w:trPr>
        <w:tc>
          <w:tcPr>
            <w:tcW w:w="3100" w:type="dxa"/>
            <w:vAlign w:val="bottom"/>
          </w:tcPr>
          <w:p>
            <w:pPr>
              <w:ind w:left="52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611,618</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127</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3"/>
              <w:spacing w:after="0" w:line="156" w:lineRule="exact"/>
              <w:rPr>
                <w:sz w:val="20"/>
                <w:szCs w:val="20"/>
                <w:color w:val="auto"/>
              </w:rPr>
            </w:pPr>
            <w:r>
              <w:rPr>
                <w:rFonts w:ascii="Arial" w:cs="Arial" w:eastAsia="Arial" w:hAnsi="Arial"/>
                <w:sz w:val="15"/>
                <w:szCs w:val="15"/>
                <w:color w:val="auto"/>
              </w:rPr>
              <w:t>611,745</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80" w:type="dxa"/>
            <w:vAlign w:val="bottom"/>
            <w:tcBorders>
              <w:bottom w:val="single" w:sz="8" w:color="auto"/>
            </w:tcBorders>
          </w:tcPr>
          <w:p>
            <w:pPr>
              <w:jc w:val="right"/>
              <w:ind w:right="763"/>
              <w:spacing w:after="0" w:line="156"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w w:val="79"/>
              </w:rPr>
              <w:t>-</w:t>
            </w:r>
          </w:p>
        </w:tc>
      </w:tr>
      <w:tr>
        <w:trPr>
          <w:trHeight w:val="20"/>
        </w:trPr>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6" w:name="page7"/>
    <w:bookmarkEnd w:id="6"/>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20"/>
                <w:szCs w:val="20"/>
                <w:color w:val="auto"/>
              </w:rPr>
            </w:pPr>
            <w:r>
              <w:rPr>
                <w:rFonts w:ascii="Arial" w:cs="Arial" w:eastAsia="Arial" w:hAnsi="Arial"/>
                <w:sz w:val="15"/>
                <w:szCs w:val="15"/>
                <w:b w:val="1"/>
                <w:bCs w:val="1"/>
                <w:color w:val="auto"/>
              </w:rPr>
              <w:t>Trading</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4,842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2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rPr>
              <w:t>616,587</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restart"/>
          </w:tcPr>
          <w:p>
            <w:pPr>
              <w:jc w:val="center"/>
              <w:ind w:right="83"/>
              <w:spacing w:after="0"/>
              <w:rPr>
                <w:sz w:val="20"/>
                <w:szCs w:val="20"/>
                <w:color w:val="auto"/>
              </w:rPr>
            </w:pPr>
            <w:r>
              <w:rPr>
                <w:rFonts w:ascii="Arial" w:cs="Arial" w:eastAsia="Arial" w:hAnsi="Arial"/>
                <w:sz w:val="15"/>
                <w:szCs w:val="15"/>
                <w:color w:val="auto"/>
                <w:w w:val="92"/>
              </w:rPr>
              <w:t>Continuous</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center"/>
              <w:ind w:right="123"/>
              <w:spacing w:after="0"/>
              <w:rPr>
                <w:sz w:val="20"/>
                <w:szCs w:val="20"/>
                <w:color w:val="auto"/>
              </w:rPr>
            </w:pPr>
            <w:r>
              <w:rPr>
                <w:rFonts w:ascii="Arial" w:cs="Arial" w:eastAsia="Arial" w:hAnsi="Arial"/>
                <w:sz w:val="15"/>
                <w:szCs w:val="15"/>
                <w:color w:val="auto"/>
                <w:w w:val="92"/>
              </w:rPr>
              <w:t>Continuous</w:t>
            </w:r>
          </w:p>
        </w:tc>
        <w:tc>
          <w:tcPr>
            <w:tcW w:w="0" w:type="dxa"/>
            <w:vAlign w:val="bottom"/>
          </w:tcPr>
          <w:p>
            <w:pPr>
              <w:spacing w:after="0" w:line="20" w:lineRule="exact"/>
              <w:rPr>
                <w:sz w:val="1"/>
                <w:szCs w:val="1"/>
                <w:color w:val="auto"/>
              </w:rPr>
            </w:pPr>
          </w:p>
        </w:tc>
      </w:tr>
      <w:tr>
        <w:trPr>
          <w:trHeight w:val="372"/>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180" w:type="dxa"/>
            <w:vAlign w:val="bottom"/>
          </w:tcPr>
          <w:p>
            <w:pPr>
              <w:spacing w:after="0"/>
              <w:rPr>
                <w:sz w:val="14"/>
                <w:szCs w:val="14"/>
                <w:color w:val="auto"/>
              </w:rPr>
            </w:pPr>
          </w:p>
        </w:tc>
        <w:tc>
          <w:tcPr>
            <w:tcW w:w="1200" w:type="dxa"/>
            <w:vAlign w:val="bottom"/>
            <w:gridSpan w:val="3"/>
          </w:tcPr>
          <w:p>
            <w:pPr>
              <w:jc w:val="center"/>
              <w:ind w:right="44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Unrealized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43"/>
              <w:spacing w:after="0" w:line="162" w:lineRule="exact"/>
              <w:rPr>
                <w:sz w:val="20"/>
                <w:szCs w:val="20"/>
                <w:color w:val="auto"/>
              </w:rPr>
            </w:pPr>
            <w:r>
              <w:rPr>
                <w:rFonts w:ascii="Arial" w:cs="Arial" w:eastAsia="Arial" w:hAnsi="Arial"/>
                <w:sz w:val="15"/>
                <w:szCs w:val="15"/>
                <w:color w:val="auto"/>
                <w:w w:val="94"/>
              </w:rPr>
              <w:t>Unrealized</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1"/>
              </w:rPr>
              <w:t>Unrealized</w:t>
            </w:r>
          </w:p>
        </w:tc>
        <w:tc>
          <w:tcPr>
            <w:tcW w:w="180" w:type="dxa"/>
            <w:vAlign w:val="bottom"/>
          </w:tcPr>
          <w:p>
            <w:pPr>
              <w:spacing w:after="0"/>
              <w:rPr>
                <w:sz w:val="14"/>
                <w:szCs w:val="14"/>
                <w:color w:val="auto"/>
              </w:rPr>
            </w:pPr>
          </w:p>
        </w:tc>
        <w:tc>
          <w:tcPr>
            <w:tcW w:w="1200" w:type="dxa"/>
            <w:vAlign w:val="bottom"/>
            <w:gridSpan w:val="3"/>
          </w:tcPr>
          <w:p>
            <w:pPr>
              <w:jc w:val="center"/>
              <w:ind w:right="420"/>
              <w:spacing w:after="0" w:line="162" w:lineRule="exact"/>
              <w:rPr>
                <w:sz w:val="20"/>
                <w:szCs w:val="20"/>
                <w:color w:val="auto"/>
              </w:rPr>
            </w:pPr>
            <w:r>
              <w:rPr>
                <w:rFonts w:ascii="Arial" w:cs="Arial" w:eastAsia="Arial" w:hAnsi="Arial"/>
                <w:sz w:val="15"/>
                <w:szCs w:val="15"/>
                <w:color w:val="auto"/>
                <w:w w:val="91"/>
              </w:rPr>
              <w:t>Unrealized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3"/>
              <w:spacing w:after="0" w:line="162" w:lineRule="exact"/>
              <w:rPr>
                <w:sz w:val="20"/>
                <w:szCs w:val="20"/>
                <w:color w:val="auto"/>
              </w:rPr>
            </w:pPr>
            <w:r>
              <w:rPr>
                <w:rFonts w:ascii="Arial" w:cs="Arial" w:eastAsia="Arial" w:hAnsi="Arial"/>
                <w:sz w:val="15"/>
                <w:szCs w:val="15"/>
                <w:color w:val="auto"/>
                <w:w w:val="91"/>
              </w:rPr>
              <w:t>Loss Position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23"/>
              <w:spacing w:after="0" w:line="162" w:lineRule="exact"/>
              <w:rPr>
                <w:sz w:val="20"/>
                <w:szCs w:val="20"/>
                <w:color w:val="auto"/>
              </w:rPr>
            </w:pPr>
            <w:r>
              <w:rPr>
                <w:rFonts w:ascii="Arial" w:cs="Arial" w:eastAsia="Arial" w:hAnsi="Arial"/>
                <w:sz w:val="15"/>
                <w:szCs w:val="15"/>
                <w:color w:val="auto"/>
                <w:w w:val="91"/>
              </w:rPr>
              <w:t>Loss Position</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180" w:type="dxa"/>
            <w:vAlign w:val="bottom"/>
          </w:tcPr>
          <w:p>
            <w:pPr>
              <w:spacing w:after="0"/>
              <w:rPr>
                <w:sz w:val="14"/>
                <w:szCs w:val="14"/>
                <w:color w:val="auto"/>
              </w:rPr>
            </w:pPr>
          </w:p>
        </w:tc>
        <w:tc>
          <w:tcPr>
            <w:tcW w:w="1200" w:type="dxa"/>
            <w:vAlign w:val="bottom"/>
            <w:gridSpan w:val="3"/>
          </w:tcPr>
          <w:p>
            <w:pPr>
              <w:jc w:val="center"/>
              <w:ind w:right="42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880" w:type="dxa"/>
            <w:vAlign w:val="bottom"/>
            <w:gridSpan w:val="2"/>
          </w:tcPr>
          <w:p>
            <w:pPr>
              <w:jc w:val="center"/>
              <w:ind w:right="320"/>
              <w:spacing w:after="0" w:line="162" w:lineRule="exact"/>
              <w:rPr>
                <w:sz w:val="20"/>
                <w:szCs w:val="20"/>
                <w:color w:val="auto"/>
              </w:rPr>
            </w:pPr>
            <w:r>
              <w:rPr>
                <w:rFonts w:ascii="Arial" w:cs="Arial" w:eastAsia="Arial" w:hAnsi="Arial"/>
                <w:sz w:val="15"/>
                <w:szCs w:val="15"/>
                <w:color w:val="auto"/>
                <w:w w:val="92"/>
              </w:rPr>
              <w:t>Fair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63"/>
              <w:spacing w:after="0" w:line="162" w:lineRule="exact"/>
              <w:rPr>
                <w:sz w:val="20"/>
                <w:szCs w:val="20"/>
                <w:color w:val="auto"/>
              </w:rPr>
            </w:pPr>
            <w:r>
              <w:rPr>
                <w:rFonts w:ascii="Arial" w:cs="Arial" w:eastAsia="Arial" w:hAnsi="Arial"/>
                <w:sz w:val="15"/>
                <w:szCs w:val="15"/>
                <w:color w:val="auto"/>
                <w:w w:val="88"/>
              </w:rPr>
              <w:t>less than 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43"/>
              <w:spacing w:after="0" w:line="162" w:lineRule="exact"/>
              <w:rPr>
                <w:sz w:val="20"/>
                <w:szCs w:val="20"/>
                <w:color w:val="auto"/>
              </w:rPr>
            </w:pPr>
            <w:r>
              <w:rPr>
                <w:rFonts w:ascii="Arial" w:cs="Arial" w:eastAsia="Arial" w:hAnsi="Arial"/>
                <w:sz w:val="15"/>
                <w:szCs w:val="15"/>
                <w:color w:val="auto"/>
                <w:w w:val="90"/>
              </w:rPr>
              <w:t>greater than 12</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2013</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Amortized Cost</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1"/>
              </w:rPr>
              <w:t>Gains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color w:val="auto"/>
                <w:w w:val="93"/>
              </w:rPr>
              <w:t>Value</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color w:val="auto"/>
                <w:w w:val="93"/>
              </w:rPr>
              <w:t>Months</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color w:val="auto"/>
                <w:w w:val="93"/>
              </w:rPr>
              <w:t>Months</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5"/>
                <w:szCs w:val="15"/>
                <w:b w:val="1"/>
                <w:bCs w:val="1"/>
                <w:color w:val="auto"/>
              </w:rPr>
              <w:t>Held-to-Maturity</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22,045</w:t>
            </w:r>
          </w:p>
        </w:tc>
        <w:tc>
          <w:tcPr>
            <w:tcW w:w="240" w:type="dxa"/>
            <w:vAlign w:val="bottom"/>
          </w:tcPr>
          <w:p>
            <w:pPr>
              <w:spacing w:after="0"/>
              <w:rPr>
                <w:sz w:val="14"/>
                <w:szCs w:val="14"/>
                <w:color w:val="auto"/>
              </w:rPr>
            </w:pP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22,045</w:t>
            </w:r>
          </w:p>
        </w:tc>
        <w:tc>
          <w:tcPr>
            <w:tcW w:w="20" w:type="dxa"/>
            <w:vAlign w:val="bottom"/>
          </w:tcPr>
          <w:p>
            <w:pPr>
              <w:spacing w:after="0"/>
              <w:rPr>
                <w:sz w:val="14"/>
                <w:szCs w:val="14"/>
                <w:color w:val="auto"/>
              </w:rPr>
            </w:pPr>
          </w:p>
        </w:tc>
        <w:tc>
          <w:tcPr>
            <w:tcW w:w="3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3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Commercial paper</w:t>
            </w:r>
          </w:p>
        </w:tc>
        <w:tc>
          <w:tcPr>
            <w:tcW w:w="180" w:type="dxa"/>
            <w:vAlign w:val="bottom"/>
          </w:tcPr>
          <w:p>
            <w:pPr>
              <w:spacing w:after="0"/>
              <w:rPr>
                <w:sz w:val="14"/>
                <w:szCs w:val="14"/>
                <w:color w:val="auto"/>
              </w:rPr>
            </w:pPr>
          </w:p>
        </w:tc>
        <w:tc>
          <w:tcPr>
            <w:tcW w:w="11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5,991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5,991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10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Municipal securities</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367,819</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367,867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100" w:type="dxa"/>
            <w:vAlign w:val="bottom"/>
          </w:tcPr>
          <w:p>
            <w:pPr>
              <w:ind w:left="52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395,855</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48</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63"/>
              <w:spacing w:after="0" w:line="156" w:lineRule="exact"/>
              <w:rPr>
                <w:sz w:val="20"/>
                <w:szCs w:val="20"/>
                <w:color w:val="auto"/>
              </w:rPr>
            </w:pPr>
            <w:r>
              <w:rPr>
                <w:rFonts w:ascii="Arial" w:cs="Arial" w:eastAsia="Arial" w:hAnsi="Arial"/>
                <w:sz w:val="15"/>
                <w:szCs w:val="15"/>
                <w:color w:val="auto"/>
              </w:rPr>
              <w:t>395,903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42" w:lineRule="exact"/>
              <w:rPr>
                <w:sz w:val="20"/>
                <w:szCs w:val="20"/>
                <w:color w:val="auto"/>
              </w:rPr>
            </w:pPr>
            <w:r>
              <w:rPr>
                <w:rFonts w:ascii="Arial" w:cs="Arial" w:eastAsia="Arial" w:hAnsi="Arial"/>
                <w:sz w:val="15"/>
                <w:szCs w:val="15"/>
                <w:b w:val="1"/>
                <w:bCs w:val="1"/>
                <w:color w:val="auto"/>
              </w:rPr>
              <w:t>Trading</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63"/>
              <w:spacing w:after="0" w:line="162" w:lineRule="exact"/>
              <w:rPr>
                <w:sz w:val="20"/>
                <w:szCs w:val="20"/>
                <w:color w:val="auto"/>
              </w:rPr>
            </w:pPr>
            <w:r>
              <w:rPr>
                <w:rFonts w:ascii="Arial" w:cs="Arial" w:eastAsia="Arial" w:hAnsi="Arial"/>
                <w:sz w:val="15"/>
                <w:szCs w:val="15"/>
                <w:color w:val="auto"/>
              </w:rPr>
              <w:t>6,392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ind w:left="180"/>
              <w:spacing w:after="0"/>
              <w:rPr>
                <w:sz w:val="20"/>
                <w:szCs w:val="20"/>
                <w:color w:val="auto"/>
              </w:rPr>
            </w:pPr>
            <w:r>
              <w:rPr>
                <w:rFonts w:ascii="Arial" w:cs="Arial" w:eastAsia="Arial" w:hAnsi="Arial"/>
                <w:sz w:val="15"/>
                <w:szCs w:val="15"/>
                <w:color w:val="auto"/>
              </w:rPr>
              <w:t>Auction rate securities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9,792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520"/>
              <w:spacing w:after="0" w:line="156" w:lineRule="exact"/>
              <w:rPr>
                <w:sz w:val="20"/>
                <w:szCs w:val="20"/>
                <w:color w:val="auto"/>
              </w:rPr>
            </w:pPr>
            <w:r>
              <w:rPr>
                <w:rFonts w:ascii="Arial" w:cs="Arial" w:eastAsia="Arial" w:hAnsi="Arial"/>
                <w:sz w:val="15"/>
                <w:szCs w:val="15"/>
                <w:color w:val="auto"/>
              </w:rPr>
              <w:t>Total</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412,087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During the three- and nine-months ended September 30, 2014, realized gains or losses recognized on the sale of investments were not significant. During the year ended December 31, 2013, the Company recognized $2.5 million of realized gains on the sale of available-for-sale investments. Realized gains or losses on the sale of all other investments during the year ended December 31, 2013 were not significant.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a net gain through earnings on its trading securities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2580" w:type="dxa"/>
            <w:vAlign w:val="bottom"/>
            <w:gridSpan w:val="4"/>
          </w:tcPr>
          <w:p>
            <w:pPr>
              <w:jc w:val="right"/>
              <w:ind w:right="121"/>
              <w:spacing w:after="0"/>
              <w:rPr>
                <w:sz w:val="20"/>
                <w:szCs w:val="20"/>
                <w:color w:val="auto"/>
              </w:rPr>
            </w:pPr>
            <w:r>
              <w:rPr>
                <w:rFonts w:ascii="Arial" w:cs="Arial" w:eastAsia="Arial" w:hAnsi="Arial"/>
                <w:sz w:val="20"/>
                <w:szCs w:val="20"/>
                <w:color w:val="auto"/>
              </w:rPr>
              <w:t>Three-Months Ended</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681"/>
              <w:spacing w:after="0"/>
              <w:rPr>
                <w:sz w:val="20"/>
                <w:szCs w:val="20"/>
                <w:color w:val="auto"/>
              </w:rPr>
            </w:pPr>
            <w:r>
              <w:rPr>
                <w:rFonts w:ascii="Arial" w:cs="Arial" w:eastAsia="Arial" w:hAnsi="Arial"/>
                <w:sz w:val="20"/>
                <w:szCs w:val="20"/>
                <w:color w:val="auto"/>
              </w:rPr>
              <w:t>Nine-Months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20"/>
                <w:szCs w:val="20"/>
                <w:color w:val="auto"/>
                <w:w w:val="86"/>
              </w:rPr>
              <w:t>September 30,</w:t>
            </w:r>
          </w:p>
        </w:tc>
        <w:tc>
          <w:tcPr>
            <w:tcW w:w="4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vMerge w:val="restart"/>
          </w:tcPr>
          <w:p>
            <w:pPr>
              <w:ind w:left="660"/>
              <w:spacing w:after="0"/>
              <w:rPr>
                <w:sz w:val="20"/>
                <w:szCs w:val="20"/>
                <w:color w:val="auto"/>
              </w:rPr>
            </w:pPr>
            <w:r>
              <w:rPr>
                <w:rFonts w:ascii="Arial" w:cs="Arial" w:eastAsia="Arial" w:hAnsi="Arial"/>
                <w:sz w:val="20"/>
                <w:szCs w:val="20"/>
                <w:color w:val="auto"/>
              </w:rPr>
              <w:t>Gain on trading securities sold</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2014</w:t>
            </w: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2013</w:t>
            </w:r>
          </w:p>
        </w:tc>
        <w:tc>
          <w:tcPr>
            <w:tcW w:w="4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w w:val="89"/>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00" w:type="dxa"/>
            <w:vAlign w:val="bottom"/>
            <w:vMerge w:val="continue"/>
          </w:tcPr>
          <w:p>
            <w:pPr>
              <w:spacing w:after="0"/>
              <w:rPr>
                <w:sz w:val="17"/>
                <w:szCs w:val="17"/>
                <w:color w:val="auto"/>
              </w:rPr>
            </w:pPr>
          </w:p>
        </w:tc>
        <w:tc>
          <w:tcPr>
            <w:tcW w:w="920" w:type="dxa"/>
            <w:vAlign w:val="bottom"/>
          </w:tcPr>
          <w:p>
            <w:pPr>
              <w:jc w:val="right"/>
              <w:ind w:right="623"/>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jc w:val="right"/>
              <w:ind w:right="41"/>
              <w:spacing w:after="0" w:line="207" w:lineRule="exact"/>
              <w:rPr>
                <w:sz w:val="20"/>
                <w:szCs w:val="20"/>
                <w:color w:val="auto"/>
              </w:rPr>
            </w:pPr>
            <w:r>
              <w:rPr>
                <w:rFonts w:ascii="Arial" w:cs="Arial" w:eastAsia="Arial" w:hAnsi="Arial"/>
                <w:sz w:val="20"/>
                <w:szCs w:val="20"/>
                <w:color w:val="auto"/>
                <w:w w:val="89"/>
              </w:rPr>
              <w:t>630</w:t>
            </w:r>
          </w:p>
        </w:tc>
        <w:tc>
          <w:tcPr>
            <w:tcW w:w="300" w:type="dxa"/>
            <w:vAlign w:val="bottom"/>
          </w:tcPr>
          <w:p>
            <w:pPr>
              <w:spacing w:after="0"/>
              <w:rPr>
                <w:sz w:val="17"/>
                <w:szCs w:val="17"/>
                <w:color w:val="auto"/>
              </w:rPr>
            </w:pPr>
          </w:p>
        </w:tc>
        <w:tc>
          <w:tcPr>
            <w:tcW w:w="900" w:type="dxa"/>
            <w:vAlign w:val="bottom"/>
          </w:tcPr>
          <w:p>
            <w:pPr>
              <w:jc w:val="right"/>
              <w:ind w:right="621"/>
              <w:spacing w:after="0" w:line="207" w:lineRule="exact"/>
              <w:rPr>
                <w:sz w:val="20"/>
                <w:szCs w:val="20"/>
                <w:color w:val="auto"/>
              </w:rPr>
            </w:pPr>
            <w:r>
              <w:rPr>
                <w:rFonts w:ascii="Arial" w:cs="Arial" w:eastAsia="Arial" w:hAnsi="Arial"/>
                <w:sz w:val="20"/>
                <w:szCs w:val="20"/>
                <w:color w:val="auto"/>
              </w:rPr>
              <w:t>$</w:t>
            </w:r>
          </w:p>
        </w:tc>
        <w:tc>
          <w:tcPr>
            <w:tcW w:w="440" w:type="dxa"/>
            <w:vAlign w:val="bottom"/>
          </w:tcPr>
          <w:p>
            <w:pPr>
              <w:jc w:val="right"/>
              <w:ind w:right="21"/>
              <w:spacing w:after="0" w:line="207" w:lineRule="exact"/>
              <w:rPr>
                <w:sz w:val="20"/>
                <w:szCs w:val="20"/>
                <w:color w:val="auto"/>
              </w:rPr>
            </w:pPr>
            <w:r>
              <w:rPr>
                <w:rFonts w:ascii="Arial" w:cs="Arial" w:eastAsia="Arial" w:hAnsi="Arial"/>
                <w:sz w:val="20"/>
                <w:szCs w:val="20"/>
                <w:color w:val="auto"/>
                <w:w w:val="89"/>
              </w:rPr>
              <w:t>140</w:t>
            </w:r>
          </w:p>
        </w:tc>
        <w:tc>
          <w:tcPr>
            <w:tcW w:w="280" w:type="dxa"/>
            <w:vAlign w:val="bottom"/>
          </w:tcPr>
          <w:p>
            <w:pPr>
              <w:spacing w:after="0"/>
              <w:rPr>
                <w:sz w:val="17"/>
                <w:szCs w:val="17"/>
                <w:color w:val="auto"/>
              </w:rPr>
            </w:pPr>
          </w:p>
        </w:tc>
        <w:tc>
          <w:tcPr>
            <w:tcW w:w="3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900</w:t>
            </w:r>
          </w:p>
        </w:tc>
        <w:tc>
          <w:tcPr>
            <w:tcW w:w="300" w:type="dxa"/>
            <w:vAlign w:val="bottom"/>
          </w:tcPr>
          <w:p>
            <w:pPr>
              <w:spacing w:after="0"/>
              <w:rPr>
                <w:sz w:val="17"/>
                <w:szCs w:val="17"/>
                <w:color w:val="auto"/>
              </w:rPr>
            </w:pPr>
          </w:p>
        </w:tc>
        <w:tc>
          <w:tcPr>
            <w:tcW w:w="46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98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140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900" w:type="dxa"/>
            <w:vAlign w:val="bottom"/>
          </w:tcPr>
          <w:p>
            <w:pPr>
              <w:ind w:left="660"/>
              <w:spacing w:after="0"/>
              <w:rPr>
                <w:sz w:val="20"/>
                <w:szCs w:val="20"/>
                <w:color w:val="auto"/>
              </w:rPr>
            </w:pPr>
            <w:r>
              <w:rPr>
                <w:rFonts w:ascii="Arial" w:cs="Arial" w:eastAsia="Arial" w:hAnsi="Arial"/>
                <w:sz w:val="20"/>
                <w:szCs w:val="20"/>
                <w:color w:val="auto"/>
              </w:rPr>
              <w:t>Gain (loss) on trading securities held</w:t>
            </w: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18</w:t>
            </w:r>
          </w:p>
        </w:tc>
        <w:tc>
          <w:tcPr>
            <w:tcW w:w="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468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660"/>
              <w:spacing w:after="0" w:line="223" w:lineRule="exact"/>
              <w:rPr>
                <w:sz w:val="20"/>
                <w:szCs w:val="20"/>
                <w:color w:val="auto"/>
              </w:rPr>
            </w:pPr>
            <w:r>
              <w:rPr>
                <w:rFonts w:ascii="Arial" w:cs="Arial" w:eastAsia="Arial" w:hAnsi="Arial"/>
                <w:sz w:val="20"/>
                <w:szCs w:val="20"/>
                <w:color w:val="auto"/>
              </w:rPr>
              <w:t>Gain on trading securites</w:t>
            </w:r>
          </w:p>
        </w:tc>
        <w:tc>
          <w:tcPr>
            <w:tcW w:w="920" w:type="dxa"/>
            <w:vAlign w:val="bottom"/>
            <w:tcBorders>
              <w:bottom w:val="single" w:sz="8" w:color="auto"/>
            </w:tcBorders>
          </w:tcPr>
          <w:p>
            <w:pPr>
              <w:jc w:val="right"/>
              <w:ind w:right="623"/>
              <w:spacing w:after="0" w:line="223" w:lineRule="exact"/>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w w:val="89"/>
              </w:rPr>
              <w:t>648</w:t>
            </w: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ind w:right="621"/>
              <w:spacing w:after="0" w:line="223" w:lineRule="exact"/>
              <w:rPr>
                <w:sz w:val="20"/>
                <w:szCs w:val="20"/>
                <w:color w:val="auto"/>
              </w:rPr>
            </w:pPr>
            <w:r>
              <w:rPr>
                <w:rFonts w:ascii="Arial" w:cs="Arial" w:eastAsia="Arial" w:hAnsi="Arial"/>
                <w:sz w:val="20"/>
                <w:szCs w:val="20"/>
                <w:color w:val="auto"/>
              </w:rPr>
              <w:t>$</w:t>
            </w:r>
          </w:p>
        </w:tc>
        <w:tc>
          <w:tcPr>
            <w:tcW w:w="4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9"/>
              </w:rPr>
              <w:t>211</w:t>
            </w:r>
          </w:p>
        </w:tc>
        <w:tc>
          <w:tcPr>
            <w:tcW w:w="280" w:type="dxa"/>
            <w:vAlign w:val="bottom"/>
          </w:tcPr>
          <w:p>
            <w:pPr>
              <w:spacing w:after="0"/>
              <w:rPr>
                <w:sz w:val="19"/>
                <w:szCs w:val="19"/>
                <w:color w:val="auto"/>
              </w:rPr>
            </w:pP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733</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608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The Company’s investments at September 30, 2014 and December 31, 2013 in certificates of deposit, commercial paper and/or municipal securities carried investment grade credit ratings. All of the Company’s investments at September 30, 2014 and December 31, 2013 in municipal, educational or other public body securities with an auction reset feature (“auction rate securities”) also carried investment grade credit ratings.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985"/>
              <w:spacing w:after="0"/>
              <w:rPr>
                <w:sz w:val="20"/>
                <w:szCs w:val="20"/>
                <w:color w:val="auto"/>
              </w:rPr>
            </w:pPr>
            <w:r>
              <w:rPr>
                <w:rFonts w:ascii="Arial" w:cs="Arial" w:eastAsia="Arial" w:hAnsi="Arial"/>
                <w:sz w:val="19"/>
                <w:szCs w:val="19"/>
                <w:color w:val="auto"/>
              </w:rPr>
              <w:t>September 30, 2014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right"/>
              <w:ind w:right="1105"/>
              <w:spacing w:after="0"/>
              <w:rPr>
                <w:sz w:val="20"/>
                <w:szCs w:val="20"/>
                <w:color w:val="auto"/>
              </w:rPr>
            </w:pPr>
            <w:r>
              <w:rPr>
                <w:rFonts w:ascii="Arial" w:cs="Arial" w:eastAsia="Arial" w:hAnsi="Arial"/>
                <w:sz w:val="19"/>
                <w:szCs w:val="19"/>
                <w:color w:val="auto"/>
              </w:rPr>
              <w:t>December 31, 2013</w:t>
            </w:r>
          </w:p>
        </w:tc>
        <w:tc>
          <w:tcPr>
            <w:tcW w:w="0" w:type="dxa"/>
            <w:vAlign w:val="bottom"/>
          </w:tcPr>
          <w:p>
            <w:pPr>
              <w:spacing w:after="0"/>
              <w:rPr>
                <w:sz w:val="1"/>
                <w:szCs w:val="1"/>
                <w:color w:val="auto"/>
              </w:rPr>
            </w:pPr>
          </w:p>
        </w:tc>
      </w:tr>
      <w:tr>
        <w:trPr>
          <w:trHeight w:val="426"/>
        </w:trPr>
        <w:tc>
          <w:tcPr>
            <w:tcW w:w="302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22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9"/>
                <w:szCs w:val="19"/>
                <w:color w:val="auto"/>
              </w:rPr>
              <w:t>Amortized Cost</w:t>
            </w:r>
          </w:p>
        </w:tc>
        <w:tc>
          <w:tcPr>
            <w:tcW w:w="340" w:type="dxa"/>
            <w:vAlign w:val="bottom"/>
          </w:tcPr>
          <w:p>
            <w:pPr>
              <w:spacing w:after="0"/>
              <w:rPr>
                <w:sz w:val="24"/>
                <w:szCs w:val="24"/>
                <w:color w:val="auto"/>
              </w:rPr>
            </w:pPr>
          </w:p>
        </w:tc>
        <w:tc>
          <w:tcPr>
            <w:tcW w:w="1660" w:type="dxa"/>
            <w:vAlign w:val="bottom"/>
            <w:gridSpan w:val="2"/>
          </w:tcPr>
          <w:p>
            <w:pPr>
              <w:ind w:left="140"/>
              <w:spacing w:after="0"/>
              <w:rPr>
                <w:sz w:val="20"/>
                <w:szCs w:val="20"/>
                <w:color w:val="auto"/>
              </w:rPr>
            </w:pPr>
            <w:r>
              <w:rPr>
                <w:rFonts w:ascii="Arial" w:cs="Arial" w:eastAsia="Arial" w:hAnsi="Arial"/>
                <w:sz w:val="19"/>
                <w:szCs w:val="19"/>
                <w:color w:val="auto"/>
              </w:rPr>
              <w:t>Fair Value</w:t>
            </w:r>
          </w:p>
        </w:tc>
        <w:tc>
          <w:tcPr>
            <w:tcW w:w="22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9"/>
                <w:szCs w:val="19"/>
                <w:color w:val="auto"/>
              </w:rPr>
              <w:t>Amortized Cost</w:t>
            </w:r>
          </w:p>
        </w:tc>
        <w:tc>
          <w:tcPr>
            <w:tcW w:w="320" w:type="dxa"/>
            <w:vAlign w:val="bottom"/>
          </w:tcPr>
          <w:p>
            <w:pPr>
              <w:spacing w:after="0"/>
              <w:rPr>
                <w:sz w:val="24"/>
                <w:szCs w:val="24"/>
                <w:color w:val="auto"/>
              </w:rPr>
            </w:pPr>
          </w:p>
        </w:tc>
        <w:tc>
          <w:tcPr>
            <w:tcW w:w="1480" w:type="dxa"/>
            <w:vAlign w:val="bottom"/>
          </w:tcPr>
          <w:p>
            <w:pPr>
              <w:jc w:val="right"/>
              <w:ind w:right="465"/>
              <w:spacing w:after="0"/>
              <w:rPr>
                <w:sz w:val="20"/>
                <w:szCs w:val="20"/>
                <w:color w:val="auto"/>
              </w:rPr>
            </w:pPr>
            <w:r>
              <w:rPr>
                <w:rFonts w:ascii="Arial" w:cs="Arial" w:eastAsia="Arial" w:hAnsi="Arial"/>
                <w:sz w:val="19"/>
                <w:szCs w:val="19"/>
                <w:color w:val="auto"/>
              </w:rPr>
              <w:t>Fair Value</w:t>
            </w:r>
          </w:p>
        </w:tc>
        <w:tc>
          <w:tcPr>
            <w:tcW w:w="0" w:type="dxa"/>
            <w:vAlign w:val="bottom"/>
          </w:tcPr>
          <w:p>
            <w:pPr>
              <w:spacing w:after="0"/>
              <w:rPr>
                <w:sz w:val="1"/>
                <w:szCs w:val="1"/>
                <w:color w:val="auto"/>
              </w:rPr>
            </w:pPr>
          </w:p>
        </w:tc>
      </w:tr>
      <w:tr>
        <w:trPr>
          <w:trHeight w:val="174"/>
        </w:trPr>
        <w:tc>
          <w:tcPr>
            <w:tcW w:w="302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2,504</w:t>
            </w:r>
          </w:p>
        </w:tc>
        <w:tc>
          <w:tcPr>
            <w:tcW w:w="300" w:type="dxa"/>
            <w:vAlign w:val="bottom"/>
          </w:tcPr>
          <w:p>
            <w:pPr>
              <w:spacing w:after="0"/>
              <w:rPr>
                <w:sz w:val="18"/>
                <w:szCs w:val="18"/>
                <w:color w:val="auto"/>
              </w:rPr>
            </w:pPr>
          </w:p>
        </w:tc>
        <w:tc>
          <w:tcPr>
            <w:tcW w:w="34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2,504</w:t>
            </w:r>
          </w:p>
        </w:tc>
        <w:tc>
          <w:tcPr>
            <w:tcW w:w="300" w:type="dxa"/>
            <w:vAlign w:val="bottom"/>
          </w:tcPr>
          <w:p>
            <w:pPr>
              <w:spacing w:after="0"/>
              <w:rPr>
                <w:sz w:val="18"/>
                <w:szCs w:val="18"/>
                <w:color w:val="auto"/>
              </w:rPr>
            </w:pPr>
          </w:p>
        </w:tc>
        <w:tc>
          <w:tcPr>
            <w:tcW w:w="2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4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22,045</w:t>
            </w:r>
          </w:p>
        </w:tc>
        <w:tc>
          <w:tcPr>
            <w:tcW w:w="280" w:type="dxa"/>
            <w:vAlign w:val="bottom"/>
          </w:tcPr>
          <w:p>
            <w:pPr>
              <w:spacing w:after="0"/>
              <w:rPr>
                <w:sz w:val="18"/>
                <w:szCs w:val="18"/>
                <w:color w:val="auto"/>
              </w:rPr>
            </w:pPr>
          </w:p>
        </w:tc>
        <w:tc>
          <w:tcPr>
            <w:tcW w:w="320" w:type="dxa"/>
            <w:vAlign w:val="bottom"/>
          </w:tcPr>
          <w:p>
            <w:pPr>
              <w:jc w:val="right"/>
              <w:ind w:right="25"/>
              <w:spacing w:after="0" w:line="216" w:lineRule="exact"/>
              <w:rPr>
                <w:sz w:val="20"/>
                <w:szCs w:val="20"/>
                <w:color w:val="auto"/>
              </w:rPr>
            </w:pPr>
            <w:r>
              <w:rPr>
                <w:rFonts w:ascii="Arial" w:cs="Arial" w:eastAsia="Arial" w:hAnsi="Arial"/>
                <w:sz w:val="19"/>
                <w:szCs w:val="19"/>
                <w:color w:val="auto"/>
              </w:rPr>
              <w:t>$</w:t>
            </w: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22,045</w:t>
            </w: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220" w:type="dxa"/>
            <w:vAlign w:val="bottom"/>
          </w:tcPr>
          <w:p>
            <w:pPr>
              <w:spacing w:after="0"/>
              <w:rPr>
                <w:sz w:val="18"/>
                <w:szCs w:val="18"/>
                <w:color w:val="auto"/>
              </w:rPr>
            </w:pPr>
          </w:p>
        </w:tc>
        <w:tc>
          <w:tcPr>
            <w:tcW w:w="14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5,991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5,991</w:t>
            </w: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220" w:type="dxa"/>
            <w:vAlign w:val="bottom"/>
          </w:tcPr>
          <w:p>
            <w:pPr>
              <w:spacing w:after="0"/>
              <w:rPr>
                <w:sz w:val="18"/>
                <w:szCs w:val="18"/>
                <w:color w:val="auto"/>
              </w:rPr>
            </w:pPr>
          </w:p>
        </w:tc>
        <w:tc>
          <w:tcPr>
            <w:tcW w:w="14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579,695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579,818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367,819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367,867</w:t>
            </w: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Arial" w:cs="Arial" w:eastAsia="Arial" w:hAnsi="Arial"/>
                <w:sz w:val="19"/>
                <w:szCs w:val="19"/>
                <w:color w:val="auto"/>
              </w:rPr>
              <w:t>Due 1 - 10 years: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220" w:type="dxa"/>
            <w:vAlign w:val="bottom"/>
          </w:tcPr>
          <w:p>
            <w:pPr>
              <w:spacing w:after="0"/>
              <w:rPr>
                <w:sz w:val="18"/>
                <w:szCs w:val="18"/>
                <w:color w:val="auto"/>
              </w:rPr>
            </w:pPr>
          </w:p>
        </w:tc>
        <w:tc>
          <w:tcPr>
            <w:tcW w:w="14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28,419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28,423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360"/>
              <w:spacing w:after="0" w:line="216" w:lineRule="exact"/>
              <w:rPr>
                <w:sz w:val="20"/>
                <w:szCs w:val="20"/>
                <w:color w:val="auto"/>
              </w:rPr>
            </w:pPr>
            <w:r>
              <w:rPr>
                <w:rFonts w:ascii="Arial" w:cs="Arial" w:eastAsia="Arial" w:hAnsi="Arial"/>
                <w:sz w:val="19"/>
                <w:szCs w:val="19"/>
                <w:color w:val="auto"/>
              </w:rPr>
              <w:t>Auction rate securities</w:t>
            </w:r>
          </w:p>
        </w:tc>
        <w:tc>
          <w:tcPr>
            <w:tcW w:w="220" w:type="dxa"/>
            <w:vAlign w:val="bottom"/>
          </w:tcPr>
          <w:p>
            <w:pPr>
              <w:spacing w:after="0"/>
              <w:rPr>
                <w:sz w:val="18"/>
                <w:szCs w:val="18"/>
                <w:color w:val="auto"/>
              </w:rPr>
            </w:pPr>
          </w:p>
        </w:tc>
        <w:tc>
          <w:tcPr>
            <w:tcW w:w="148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4,842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4,842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45"/>
              <w:spacing w:after="0" w:line="216" w:lineRule="exact"/>
              <w:rPr>
                <w:sz w:val="20"/>
                <w:szCs w:val="20"/>
                <w:color w:val="auto"/>
              </w:rPr>
            </w:pPr>
            <w:r>
              <w:rPr>
                <w:rFonts w:ascii="Arial" w:cs="Arial" w:eastAsia="Arial" w:hAnsi="Arial"/>
                <w:sz w:val="19"/>
                <w:szCs w:val="19"/>
                <w:color w:val="auto"/>
              </w:rPr>
              <w:t>11,102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right"/>
              <w:ind w:right="5"/>
              <w:spacing w:after="0" w:line="216" w:lineRule="exact"/>
              <w:rPr>
                <w:sz w:val="20"/>
                <w:szCs w:val="20"/>
                <w:color w:val="auto"/>
              </w:rPr>
            </w:pPr>
            <w:r>
              <w:rPr>
                <w:rFonts w:ascii="Arial" w:cs="Arial" w:eastAsia="Arial" w:hAnsi="Arial"/>
                <w:sz w:val="19"/>
                <w:szCs w:val="19"/>
                <w:color w:val="auto"/>
              </w:rPr>
              <w:t>11,102</w:t>
            </w: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360"/>
              <w:spacing w:after="0"/>
              <w:rPr>
                <w:sz w:val="20"/>
                <w:szCs w:val="20"/>
                <w:color w:val="auto"/>
              </w:rPr>
            </w:pPr>
            <w:r>
              <w:rPr>
                <w:rFonts w:ascii="Arial" w:cs="Arial" w:eastAsia="Arial" w:hAnsi="Arial"/>
                <w:sz w:val="19"/>
                <w:szCs w:val="19"/>
                <w:color w:val="auto"/>
              </w:rPr>
              <w:t>Auction rate securities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5,082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5,082</w:t>
            </w:r>
          </w:p>
        </w:tc>
        <w:tc>
          <w:tcPr>
            <w:tcW w:w="0" w:type="dxa"/>
            <w:vAlign w:val="bottom"/>
          </w:tcPr>
          <w:p>
            <w:pPr>
              <w:spacing w:after="0"/>
              <w:rPr>
                <w:sz w:val="1"/>
                <w:szCs w:val="1"/>
                <w:color w:val="auto"/>
              </w:rPr>
            </w:pPr>
          </w:p>
        </w:tc>
      </w:tr>
      <w:tr>
        <w:trPr>
          <w:trHeight w:val="210"/>
        </w:trPr>
        <w:tc>
          <w:tcPr>
            <w:tcW w:w="3020" w:type="dxa"/>
            <w:vAlign w:val="bottom"/>
          </w:tcPr>
          <w:p>
            <w:pPr>
              <w:ind w:left="180"/>
              <w:spacing w:after="0" w:line="210" w:lineRule="exact"/>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616,460</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w:t>
            </w:r>
          </w:p>
        </w:tc>
        <w:tc>
          <w:tcPr>
            <w:tcW w:w="13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616,587</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tcPr>
          <w:p>
            <w:pPr>
              <w:jc w:val="right"/>
              <w:ind w:right="45"/>
              <w:spacing w:after="0" w:line="210" w:lineRule="exact"/>
              <w:rPr>
                <w:sz w:val="20"/>
                <w:szCs w:val="20"/>
                <w:color w:val="auto"/>
              </w:rPr>
            </w:pPr>
            <w:r>
              <w:rPr>
                <w:rFonts w:ascii="Arial" w:cs="Arial" w:eastAsia="Arial" w:hAnsi="Arial"/>
                <w:sz w:val="19"/>
                <w:szCs w:val="19"/>
                <w:color w:val="auto"/>
              </w:rPr>
              <w:t>412,039</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w:t>
            </w:r>
          </w:p>
        </w:tc>
        <w:tc>
          <w:tcPr>
            <w:tcW w:w="1480" w:type="dxa"/>
            <w:vAlign w:val="bottom"/>
            <w:tcBorders>
              <w:bottom w:val="single" w:sz="8" w:color="auto"/>
            </w:tcBorders>
          </w:tcPr>
          <w:p>
            <w:pPr>
              <w:jc w:val="right"/>
              <w:ind w:right="5"/>
              <w:spacing w:after="0" w:line="210" w:lineRule="exact"/>
              <w:rPr>
                <w:sz w:val="20"/>
                <w:szCs w:val="20"/>
                <w:color w:val="auto"/>
              </w:rPr>
            </w:pPr>
            <w:r>
              <w:rPr>
                <w:rFonts w:ascii="Arial" w:cs="Arial" w:eastAsia="Arial" w:hAnsi="Arial"/>
                <w:sz w:val="19"/>
                <w:szCs w:val="19"/>
                <w:color w:val="auto"/>
              </w:rPr>
              <w:t>412,087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ectPr>
          <w:pgSz w:w="11900" w:h="16902" w:orient="portrait"/>
          <w:cols w:equalWidth="0" w:num="1">
            <w:col w:w="11460"/>
          </w:cols>
          <w:pgMar w:left="240" w:top="116" w:right="199" w:bottom="0" w:gutter="0" w:footer="0" w:header="0"/>
        </w:sectPr>
      </w:pPr>
    </w:p>
    <w:bookmarkStart w:id="7" w:name="page8"/>
    <w:bookmarkEnd w:id="7"/>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60" w:hanging="328"/>
        <w:spacing w:after="0" w:line="253" w:lineRule="auto"/>
        <w:tabs>
          <w:tab w:leader="none" w:pos="642"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20"/>
          <w:szCs w:val="20"/>
          <w:color w:val="auto"/>
        </w:rPr>
      </w:pPr>
    </w:p>
    <w:p>
      <w:pPr>
        <w:ind w:left="660" w:hanging="328"/>
        <w:spacing w:after="0" w:line="267" w:lineRule="auto"/>
        <w:tabs>
          <w:tab w:leader="none" w:pos="709" w:val="left"/>
        </w:tabs>
        <w:numPr>
          <w:ilvl w:val="0"/>
          <w:numId w:val="8"/>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tables present the Company’s held-to-maturity investments at amortized cost as well as the fair value of the Company’s financial assets and liabilities that are recorded at fair value on a recurring basis, segregated among the appropriate levels within the fair value hierarchy at: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September 30, 2014</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Level 2</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ind w:left="80"/>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216,147</w:t>
            </w:r>
          </w:p>
        </w:tc>
        <w:tc>
          <w:tcPr>
            <w:tcW w:w="4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line="207" w:lineRule="exact"/>
              <w:rPr>
                <w:sz w:val="20"/>
                <w:szCs w:val="20"/>
                <w:color w:val="auto"/>
              </w:rPr>
            </w:pPr>
            <w:r>
              <w:rPr>
                <w:rFonts w:ascii="Arial" w:cs="Arial" w:eastAsia="Arial" w:hAnsi="Arial"/>
                <w:sz w:val="20"/>
                <w:szCs w:val="20"/>
                <w:color w:val="auto"/>
              </w:rPr>
              <w:t>216,147</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150,533</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150,533</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2,504</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2,504</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1,000</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649,757</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649,757</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4,842</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4,842</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320</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46"/>
        </w:trPr>
        <w:tc>
          <w:tcPr>
            <w:tcW w:w="5000" w:type="dxa"/>
            <w:vAlign w:val="bottom"/>
          </w:tcPr>
          <w:p>
            <w:pPr>
              <w:ind w:left="80"/>
              <w:spacing w:after="0"/>
              <w:rPr>
                <w:sz w:val="20"/>
                <w:szCs w:val="20"/>
                <w:color w:val="auto"/>
              </w:rPr>
            </w:pPr>
            <w:r>
              <w:rPr>
                <w:rFonts w:ascii="Arial" w:cs="Arial" w:eastAsia="Arial" w:hAnsi="Arial"/>
                <w:sz w:val="20"/>
                <w:szCs w:val="20"/>
                <w:color w:val="auto"/>
              </w:rPr>
              <w:t>Foreign currency derivatives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32</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366,680</w:t>
            </w:r>
          </w:p>
        </w:tc>
        <w:tc>
          <w:tcPr>
            <w:tcW w:w="4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653,293</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5,162</w:t>
            </w:r>
          </w:p>
        </w:tc>
        <w:tc>
          <w:tcPr>
            <w:tcW w:w="4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1,025,135</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80"/>
              <w:spacing w:after="0"/>
              <w:rPr>
                <w:sz w:val="20"/>
                <w:szCs w:val="20"/>
                <w:color w:val="auto"/>
              </w:rPr>
            </w:pPr>
            <w:r>
              <w:rPr>
                <w:rFonts w:ascii="Arial" w:cs="Arial" w:eastAsia="Arial" w:hAnsi="Arial"/>
                <w:sz w:val="20"/>
                <w:szCs w:val="20"/>
                <w:color w:val="auto"/>
              </w:rPr>
              <w:t>Amounts included in:</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2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366,680</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41,643</w:t>
            </w:r>
          </w:p>
        </w:tc>
        <w:tc>
          <w:tcPr>
            <w:tcW w:w="3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408,323</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Short-term investments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583,199</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4,842</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588,041</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Accounts receivable, net</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159</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Investments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28,419</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28,419</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Prepaid expenses and other current assets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320</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20"/>
                <w:szCs w:val="20"/>
                <w:color w:val="auto"/>
              </w:rPr>
              <w:t>Other assets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000" w:type="dxa"/>
            <w:vAlign w:val="bottom"/>
          </w:tcPr>
          <w:p>
            <w:pPr>
              <w:ind w:left="140"/>
              <w:spacing w:after="0"/>
              <w:rPr>
                <w:sz w:val="20"/>
                <w:szCs w:val="20"/>
                <w:color w:val="auto"/>
              </w:rPr>
            </w:pPr>
            <w:r>
              <w:rPr>
                <w:rFonts w:ascii="Arial" w:cs="Arial" w:eastAsia="Arial" w:hAnsi="Arial"/>
                <w:sz w:val="20"/>
                <w:szCs w:val="20"/>
                <w:color w:val="auto"/>
              </w:rPr>
              <w:t>Accrued liabilities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(127)</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366,680</w:t>
            </w:r>
          </w:p>
        </w:tc>
        <w:tc>
          <w:tcPr>
            <w:tcW w:w="4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653,293</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5,162</w:t>
            </w:r>
          </w:p>
        </w:tc>
        <w:tc>
          <w:tcPr>
            <w:tcW w:w="4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1,025,135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December 31, 2013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Level 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000" w:type="dxa"/>
            <w:vAlign w:val="bottom"/>
          </w:tcPr>
          <w:p>
            <w:pPr>
              <w:ind w:left="80"/>
              <w:spacing w:after="0" w:line="207" w:lineRule="exact"/>
              <w:rPr>
                <w:sz w:val="20"/>
                <w:szCs w:val="20"/>
                <w:color w:val="auto"/>
              </w:rPr>
            </w:pPr>
            <w:r>
              <w:rPr>
                <w:rFonts w:ascii="Arial" w:cs="Arial" w:eastAsia="Arial" w:hAnsi="Arial"/>
                <w:sz w:val="20"/>
                <w:szCs w:val="20"/>
                <w:color w:val="auto"/>
              </w:rPr>
              <w:t>Cash</w:t>
            </w:r>
          </w:p>
        </w:tc>
        <w:tc>
          <w:tcPr>
            <w:tcW w:w="28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139,300</w:t>
            </w:r>
          </w:p>
        </w:tc>
        <w:tc>
          <w:tcPr>
            <w:tcW w:w="4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01"/>
              <w:spacing w:after="0" w:line="207" w:lineRule="exact"/>
              <w:rPr>
                <w:sz w:val="20"/>
                <w:szCs w:val="20"/>
                <w:color w:val="auto"/>
              </w:rPr>
            </w:pPr>
            <w:r>
              <w:rPr>
                <w:rFonts w:ascii="Arial" w:cs="Arial" w:eastAsia="Arial" w:hAnsi="Arial"/>
                <w:sz w:val="20"/>
                <w:szCs w:val="20"/>
                <w:color w:val="auto"/>
              </w:rPr>
              <w:t>-</w:t>
            </w:r>
          </w:p>
        </w:tc>
        <w:tc>
          <w:tcPr>
            <w:tcW w:w="420" w:type="dxa"/>
            <w:vAlign w:val="bottom"/>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1"/>
              <w:spacing w:after="0" w:line="207" w:lineRule="exact"/>
              <w:rPr>
                <w:sz w:val="20"/>
                <w:szCs w:val="20"/>
                <w:color w:val="auto"/>
              </w:rPr>
            </w:pPr>
            <w:r>
              <w:rPr>
                <w:rFonts w:ascii="Arial" w:cs="Arial" w:eastAsia="Arial" w:hAnsi="Arial"/>
                <w:sz w:val="20"/>
                <w:szCs w:val="20"/>
                <w:color w:val="auto"/>
              </w:rPr>
              <w:t>139,300</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Money market funds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60,102</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60,102</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Certificates of deposit</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22,045</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22,045</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Commercial paper</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5,991</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5,991</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Municipal securities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379,766</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379,766</w:t>
            </w:r>
          </w:p>
        </w:tc>
        <w:tc>
          <w:tcPr>
            <w:tcW w:w="0" w:type="dxa"/>
            <w:vAlign w:val="bottom"/>
          </w:tcPr>
          <w:p>
            <w:pPr>
              <w:spacing w:after="0"/>
              <w:rPr>
                <w:sz w:val="1"/>
                <w:szCs w:val="1"/>
                <w:color w:val="auto"/>
              </w:rPr>
            </w:pPr>
          </w:p>
        </w:tc>
      </w:tr>
      <w:tr>
        <w:trPr>
          <w:trHeight w:val="230"/>
        </w:trPr>
        <w:tc>
          <w:tcPr>
            <w:tcW w:w="5000" w:type="dxa"/>
            <w:vAlign w:val="bottom"/>
          </w:tcPr>
          <w:p>
            <w:pPr>
              <w:ind w:left="80"/>
              <w:spacing w:after="0"/>
              <w:rPr>
                <w:sz w:val="20"/>
                <w:szCs w:val="20"/>
                <w:color w:val="auto"/>
              </w:rPr>
            </w:pPr>
            <w:r>
              <w:rPr>
                <w:rFonts w:ascii="Arial" w:cs="Arial" w:eastAsia="Arial" w:hAnsi="Arial"/>
                <w:sz w:val="20"/>
                <w:szCs w:val="20"/>
                <w:color w:val="auto"/>
              </w:rPr>
              <w:t>Auction rate securities</w:t>
            </w:r>
          </w:p>
        </w:tc>
        <w:tc>
          <w:tcPr>
            <w:tcW w:w="280" w:type="dxa"/>
            <w:vAlign w:val="bottom"/>
          </w:tcPr>
          <w:p>
            <w:pPr>
              <w:spacing w:after="0"/>
              <w:rPr>
                <w:sz w:val="19"/>
                <w:szCs w:val="19"/>
                <w:color w:val="auto"/>
              </w:rPr>
            </w:pPr>
          </w:p>
        </w:tc>
        <w:tc>
          <w:tcPr>
            <w:tcW w:w="128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60" w:type="dxa"/>
            <w:vAlign w:val="bottom"/>
          </w:tcPr>
          <w:p>
            <w:pPr>
              <w:jc w:val="right"/>
              <w:ind w:right="101"/>
              <w:spacing w:after="0"/>
              <w:rPr>
                <w:sz w:val="20"/>
                <w:szCs w:val="20"/>
                <w:color w:val="auto"/>
              </w:rPr>
            </w:pPr>
            <w:r>
              <w:rPr>
                <w:rFonts w:ascii="Arial" w:cs="Arial" w:eastAsia="Arial" w:hAnsi="Arial"/>
                <w:sz w:val="20"/>
                <w:szCs w:val="20"/>
                <w:color w:val="auto"/>
              </w:rPr>
              <w:t>16,184</w:t>
            </w:r>
          </w:p>
        </w:tc>
        <w:tc>
          <w:tcPr>
            <w:tcW w:w="4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16,184</w:t>
            </w:r>
          </w:p>
        </w:tc>
        <w:tc>
          <w:tcPr>
            <w:tcW w:w="0" w:type="dxa"/>
            <w:vAlign w:val="bottom"/>
          </w:tcPr>
          <w:p>
            <w:pPr>
              <w:spacing w:after="0"/>
              <w:rPr>
                <w:sz w:val="1"/>
                <w:szCs w:val="1"/>
                <w:color w:val="auto"/>
              </w:rPr>
            </w:pPr>
          </w:p>
        </w:tc>
      </w:tr>
      <w:tr>
        <w:trPr>
          <w:trHeight w:val="246"/>
        </w:trPr>
        <w:tc>
          <w:tcPr>
            <w:tcW w:w="5000" w:type="dxa"/>
            <w:vAlign w:val="bottom"/>
          </w:tcPr>
          <w:p>
            <w:pPr>
              <w:ind w:left="80"/>
              <w:spacing w:after="0"/>
              <w:rPr>
                <w:sz w:val="20"/>
                <w:szCs w:val="20"/>
                <w:color w:val="auto"/>
              </w:rPr>
            </w:pPr>
            <w:r>
              <w:rPr>
                <w:rFonts w:ascii="Arial" w:cs="Arial" w:eastAsia="Arial" w:hAnsi="Arial"/>
                <w:sz w:val="20"/>
                <w:szCs w:val="20"/>
                <w:color w:val="auto"/>
              </w:rPr>
              <w:t>Put option related to auction rate securities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1,092</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1,092</w:t>
            </w:r>
          </w:p>
        </w:tc>
        <w:tc>
          <w:tcPr>
            <w:tcW w:w="0" w:type="dxa"/>
            <w:vAlign w:val="bottom"/>
          </w:tcPr>
          <w:p>
            <w:pPr>
              <w:spacing w:after="0"/>
              <w:rPr>
                <w:sz w:val="1"/>
                <w:szCs w:val="1"/>
                <w:color w:val="auto"/>
              </w:rPr>
            </w:pPr>
          </w:p>
        </w:tc>
      </w:tr>
      <w:tr>
        <w:trPr>
          <w:trHeight w:val="223"/>
        </w:trPr>
        <w:tc>
          <w:tcPr>
            <w:tcW w:w="5000" w:type="dxa"/>
            <w:vAlign w:val="bottom"/>
          </w:tcPr>
          <w:p>
            <w:pPr>
              <w:ind w:left="260"/>
              <w:spacing w:after="0" w:line="223" w:lineRule="exact"/>
              <w:rPr>
                <w:sz w:val="20"/>
                <w:szCs w:val="20"/>
                <w:color w:val="auto"/>
              </w:rPr>
            </w:pPr>
            <w:r>
              <w:rPr>
                <w:rFonts w:ascii="Arial" w:cs="Arial" w:eastAsia="Arial" w:hAnsi="Arial"/>
                <w:sz w:val="20"/>
                <w:szCs w:val="20"/>
                <w:color w:val="auto"/>
              </w:rPr>
              <w:t>Total</w:t>
            </w:r>
          </w:p>
        </w:tc>
        <w:tc>
          <w:tcPr>
            <w:tcW w:w="2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199,402</w:t>
            </w:r>
          </w:p>
        </w:tc>
        <w:tc>
          <w:tcPr>
            <w:tcW w:w="4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407,802</w:t>
            </w:r>
          </w:p>
        </w:tc>
        <w:tc>
          <w:tcPr>
            <w:tcW w:w="3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17,276</w:t>
            </w:r>
          </w:p>
        </w:tc>
        <w:tc>
          <w:tcPr>
            <w:tcW w:w="4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624,480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6" w:right="239" w:bottom="0" w:gutter="0" w:footer="0" w:header="0"/>
        </w:sectPr>
      </w:pP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Amounts included in:</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Cash and cash equivalents</w:t>
      </w:r>
    </w:p>
    <w:p>
      <w:pPr>
        <w:ind w:left="140"/>
        <w:spacing w:after="0"/>
        <w:rPr>
          <w:sz w:val="20"/>
          <w:szCs w:val="20"/>
          <w:color w:val="auto"/>
        </w:rPr>
      </w:pPr>
      <w:r>
        <w:rPr>
          <w:rFonts w:ascii="Arial" w:cs="Arial" w:eastAsia="Arial" w:hAnsi="Arial"/>
          <w:sz w:val="20"/>
          <w:szCs w:val="20"/>
          <w:color w:val="auto"/>
        </w:rPr>
        <w:t>Short-term investments</w:t>
      </w:r>
    </w:p>
    <w:p>
      <w:pPr>
        <w:ind w:left="140"/>
        <w:spacing w:after="0"/>
        <w:rPr>
          <w:sz w:val="20"/>
          <w:szCs w:val="20"/>
          <w:color w:val="auto"/>
        </w:rPr>
      </w:pPr>
      <w:r>
        <w:rPr>
          <w:rFonts w:ascii="Arial" w:cs="Arial" w:eastAsia="Arial" w:hAnsi="Arial"/>
          <w:sz w:val="20"/>
          <w:szCs w:val="20"/>
          <w:color w:val="auto"/>
        </w:rPr>
        <w:t>Investments</w:t>
      </w:r>
    </w:p>
    <w:p>
      <w:pPr>
        <w:ind w:left="140" w:right="860"/>
        <w:spacing w:after="0" w:line="244" w:lineRule="auto"/>
        <w:rPr>
          <w:sz w:val="20"/>
          <w:szCs w:val="20"/>
          <w:color w:val="auto"/>
        </w:rPr>
      </w:pPr>
      <w:r>
        <w:rPr>
          <w:rFonts w:ascii="Arial" w:cs="Arial" w:eastAsia="Arial" w:hAnsi="Arial"/>
          <w:sz w:val="20"/>
          <w:szCs w:val="20"/>
          <w:color w:val="auto"/>
        </w:rPr>
        <w:t>Prepaid expenses and other current assets Other assets</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199,402</w:t>
            </w:r>
          </w:p>
        </w:tc>
        <w:tc>
          <w:tcPr>
            <w:tcW w:w="5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11,947</w:t>
            </w:r>
          </w:p>
        </w:tc>
        <w:tc>
          <w:tcPr>
            <w:tcW w:w="60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211,349</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395,855</w:t>
            </w:r>
          </w:p>
        </w:tc>
        <w:tc>
          <w:tcPr>
            <w:tcW w:w="600" w:type="dxa"/>
            <w:vAlign w:val="bottom"/>
          </w:tcPr>
          <w:p>
            <w:pPr>
              <w:spacing w:after="0"/>
              <w:rPr>
                <w:sz w:val="19"/>
                <w:szCs w:val="19"/>
                <w:color w:val="auto"/>
              </w:rPr>
            </w:pP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6,392</w:t>
            </w:r>
          </w:p>
        </w:tc>
        <w:tc>
          <w:tcPr>
            <w:tcW w:w="5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402,247</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9,792</w:t>
            </w:r>
          </w:p>
        </w:tc>
        <w:tc>
          <w:tcPr>
            <w:tcW w:w="5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9,792</w:t>
            </w:r>
          </w:p>
        </w:tc>
      </w:tr>
      <w:tr>
        <w:trPr>
          <w:trHeight w:val="230"/>
        </w:trPr>
        <w:tc>
          <w:tcPr>
            <w:tcW w:w="460" w:type="dxa"/>
            <w:vAlign w:val="bottom"/>
          </w:tcPr>
          <w:p>
            <w:pPr>
              <w:spacing w:after="0"/>
              <w:rPr>
                <w:sz w:val="19"/>
                <w:szCs w:val="19"/>
                <w:color w:val="auto"/>
              </w:rPr>
            </w:pPr>
          </w:p>
        </w:tc>
        <w:tc>
          <w:tcPr>
            <w:tcW w:w="11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19"/>
                <w:szCs w:val="19"/>
                <w:color w:val="auto"/>
              </w:rPr>
            </w:pPr>
          </w:p>
        </w:tc>
        <w:tc>
          <w:tcPr>
            <w:tcW w:w="10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Pr>
          <w:p>
            <w:pPr>
              <w:spacing w:after="0"/>
              <w:rPr>
                <w:sz w:val="19"/>
                <w:szCs w:val="19"/>
                <w:color w:val="auto"/>
              </w:rPr>
            </w:pPr>
          </w:p>
        </w:tc>
        <w:tc>
          <w:tcPr>
            <w:tcW w:w="1060" w:type="dxa"/>
            <w:vAlign w:val="bottom"/>
          </w:tcPr>
          <w:p>
            <w:pPr>
              <w:jc w:val="right"/>
              <w:ind w:right="101"/>
              <w:spacing w:after="0"/>
              <w:rPr>
                <w:sz w:val="20"/>
                <w:szCs w:val="20"/>
                <w:color w:val="auto"/>
              </w:rPr>
            </w:pPr>
            <w:r>
              <w:rPr>
                <w:rFonts w:ascii="Arial" w:cs="Arial" w:eastAsia="Arial" w:hAnsi="Arial"/>
                <w:sz w:val="20"/>
                <w:szCs w:val="20"/>
                <w:color w:val="auto"/>
              </w:rPr>
              <w:t>486</w:t>
            </w:r>
          </w:p>
        </w:tc>
        <w:tc>
          <w:tcPr>
            <w:tcW w:w="5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20"/>
                <w:szCs w:val="20"/>
                <w:color w:val="auto"/>
              </w:rPr>
              <w:t>486</w:t>
            </w:r>
          </w:p>
        </w:tc>
      </w:tr>
      <w:tr>
        <w:trPr>
          <w:trHeight w:val="246"/>
        </w:trPr>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606</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606</w:t>
            </w:r>
          </w:p>
        </w:tc>
      </w:tr>
      <w:tr>
        <w:trPr>
          <w:trHeight w:val="223"/>
        </w:trPr>
        <w:tc>
          <w:tcPr>
            <w:tcW w:w="46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199,402</w:t>
            </w:r>
          </w:p>
        </w:tc>
        <w:tc>
          <w:tcPr>
            <w:tcW w:w="56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407,802</w:t>
            </w:r>
          </w:p>
        </w:tc>
        <w:tc>
          <w:tcPr>
            <w:tcW w:w="60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17,276</w:t>
            </w:r>
          </w:p>
        </w:tc>
        <w:tc>
          <w:tcPr>
            <w:tcW w:w="540" w:type="dxa"/>
            <w:vAlign w:val="bottom"/>
            <w:tcBorders>
              <w:bottom w:val="single" w:sz="8" w:color="auto"/>
            </w:tcBorders>
          </w:tcPr>
          <w:p>
            <w:pPr>
              <w:jc w:val="right"/>
              <w:ind w:right="161"/>
              <w:spacing w:after="0" w:line="223"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624,480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280" w:space="720"/>
            <w:col w:w="6420"/>
          </w:cols>
          <w:pgMar w:left="240" w:top="346" w:right="239" w:bottom="0" w:gutter="0" w:footer="0" w:header="0"/>
          <w:type w:val="continuous"/>
        </w:sectPr>
      </w:pPr>
    </w:p>
    <w:p>
      <w:pPr>
        <w:spacing w:after="0" w:line="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certificates of deposit, commercial paper and municipal securities, is based on other observable inputs, specifically a market approach which utilizes valuation models, pricing systems, mathematical tools and other relevant information for the same or similar securities. The Company’s valuation of its Level 2 foreign exchange contracts is</w:t>
      </w:r>
    </w:p>
    <w:p>
      <w:pPr>
        <w:sectPr>
          <w:pgSz w:w="11900" w:h="16838" w:orient="portrait"/>
          <w:cols w:equalWidth="0" w:num="1">
            <w:col w:w="11420"/>
          </w:cols>
          <w:pgMar w:left="240" w:top="346" w:right="239" w:bottom="0" w:gutter="0" w:footer="0" w:header="0"/>
          <w:type w:val="continuous"/>
        </w:sectPr>
      </w:pPr>
    </w:p>
    <w:bookmarkStart w:id="8" w:name="page9"/>
    <w:bookmarkEnd w:id="8"/>
    <w:p>
      <w:pPr>
        <w:jc w:val="both"/>
        <w:spacing w:after="0" w:line="250" w:lineRule="auto"/>
        <w:rPr>
          <w:sz w:val="20"/>
          <w:szCs w:val="20"/>
          <w:color w:val="auto"/>
        </w:rPr>
      </w:pPr>
      <w:r>
        <w:rPr>
          <w:rFonts w:ascii="Arial" w:cs="Arial" w:eastAsia="Arial" w:hAnsi="Arial"/>
          <w:sz w:val="20"/>
          <w:szCs w:val="20"/>
          <w:color w:val="auto"/>
        </w:rPr>
        <w:t>based on quoted market prices of the same or similar instruments, adjusted for counterparty risk. There were no transfers between Level 1 and Level 2 measurements during the nine-months ended September 30, 2014 or the year ended December 31, 2013, and there were no changes in the Company’s valuation techniques.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nine-months ended September 30, 2014.</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presents quantitative information related to the significant unobservable inputs utilized in the Company’s Level 3 recurring fair value measurements as of September 30,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vMerge w:val="restart"/>
          </w:tcPr>
          <w:p>
            <w:pPr>
              <w:spacing w:after="0"/>
              <w:rPr>
                <w:sz w:val="20"/>
                <w:szCs w:val="20"/>
                <w:color w:val="auto"/>
              </w:rPr>
            </w:pPr>
            <w:r>
              <w:rPr>
                <w:rFonts w:ascii="Arial" w:cs="Arial" w:eastAsia="Arial" w:hAnsi="Arial"/>
                <w:sz w:val="19"/>
                <w:szCs w:val="19"/>
                <w:color w:val="auto"/>
              </w:rPr>
              <w:t>Auction Rate Securities:</w:t>
            </w:r>
          </w:p>
        </w:tc>
        <w:tc>
          <w:tcPr>
            <w:tcW w:w="2880" w:type="dxa"/>
            <w:vAlign w:val="bottom"/>
            <w:gridSpan w:val="2"/>
          </w:tcPr>
          <w:p>
            <w:pPr>
              <w:ind w:left="540"/>
              <w:spacing w:after="0"/>
              <w:rPr>
                <w:sz w:val="20"/>
                <w:szCs w:val="20"/>
                <w:color w:val="auto"/>
              </w:rPr>
            </w:pPr>
            <w:r>
              <w:rPr>
                <w:rFonts w:ascii="Arial" w:cs="Arial" w:eastAsia="Arial" w:hAnsi="Arial"/>
                <w:sz w:val="19"/>
                <w:szCs w:val="19"/>
                <w:color w:val="auto"/>
              </w:rPr>
              <w:t>Valuation Technique</w:t>
            </w:r>
          </w:p>
        </w:tc>
        <w:tc>
          <w:tcPr>
            <w:tcW w:w="3120" w:type="dxa"/>
            <w:vAlign w:val="bottom"/>
            <w:gridSpan w:val="2"/>
          </w:tcPr>
          <w:p>
            <w:pPr>
              <w:ind w:left="680"/>
              <w:spacing w:after="0"/>
              <w:rPr>
                <w:sz w:val="20"/>
                <w:szCs w:val="20"/>
                <w:color w:val="auto"/>
              </w:rPr>
            </w:pPr>
            <w:r>
              <w:rPr>
                <w:rFonts w:ascii="Arial" w:cs="Arial" w:eastAsia="Arial" w:hAnsi="Arial"/>
                <w:sz w:val="19"/>
                <w:szCs w:val="19"/>
                <w:color w:val="auto"/>
              </w:rPr>
              <w:t>Unobservable Input</w:t>
            </w:r>
          </w:p>
        </w:tc>
        <w:tc>
          <w:tcPr>
            <w:tcW w:w="2800" w:type="dxa"/>
            <w:vAlign w:val="bottom"/>
          </w:tcPr>
          <w:p>
            <w:pPr>
              <w:ind w:left="360"/>
              <w:spacing w:after="0"/>
              <w:rPr>
                <w:sz w:val="20"/>
                <w:szCs w:val="20"/>
                <w:color w:val="auto"/>
              </w:rPr>
            </w:pPr>
            <w:r>
              <w:rPr>
                <w:rFonts w:ascii="Arial" w:cs="Arial" w:eastAsia="Arial" w:hAnsi="Arial"/>
                <w:sz w:val="19"/>
                <w:szCs w:val="19"/>
                <w:color w:val="auto"/>
              </w:rPr>
              <w:t>Range (Weighted-Average)</w:t>
            </w:r>
          </w:p>
        </w:tc>
        <w:tc>
          <w:tcPr>
            <w:tcW w:w="0" w:type="dxa"/>
            <w:vAlign w:val="bottom"/>
          </w:tcPr>
          <w:p>
            <w:pPr>
              <w:spacing w:after="0"/>
              <w:rPr>
                <w:sz w:val="1"/>
                <w:szCs w:val="1"/>
                <w:color w:val="auto"/>
              </w:rPr>
            </w:pPr>
          </w:p>
        </w:tc>
      </w:tr>
      <w:tr>
        <w:trPr>
          <w:trHeight w:val="174"/>
        </w:trPr>
        <w:tc>
          <w:tcPr>
            <w:tcW w:w="2620" w:type="dxa"/>
            <w:vAlign w:val="bottom"/>
            <w:vMerge w:val="continue"/>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60"/>
              <w:spacing w:after="0" w:line="216" w:lineRule="exact"/>
              <w:rPr>
                <w:sz w:val="20"/>
                <w:szCs w:val="20"/>
                <w:color w:val="auto"/>
              </w:rPr>
            </w:pPr>
            <w:r>
              <w:rPr>
                <w:rFonts w:ascii="Arial" w:cs="Arial" w:eastAsia="Arial" w:hAnsi="Arial"/>
                <w:sz w:val="19"/>
                <w:szCs w:val="19"/>
                <w:color w:val="auto"/>
              </w:rPr>
              <w:t>Trading</w:t>
            </w:r>
          </w:p>
        </w:tc>
        <w:tc>
          <w:tcPr>
            <w:tcW w:w="288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Discounted cash flow</w:t>
            </w:r>
          </w:p>
        </w:tc>
        <w:tc>
          <w:tcPr>
            <w:tcW w:w="312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Maximum rate probability</w:t>
            </w:r>
          </w:p>
        </w:tc>
        <w:tc>
          <w:tcPr>
            <w:tcW w:w="2800" w:type="dxa"/>
            <w:vAlign w:val="bottom"/>
          </w:tcPr>
          <w:p>
            <w:pPr>
              <w:ind w:left="60"/>
              <w:spacing w:after="0" w:line="216" w:lineRule="exact"/>
              <w:rPr>
                <w:sz w:val="20"/>
                <w:szCs w:val="20"/>
                <w:color w:val="auto"/>
              </w:rPr>
            </w:pPr>
            <w:r>
              <w:rPr>
                <w:rFonts w:ascii="Arial" w:cs="Arial" w:eastAsia="Arial" w:hAnsi="Arial"/>
                <w:sz w:val="19"/>
                <w:szCs w:val="19"/>
                <w:color w:val="auto"/>
              </w:rPr>
              <w:t>0.70%-2.81% (2.33%)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Principal returned probability</w:t>
            </w:r>
          </w:p>
        </w:tc>
        <w:tc>
          <w:tcPr>
            <w:tcW w:w="2800" w:type="dxa"/>
            <w:vAlign w:val="bottom"/>
          </w:tcPr>
          <w:p>
            <w:pPr>
              <w:ind w:left="60"/>
              <w:spacing w:after="0" w:line="216" w:lineRule="exact"/>
              <w:rPr>
                <w:sz w:val="20"/>
                <w:szCs w:val="20"/>
                <w:color w:val="auto"/>
              </w:rPr>
            </w:pPr>
            <w:r>
              <w:rPr>
                <w:rFonts w:ascii="Arial" w:cs="Arial" w:eastAsia="Arial" w:hAnsi="Arial"/>
                <w:sz w:val="19"/>
                <w:szCs w:val="19"/>
                <w:color w:val="auto"/>
              </w:rPr>
              <w:t>85.10%-94.30% (87.03%)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Default probability</w:t>
            </w:r>
          </w:p>
        </w:tc>
        <w:tc>
          <w:tcPr>
            <w:tcW w:w="2800" w:type="dxa"/>
            <w:vAlign w:val="bottom"/>
          </w:tcPr>
          <w:p>
            <w:pPr>
              <w:ind w:left="60"/>
              <w:spacing w:after="0" w:line="216" w:lineRule="exact"/>
              <w:rPr>
                <w:sz w:val="20"/>
                <w:szCs w:val="20"/>
                <w:color w:val="auto"/>
              </w:rPr>
            </w:pPr>
            <w:r>
              <w:rPr>
                <w:rFonts w:ascii="Arial" w:cs="Arial" w:eastAsia="Arial" w:hAnsi="Arial"/>
                <w:sz w:val="19"/>
                <w:szCs w:val="19"/>
                <w:color w:val="auto"/>
              </w:rPr>
              <w:t>4.46%-12.36% (10.64%)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2"/>
          </w:tcPr>
          <w:p>
            <w:pPr>
              <w:ind w:left="40"/>
              <w:spacing w:after="0" w:line="216" w:lineRule="exact"/>
              <w:rPr>
                <w:sz w:val="20"/>
                <w:szCs w:val="20"/>
                <w:color w:val="auto"/>
              </w:rPr>
            </w:pPr>
            <w:r>
              <w:rPr>
                <w:rFonts w:ascii="Arial" w:cs="Arial" w:eastAsia="Arial" w:hAnsi="Arial"/>
                <w:sz w:val="19"/>
                <w:szCs w:val="19"/>
                <w:color w:val="auto"/>
              </w:rPr>
              <w:t>Liquidity risk</w:t>
            </w:r>
          </w:p>
        </w:tc>
        <w:tc>
          <w:tcPr>
            <w:tcW w:w="2800" w:type="dxa"/>
            <w:vAlign w:val="bottom"/>
          </w:tcPr>
          <w:p>
            <w:pPr>
              <w:ind w:left="60"/>
              <w:spacing w:after="0" w:line="216" w:lineRule="exact"/>
              <w:rPr>
                <w:sz w:val="20"/>
                <w:szCs w:val="20"/>
                <w:color w:val="auto"/>
              </w:rPr>
            </w:pPr>
            <w:r>
              <w:rPr>
                <w:rFonts w:ascii="Arial" w:cs="Arial" w:eastAsia="Arial" w:hAnsi="Arial"/>
                <w:sz w:val="19"/>
                <w:szCs w:val="19"/>
                <w:color w:val="auto"/>
              </w:rPr>
              <w:t>3.00%-3.00% (3.00%)</w:t>
            </w:r>
          </w:p>
        </w:tc>
        <w:tc>
          <w:tcPr>
            <w:tcW w:w="0" w:type="dxa"/>
            <w:vAlign w:val="bottom"/>
          </w:tcPr>
          <w:p>
            <w:pPr>
              <w:spacing w:after="0"/>
              <w:rPr>
                <w:sz w:val="1"/>
                <w:szCs w:val="1"/>
                <w:color w:val="auto"/>
              </w:rPr>
            </w:pPr>
          </w:p>
        </w:tc>
      </w:tr>
      <w:tr>
        <w:trPr>
          <w:trHeight w:val="240"/>
        </w:trPr>
        <w:tc>
          <w:tcPr>
            <w:tcW w:w="2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2"/>
          </w:tcPr>
          <w:p>
            <w:pPr>
              <w:ind w:left="40"/>
              <w:spacing w:after="0"/>
              <w:rPr>
                <w:sz w:val="20"/>
                <w:szCs w:val="20"/>
                <w:color w:val="auto"/>
              </w:rPr>
            </w:pPr>
            <w:r>
              <w:rPr>
                <w:rFonts w:ascii="Arial" w:cs="Arial" w:eastAsia="Arial" w:hAnsi="Arial"/>
                <w:sz w:val="19"/>
                <w:szCs w:val="19"/>
                <w:color w:val="auto"/>
              </w:rPr>
              <w:t>Recovery rate</w:t>
            </w:r>
          </w:p>
        </w:tc>
        <w:tc>
          <w:tcPr>
            <w:tcW w:w="2800" w:type="dxa"/>
            <w:vAlign w:val="bottom"/>
          </w:tcPr>
          <w:p>
            <w:pPr>
              <w:ind w:left="60"/>
              <w:spacing w:after="0"/>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432"/>
        </w:trPr>
        <w:tc>
          <w:tcPr>
            <w:tcW w:w="2620" w:type="dxa"/>
            <w:vAlign w:val="bottom"/>
          </w:tcPr>
          <w:p>
            <w:pPr>
              <w:spacing w:after="0"/>
              <w:rPr>
                <w:sz w:val="20"/>
                <w:szCs w:val="20"/>
                <w:color w:val="auto"/>
              </w:rPr>
            </w:pPr>
            <w:r>
              <w:rPr>
                <w:rFonts w:ascii="Arial" w:cs="Arial" w:eastAsia="Arial" w:hAnsi="Arial"/>
                <w:sz w:val="19"/>
                <w:szCs w:val="19"/>
                <w:color w:val="auto"/>
              </w:rPr>
              <w:t>Put Options</w:t>
            </w:r>
          </w:p>
        </w:tc>
        <w:tc>
          <w:tcPr>
            <w:tcW w:w="2880" w:type="dxa"/>
            <w:vAlign w:val="bottom"/>
            <w:gridSpan w:val="2"/>
          </w:tcPr>
          <w:p>
            <w:pPr>
              <w:ind w:left="40"/>
              <w:spacing w:after="0"/>
              <w:rPr>
                <w:sz w:val="20"/>
                <w:szCs w:val="20"/>
                <w:color w:val="auto"/>
              </w:rPr>
            </w:pPr>
            <w:r>
              <w:rPr>
                <w:rFonts w:ascii="Arial" w:cs="Arial" w:eastAsia="Arial" w:hAnsi="Arial"/>
                <w:sz w:val="19"/>
                <w:szCs w:val="19"/>
                <w:color w:val="auto"/>
              </w:rPr>
              <w:t>Discounted cash flow</w:t>
            </w:r>
          </w:p>
        </w:tc>
        <w:tc>
          <w:tcPr>
            <w:tcW w:w="3120" w:type="dxa"/>
            <w:vAlign w:val="bottom"/>
            <w:gridSpan w:val="2"/>
          </w:tcPr>
          <w:p>
            <w:pPr>
              <w:ind w:left="40"/>
              <w:spacing w:after="0"/>
              <w:rPr>
                <w:sz w:val="20"/>
                <w:szCs w:val="20"/>
                <w:color w:val="auto"/>
              </w:rPr>
            </w:pPr>
            <w:r>
              <w:rPr>
                <w:rFonts w:ascii="Arial" w:cs="Arial" w:eastAsia="Arial" w:hAnsi="Arial"/>
                <w:sz w:val="19"/>
                <w:szCs w:val="19"/>
                <w:color w:val="auto"/>
              </w:rPr>
              <w:t>Counterparty risk</w:t>
            </w:r>
          </w:p>
        </w:tc>
        <w:tc>
          <w:tcPr>
            <w:tcW w:w="2800" w:type="dxa"/>
            <w:vAlign w:val="bottom"/>
          </w:tcPr>
          <w:p>
            <w:pPr>
              <w:ind w:left="60"/>
              <w:spacing w:after="0"/>
              <w:rPr>
                <w:sz w:val="20"/>
                <w:szCs w:val="20"/>
                <w:color w:val="auto"/>
              </w:rPr>
            </w:pPr>
            <w:r>
              <w:rPr>
                <w:rFonts w:ascii="Arial" w:cs="Arial" w:eastAsia="Arial" w:hAnsi="Arial"/>
                <w:sz w:val="19"/>
                <w:szCs w:val="19"/>
                <w:color w:val="auto"/>
              </w:rPr>
              <w:t>0.43%-0.54% (0.46%)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At September 30, 2014, the Company held auction rate securities with a face value of $5.2 million (amortized cost basis of $4.8 million). A Level 3 valuation was performed on the Company’s auction rate securities as of September 30, 2014 resulting in a fair value of $4.8 million for the Company’s trading auction rate securities (after a $0.4 million impairment), which are included in short-term and long-term investments.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w:t>
      </w:r>
    </w:p>
    <w:p>
      <w:pPr>
        <w:spacing w:after="0" w:line="1" w:lineRule="exact"/>
        <w:rPr>
          <w:sz w:val="20"/>
          <w:szCs w:val="20"/>
          <w:color w:val="auto"/>
        </w:rPr>
      </w:pPr>
    </w:p>
    <w:p>
      <w:pPr>
        <w:jc w:val="both"/>
        <w:ind w:firstLine="8"/>
        <w:spacing w:after="0" w:line="269" w:lineRule="auto"/>
        <w:tabs>
          <w:tab w:leader="none" w:pos="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nine-months ended September 30, 2014, $12.1 million of 2011 ARS Securities were redeemed at par through the exercise of a portion of the 2011 Put Option ($2.3 million, $1.3 million and $3.7 million of par value 2011 ARS Securities were redeemed at par during the years ended December 31, 2013, 2012 and 2011, respectively). Subsequent to September 30, 2014, $1.0 million of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September 30, 2014, the Company recorded $0.3 million as the fair market value of the 2011 Put Option, included in prepaid expenses and other current assets, as well as in other assets, in the condensed consolidated balance sheet.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net effect of (i) the revaluation of the 2011 Put Option as of September 30, 2014; (ii) the redemption at par of certain 2011 ARS Securities; and (iii) the revaluation of the Company’s trading auction rate securities as of September 30, 2014 resulted in a loss of ($0.03) million and ($0.04) million, which is included in other (expense) income for the three- and nine-months ended September 30, 2014, respectively. The net effect of (i) the revaluation of the 2011 Put Option as of September 30, 2013; (ii) the redemption at par of certain 2011 ARS Securities; (iii) the revaluation of the Company’s trading auction rate securities as of September 30, 2013; and (iv) a recognized gain resulting from the redemption of previously other-than-temporary impaired securities; resulted in a gain of $0.04 million and $2.7 million, which is included in other (expense) income for the three- and nine-months ended September 30, 2013, respectively.</w:t>
      </w:r>
    </w:p>
    <w:p>
      <w:pPr>
        <w:sectPr>
          <w:pgSz w:w="11900" w:h="16838" w:orient="portrait"/>
          <w:cols w:equalWidth="0" w:num="1">
            <w:col w:w="11420"/>
          </w:cols>
          <w:pgMar w:left="240" w:top="121" w:right="239" w:bottom="0" w:gutter="0" w:footer="0" w:header="0"/>
        </w:sectPr>
      </w:pPr>
    </w:p>
    <w:bookmarkStart w:id="9" w:name="page10"/>
    <w:bookmarkEnd w:id="9"/>
    <w:p>
      <w:pPr>
        <w:spacing w:after="0" w:line="5"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The following table provides a summary reconciliation of the Company’s financial assets that are recorded at fair value on a recurring basis using significant unobservable inputs (Level 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3260" w:type="dxa"/>
            <w:vAlign w:val="bottom"/>
            <w:gridSpan w:val="7"/>
          </w:tcPr>
          <w:p>
            <w:pPr>
              <w:ind w:left="40"/>
              <w:spacing w:after="0"/>
              <w:rPr>
                <w:sz w:val="20"/>
                <w:szCs w:val="20"/>
                <w:color w:val="auto"/>
              </w:rPr>
            </w:pPr>
            <w:r>
              <w:rPr>
                <w:rFonts w:ascii="Arial" w:cs="Arial" w:eastAsia="Arial" w:hAnsi="Arial"/>
                <w:sz w:val="20"/>
                <w:szCs w:val="20"/>
                <w:color w:val="auto"/>
                <w:w w:val="98"/>
              </w:rPr>
              <w:t>Three-Months Ended September 30,</w:t>
            </w:r>
          </w:p>
        </w:tc>
        <w:tc>
          <w:tcPr>
            <w:tcW w:w="3040" w:type="dxa"/>
            <w:vAlign w:val="bottom"/>
            <w:gridSpan w:val="5"/>
          </w:tcPr>
          <w:p>
            <w:pPr>
              <w:ind w:left="80"/>
              <w:spacing w:after="0"/>
              <w:rPr>
                <w:sz w:val="20"/>
                <w:szCs w:val="20"/>
                <w:color w:val="auto"/>
              </w:rPr>
            </w:pPr>
            <w:r>
              <w:rPr>
                <w:rFonts w:ascii="Arial" w:cs="Arial" w:eastAsia="Arial" w:hAnsi="Arial"/>
                <w:sz w:val="20"/>
                <w:szCs w:val="20"/>
                <w:color w:val="auto"/>
                <w:w w:val="90"/>
              </w:rPr>
              <w:t>Three-Months Ended September 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20"/>
                <w:szCs w:val="20"/>
                <w:color w:val="auto"/>
                <w:w w:val="89"/>
              </w:rPr>
              <w:t>2014</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20"/>
                <w:szCs w:val="20"/>
                <w:color w:val="auto"/>
                <w:w w:val="89"/>
              </w:rPr>
              <w:t>2013</w:t>
            </w:r>
          </w:p>
        </w:tc>
        <w:tc>
          <w:tcPr>
            <w:tcW w:w="1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580"/>
              <w:spacing w:after="0" w:line="207" w:lineRule="exact"/>
              <w:rPr>
                <w:sz w:val="20"/>
                <w:szCs w:val="20"/>
                <w:color w:val="auto"/>
              </w:rPr>
            </w:pPr>
            <w:r>
              <w:rPr>
                <w:rFonts w:ascii="Arial" w:cs="Arial" w:eastAsia="Arial" w:hAnsi="Arial"/>
                <w:sz w:val="20"/>
                <w:szCs w:val="20"/>
                <w:color w:val="auto"/>
                <w:w w:val="95"/>
              </w:rPr>
              <w:t>Auction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500"/>
              <w:spacing w:after="0" w:line="207" w:lineRule="exact"/>
              <w:rPr>
                <w:sz w:val="20"/>
                <w:szCs w:val="20"/>
                <w:color w:val="auto"/>
              </w:rPr>
            </w:pPr>
            <w:r>
              <w:rPr>
                <w:rFonts w:ascii="Arial" w:cs="Arial" w:eastAsia="Arial" w:hAnsi="Arial"/>
                <w:sz w:val="20"/>
                <w:szCs w:val="20"/>
                <w:color w:val="auto"/>
                <w:w w:val="95"/>
              </w:rPr>
              <w:t>Auction</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20"/>
                <w:szCs w:val="20"/>
                <w:color w:val="auto"/>
                <w:w w:val="85"/>
              </w:rPr>
              <w:t>Rate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20"/>
                <w:szCs w:val="20"/>
                <w:color w:val="auto"/>
                <w:w w:val="85"/>
              </w:rPr>
              <w:t>Rate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20"/>
                <w:szCs w:val="20"/>
                <w:color w:val="auto"/>
                <w:w w:val="88"/>
              </w:rPr>
              <w:t>Securities</w:t>
            </w:r>
          </w:p>
        </w:tc>
        <w:tc>
          <w:tcPr>
            <w:tcW w:w="14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Arial" w:cs="Arial" w:eastAsia="Arial" w:hAnsi="Arial"/>
                <w:sz w:val="20"/>
                <w:szCs w:val="20"/>
                <w:color w:val="auto"/>
              </w:rPr>
              <w:t>Put Options</w:t>
            </w:r>
          </w:p>
        </w:tc>
        <w:tc>
          <w:tcPr>
            <w:tcW w:w="22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Securities</w:t>
            </w:r>
          </w:p>
        </w:tc>
        <w:tc>
          <w:tcPr>
            <w:tcW w:w="200" w:type="dxa"/>
            <w:vAlign w:val="bottom"/>
          </w:tcPr>
          <w:p>
            <w:pPr>
              <w:spacing w:after="0"/>
              <w:rPr>
                <w:sz w:val="21"/>
                <w:szCs w:val="21"/>
                <w:color w:val="auto"/>
              </w:rPr>
            </w:pPr>
          </w:p>
        </w:tc>
        <w:tc>
          <w:tcPr>
            <w:tcW w:w="1200" w:type="dxa"/>
            <w:vAlign w:val="bottom"/>
          </w:tcPr>
          <w:p>
            <w:pPr>
              <w:jc w:val="right"/>
              <w:ind w:right="121"/>
              <w:spacing w:after="0"/>
              <w:rPr>
                <w:sz w:val="20"/>
                <w:szCs w:val="20"/>
                <w:color w:val="auto"/>
              </w:rPr>
            </w:pPr>
            <w:r>
              <w:rPr>
                <w:rFonts w:ascii="Arial" w:cs="Arial" w:eastAsia="Arial" w:hAnsi="Arial"/>
                <w:sz w:val="20"/>
                <w:szCs w:val="20"/>
                <w:color w:val="auto"/>
                <w:w w:val="91"/>
              </w:rPr>
              <w:t>Put Options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ind w:left="60"/>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12,819</w:t>
            </w:r>
          </w:p>
        </w:tc>
        <w:tc>
          <w:tcPr>
            <w:tcW w:w="2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994</w:t>
            </w:r>
          </w:p>
        </w:tc>
        <w:tc>
          <w:tcPr>
            <w:tcW w:w="280" w:type="dxa"/>
            <w:vAlign w:val="bottom"/>
          </w:tcPr>
          <w:p>
            <w:pPr>
              <w:spacing w:after="0"/>
              <w:rPr>
                <w:sz w:val="17"/>
                <w:szCs w:val="17"/>
                <w:color w:val="auto"/>
              </w:rPr>
            </w:pPr>
          </w:p>
        </w:tc>
        <w:tc>
          <w:tcPr>
            <w:tcW w:w="220" w:type="dxa"/>
            <w:vAlign w:val="bottom"/>
            <w:tcBorders>
              <w:top w:val="single" w:sz="8" w:color="auto"/>
            </w:tcBorders>
          </w:tcPr>
          <w:p>
            <w:pPr>
              <w:ind w:left="60"/>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17,762</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648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211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(8,625)</w:t>
            </w: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4,842</w:t>
            </w:r>
          </w:p>
        </w:tc>
        <w:tc>
          <w:tcPr>
            <w:tcW w:w="2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320</w:t>
            </w:r>
          </w:p>
        </w:tc>
        <w:tc>
          <w:tcPr>
            <w:tcW w:w="280" w:type="dxa"/>
            <w:vAlign w:val="bottom"/>
          </w:tcPr>
          <w:p>
            <w:pPr>
              <w:spacing w:after="0"/>
              <w:rPr>
                <w:sz w:val="20"/>
                <w:szCs w:val="20"/>
                <w:color w:val="auto"/>
              </w:rPr>
            </w:pPr>
          </w:p>
        </w:tc>
        <w:tc>
          <w:tcPr>
            <w:tcW w:w="22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16,723</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1,519</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6"/>
          </w:tcPr>
          <w:p>
            <w:pPr>
              <w:jc w:val="center"/>
              <w:ind w:right="520"/>
              <w:spacing w:after="0"/>
              <w:rPr>
                <w:sz w:val="20"/>
                <w:szCs w:val="20"/>
                <w:color w:val="auto"/>
              </w:rPr>
            </w:pPr>
            <w:r>
              <w:rPr>
                <w:rFonts w:ascii="Arial" w:cs="Arial" w:eastAsia="Arial" w:hAnsi="Arial"/>
                <w:sz w:val="20"/>
                <w:szCs w:val="20"/>
                <w:color w:val="auto"/>
                <w:w w:val="90"/>
              </w:rPr>
              <w:t>Nine-Months Ended</w:t>
            </w:r>
          </w:p>
        </w:tc>
        <w:tc>
          <w:tcPr>
            <w:tcW w:w="220" w:type="dxa"/>
            <w:vAlign w:val="bottom"/>
          </w:tcPr>
          <w:p>
            <w:pPr>
              <w:spacing w:after="0"/>
              <w:rPr>
                <w:sz w:val="24"/>
                <w:szCs w:val="24"/>
                <w:color w:val="auto"/>
              </w:rPr>
            </w:pPr>
          </w:p>
        </w:tc>
        <w:tc>
          <w:tcPr>
            <w:tcW w:w="2820" w:type="dxa"/>
            <w:vAlign w:val="bottom"/>
            <w:gridSpan w:val="4"/>
          </w:tcPr>
          <w:p>
            <w:pPr>
              <w:jc w:val="center"/>
              <w:ind w:right="121"/>
              <w:spacing w:after="0"/>
              <w:rPr>
                <w:sz w:val="20"/>
                <w:szCs w:val="20"/>
                <w:color w:val="auto"/>
              </w:rPr>
            </w:pPr>
            <w:r>
              <w:rPr>
                <w:rFonts w:ascii="Arial" w:cs="Arial" w:eastAsia="Arial" w:hAnsi="Arial"/>
                <w:sz w:val="20"/>
                <w:szCs w:val="20"/>
                <w:color w:val="auto"/>
                <w:w w:val="90"/>
              </w:rPr>
              <w:t>Nine-Months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40" w:type="dxa"/>
            <w:vAlign w:val="bottom"/>
            <w:gridSpan w:val="6"/>
          </w:tcPr>
          <w:p>
            <w:pPr>
              <w:jc w:val="center"/>
              <w:ind w:right="520"/>
              <w:spacing w:after="0"/>
              <w:rPr>
                <w:sz w:val="20"/>
                <w:szCs w:val="20"/>
                <w:color w:val="auto"/>
              </w:rPr>
            </w:pPr>
            <w:r>
              <w:rPr>
                <w:rFonts w:ascii="Arial" w:cs="Arial" w:eastAsia="Arial" w:hAnsi="Arial"/>
                <w:sz w:val="20"/>
                <w:szCs w:val="20"/>
                <w:color w:val="auto"/>
                <w:w w:val="88"/>
              </w:rPr>
              <w:t>September 30, 2014</w:t>
            </w:r>
          </w:p>
        </w:tc>
        <w:tc>
          <w:tcPr>
            <w:tcW w:w="220" w:type="dxa"/>
            <w:vAlign w:val="bottom"/>
          </w:tcPr>
          <w:p>
            <w:pPr>
              <w:spacing w:after="0"/>
              <w:rPr>
                <w:sz w:val="21"/>
                <w:szCs w:val="21"/>
                <w:color w:val="auto"/>
              </w:rPr>
            </w:pPr>
          </w:p>
        </w:tc>
        <w:tc>
          <w:tcPr>
            <w:tcW w:w="2820" w:type="dxa"/>
            <w:vAlign w:val="bottom"/>
            <w:gridSpan w:val="4"/>
          </w:tcPr>
          <w:p>
            <w:pPr>
              <w:jc w:val="center"/>
              <w:ind w:right="121"/>
              <w:spacing w:after="0"/>
              <w:rPr>
                <w:sz w:val="20"/>
                <w:szCs w:val="20"/>
                <w:color w:val="auto"/>
              </w:rPr>
            </w:pPr>
            <w:r>
              <w:rPr>
                <w:rFonts w:ascii="Arial" w:cs="Arial" w:eastAsia="Arial" w:hAnsi="Arial"/>
                <w:sz w:val="20"/>
                <w:szCs w:val="20"/>
                <w:color w:val="auto"/>
                <w:w w:val="88"/>
              </w:rPr>
              <w:t>September 30, 2013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580"/>
              <w:spacing w:after="0" w:line="207" w:lineRule="exact"/>
              <w:rPr>
                <w:sz w:val="20"/>
                <w:szCs w:val="20"/>
                <w:color w:val="auto"/>
              </w:rPr>
            </w:pPr>
            <w:r>
              <w:rPr>
                <w:rFonts w:ascii="Arial" w:cs="Arial" w:eastAsia="Arial" w:hAnsi="Arial"/>
                <w:sz w:val="20"/>
                <w:szCs w:val="20"/>
                <w:color w:val="auto"/>
                <w:w w:val="95"/>
              </w:rPr>
              <w:t>Auction</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500"/>
              <w:spacing w:after="0" w:line="207" w:lineRule="exact"/>
              <w:rPr>
                <w:sz w:val="20"/>
                <w:szCs w:val="20"/>
                <w:color w:val="auto"/>
              </w:rPr>
            </w:pPr>
            <w:r>
              <w:rPr>
                <w:rFonts w:ascii="Arial" w:cs="Arial" w:eastAsia="Arial" w:hAnsi="Arial"/>
                <w:sz w:val="20"/>
                <w:szCs w:val="20"/>
                <w:color w:val="auto"/>
                <w:w w:val="95"/>
              </w:rPr>
              <w:t>Auction</w:t>
            </w: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jc w:val="center"/>
              <w:ind w:right="580"/>
              <w:spacing w:after="0"/>
              <w:rPr>
                <w:sz w:val="20"/>
                <w:szCs w:val="20"/>
                <w:color w:val="auto"/>
              </w:rPr>
            </w:pPr>
            <w:r>
              <w:rPr>
                <w:rFonts w:ascii="Arial" w:cs="Arial" w:eastAsia="Arial" w:hAnsi="Arial"/>
                <w:sz w:val="20"/>
                <w:szCs w:val="20"/>
                <w:color w:val="auto"/>
                <w:w w:val="85"/>
              </w:rPr>
              <w:t>Rate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20"/>
                <w:szCs w:val="20"/>
                <w:color w:val="auto"/>
                <w:w w:val="85"/>
              </w:rPr>
              <w:t>Rate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vMerge w:val="restart"/>
          </w:tcPr>
          <w:p>
            <w:pPr>
              <w:spacing w:after="0"/>
              <w:rPr>
                <w:sz w:val="20"/>
                <w:szCs w:val="20"/>
                <w:color w:val="auto"/>
              </w:rPr>
            </w:pPr>
            <w:r>
              <w:rPr>
                <w:rFonts w:ascii="Arial" w:cs="Arial" w:eastAsia="Arial" w:hAnsi="Arial"/>
                <w:sz w:val="20"/>
                <w:szCs w:val="20"/>
                <w:color w:val="auto"/>
              </w:rPr>
              <w:t>Opening Balance</w:t>
            </w:r>
          </w:p>
        </w:tc>
        <w:tc>
          <w:tcPr>
            <w:tcW w:w="220" w:type="dxa"/>
            <w:vAlign w:val="bottom"/>
          </w:tcPr>
          <w:p>
            <w:pPr>
              <w:spacing w:after="0"/>
              <w:rPr>
                <w:sz w:val="21"/>
                <w:szCs w:val="21"/>
                <w:color w:val="auto"/>
              </w:rPr>
            </w:pPr>
          </w:p>
        </w:tc>
        <w:tc>
          <w:tcPr>
            <w:tcW w:w="1460" w:type="dxa"/>
            <w:vAlign w:val="bottom"/>
            <w:gridSpan w:val="3"/>
          </w:tcPr>
          <w:p>
            <w:pPr>
              <w:jc w:val="center"/>
              <w:ind w:right="560"/>
              <w:spacing w:after="0"/>
              <w:rPr>
                <w:sz w:val="20"/>
                <w:szCs w:val="20"/>
                <w:color w:val="auto"/>
              </w:rPr>
            </w:pPr>
            <w:r>
              <w:rPr>
                <w:rFonts w:ascii="Arial" w:cs="Arial" w:eastAsia="Arial" w:hAnsi="Arial"/>
                <w:sz w:val="20"/>
                <w:szCs w:val="20"/>
                <w:color w:val="auto"/>
                <w:w w:val="88"/>
              </w:rPr>
              <w:t>Securities</w:t>
            </w:r>
          </w:p>
        </w:tc>
        <w:tc>
          <w:tcPr>
            <w:tcW w:w="140" w:type="dxa"/>
            <w:vAlign w:val="bottom"/>
          </w:tcPr>
          <w:p>
            <w:pPr>
              <w:spacing w:after="0"/>
              <w:rPr>
                <w:sz w:val="21"/>
                <w:szCs w:val="21"/>
                <w:color w:val="auto"/>
              </w:rPr>
            </w:pPr>
          </w:p>
        </w:tc>
        <w:tc>
          <w:tcPr>
            <w:tcW w:w="1440" w:type="dxa"/>
            <w:vAlign w:val="bottom"/>
            <w:gridSpan w:val="2"/>
          </w:tcPr>
          <w:p>
            <w:pPr>
              <w:ind w:left="20"/>
              <w:spacing w:after="0"/>
              <w:rPr>
                <w:sz w:val="20"/>
                <w:szCs w:val="20"/>
                <w:color w:val="auto"/>
              </w:rPr>
            </w:pPr>
            <w:r>
              <w:rPr>
                <w:rFonts w:ascii="Arial" w:cs="Arial" w:eastAsia="Arial" w:hAnsi="Arial"/>
                <w:sz w:val="20"/>
                <w:szCs w:val="20"/>
                <w:color w:val="auto"/>
              </w:rPr>
              <w:t>Put Options</w:t>
            </w:r>
          </w:p>
        </w:tc>
        <w:tc>
          <w:tcPr>
            <w:tcW w:w="22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20"/>
                <w:szCs w:val="20"/>
                <w:color w:val="auto"/>
                <w:w w:val="88"/>
              </w:rPr>
              <w:t>Securities</w:t>
            </w:r>
          </w:p>
        </w:tc>
        <w:tc>
          <w:tcPr>
            <w:tcW w:w="200" w:type="dxa"/>
            <w:vAlign w:val="bottom"/>
          </w:tcPr>
          <w:p>
            <w:pPr>
              <w:spacing w:after="0"/>
              <w:rPr>
                <w:sz w:val="21"/>
                <w:szCs w:val="21"/>
                <w:color w:val="auto"/>
              </w:rPr>
            </w:pPr>
          </w:p>
        </w:tc>
        <w:tc>
          <w:tcPr>
            <w:tcW w:w="1200" w:type="dxa"/>
            <w:vAlign w:val="bottom"/>
          </w:tcPr>
          <w:p>
            <w:pPr>
              <w:jc w:val="right"/>
              <w:ind w:right="121"/>
              <w:spacing w:after="0"/>
              <w:rPr>
                <w:sz w:val="20"/>
                <w:szCs w:val="20"/>
                <w:color w:val="auto"/>
              </w:rPr>
            </w:pPr>
            <w:r>
              <w:rPr>
                <w:rFonts w:ascii="Arial" w:cs="Arial" w:eastAsia="Arial" w:hAnsi="Arial"/>
                <w:sz w:val="20"/>
                <w:szCs w:val="20"/>
                <w:color w:val="auto"/>
                <w:w w:val="91"/>
              </w:rPr>
              <w:t>Put Options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000" w:type="dxa"/>
            <w:vAlign w:val="bottom"/>
            <w:vMerge w:val="continue"/>
          </w:tcPr>
          <w:p>
            <w:pPr>
              <w:spacing w:after="0"/>
              <w:rPr>
                <w:sz w:val="17"/>
                <w:szCs w:val="17"/>
                <w:color w:val="auto"/>
              </w:rPr>
            </w:pPr>
          </w:p>
        </w:tc>
        <w:tc>
          <w:tcPr>
            <w:tcW w:w="220" w:type="dxa"/>
            <w:vAlign w:val="bottom"/>
            <w:tcBorders>
              <w:top w:val="single" w:sz="8" w:color="auto"/>
            </w:tcBorders>
          </w:tcPr>
          <w:p>
            <w:pPr>
              <w:ind w:left="60"/>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16,184</w:t>
            </w:r>
          </w:p>
        </w:tc>
        <w:tc>
          <w:tcPr>
            <w:tcW w:w="2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1,092</w:t>
            </w:r>
          </w:p>
        </w:tc>
        <w:tc>
          <w:tcPr>
            <w:tcW w:w="280" w:type="dxa"/>
            <w:vAlign w:val="bottom"/>
          </w:tcPr>
          <w:p>
            <w:pPr>
              <w:spacing w:after="0"/>
              <w:rPr>
                <w:sz w:val="17"/>
                <w:szCs w:val="17"/>
                <w:color w:val="auto"/>
              </w:rPr>
            </w:pPr>
          </w:p>
        </w:tc>
        <w:tc>
          <w:tcPr>
            <w:tcW w:w="220" w:type="dxa"/>
            <w:vAlign w:val="bottom"/>
            <w:tcBorders>
              <w:top w:val="single" w:sz="8" w:color="auto"/>
            </w:tcBorders>
          </w:tcPr>
          <w:p>
            <w:pPr>
              <w:ind w:left="60"/>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23,156</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1,929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into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Transfers out of Level 3</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rPr>
                <w:sz w:val="20"/>
                <w:szCs w:val="20"/>
                <w:color w:val="auto"/>
              </w:rPr>
            </w:pPr>
            <w:r>
              <w:rPr>
                <w:rFonts w:ascii="Arial" w:cs="Arial" w:eastAsia="Arial" w:hAnsi="Arial"/>
                <w:sz w:val="20"/>
                <w:szCs w:val="20"/>
                <w:color w:val="auto"/>
              </w:rPr>
              <w:t>Total gains (losses) for the period: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earnings</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732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3,091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20"/>
                <w:szCs w:val="20"/>
                <w:color w:val="auto"/>
              </w:rPr>
              <w:t>Included in other comprehensive income</w:t>
            </w:r>
          </w:p>
        </w:tc>
        <w:tc>
          <w:tcPr>
            <w:tcW w:w="2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000" w:type="dxa"/>
            <w:vAlign w:val="bottom"/>
          </w:tcPr>
          <w:p>
            <w:pPr>
              <w:ind w:left="180"/>
              <w:spacing w:after="0"/>
              <w:rPr>
                <w:sz w:val="20"/>
                <w:szCs w:val="20"/>
                <w:color w:val="auto"/>
              </w:rPr>
            </w:pPr>
            <w:r>
              <w:rPr>
                <w:rFonts w:ascii="Arial" w:cs="Arial" w:eastAsia="Arial" w:hAnsi="Arial"/>
                <w:sz w:val="20"/>
                <w:szCs w:val="20"/>
                <w:color w:val="auto"/>
              </w:rPr>
              <w:t>Settlements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(12,074)</w:t>
            </w: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(7,041)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0"/>
                <w:szCs w:val="20"/>
                <w:color w:val="auto"/>
              </w:rPr>
              <w:t>Closing Balance</w:t>
            </w:r>
          </w:p>
        </w:tc>
        <w:tc>
          <w:tcPr>
            <w:tcW w:w="22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4,842</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320</w:t>
            </w:r>
          </w:p>
        </w:tc>
        <w:tc>
          <w:tcPr>
            <w:tcW w:w="280" w:type="dxa"/>
            <w:vAlign w:val="bottom"/>
          </w:tcPr>
          <w:p>
            <w:pPr>
              <w:spacing w:after="0"/>
              <w:rPr>
                <w:sz w:val="19"/>
                <w:szCs w:val="19"/>
                <w:color w:val="auto"/>
              </w:rPr>
            </w:pPr>
          </w:p>
        </w:tc>
        <w:tc>
          <w:tcPr>
            <w:tcW w:w="22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16,723</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three-and nine-months ended September 30, 2014,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as of September 30, 2014 have terms of one month or less. The Company does not enter into forward currency exchange contracts for speculation or trading purposes.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gridSpan w:val="2"/>
            <w:vMerge w:val="restart"/>
          </w:tcPr>
          <w:p>
            <w:pPr>
              <w:ind w:left="1260"/>
              <w:spacing w:after="0"/>
              <w:rPr>
                <w:sz w:val="20"/>
                <w:szCs w:val="20"/>
                <w:color w:val="auto"/>
              </w:rPr>
            </w:pPr>
            <w:r>
              <w:rPr>
                <w:rFonts w:ascii="Arial" w:cs="Arial" w:eastAsia="Arial" w:hAnsi="Arial"/>
                <w:sz w:val="20"/>
                <w:szCs w:val="20"/>
                <w:color w:val="auto"/>
              </w:rPr>
              <w:t>Derivatives not designated as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3"/>
          </w:tcPr>
          <w:p>
            <w:pPr>
              <w:ind w:left="300"/>
              <w:spacing w:after="0"/>
              <w:rPr>
                <w:sz w:val="20"/>
                <w:szCs w:val="20"/>
                <w:color w:val="auto"/>
              </w:rPr>
            </w:pPr>
            <w:r>
              <w:rPr>
                <w:rFonts w:ascii="Arial" w:cs="Arial" w:eastAsia="Arial" w:hAnsi="Arial"/>
                <w:sz w:val="20"/>
                <w:szCs w:val="20"/>
                <w:color w:val="auto"/>
              </w:rPr>
              <w:t>September 30, 2014</w:t>
            </w:r>
          </w:p>
        </w:tc>
        <w:tc>
          <w:tcPr>
            <w:tcW w:w="0" w:type="dxa"/>
            <w:vAlign w:val="bottom"/>
          </w:tcPr>
          <w:p>
            <w:pPr>
              <w:spacing w:after="0"/>
              <w:rPr>
                <w:sz w:val="1"/>
                <w:szCs w:val="1"/>
                <w:color w:val="auto"/>
              </w:rPr>
            </w:pPr>
          </w:p>
        </w:tc>
      </w:tr>
      <w:tr>
        <w:trPr>
          <w:trHeight w:val="193"/>
        </w:trPr>
        <w:tc>
          <w:tcPr>
            <w:tcW w:w="5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480"/>
              <w:spacing w:after="0"/>
              <w:rPr>
                <w:sz w:val="20"/>
                <w:szCs w:val="20"/>
                <w:color w:val="auto"/>
              </w:rPr>
            </w:pPr>
            <w:r>
              <w:rPr>
                <w:rFonts w:ascii="Arial" w:cs="Arial" w:eastAsia="Arial" w:hAnsi="Arial"/>
                <w:sz w:val="20"/>
                <w:szCs w:val="20"/>
                <w:color w:val="auto"/>
              </w:rPr>
              <w:t>hedging instruments under</w:t>
            </w:r>
          </w:p>
        </w:tc>
        <w:tc>
          <w:tcPr>
            <w:tcW w:w="26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Arial" w:cs="Arial" w:eastAsia="Arial" w:hAnsi="Arial"/>
                <w:sz w:val="20"/>
                <w:szCs w:val="20"/>
                <w:color w:val="auto"/>
              </w:rPr>
              <w:t>Notional</w:t>
            </w:r>
          </w:p>
        </w:tc>
        <w:tc>
          <w:tcPr>
            <w:tcW w:w="32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20"/>
                <w:szCs w:val="20"/>
                <w:color w:val="auto"/>
              </w:rPr>
              <w:t>Fair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60" w:type="dxa"/>
            <w:vAlign w:val="bottom"/>
            <w:tcBorders>
              <w:bottom w:val="single" w:sz="8" w:color="auto"/>
            </w:tcBorders>
          </w:tcPr>
          <w:p>
            <w:pPr>
              <w:ind w:left="176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860" w:type="dxa"/>
            <w:vAlign w:val="bottom"/>
            <w:tcBorders>
              <w:bottom w:val="single" w:sz="8" w:color="auto"/>
            </w:tcBorders>
          </w:tcPr>
          <w:p>
            <w:pPr>
              <w:ind w:left="480"/>
              <w:spacing w:after="0"/>
              <w:rPr>
                <w:sz w:val="20"/>
                <w:szCs w:val="20"/>
                <w:color w:val="auto"/>
              </w:rPr>
            </w:pPr>
            <w:r>
              <w:rPr>
                <w:rFonts w:ascii="Arial" w:cs="Arial" w:eastAsia="Arial" w:hAnsi="Arial"/>
                <w:sz w:val="20"/>
                <w:szCs w:val="20"/>
                <w:color w:val="auto"/>
              </w:rPr>
              <w:t>Balance Sheet Location</w:t>
            </w:r>
          </w:p>
        </w:tc>
        <w:tc>
          <w:tcPr>
            <w:tcW w:w="0" w:type="dxa"/>
            <w:vAlign w:val="bottom"/>
          </w:tcPr>
          <w:p>
            <w:pPr>
              <w:spacing w:after="0"/>
              <w:rPr>
                <w:sz w:val="1"/>
                <w:szCs w:val="1"/>
                <w:color w:val="auto"/>
              </w:rPr>
            </w:pPr>
          </w:p>
        </w:tc>
      </w:tr>
      <w:tr>
        <w:trPr>
          <w:trHeight w:val="436"/>
        </w:trPr>
        <w:tc>
          <w:tcPr>
            <w:tcW w:w="5160" w:type="dxa"/>
            <w:vAlign w:val="bottom"/>
            <w:gridSpan w:val="2"/>
          </w:tcPr>
          <w:p>
            <w:pPr>
              <w:ind w:left="40"/>
              <w:spacing w:after="0"/>
              <w:rPr>
                <w:sz w:val="20"/>
                <w:szCs w:val="20"/>
                <w:color w:val="auto"/>
              </w:rPr>
            </w:pPr>
            <w:r>
              <w:rPr>
                <w:rFonts w:ascii="Arial" w:cs="Arial" w:eastAsia="Arial" w:hAnsi="Arial"/>
                <w:sz w:val="20"/>
                <w:szCs w:val="20"/>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280"/>
              <w:spacing w:after="0"/>
              <w:rPr>
                <w:sz w:val="20"/>
                <w:szCs w:val="20"/>
                <w:color w:val="auto"/>
              </w:rPr>
            </w:pPr>
            <w:r>
              <w:rPr>
                <w:rFonts w:ascii="Arial" w:cs="Arial" w:eastAsia="Arial" w:hAnsi="Arial"/>
                <w:sz w:val="20"/>
                <w:szCs w:val="20"/>
                <w:color w:val="auto"/>
              </w:rPr>
              <w:t>Foreign currency exchange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AUD</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9,170</w:t>
            </w:r>
          </w:p>
        </w:tc>
        <w:tc>
          <w:tcPr>
            <w:tcW w:w="28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JPY</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15,414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39</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ZAR</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13,169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107</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CLP</w:t>
            </w: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2,069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8</w:t>
            </w:r>
          </w:p>
        </w:tc>
        <w:tc>
          <w:tcPr>
            <w:tcW w:w="28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r>
        <w:trPr>
          <w:trHeight w:val="250"/>
        </w:trPr>
        <w:tc>
          <w:tcPr>
            <w:tcW w:w="5160" w:type="dxa"/>
            <w:vAlign w:val="bottom"/>
            <w:gridSpan w:val="2"/>
          </w:tcPr>
          <w:p>
            <w:pPr>
              <w:ind w:left="720"/>
              <w:spacing w:after="0"/>
              <w:rPr>
                <w:sz w:val="20"/>
                <w:szCs w:val="20"/>
                <w:color w:val="auto"/>
              </w:rPr>
            </w:pPr>
            <w:r>
              <w:rPr>
                <w:rFonts w:ascii="Arial" w:cs="Arial" w:eastAsia="Arial" w:hAnsi="Arial"/>
                <w:sz w:val="20"/>
                <w:szCs w:val="20"/>
                <w:color w:val="auto"/>
              </w:rPr>
              <w:t>Receive USD/pay COP</w:t>
            </w:r>
          </w:p>
        </w:tc>
        <w:tc>
          <w:tcPr>
            <w:tcW w:w="2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2,225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1"/>
                <w:szCs w:val="21"/>
                <w:color w:val="auto"/>
              </w:rPr>
            </w:pPr>
          </w:p>
        </w:tc>
        <w:tc>
          <w:tcPr>
            <w:tcW w:w="28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Liabilities:</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Foreign currency exchange contracts:</w:t>
      </w:r>
    </w:p>
    <w:p>
      <w:pPr>
        <w:sectPr>
          <w:pgSz w:w="11900" w:h="16843" w:orient="portrait"/>
          <w:cols w:equalWidth="0" w:num="1">
            <w:col w:w="11420"/>
          </w:cols>
          <w:pgMar w:left="240" w:top="121" w:right="239" w:bottom="0" w:gutter="0" w:footer="0" w:header="0"/>
        </w:sectPr>
      </w:pPr>
    </w:p>
    <w:bookmarkStart w:id="10" w:name="page11"/>
    <w:bookmarkEnd w:id="10"/>
    <w:tbl>
      <w:tblPr>
        <w:tblLayout w:type="fixed"/>
        <w:tblInd w:w="720" w:type="dxa"/>
        <w:tblCellMar>
          <w:top w:w="0" w:type="dxa"/>
          <w:left w:w="0" w:type="dxa"/>
          <w:bottom w:w="0" w:type="dxa"/>
          <w:right w:w="0" w:type="dxa"/>
        </w:tblCellMar>
      </w:tblPr>
      <w:tr>
        <w:trPr>
          <w:trHeight w:val="231"/>
        </w:trPr>
        <w:tc>
          <w:tcPr>
            <w:tcW w:w="3220" w:type="dxa"/>
            <w:vAlign w:val="bottom"/>
          </w:tcPr>
          <w:p>
            <w:pPr>
              <w:spacing w:after="0"/>
              <w:rPr>
                <w:sz w:val="20"/>
                <w:szCs w:val="20"/>
                <w:color w:val="auto"/>
              </w:rPr>
            </w:pPr>
            <w:r>
              <w:rPr>
                <w:rFonts w:ascii="Arial" w:cs="Arial" w:eastAsia="Arial" w:hAnsi="Arial"/>
                <w:sz w:val="20"/>
                <w:szCs w:val="20"/>
                <w:color w:val="auto"/>
              </w:rPr>
              <w:t>Receive EUR/pay USD</w:t>
            </w:r>
          </w:p>
        </w:tc>
        <w:tc>
          <w:tcPr>
            <w:tcW w:w="168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12,808</w:t>
            </w:r>
          </w:p>
        </w:tc>
        <w:tc>
          <w:tcPr>
            <w:tcW w:w="7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(50)</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30"/>
        </w:trPr>
        <w:tc>
          <w:tcPr>
            <w:tcW w:w="3220" w:type="dxa"/>
            <w:vAlign w:val="bottom"/>
          </w:tcPr>
          <w:p>
            <w:pPr>
              <w:spacing w:after="0"/>
              <w:rPr>
                <w:sz w:val="20"/>
                <w:szCs w:val="20"/>
                <w:color w:val="auto"/>
              </w:rPr>
            </w:pPr>
            <w:r>
              <w:rPr>
                <w:rFonts w:ascii="Arial" w:cs="Arial" w:eastAsia="Arial" w:hAnsi="Arial"/>
                <w:sz w:val="20"/>
                <w:szCs w:val="20"/>
                <w:color w:val="auto"/>
              </w:rPr>
              <w:t>Receive CAD/pay USD</w:t>
            </w:r>
          </w:p>
        </w:tc>
        <w:tc>
          <w:tcPr>
            <w:tcW w:w="1680" w:type="dxa"/>
            <w:vAlign w:val="bottom"/>
          </w:tcPr>
          <w:p>
            <w:pPr>
              <w:spacing w:after="0"/>
              <w:rPr>
                <w:sz w:val="19"/>
                <w:szCs w:val="19"/>
                <w:color w:val="auto"/>
              </w:rPr>
            </w:pP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13,444</w:t>
            </w:r>
          </w:p>
        </w:tc>
        <w:tc>
          <w:tcPr>
            <w:tcW w:w="74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(70)</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r>
        <w:trPr>
          <w:trHeight w:val="250"/>
        </w:trPr>
        <w:tc>
          <w:tcPr>
            <w:tcW w:w="3220" w:type="dxa"/>
            <w:vAlign w:val="bottom"/>
          </w:tcPr>
          <w:p>
            <w:pPr>
              <w:spacing w:after="0"/>
              <w:rPr>
                <w:sz w:val="20"/>
                <w:szCs w:val="20"/>
                <w:color w:val="auto"/>
              </w:rPr>
            </w:pPr>
            <w:r>
              <w:rPr>
                <w:rFonts w:ascii="Arial" w:cs="Arial" w:eastAsia="Arial" w:hAnsi="Arial"/>
                <w:sz w:val="20"/>
                <w:szCs w:val="20"/>
                <w:color w:val="auto"/>
              </w:rPr>
              <w:t>Receive USD/pay MXN</w:t>
            </w:r>
          </w:p>
        </w:tc>
        <w:tc>
          <w:tcPr>
            <w:tcW w:w="1680" w:type="dxa"/>
            <w:vAlign w:val="bottom"/>
          </w:tcPr>
          <w:p>
            <w:pPr>
              <w:spacing w:after="0"/>
              <w:rPr>
                <w:sz w:val="21"/>
                <w:szCs w:val="21"/>
                <w:color w:val="auto"/>
              </w:rPr>
            </w:pP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3,279</w:t>
            </w:r>
          </w:p>
        </w:tc>
        <w:tc>
          <w:tcPr>
            <w:tcW w:w="740" w:type="dxa"/>
            <w:vAlign w:val="bottom"/>
          </w:tcPr>
          <w:p>
            <w:pPr>
              <w:spacing w:after="0"/>
              <w:rPr>
                <w:sz w:val="21"/>
                <w:szCs w:val="21"/>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(7)</w:t>
            </w:r>
          </w:p>
        </w:tc>
        <w:tc>
          <w:tcPr>
            <w:tcW w:w="1620" w:type="dxa"/>
            <w:vAlign w:val="bottom"/>
          </w:tcPr>
          <w:p>
            <w:pPr>
              <w:ind w:left="160"/>
              <w:spacing w:after="0"/>
              <w:rPr>
                <w:sz w:val="20"/>
                <w:szCs w:val="20"/>
                <w:color w:val="auto"/>
              </w:rPr>
            </w:pPr>
            <w:r>
              <w:rPr>
                <w:rFonts w:ascii="Arial" w:cs="Arial" w:eastAsia="Arial" w:hAnsi="Arial"/>
                <w:sz w:val="20"/>
                <w:szCs w:val="20"/>
                <w:color w:val="auto"/>
                <w:w w:val="93"/>
              </w:rPr>
              <w:t>Accrued liabilities</w:t>
            </w:r>
          </w:p>
        </w:tc>
      </w:tr>
    </w:tbl>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had no foreign currency exchange contracts outstanding at December 31, 2013.</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8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losses on derivative instruments in the condensed consolidated statements of income were as follows:</w:t>
      </w:r>
    </w:p>
    <w:p>
      <w:pPr>
        <w:spacing w:after="0" w:line="229" w:lineRule="exact"/>
        <w:rPr>
          <w:sz w:val="20"/>
          <w:szCs w:val="20"/>
          <w:color w:val="auto"/>
        </w:rPr>
      </w:pPr>
    </w:p>
    <w:p>
      <w:pPr>
        <w:jc w:val="center"/>
        <w:ind w:left="796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8000"/>
        <w:spacing w:after="0"/>
        <w:rPr>
          <w:sz w:val="20"/>
          <w:szCs w:val="20"/>
          <w:color w:val="auto"/>
        </w:rPr>
      </w:pPr>
      <w:r>
        <w:rPr>
          <w:rFonts w:ascii="Arial" w:cs="Arial" w:eastAsia="Arial" w:hAnsi="Arial"/>
          <w:sz w:val="20"/>
          <w:szCs w:val="20"/>
          <w:color w:val="auto"/>
        </w:rPr>
        <w:t>recognized in income on</w:t>
      </w:r>
    </w:p>
    <w:p>
      <w:pPr>
        <w:jc w:val="center"/>
        <w:ind w:left="800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0</wp:posOffset>
            </wp:positionV>
            <wp:extent cx="2032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ind w:left="890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3880" w:type="dxa"/>
            <w:vAlign w:val="bottom"/>
            <w:gridSpan w:val="2"/>
          </w:tcPr>
          <w:p>
            <w:pPr>
              <w:jc w:val="center"/>
              <w:ind w:right="180"/>
              <w:spacing w:after="0" w:line="202" w:lineRule="exact"/>
              <w:rPr>
                <w:sz w:val="20"/>
                <w:szCs w:val="20"/>
                <w:color w:val="auto"/>
              </w:rPr>
            </w:pPr>
            <w:r>
              <w:rPr>
                <w:rFonts w:ascii="Arial" w:cs="Arial" w:eastAsia="Arial" w:hAnsi="Arial"/>
                <w:sz w:val="20"/>
                <w:szCs w:val="20"/>
                <w:color w:val="auto"/>
                <w:w w:val="89"/>
              </w:rPr>
              <w:t>Derivatives not designated as</w:t>
            </w:r>
          </w:p>
        </w:tc>
        <w:tc>
          <w:tcPr>
            <w:tcW w:w="4240" w:type="dxa"/>
            <w:vAlign w:val="bottom"/>
            <w:gridSpan w:val="2"/>
          </w:tcPr>
          <w:p>
            <w:pPr>
              <w:jc w:val="center"/>
              <w:ind w:right="240"/>
              <w:spacing w:after="0" w:line="202" w:lineRule="exact"/>
              <w:rPr>
                <w:sz w:val="20"/>
                <w:szCs w:val="20"/>
                <w:color w:val="auto"/>
              </w:rPr>
            </w:pPr>
            <w:r>
              <w:rPr>
                <w:rFonts w:ascii="Arial" w:cs="Arial" w:eastAsia="Arial" w:hAnsi="Arial"/>
                <w:sz w:val="20"/>
                <w:szCs w:val="20"/>
                <w:color w:val="auto"/>
                <w:w w:val="92"/>
              </w:rPr>
              <w:t>Location of loss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3880" w:type="dxa"/>
            <w:vAlign w:val="bottom"/>
            <w:gridSpan w:val="2"/>
          </w:tcPr>
          <w:p>
            <w:pPr>
              <w:jc w:val="center"/>
              <w:spacing w:after="0"/>
              <w:rPr>
                <w:sz w:val="20"/>
                <w:szCs w:val="20"/>
                <w:color w:val="auto"/>
              </w:rPr>
            </w:pPr>
            <w:r>
              <w:rPr>
                <w:rFonts w:ascii="Arial" w:cs="Arial" w:eastAsia="Arial" w:hAnsi="Arial"/>
                <w:sz w:val="20"/>
                <w:szCs w:val="20"/>
                <w:color w:val="auto"/>
                <w:w w:val="89"/>
              </w:rPr>
              <w:t>hedging instruments under</w:t>
            </w:r>
          </w:p>
        </w:tc>
        <w:tc>
          <w:tcPr>
            <w:tcW w:w="4240" w:type="dxa"/>
            <w:vAlign w:val="bottom"/>
            <w:gridSpan w:val="2"/>
          </w:tcPr>
          <w:p>
            <w:pPr>
              <w:jc w:val="center"/>
              <w:ind w:right="240"/>
              <w:spacing w:after="0"/>
              <w:rPr>
                <w:sz w:val="20"/>
                <w:szCs w:val="20"/>
                <w:color w:val="auto"/>
              </w:rPr>
            </w:pPr>
            <w:r>
              <w:rPr>
                <w:rFonts w:ascii="Arial" w:cs="Arial" w:eastAsia="Arial" w:hAnsi="Arial"/>
                <w:sz w:val="20"/>
                <w:szCs w:val="20"/>
                <w:color w:val="auto"/>
                <w:w w:val="90"/>
              </w:rPr>
              <w:t>recognized in income on</w:t>
            </w:r>
          </w:p>
        </w:tc>
        <w:tc>
          <w:tcPr>
            <w:tcW w:w="2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0"/>
                <w:szCs w:val="20"/>
                <w:color w:val="auto"/>
                <w:w w:val="86"/>
              </w:rPr>
              <w:t>September 30,</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86"/>
              </w:rPr>
              <w:t>September 30,</w:t>
            </w:r>
          </w:p>
        </w:tc>
      </w:tr>
      <w:tr>
        <w:trPr>
          <w:trHeight w:val="246"/>
        </w:trPr>
        <w:tc>
          <w:tcPr>
            <w:tcW w:w="37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180" w:type="dxa"/>
            <w:vAlign w:val="bottom"/>
          </w:tcPr>
          <w:p>
            <w:pPr>
              <w:spacing w:after="0"/>
              <w:rPr>
                <w:sz w:val="21"/>
                <w:szCs w:val="21"/>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2013</w:t>
            </w:r>
          </w:p>
        </w:tc>
      </w:tr>
      <w:tr>
        <w:trPr>
          <w:trHeight w:val="331"/>
        </w:trPr>
        <w:tc>
          <w:tcPr>
            <w:tcW w:w="3880" w:type="dxa"/>
            <w:vAlign w:val="bottom"/>
            <w:gridSpan w:val="2"/>
          </w:tcPr>
          <w:p>
            <w:pPr>
              <w:jc w:val="center"/>
              <w:ind w:right="160"/>
              <w:spacing w:after="0"/>
              <w:rPr>
                <w:sz w:val="20"/>
                <w:szCs w:val="20"/>
                <w:color w:val="auto"/>
              </w:rPr>
            </w:pPr>
            <w:r>
              <w:rPr>
                <w:rFonts w:ascii="Arial" w:cs="Arial" w:eastAsia="Arial" w:hAnsi="Arial"/>
                <w:sz w:val="20"/>
                <w:szCs w:val="20"/>
                <w:color w:val="auto"/>
                <w:w w:val="88"/>
              </w:rPr>
              <w:t>Foreign currency exchange contracts</w:t>
            </w:r>
          </w:p>
        </w:tc>
        <w:tc>
          <w:tcPr>
            <w:tcW w:w="424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Interest and other income (expense),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960</w:t>
            </w:r>
          </w:p>
        </w:tc>
        <w:tc>
          <w:tcPr>
            <w:tcW w:w="180" w:type="dxa"/>
            <w:vAlign w:val="bottom"/>
          </w:tcPr>
          <w:p>
            <w:pPr>
              <w:spacing w:after="0"/>
              <w:rPr>
                <w:sz w:val="24"/>
                <w:szCs w:val="24"/>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left="8000"/>
        <w:spacing w:after="0"/>
        <w:rPr>
          <w:sz w:val="20"/>
          <w:szCs w:val="20"/>
          <w:color w:val="auto"/>
        </w:rPr>
      </w:pPr>
      <w:r>
        <w:rPr>
          <w:rFonts w:ascii="Arial" w:cs="Arial" w:eastAsia="Arial" w:hAnsi="Arial"/>
          <w:sz w:val="20"/>
          <w:szCs w:val="20"/>
          <w:color w:val="auto"/>
        </w:rPr>
        <w:t>Amount of loss</w:t>
      </w:r>
    </w:p>
    <w:p>
      <w:pPr>
        <w:spacing w:after="0" w:line="15" w:lineRule="exact"/>
        <w:rPr>
          <w:sz w:val="20"/>
          <w:szCs w:val="20"/>
          <w:color w:val="auto"/>
        </w:rPr>
      </w:pPr>
    </w:p>
    <w:p>
      <w:pPr>
        <w:jc w:val="center"/>
        <w:ind w:left="8000"/>
        <w:spacing w:after="0"/>
        <w:rPr>
          <w:sz w:val="20"/>
          <w:szCs w:val="20"/>
          <w:color w:val="auto"/>
        </w:rPr>
      </w:pPr>
      <w:r>
        <w:rPr>
          <w:rFonts w:ascii="Arial" w:cs="Arial" w:eastAsia="Arial" w:hAnsi="Arial"/>
          <w:sz w:val="20"/>
          <w:szCs w:val="20"/>
          <w:color w:val="auto"/>
        </w:rPr>
        <w:t>recognized in income on</w:t>
      </w:r>
    </w:p>
    <w:p>
      <w:pPr>
        <w:jc w:val="center"/>
        <w:ind w:left="800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0</wp:posOffset>
            </wp:positionV>
            <wp:extent cx="2032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ind w:left="8940"/>
        <w:spacing w:after="0"/>
        <w:rPr>
          <w:sz w:val="20"/>
          <w:szCs w:val="20"/>
          <w:color w:val="auto"/>
        </w:rPr>
      </w:pPr>
      <w:r>
        <w:rPr>
          <w:rFonts w:ascii="Arial" w:cs="Arial" w:eastAsia="Arial" w:hAnsi="Arial"/>
          <w:sz w:val="20"/>
          <w:szCs w:val="20"/>
          <w:color w:val="auto"/>
        </w:rPr>
        <w:t>Nine-months ended</w:t>
      </w:r>
    </w:p>
    <w:tbl>
      <w:tblPr>
        <w:tblLayout w:type="fixed"/>
        <w:tblInd w:w="0" w:type="dxa"/>
        <w:tblCellMar>
          <w:top w:w="0" w:type="dxa"/>
          <w:left w:w="0" w:type="dxa"/>
          <w:bottom w:w="0" w:type="dxa"/>
          <w:right w:w="0" w:type="dxa"/>
        </w:tblCellMar>
      </w:tblPr>
      <w:tr>
        <w:trPr>
          <w:trHeight w:val="202"/>
        </w:trPr>
        <w:tc>
          <w:tcPr>
            <w:tcW w:w="3880" w:type="dxa"/>
            <w:vAlign w:val="bottom"/>
            <w:gridSpan w:val="2"/>
          </w:tcPr>
          <w:p>
            <w:pPr>
              <w:jc w:val="center"/>
              <w:ind w:right="180"/>
              <w:spacing w:after="0" w:line="202" w:lineRule="exact"/>
              <w:rPr>
                <w:sz w:val="20"/>
                <w:szCs w:val="20"/>
                <w:color w:val="auto"/>
              </w:rPr>
            </w:pPr>
            <w:r>
              <w:rPr>
                <w:rFonts w:ascii="Arial" w:cs="Arial" w:eastAsia="Arial" w:hAnsi="Arial"/>
                <w:sz w:val="20"/>
                <w:szCs w:val="20"/>
                <w:color w:val="auto"/>
                <w:w w:val="89"/>
              </w:rPr>
              <w:t>Derivatives not designated as</w:t>
            </w:r>
          </w:p>
        </w:tc>
        <w:tc>
          <w:tcPr>
            <w:tcW w:w="4240" w:type="dxa"/>
            <w:vAlign w:val="bottom"/>
            <w:gridSpan w:val="2"/>
          </w:tcPr>
          <w:p>
            <w:pPr>
              <w:jc w:val="center"/>
              <w:ind w:right="240"/>
              <w:spacing w:after="0" w:line="202" w:lineRule="exact"/>
              <w:rPr>
                <w:sz w:val="20"/>
                <w:szCs w:val="20"/>
                <w:color w:val="auto"/>
              </w:rPr>
            </w:pPr>
            <w:r>
              <w:rPr>
                <w:rFonts w:ascii="Arial" w:cs="Arial" w:eastAsia="Arial" w:hAnsi="Arial"/>
                <w:sz w:val="20"/>
                <w:szCs w:val="20"/>
                <w:color w:val="auto"/>
                <w:w w:val="92"/>
              </w:rPr>
              <w:t>Location of loss</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3880" w:type="dxa"/>
            <w:vAlign w:val="bottom"/>
            <w:gridSpan w:val="2"/>
          </w:tcPr>
          <w:p>
            <w:pPr>
              <w:jc w:val="center"/>
              <w:spacing w:after="0"/>
              <w:rPr>
                <w:sz w:val="20"/>
                <w:szCs w:val="20"/>
                <w:color w:val="auto"/>
              </w:rPr>
            </w:pPr>
            <w:r>
              <w:rPr>
                <w:rFonts w:ascii="Arial" w:cs="Arial" w:eastAsia="Arial" w:hAnsi="Arial"/>
                <w:sz w:val="20"/>
                <w:szCs w:val="20"/>
                <w:color w:val="auto"/>
                <w:w w:val="89"/>
              </w:rPr>
              <w:t>hedging instruments under</w:t>
            </w:r>
          </w:p>
        </w:tc>
        <w:tc>
          <w:tcPr>
            <w:tcW w:w="4240" w:type="dxa"/>
            <w:vAlign w:val="bottom"/>
            <w:gridSpan w:val="2"/>
          </w:tcPr>
          <w:p>
            <w:pPr>
              <w:jc w:val="center"/>
              <w:ind w:right="240"/>
              <w:spacing w:after="0"/>
              <w:rPr>
                <w:sz w:val="20"/>
                <w:szCs w:val="20"/>
                <w:color w:val="auto"/>
              </w:rPr>
            </w:pPr>
            <w:r>
              <w:rPr>
                <w:rFonts w:ascii="Arial" w:cs="Arial" w:eastAsia="Arial" w:hAnsi="Arial"/>
                <w:sz w:val="20"/>
                <w:szCs w:val="20"/>
                <w:color w:val="auto"/>
                <w:w w:val="90"/>
              </w:rPr>
              <w:t>recognized in income on</w:t>
            </w:r>
          </w:p>
        </w:tc>
        <w:tc>
          <w:tcPr>
            <w:tcW w:w="2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20"/>
                <w:szCs w:val="20"/>
                <w:color w:val="auto"/>
                <w:w w:val="86"/>
              </w:rPr>
              <w:t>September 30,</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86"/>
              </w:rPr>
              <w:t>September 30,</w:t>
            </w:r>
          </w:p>
        </w:tc>
      </w:tr>
      <w:tr>
        <w:trPr>
          <w:trHeight w:val="246"/>
        </w:trPr>
        <w:tc>
          <w:tcPr>
            <w:tcW w:w="37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color w:val="auto"/>
                <w:w w:val="91"/>
              </w:rPr>
              <w:t>FASB ASC 815-20</w:t>
            </w:r>
          </w:p>
        </w:tc>
        <w:tc>
          <w:tcPr>
            <w:tcW w:w="180" w:type="dxa"/>
            <w:vAlign w:val="bottom"/>
          </w:tcPr>
          <w:p>
            <w:pPr>
              <w:spacing w:after="0"/>
              <w:rPr>
                <w:sz w:val="21"/>
                <w:szCs w:val="21"/>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2014</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2013</w:t>
            </w:r>
          </w:p>
        </w:tc>
      </w:tr>
      <w:tr>
        <w:trPr>
          <w:trHeight w:val="331"/>
        </w:trPr>
        <w:tc>
          <w:tcPr>
            <w:tcW w:w="3880" w:type="dxa"/>
            <w:vAlign w:val="bottom"/>
            <w:gridSpan w:val="2"/>
          </w:tcPr>
          <w:p>
            <w:pPr>
              <w:jc w:val="center"/>
              <w:ind w:right="160"/>
              <w:spacing w:after="0"/>
              <w:rPr>
                <w:sz w:val="20"/>
                <w:szCs w:val="20"/>
                <w:color w:val="auto"/>
              </w:rPr>
            </w:pPr>
            <w:r>
              <w:rPr>
                <w:rFonts w:ascii="Arial" w:cs="Arial" w:eastAsia="Arial" w:hAnsi="Arial"/>
                <w:sz w:val="20"/>
                <w:szCs w:val="20"/>
                <w:color w:val="auto"/>
                <w:w w:val="88"/>
              </w:rPr>
              <w:t>Foreign currency exchange contracts</w:t>
            </w:r>
          </w:p>
        </w:tc>
        <w:tc>
          <w:tcPr>
            <w:tcW w:w="4240" w:type="dxa"/>
            <w:vAlign w:val="bottom"/>
            <w:gridSpan w:val="2"/>
          </w:tcPr>
          <w:p>
            <w:pPr>
              <w:jc w:val="center"/>
              <w:ind w:right="220"/>
              <w:spacing w:after="0"/>
              <w:rPr>
                <w:sz w:val="20"/>
                <w:szCs w:val="20"/>
                <w:color w:val="auto"/>
              </w:rPr>
            </w:pPr>
            <w:r>
              <w:rPr>
                <w:rFonts w:ascii="Arial" w:cs="Arial" w:eastAsia="Arial" w:hAnsi="Arial"/>
                <w:sz w:val="20"/>
                <w:szCs w:val="20"/>
                <w:color w:val="auto"/>
                <w:w w:val="88"/>
              </w:rPr>
              <w:t>Interest and other income (expense),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194</w:t>
            </w:r>
          </w:p>
        </w:tc>
        <w:tc>
          <w:tcPr>
            <w:tcW w:w="180" w:type="dxa"/>
            <w:vAlign w:val="bottom"/>
          </w:tcPr>
          <w:p>
            <w:pPr>
              <w:spacing w:after="0"/>
              <w:rPr>
                <w:sz w:val="24"/>
                <w:szCs w:val="24"/>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ind w:left="60"/>
              <w:spacing w:after="0"/>
              <w:rPr>
                <w:sz w:val="20"/>
                <w:szCs w:val="20"/>
                <w:color w:val="auto"/>
              </w:rPr>
            </w:pPr>
            <w:r>
              <w:rPr>
                <w:rFonts w:ascii="Arial" w:cs="Arial" w:eastAsia="Arial" w:hAnsi="Arial"/>
                <w:sz w:val="20"/>
                <w:szCs w:val="20"/>
                <w:color w:val="auto"/>
              </w:rPr>
              <w:t>September 30,</w:t>
            </w:r>
          </w:p>
        </w:tc>
        <w:tc>
          <w:tcPr>
            <w:tcW w:w="220" w:type="dxa"/>
            <w:vAlign w:val="bottom"/>
          </w:tcPr>
          <w:p>
            <w:pPr>
              <w:spacing w:after="0"/>
              <w:rPr>
                <w:sz w:val="19"/>
                <w:szCs w:val="19"/>
                <w:color w:val="auto"/>
              </w:rPr>
            </w:pPr>
          </w:p>
        </w:tc>
        <w:tc>
          <w:tcPr>
            <w:tcW w:w="1480" w:type="dxa"/>
            <w:vAlign w:val="bottom"/>
          </w:tcPr>
          <w:p>
            <w:pPr>
              <w:jc w:val="right"/>
              <w:ind w:right="201"/>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5520" w:type="dxa"/>
            <w:vAlign w:val="bottom"/>
            <w:vMerge w:val="restart"/>
          </w:tcPr>
          <w:p>
            <w:pPr>
              <w:spacing w:after="0"/>
              <w:rPr>
                <w:sz w:val="20"/>
                <w:szCs w:val="20"/>
                <w:color w:val="auto"/>
              </w:rPr>
            </w:pPr>
            <w:r>
              <w:rPr>
                <w:rFonts w:ascii="Arial" w:cs="Arial" w:eastAsia="Arial" w:hAnsi="Arial"/>
                <w:sz w:val="20"/>
                <w:szCs w:val="20"/>
                <w:color w:val="auto"/>
              </w:rPr>
              <w:t>Raw materials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2014</w:t>
            </w:r>
          </w:p>
        </w:tc>
        <w:tc>
          <w:tcPr>
            <w:tcW w:w="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63,865</w:t>
            </w:r>
          </w:p>
        </w:tc>
        <w:tc>
          <w:tcPr>
            <w:tcW w:w="480" w:type="dxa"/>
            <w:vAlign w:val="bottom"/>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line="207" w:lineRule="exact"/>
              <w:rPr>
                <w:sz w:val="20"/>
                <w:szCs w:val="20"/>
                <w:color w:val="auto"/>
              </w:rPr>
            </w:pPr>
            <w:r>
              <w:rPr>
                <w:rFonts w:ascii="Arial" w:cs="Arial" w:eastAsia="Arial" w:hAnsi="Arial"/>
                <w:sz w:val="20"/>
                <w:szCs w:val="20"/>
                <w:color w:val="auto"/>
              </w:rPr>
              <w:t>68,088</w:t>
            </w:r>
          </w:p>
        </w:tc>
        <w:tc>
          <w:tcPr>
            <w:tcW w:w="0" w:type="dxa"/>
            <w:vAlign w:val="bottom"/>
          </w:tcPr>
          <w:p>
            <w:pPr>
              <w:spacing w:after="0"/>
              <w:rPr>
                <w:sz w:val="1"/>
                <w:szCs w:val="1"/>
                <w:color w:val="auto"/>
              </w:rPr>
            </w:pPr>
          </w:p>
        </w:tc>
      </w:tr>
      <w:tr>
        <w:trPr>
          <w:trHeight w:val="246"/>
        </w:trPr>
        <w:tc>
          <w:tcPr>
            <w:tcW w:w="5520" w:type="dxa"/>
            <w:vAlign w:val="bottom"/>
          </w:tcPr>
          <w:p>
            <w:pPr>
              <w:spacing w:after="0"/>
              <w:rPr>
                <w:sz w:val="20"/>
                <w:szCs w:val="20"/>
                <w:color w:val="auto"/>
              </w:rPr>
            </w:pPr>
            <w:r>
              <w:rPr>
                <w:rFonts w:ascii="Arial" w:cs="Arial" w:eastAsia="Arial" w:hAnsi="Arial"/>
                <w:sz w:val="20"/>
                <w:szCs w:val="20"/>
                <w:color w:val="auto"/>
              </w:rPr>
              <w:t>Finished goods</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141,584</w:t>
            </w:r>
          </w:p>
        </w:tc>
        <w:tc>
          <w:tcPr>
            <w:tcW w:w="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153,361</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205,449</w:t>
            </w:r>
          </w:p>
        </w:tc>
        <w:tc>
          <w:tcPr>
            <w:tcW w:w="48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221,449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ind w:left="60"/>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Arial" w:cs="Arial" w:eastAsia="Arial" w:hAnsi="Arial"/>
                <w:sz w:val="20"/>
                <w:szCs w:val="20"/>
                <w:color w:val="auto"/>
                <w:w w:val="90"/>
              </w:rPr>
              <w:t>December 31,</w:t>
            </w:r>
          </w:p>
        </w:tc>
        <w:tc>
          <w:tcPr>
            <w:tcW w:w="0" w:type="dxa"/>
            <w:vAlign w:val="bottom"/>
          </w:tcPr>
          <w:p>
            <w:pPr>
              <w:spacing w:after="0"/>
              <w:rPr>
                <w:sz w:val="1"/>
                <w:szCs w:val="1"/>
                <w:color w:val="auto"/>
              </w:rPr>
            </w:pPr>
          </w:p>
        </w:tc>
      </w:tr>
      <w:tr>
        <w:trPr>
          <w:trHeight w:val="246"/>
        </w:trPr>
        <w:tc>
          <w:tcPr>
            <w:tcW w:w="550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2014</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5500" w:type="dxa"/>
            <w:vAlign w:val="bottom"/>
            <w:vMerge w:val="continue"/>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500" w:type="dxa"/>
            <w:vAlign w:val="bottom"/>
          </w:tcPr>
          <w:p>
            <w:pPr>
              <w:jc w:val="right"/>
              <w:ind w:right="1"/>
              <w:spacing w:after="0" w:line="207" w:lineRule="exact"/>
              <w:rPr>
                <w:sz w:val="20"/>
                <w:szCs w:val="20"/>
                <w:color w:val="auto"/>
              </w:rPr>
            </w:pPr>
            <w:r>
              <w:rPr>
                <w:rFonts w:ascii="Arial" w:cs="Arial" w:eastAsia="Arial" w:hAnsi="Arial"/>
                <w:sz w:val="20"/>
                <w:szCs w:val="20"/>
                <w:color w:val="auto"/>
              </w:rPr>
              <w:t>5,382</w:t>
            </w:r>
          </w:p>
        </w:tc>
        <w:tc>
          <w:tcPr>
            <w:tcW w:w="460" w:type="dxa"/>
            <w:vAlign w:val="bottom"/>
          </w:tcPr>
          <w:p>
            <w:pPr>
              <w:spacing w:after="0"/>
              <w:rPr>
                <w:sz w:val="17"/>
                <w:szCs w:val="17"/>
                <w:color w:val="auto"/>
              </w:rPr>
            </w:pPr>
          </w:p>
        </w:tc>
        <w:tc>
          <w:tcPr>
            <w:tcW w:w="24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5,382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2,791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2,222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Furniture and fixtures</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3,451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3,474</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14,899</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14,135</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Computer software</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563</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791</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Equipment</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73,614</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62,552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Buildings</w:t>
            </w:r>
          </w:p>
        </w:tc>
        <w:tc>
          <w:tcPr>
            <w:tcW w:w="24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Arial" w:cs="Arial" w:eastAsia="Arial" w:hAnsi="Arial"/>
                <w:sz w:val="20"/>
                <w:szCs w:val="20"/>
                <w:color w:val="auto"/>
              </w:rPr>
              <w:t>38,382</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33,468</w:t>
            </w: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0"/>
                <w:szCs w:val="20"/>
                <w:color w:val="auto"/>
              </w:rPr>
            </w:pPr>
            <w:r>
              <w:rPr>
                <w:rFonts w:ascii="Arial" w:cs="Arial" w:eastAsia="Arial" w:hAnsi="Arial"/>
                <w:sz w:val="20"/>
                <w:szCs w:val="20"/>
                <w:color w:val="auto"/>
              </w:rPr>
              <w:t>Vehicles</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29,351</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30,442</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1"/>
              <w:spacing w:after="0" w:line="207" w:lineRule="exact"/>
              <w:rPr>
                <w:sz w:val="20"/>
                <w:szCs w:val="20"/>
                <w:color w:val="auto"/>
              </w:rPr>
            </w:pPr>
            <w:r>
              <w:rPr>
                <w:rFonts w:ascii="Arial" w:cs="Arial" w:eastAsia="Arial" w:hAnsi="Arial"/>
                <w:sz w:val="20"/>
                <w:szCs w:val="20"/>
                <w:color w:val="auto"/>
              </w:rPr>
              <w:t>168,433</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
              <w:spacing w:after="0" w:line="207" w:lineRule="exact"/>
              <w:rPr>
                <w:sz w:val="20"/>
                <w:szCs w:val="20"/>
                <w:color w:val="auto"/>
              </w:rPr>
            </w:pPr>
            <w:r>
              <w:rPr>
                <w:rFonts w:ascii="Arial" w:cs="Arial" w:eastAsia="Arial" w:hAnsi="Arial"/>
                <w:sz w:val="20"/>
                <w:szCs w:val="20"/>
                <w:color w:val="auto"/>
              </w:rPr>
              <w:t>152,466</w:t>
            </w:r>
          </w:p>
        </w:tc>
        <w:tc>
          <w:tcPr>
            <w:tcW w:w="0" w:type="dxa"/>
            <w:vAlign w:val="bottom"/>
          </w:tcPr>
          <w:p>
            <w:pPr>
              <w:spacing w:after="0"/>
              <w:rPr>
                <w:sz w:val="1"/>
                <w:szCs w:val="1"/>
                <w:color w:val="auto"/>
              </w:rPr>
            </w:pPr>
          </w:p>
        </w:tc>
      </w:tr>
      <w:tr>
        <w:trPr>
          <w:trHeight w:val="246"/>
        </w:trPr>
        <w:tc>
          <w:tcPr>
            <w:tcW w:w="550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(79,946)</w:t>
            </w:r>
          </w:p>
        </w:tc>
        <w:tc>
          <w:tcPr>
            <w:tcW w:w="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(64,323)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5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88,487</w:t>
            </w:r>
          </w:p>
        </w:tc>
        <w:tc>
          <w:tcPr>
            <w:tcW w:w="460" w:type="dxa"/>
            <w:vAlign w:val="bottom"/>
          </w:tcPr>
          <w:p>
            <w:pPr>
              <w:spacing w:after="0"/>
              <w:rPr>
                <w:sz w:val="19"/>
                <w:szCs w:val="19"/>
                <w:color w:val="auto"/>
              </w:rPr>
            </w:pPr>
          </w:p>
        </w:tc>
        <w:tc>
          <w:tcPr>
            <w:tcW w:w="2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88,143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2" w:right="339" w:bottom="298" w:gutter="0" w:footer="0" w:header="0"/>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2" w:right="339" w:bottom="298"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Intangibles consist of the following at:</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280" w:type="dxa"/>
            <w:vAlign w:val="bottom"/>
          </w:tcPr>
          <w:p>
            <w:pPr>
              <w:jc w:val="right"/>
              <w:ind w:right="144"/>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662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64"/>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6"/>
        </w:trPr>
        <w:tc>
          <w:tcPr>
            <w:tcW w:w="6620" w:type="dxa"/>
            <w:vAlign w:val="bottom"/>
            <w:vMerge w:val="continue"/>
          </w:tcPr>
          <w:p>
            <w:pPr>
              <w:spacing w:after="0"/>
              <w:rPr>
                <w:sz w:val="17"/>
                <w:szCs w:val="17"/>
                <w:color w:val="auto"/>
              </w:rPr>
            </w:pPr>
          </w:p>
        </w:tc>
        <w:tc>
          <w:tcPr>
            <w:tcW w:w="18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
              <w:spacing w:after="0" w:line="207" w:lineRule="exact"/>
              <w:rPr>
                <w:sz w:val="20"/>
                <w:szCs w:val="20"/>
                <w:color w:val="auto"/>
              </w:rPr>
            </w:pPr>
            <w:r>
              <w:rPr>
                <w:rFonts w:ascii="Arial" w:cs="Arial" w:eastAsia="Arial" w:hAnsi="Arial"/>
                <w:sz w:val="20"/>
                <w:szCs w:val="20"/>
                <w:color w:val="auto"/>
              </w:rPr>
              <w:t>232</w:t>
            </w:r>
          </w:p>
        </w:tc>
        <w:tc>
          <w:tcPr>
            <w:tcW w:w="580" w:type="dxa"/>
            <w:vAlign w:val="bottom"/>
          </w:tcPr>
          <w:p>
            <w:pPr>
              <w:spacing w:after="0"/>
              <w:rPr>
                <w:sz w:val="17"/>
                <w:szCs w:val="17"/>
                <w:color w:val="auto"/>
              </w:rPr>
            </w:pP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4"/>
              <w:spacing w:after="0" w:line="207" w:lineRule="exact"/>
              <w:rPr>
                <w:sz w:val="20"/>
                <w:szCs w:val="20"/>
                <w:color w:val="auto"/>
              </w:rPr>
            </w:pPr>
            <w:r>
              <w:rPr>
                <w:rFonts w:ascii="Arial" w:cs="Arial" w:eastAsia="Arial" w:hAnsi="Arial"/>
                <w:sz w:val="20"/>
                <w:szCs w:val="20"/>
                <w:color w:val="auto"/>
              </w:rPr>
              <w:t>1,076</w:t>
            </w:r>
          </w:p>
        </w:tc>
        <w:tc>
          <w:tcPr>
            <w:tcW w:w="0" w:type="dxa"/>
            <w:vAlign w:val="bottom"/>
          </w:tcPr>
          <w:p>
            <w:pPr>
              <w:spacing w:after="0"/>
              <w:rPr>
                <w:sz w:val="1"/>
                <w:szCs w:val="1"/>
                <w:color w:val="auto"/>
              </w:rPr>
            </w:pPr>
          </w:p>
        </w:tc>
      </w:tr>
      <w:tr>
        <w:trPr>
          <w:trHeight w:val="246"/>
        </w:trPr>
        <w:tc>
          <w:tcPr>
            <w:tcW w:w="662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w:t>
            </w:r>
          </w:p>
        </w:tc>
        <w:tc>
          <w:tcPr>
            <w:tcW w:w="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w:t>
            </w:r>
          </w:p>
        </w:tc>
        <w:tc>
          <w:tcPr>
            <w:tcW w:w="0" w:type="dxa"/>
            <w:vAlign w:val="bottom"/>
          </w:tcPr>
          <w:p>
            <w:pPr>
              <w:spacing w:after="0"/>
              <w:rPr>
                <w:sz w:val="1"/>
                <w:szCs w:val="1"/>
                <w:color w:val="auto"/>
              </w:rPr>
            </w:pPr>
          </w:p>
        </w:tc>
      </w:tr>
      <w:tr>
        <w:trPr>
          <w:trHeight w:val="206"/>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4"/>
              <w:spacing w:after="0" w:line="207" w:lineRule="exact"/>
              <w:rPr>
                <w:sz w:val="20"/>
                <w:szCs w:val="20"/>
                <w:color w:val="auto"/>
              </w:rPr>
            </w:pPr>
            <w:r>
              <w:rPr>
                <w:rFonts w:ascii="Arial" w:cs="Arial" w:eastAsia="Arial" w:hAnsi="Arial"/>
                <w:sz w:val="20"/>
                <w:szCs w:val="20"/>
                <w:color w:val="auto"/>
              </w:rPr>
              <w:t>182</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
              <w:spacing w:after="0" w:line="207" w:lineRule="exact"/>
              <w:rPr>
                <w:sz w:val="20"/>
                <w:szCs w:val="20"/>
                <w:color w:val="auto"/>
              </w:rPr>
            </w:pPr>
            <w:r>
              <w:rPr>
                <w:rFonts w:ascii="Arial" w:cs="Arial" w:eastAsia="Arial" w:hAnsi="Arial"/>
                <w:sz w:val="20"/>
                <w:szCs w:val="20"/>
                <w:color w:val="auto"/>
              </w:rPr>
              <w:t>486</w:t>
            </w:r>
          </w:p>
        </w:tc>
        <w:tc>
          <w:tcPr>
            <w:tcW w:w="0" w:type="dxa"/>
            <w:vAlign w:val="bottom"/>
          </w:tcPr>
          <w:p>
            <w:pPr>
              <w:spacing w:after="0"/>
              <w:rPr>
                <w:sz w:val="1"/>
                <w:szCs w:val="1"/>
                <w:color w:val="auto"/>
              </w:rPr>
            </w:pPr>
          </w:p>
        </w:tc>
      </w:tr>
      <w:tr>
        <w:trPr>
          <w:trHeight w:val="246"/>
        </w:trPr>
        <w:tc>
          <w:tcPr>
            <w:tcW w:w="6620" w:type="dxa"/>
            <w:vAlign w:val="bottom"/>
          </w:tcPr>
          <w:p>
            <w:pPr>
              <w:spacing w:after="0"/>
              <w:rPr>
                <w:sz w:val="20"/>
                <w:szCs w:val="20"/>
                <w:color w:val="auto"/>
              </w:rPr>
            </w:pPr>
            <w:r>
              <w:rPr>
                <w:rFonts w:ascii="Arial" w:cs="Arial" w:eastAsia="Arial" w:hAnsi="Arial"/>
                <w:sz w:val="20"/>
                <w:szCs w:val="20"/>
                <w:color w:val="auto"/>
              </w:rPr>
              <w:t>Non-amortizing intangibles</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48,918</w:t>
            </w:r>
          </w:p>
        </w:tc>
        <w:tc>
          <w:tcPr>
            <w:tcW w:w="5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65,288</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
              <w:spacing w:after="0" w:line="223" w:lineRule="exact"/>
              <w:rPr>
                <w:sz w:val="20"/>
                <w:szCs w:val="20"/>
                <w:color w:val="auto"/>
              </w:rPr>
            </w:pPr>
            <w:r>
              <w:rPr>
                <w:rFonts w:ascii="Arial" w:cs="Arial" w:eastAsia="Arial" w:hAnsi="Arial"/>
                <w:sz w:val="20"/>
                <w:szCs w:val="20"/>
                <w:color w:val="auto"/>
              </w:rPr>
              <w:t>49,100</w:t>
            </w:r>
          </w:p>
        </w:tc>
        <w:tc>
          <w:tcPr>
            <w:tcW w:w="58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
              <w:spacing w:after="0" w:line="223" w:lineRule="exact"/>
              <w:rPr>
                <w:sz w:val="20"/>
                <w:szCs w:val="20"/>
                <w:color w:val="auto"/>
              </w:rPr>
            </w:pPr>
            <w:r>
              <w:rPr>
                <w:rFonts w:ascii="Arial" w:cs="Arial" w:eastAsia="Arial" w:hAnsi="Arial"/>
                <w:sz w:val="20"/>
                <w:szCs w:val="20"/>
                <w:color w:val="auto"/>
              </w:rPr>
              <w:t>65,774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All amortizing intangibles have been assigned an estimated useful life and such intangibles are amortized on a straight-line basis over the number of years that approximate their respective useful lives ranging from one to 25 years (weighted-average life of 16 years). Amortization expense was $ 0.1 million and $0.01 million for the three-months ended September 30, 2014 and 2013, respectively. Amortization expense was $0.4 million and $0.04 million for the nine-months ended September 30, 2014 and 2013, respectively. At September 30, 2014, $18.0 million of non-amortizing intangibles and $0.1 million of amortizing intangibles (net of accumulated amortization) are subject to divestiture under the Coca-Cola Transaction and are included in intangibles held-for-sale in the accompanying condensed consolidated balance sheet at September 30, 2014.</w:t>
      </w:r>
    </w:p>
    <w:p>
      <w:pPr>
        <w:spacing w:after="0" w:line="20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condensed consolidated balance sheets and are recognized as revenue ratably over the anticipated life of the respective distribution agreement, generally 20 years. Revenue recognized was $1.9 million and $2.0 million for the three-months ended September 30, 2014 and 2013, respectively. Revenue recognized was $5.8 million and $6.4 million for the nine-months ended September 30, 2014 and 2013, respectively.</w:t>
      </w:r>
    </w:p>
    <w:p>
      <w:pPr>
        <w:spacing w:after="0" w:line="2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incurred termination amounts (net of adjustments to estimated amounts previously accrued) to certain of its prior distributors amounting to a credit of ($0.7) million and an expense of $0.4 million in aggregate for the three-months ended September 30, 2014 and 2013, respectively. The Company incurred termination amounts (net of adjustments to estimated amounts previously accrued) to certain of its prior distributors amounting to a credit of ($0.2) million and an expense of $10.7 million in aggregate for the nine-months ended September 30, 2014 and 2013, respectively. Such termination amounts have been expensed in full and are included in operating expenses for the three- and nine-months ended September 30, 2014 and 2013.</w:t>
      </w:r>
    </w:p>
    <w:p>
      <w:pPr>
        <w:spacing w:after="0" w:line="19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$37.0 million at September 30, 2014,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$70.6 million at September 30, 2014,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$13.3 million at September 30, 2014, which related primarily to warehouse and office space.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702"/>
        <w:spacing w:after="0" w:line="276" w:lineRule="auto"/>
        <w:rPr>
          <w:sz w:val="20"/>
          <w:szCs w:val="20"/>
          <w:color w:val="auto"/>
        </w:rPr>
      </w:pPr>
      <w:r>
        <w:rPr>
          <w:rFonts w:ascii="Arial" w:cs="Arial" w:eastAsia="Arial" w:hAnsi="Arial"/>
          <w:sz w:val="18"/>
          <w:szCs w:val="18"/>
          <w:color w:val="auto"/>
        </w:rPr>
        <w:t xml:space="preserve">On October 17, 2012, Wendy Crossland and Richard Fournier filed a lawsuit in the Superior Court of the State of California, County of Riverside, styled </w:t>
      </w:r>
      <w:r>
        <w:rPr>
          <w:rFonts w:ascii="Arial" w:cs="Arial" w:eastAsia="Arial" w:hAnsi="Arial"/>
          <w:sz w:val="18"/>
          <w:szCs w:val="18"/>
          <w:i w:val="1"/>
          <w:iCs w:val="1"/>
          <w:color w:val="auto"/>
        </w:rPr>
        <w:t>Wendy Crossland and Richard Fournier v. Monster Beverage Corporation</w:t>
      </w:r>
      <w:r>
        <w:rPr>
          <w:rFonts w:ascii="Arial" w:cs="Arial" w:eastAsia="Arial" w:hAnsi="Arial"/>
          <w:sz w:val="18"/>
          <w:szCs w:val="18"/>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w:t>
      </w:r>
    </w:p>
    <w:p>
      <w:pPr>
        <w:sectPr>
          <w:pgSz w:w="11900" w:h="16838" w:orient="portrait"/>
          <w:cols w:equalWidth="0" w:num="1">
            <w:col w:w="11420"/>
          </w:cols>
          <w:pgMar w:left="240" w:top="125" w:right="239" w:bottom="0" w:gutter="0" w:footer="0" w:header="0"/>
        </w:sectPr>
      </w:pPr>
    </w:p>
    <w:bookmarkStart w:id="12" w:name="page13"/>
    <w:bookmarkEnd w:id="12"/>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Company filed its answer to the first amended complaint on June 7, 2013. The parties attended a court ordered mediation on January 23, 2014. Discovery has commenced and trial has been scheduled for August 21, 2015.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 On September 11, 2008, a federal securities class action complaint styled</w:t>
      </w:r>
      <w:r>
        <w:rPr>
          <w:rFonts w:ascii="Arial" w:cs="Arial" w:eastAsia="Arial" w:hAnsi="Arial"/>
          <w:sz w:val="18"/>
          <w:szCs w:val="18"/>
          <w:i w:val="1"/>
          <w:iCs w:val="1"/>
          <w:color w:val="auto"/>
        </w:rPr>
        <w:t xml:space="preserve"> Cunha v. Hansen Natural Corp., et al. </w:t>
      </w:r>
      <w:r>
        <w:rPr>
          <w:rFonts w:ascii="Arial" w:cs="Arial" w:eastAsia="Arial" w:hAnsi="Arial"/>
          <w:sz w:val="18"/>
          <w:szCs w:val="18"/>
          <w:color w:val="auto"/>
        </w:rPr>
        <w:t xml:space="preserve">was filed in the United States District Court for the Central District of California (the “District Court”). On September 17, 2008, a second federal securities class action complaint styled </w:t>
      </w:r>
      <w:r>
        <w:rPr>
          <w:rFonts w:ascii="Arial" w:cs="Arial" w:eastAsia="Arial" w:hAnsi="Arial"/>
          <w:sz w:val="18"/>
          <w:szCs w:val="18"/>
          <w:i w:val="1"/>
          <w:iCs w:val="1"/>
          <w:color w:val="auto"/>
        </w:rPr>
        <w:t>Brown v. Hansen Natural Corp., et al.</w:t>
      </w:r>
      <w:r>
        <w:rPr>
          <w:rFonts w:ascii="Arial" w:cs="Arial" w:eastAsia="Arial" w:hAnsi="Arial"/>
          <w:sz w:val="18"/>
          <w:szCs w:val="18"/>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9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dropped certain of the allegations set forth in the Consolidated Class Action Complaint and made certain new allegations, including that the Company engaged in “channel stuffing” during the Class Period that rendered false or misleading the Company’s reported sales results and certain other statements made by the defendants. In addition, it no longer named Thomas J. Kelly as a defendant.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which the court denied, without prejudice, on January 17, 2014.</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Following a mediation conducted by an independent mediator, the Company entered into a Stipulation of Settlement on April 16, 2014 that, if approved by the District Court, will resolve the litigation and result in the action being dismissed with prejudice. The Court granted preliminary approval of the settlement by an Order dated July 28, 2014. Plaintiff filed a motion seeking final approval of the settlement on September 29, 2014. Under the schedule previously entered by the Court, settlement class members have until December 1, 2014 to object to or opt-out of the settlement. The final approval hearing is scheduled for January 29, 2015.</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Under the terms of the proposed settlement, the Company has agreed that certain of its insurance carriers will pay $16.25 million into an escrow account for distribution to a proposed settlement class, certified by the District Court for settlement purposes only and consisting of all persons who purchased or otherwise acquired the Company’s stock during the Class Period. Excluded from the proposed settlement class are the Company’s officers and directors, members of their immediate families and their legal representatives, heirs, successors or assigns and any entity in which defendants have or had a controlling interest, as well as any putative member of the settlement class who submits a valid and timely request for exclusion in the manner ultimately approved by the District Court. Under the proposed settlement, defendants and various of their related persons and entities will receive a full release of all claims that were or could have been brought in the action as well as all claims that arise out of, are based upon or relate to the allegations, transactions, facts, representations, omissions or other matters involved in the complaints filed in the action or any statement communicated to the public during the Class Period, and the purchase, acquisition or sale of the Company’s stock during the Class Period.</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proposed settlement contains no admission of any liability or wrongdoing on the part of the defendants, each of whom continues to deny all of the allegations against them and believes that the claims are without merit. Because the full amount of the proposed settlement will be paid by the Company’s insurance carriers, the settlement will not have an effect on the Company’s results of operations.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of energy drinks. Production of documents pursuant to that subpoena was completed in approximately May 2014.</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Briefing on the motion is</w:t>
      </w:r>
    </w:p>
    <w:p>
      <w:pPr>
        <w:sectPr>
          <w:pgSz w:w="11900" w:h="16966" w:orient="portrait"/>
          <w:cols w:equalWidth="0" w:num="1">
            <w:col w:w="11420"/>
          </w:cols>
          <w:pgMar w:left="240" w:top="122" w:right="239" w:bottom="0" w:gutter="0" w:footer="0" w:header="0"/>
        </w:sectPr>
      </w:pPr>
    </w:p>
    <w:bookmarkStart w:id="13" w:name="page14"/>
    <w:bookmarkEnd w:id="13"/>
    <w:p>
      <w:pPr>
        <w:jc w:val="both"/>
        <w:ind w:right="20"/>
        <w:spacing w:after="0" w:line="250" w:lineRule="auto"/>
        <w:rPr>
          <w:sz w:val="20"/>
          <w:szCs w:val="20"/>
          <w:color w:val="auto"/>
        </w:rPr>
      </w:pPr>
      <w:r>
        <w:rPr>
          <w:rFonts w:ascii="Arial" w:cs="Arial" w:eastAsia="Arial" w:hAnsi="Arial"/>
          <w:sz w:val="20"/>
          <w:szCs w:val="20"/>
          <w:color w:val="auto"/>
        </w:rPr>
        <w:t>currently ongoing.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San Francisco City Attorney Litigation</w:t>
      </w:r>
      <w:r>
        <w:rPr>
          <w:rFonts w:ascii="Arial" w:cs="Arial" w:eastAsia="Arial" w:hAnsi="Arial"/>
          <w:sz w:val="18"/>
          <w:szCs w:val="18"/>
          <w:color w:val="auto"/>
        </w:rPr>
        <w:t>. On October 31, 2012, the Company received a written request for information from the City</w:t>
      </w:r>
      <w:r>
        <w:rPr>
          <w:rFonts w:ascii="Arial" w:cs="Arial" w:eastAsia="Arial" w:hAnsi="Arial"/>
          <w:sz w:val="18"/>
          <w:szCs w:val="18"/>
          <w:i w:val="1"/>
          <w:iCs w:val="1"/>
          <w:color w:val="auto"/>
        </w:rPr>
        <w:t xml:space="preserve"> </w:t>
      </w:r>
      <w:r>
        <w:rPr>
          <w:rFonts w:ascii="Arial" w:cs="Arial" w:eastAsia="Arial" w:hAnsi="Arial"/>
          <w:sz w:val="18"/>
          <w:szCs w:val="18"/>
          <w:color w:val="auto"/>
        </w:rPr>
        <w:t>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w:t>
      </w:r>
    </w:p>
    <w:p>
      <w:pPr>
        <w:spacing w:after="0" w:line="3" w:lineRule="exact"/>
        <w:rPr>
          <w:sz w:val="20"/>
          <w:szCs w:val="20"/>
          <w:color w:val="auto"/>
        </w:rPr>
      </w:pPr>
    </w:p>
    <w:p>
      <w:pPr>
        <w:ind w:firstLine="8"/>
        <w:spacing w:after="0" w:line="269" w:lineRule="auto"/>
        <w:tabs>
          <w:tab w:leader="none" w:pos="2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“Reformulate its products to lower the caffeine content to safe levels”; (ii) “Provide adequate warning labels”; (iii) “Cease promoting over-consumption in marketing”; (iv) “Cease use of alcohol and drug references in marketing”; and (v) “Cease targeting minors.”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56"/>
        <w:spacing w:after="0" w:line="270" w:lineRule="auto"/>
        <w:tabs>
          <w:tab w:leader="none" w:pos="147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The Company Action </w:t>
      </w:r>
      <w:r>
        <w:rPr>
          <w:rFonts w:ascii="Arial" w:cs="Arial" w:eastAsia="Arial" w:hAnsi="Arial"/>
          <w:sz w:val="18"/>
          <w:szCs w:val="18"/>
          <w:color w:val="auto"/>
        </w:rPr>
        <w:t>- On April 29, 2013, the Company and its wholly owned subsidiary, Monster Energy Company,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complaint for declaratory and injunctive relief against the San Francisco City Attorney (the “Company Action”) in United States District Court for the Central District of California (the “Central District Court”), styled </w:t>
      </w:r>
      <w:r>
        <w:rPr>
          <w:rFonts w:ascii="Arial" w:cs="Arial" w:eastAsia="Arial" w:hAnsi="Arial"/>
          <w:sz w:val="18"/>
          <w:szCs w:val="18"/>
          <w:i w:val="1"/>
          <w:iCs w:val="1"/>
          <w:color w:val="auto"/>
        </w:rPr>
        <w:t>Monster Beverage Corp., et al. v. Dennis Herrera.</w:t>
      </w:r>
      <w:r>
        <w:rPr>
          <w:rFonts w:ascii="Arial" w:cs="Arial" w:eastAsia="Arial" w:hAnsi="Arial"/>
          <w:sz w:val="18"/>
          <w:szCs w:val="18"/>
          <w:color w:val="auto"/>
        </w:rPr>
        <w:t xml:space="preserve"> The Company seeks a declaration from the Central District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 Action, arguing in part that the complaint should be dismissed in light of the San Francisco Action (described below) filed on May 6, 2013. On August 22, 2013, the Central District Court granted in part and denied in part the City Attorney’s motion. On October 17, 2013 (after the San Francisco Action, described below, was remanded to San Francisco Superior Court), the City Attorney filed a renewed motion to dismiss the Company Action and on December 16, 2013, the Central District Court granted the City Attorney’s renewed motion, dismissing the Company Action. The Company filed a Notice of Appeal to the Ninth Circuit on December 18, 2013. The Company’s opening brief is due on November 28, 2014.</w:t>
      </w:r>
    </w:p>
    <w:p>
      <w:pPr>
        <w:spacing w:after="0" w:line="190" w:lineRule="exact"/>
        <w:rPr>
          <w:rFonts w:ascii="Arial" w:cs="Arial" w:eastAsia="Arial" w:hAnsi="Arial"/>
          <w:sz w:val="18"/>
          <w:szCs w:val="18"/>
          <w:color w:val="auto"/>
        </w:rPr>
      </w:pPr>
    </w:p>
    <w:p>
      <w:pPr>
        <w:jc w:val="both"/>
        <w:ind w:firstLine="656"/>
        <w:spacing w:after="0" w:line="269" w:lineRule="auto"/>
        <w:tabs>
          <w:tab w:leader="none" w:pos="1376"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The San Francisco Action - </w:t>
      </w:r>
      <w:r>
        <w:rPr>
          <w:rFonts w:ascii="Arial" w:cs="Arial" w:eastAsia="Arial" w:hAnsi="Arial"/>
          <w:sz w:val="18"/>
          <w:szCs w:val="18"/>
          <w:color w:val="auto"/>
        </w:rPr>
        <w:t>On May 6, 2013, the San Francisco City Attorney filed a complaint for declaratory and injunctive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relief, civil penalties and restitution for alleged violation of California’s Unfair Competition Law, Business &amp; Professions Code sections 17200, et seq., styled </w:t>
      </w:r>
      <w:r>
        <w:rPr>
          <w:rFonts w:ascii="Arial" w:cs="Arial" w:eastAsia="Arial" w:hAnsi="Arial"/>
          <w:sz w:val="18"/>
          <w:szCs w:val="18"/>
          <w:i w:val="1"/>
          <w:iCs w:val="1"/>
          <w:color w:val="auto"/>
        </w:rPr>
        <w:t>People Of The State Of California ex rel. Dennis Herrera, San Francisco City Attorney v. Monster Beverage Corporation</w:t>
      </w:r>
      <w:r>
        <w:rPr>
          <w:rFonts w:ascii="Arial" w:cs="Arial" w:eastAsia="Arial" w:hAnsi="Arial"/>
          <w:sz w:val="18"/>
          <w:szCs w:val="18"/>
          <w:color w:val="auto"/>
        </w:rPr>
        <w:t>, in San Francisco Superior Court (the “San Francisco Action”). The City Attorney alleges that the Company (1) mislabeled its products as a dietary supplement, in violation of California’s Sherman Food, Drug and Cosmetic Law, California Health &amp; Safety Code sections 109875 et. seq.;</w:t>
      </w:r>
    </w:p>
    <w:p>
      <w:pPr>
        <w:spacing w:after="0" w:line="3" w:lineRule="exact"/>
        <w:rPr>
          <w:rFonts w:ascii="Arial" w:cs="Arial" w:eastAsia="Arial" w:hAnsi="Arial"/>
          <w:sz w:val="18"/>
          <w:szCs w:val="18"/>
          <w:color w:val="auto"/>
        </w:rPr>
      </w:pPr>
    </w:p>
    <w:p>
      <w:pPr>
        <w:jc w:val="both"/>
        <w:ind w:firstLine="8"/>
        <w:spacing w:after="0" w:line="269" w:lineRule="auto"/>
        <w:tabs>
          <w:tab w:leader="none" w:pos="3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June 3, 2013, the Company removed the San Francisco Action to the United States District Court for the Northern District of California (the “Northern District Court”). On July 3, 2013, the City Attorney filed a motion to remand the San Francisco Action back to state court. On September 18, 2013, the Northern District Court granted the City Attorney’s motion to remand the San Francisco Action back to state court.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January 15, 2014, the Company filed a demurrer to and motion to strike allegations in the complaint in the San Francisco Action. On March 5, 2014, the Court overruled the demurrer, granted the motion to strike as to one theory for relief pleaded by the City Attorney, and lifted the stay on discovery.</w:t>
      </w:r>
    </w:p>
    <w:p>
      <w:pPr>
        <w:spacing w:after="0" w:line="20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On March 20, 2014, the City Attorney filed an amended complaint, adding allegations supporting the theory for relief as to which the Court had granted the motion to strike. On April 18, 2014, the Company filed a renewed motion to strike, challenging the theory for relief previously rejected by the Court, as well as a motion asking the Court to bifurcate and/or stay claims relating to the safety of Monster Energy® drinks, pending resolution of the ongoing FDA investigation of the safety and labeling of food products to which caffeine is added. On May 22, 2014, the Court denied the Company’s motion to strike and motion to bifurcate and/or stay claims relating to safety.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On June 16, 2014, the Company filed a petition for writ of mandate with the Court of Appeal, asking for a writ directing the trial court to vacate its order denying the Company’s motion to bifurcate and/or stay the San Francisco Action, and instead to stay proceedings pending</w:t>
      </w:r>
    </w:p>
    <w:p>
      <w:pPr>
        <w:sectPr>
          <w:pgSz w:w="11900" w:h="16838" w:orient="portrait"/>
          <w:cols w:equalWidth="0" w:num="1">
            <w:col w:w="11420"/>
          </w:cols>
          <w:pgMar w:left="240" w:top="122" w:right="239" w:bottom="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20"/>
          <w:szCs w:val="20"/>
          <w:color w:val="auto"/>
        </w:rPr>
        <w:t>FDA’s investigation. On June 19, 2014, the Court of Appeal denied the petition. On June 25, 2014, the Company filed a petition for review with the California Supreme Court. On July 23, 2014, the Supreme Court denied the petition.</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August 27, 2014, the Court issued an order setting the case for a two-week bench trial beginning on February 8, 2016. On September 5, 2014, the City Attorney filed a second amended complaint, adding Monster Energy Company as a defendant. A case management conference is scheduled for December 5, 2014. Discovery is ongoing.</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denies that it has violated the Unfair Competition Law or any other law and believes that the City Attorney’s claims and demands are preempted and unconstitutional, as alleged in the action the Company filed in the Central District Court. The Company intends to vigorously defend against this lawsuit. At this time, no evaluation of the likelihood of an unfavorable outcome or range of potential loss can be expressed.</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to the above matters, the Company has been named as a defendant in various false advertising putative class actions and in a private attorney general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The Company regards these cases and allegations as having no merit. Furthermore, the Company is subject to litigation from time to time in the normal course of business, including intellectual property litigation and claims from terminated distributors.</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September 30, 2014 and December 31, 2013, the Company’s consolidated balance sheets include accrued loss contingencies of approximately $17.95 million and $17.0 million, respectively, and receivables for insurance reimbursements of approximately $16.25 million and $16.25 million, respectively.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right="520" w:firstLine="648"/>
        <w:spacing w:after="0" w:line="260" w:lineRule="auto"/>
        <w:rPr>
          <w:sz w:val="20"/>
          <w:szCs w:val="20"/>
          <w:color w:val="auto"/>
        </w:rPr>
      </w:pPr>
      <w:r>
        <w:rPr>
          <w:rFonts w:ascii="Arial" w:cs="Arial" w:eastAsia="Arial" w:hAnsi="Arial"/>
          <w:sz w:val="20"/>
          <w:szCs w:val="20"/>
          <w:color w:val="auto"/>
        </w:rPr>
        <w:t>Changes in accumulated other comprehensive loss by component, after tax, for the nine-months ended September 30, 2014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center"/>
              <w:ind w:right="181"/>
              <w:spacing w:after="0"/>
              <w:rPr>
                <w:sz w:val="20"/>
                <w:szCs w:val="20"/>
                <w:color w:val="auto"/>
              </w:rPr>
            </w:pPr>
            <w:r>
              <w:rPr>
                <w:rFonts w:ascii="Arial" w:cs="Arial" w:eastAsia="Arial" w:hAnsi="Arial"/>
                <w:sz w:val="20"/>
                <w:szCs w:val="20"/>
                <w:color w:val="auto"/>
                <w:w w:val="91"/>
              </w:rPr>
              <w:t>Currency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center"/>
              <w:ind w:right="181"/>
              <w:spacing w:after="0"/>
              <w:rPr>
                <w:sz w:val="20"/>
                <w:szCs w:val="20"/>
                <w:color w:val="auto"/>
              </w:rPr>
            </w:pPr>
            <w:r>
              <w:rPr>
                <w:rFonts w:ascii="Arial" w:cs="Arial" w:eastAsia="Arial" w:hAnsi="Arial"/>
                <w:sz w:val="20"/>
                <w:szCs w:val="20"/>
                <w:color w:val="auto"/>
                <w:w w:val="90"/>
              </w:rPr>
              <w:t>Translation</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5"/>
              </w:rPr>
              <w:t>Losses</w:t>
            </w:r>
          </w:p>
        </w:tc>
        <w:tc>
          <w:tcPr>
            <w:tcW w:w="0" w:type="dxa"/>
            <w:vAlign w:val="bottom"/>
          </w:tcPr>
          <w:p>
            <w:pPr>
              <w:spacing w:after="0"/>
              <w:rPr>
                <w:sz w:val="1"/>
                <w:szCs w:val="1"/>
                <w:color w:val="auto"/>
              </w:rPr>
            </w:pPr>
          </w:p>
        </w:tc>
      </w:tr>
      <w:tr>
        <w:trPr>
          <w:trHeight w:val="287"/>
        </w:trPr>
        <w:tc>
          <w:tcPr>
            <w:tcW w:w="440" w:type="dxa"/>
            <w:vAlign w:val="bottom"/>
          </w:tcPr>
          <w:p>
            <w:pPr>
              <w:spacing w:after="0"/>
              <w:rPr>
                <w:sz w:val="24"/>
                <w:szCs w:val="24"/>
                <w:color w:val="auto"/>
              </w:rPr>
            </w:pPr>
          </w:p>
        </w:tc>
        <w:tc>
          <w:tcPr>
            <w:tcW w:w="6880" w:type="dxa"/>
            <w:vAlign w:val="bottom"/>
          </w:tcPr>
          <w:p>
            <w:pPr>
              <w:ind w:left="860"/>
              <w:spacing w:after="0"/>
              <w:rPr>
                <w:sz w:val="20"/>
                <w:szCs w:val="20"/>
                <w:color w:val="auto"/>
              </w:rPr>
            </w:pPr>
            <w:r>
              <w:rPr>
                <w:rFonts w:ascii="Arial" w:cs="Arial" w:eastAsia="Arial" w:hAnsi="Arial"/>
                <w:sz w:val="20"/>
                <w:szCs w:val="20"/>
                <w:color w:val="auto"/>
              </w:rPr>
              <w:t>Balance at December 31, 2013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(1,233)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6880" w:type="dxa"/>
            <w:vAlign w:val="bottom"/>
          </w:tcPr>
          <w:p>
            <w:pPr>
              <w:ind w:left="1120"/>
              <w:spacing w:after="0"/>
              <w:rPr>
                <w:sz w:val="20"/>
                <w:szCs w:val="20"/>
                <w:color w:val="auto"/>
              </w:rPr>
            </w:pPr>
            <w:r>
              <w:rPr>
                <w:rFonts w:ascii="Arial" w:cs="Arial" w:eastAsia="Arial" w:hAnsi="Arial"/>
                <w:sz w:val="20"/>
                <w:szCs w:val="20"/>
                <w:color w:val="auto"/>
              </w:rPr>
              <w:t>Other comprehensive loss before reclassifications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(5,104)</w:t>
            </w: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6880" w:type="dxa"/>
            <w:vAlign w:val="bottom"/>
          </w:tcPr>
          <w:p>
            <w:pPr>
              <w:ind w:left="1120"/>
              <w:spacing w:after="0"/>
              <w:rPr>
                <w:sz w:val="20"/>
                <w:szCs w:val="20"/>
                <w:color w:val="auto"/>
              </w:rPr>
            </w:pPr>
            <w:r>
              <w:rPr>
                <w:rFonts w:ascii="Arial" w:cs="Arial" w:eastAsia="Arial" w:hAnsi="Arial"/>
                <w:sz w:val="20"/>
                <w:szCs w:val="20"/>
                <w:color w:val="auto"/>
                <w:w w:val="98"/>
              </w:rPr>
              <w:t>Amounts reclassified from accumulated other comprehensive loss</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7"/>
        </w:trPr>
        <w:tc>
          <w:tcPr>
            <w:tcW w:w="440" w:type="dxa"/>
            <w:vAlign w:val="bottom"/>
          </w:tcPr>
          <w:p>
            <w:pPr>
              <w:spacing w:after="0"/>
              <w:rPr>
                <w:sz w:val="24"/>
                <w:szCs w:val="24"/>
                <w:color w:val="auto"/>
              </w:rPr>
            </w:pPr>
          </w:p>
        </w:tc>
        <w:tc>
          <w:tcPr>
            <w:tcW w:w="6880" w:type="dxa"/>
            <w:vAlign w:val="bottom"/>
          </w:tcPr>
          <w:p>
            <w:pPr>
              <w:ind w:left="1120"/>
              <w:spacing w:after="0"/>
              <w:rPr>
                <w:sz w:val="20"/>
                <w:szCs w:val="20"/>
                <w:color w:val="auto"/>
              </w:rPr>
            </w:pPr>
            <w:r>
              <w:rPr>
                <w:rFonts w:ascii="Arial" w:cs="Arial" w:eastAsia="Arial" w:hAnsi="Arial"/>
                <w:sz w:val="20"/>
                <w:szCs w:val="20"/>
                <w:color w:val="auto"/>
              </w:rPr>
              <w:t>Net current-period other comprehensive loss</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(5,104)</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880" w:type="dxa"/>
            <w:vAlign w:val="bottom"/>
          </w:tcPr>
          <w:p>
            <w:pPr>
              <w:ind w:left="860"/>
              <w:spacing w:after="0" w:line="223" w:lineRule="exact"/>
              <w:rPr>
                <w:sz w:val="20"/>
                <w:szCs w:val="20"/>
                <w:color w:val="auto"/>
              </w:rPr>
            </w:pPr>
            <w:r>
              <w:rPr>
                <w:rFonts w:ascii="Arial" w:cs="Arial" w:eastAsia="Arial" w:hAnsi="Arial"/>
                <w:sz w:val="20"/>
                <w:szCs w:val="20"/>
                <w:color w:val="auto"/>
              </w:rPr>
              <w:t>Balance at September 30, 2014</w:t>
            </w: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(6,337)</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81"/>
              <w:spacing w:after="0"/>
              <w:rPr>
                <w:sz w:val="20"/>
                <w:szCs w:val="20"/>
                <w:color w:val="auto"/>
              </w:rPr>
            </w:pPr>
            <w:r>
              <w:rPr>
                <w:rFonts w:ascii="Arial" w:cs="Arial" w:eastAsia="Arial" w:hAnsi="Arial"/>
                <w:sz w:val="20"/>
                <w:szCs w:val="20"/>
                <w:color w:val="auto"/>
                <w:w w:val="86"/>
              </w:rPr>
              <w:t>13.</w:t>
            </w:r>
          </w:p>
        </w:tc>
        <w:tc>
          <w:tcPr>
            <w:tcW w:w="6880" w:type="dxa"/>
            <w:vAlign w:val="bottom"/>
            <w:vMerge w:val="restart"/>
          </w:tcPr>
          <w:p>
            <w:pPr>
              <w:ind w:left="200"/>
              <w:spacing w:after="0"/>
              <w:rPr>
                <w:sz w:val="20"/>
                <w:szCs w:val="20"/>
                <w:color w:val="auto"/>
              </w:rPr>
            </w:pPr>
            <w:r>
              <w:rPr>
                <w:rFonts w:ascii="Arial" w:cs="Arial" w:eastAsia="Arial" w:hAnsi="Arial"/>
                <w:sz w:val="20"/>
                <w:szCs w:val="20"/>
                <w:color w:val="auto"/>
              </w:rPr>
              <w:t>TREASURY STOCK PURCHASE</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40" w:type="dxa"/>
            <w:vAlign w:val="bottom"/>
            <w:vMerge w:val="continue"/>
          </w:tcPr>
          <w:p>
            <w:pPr>
              <w:spacing w:after="0"/>
              <w:rPr>
                <w:sz w:val="24"/>
                <w:szCs w:val="24"/>
                <w:color w:val="auto"/>
              </w:rPr>
            </w:pPr>
          </w:p>
        </w:tc>
        <w:tc>
          <w:tcPr>
            <w:tcW w:w="6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On April 7, 2013, the Company’s Board of Directors authorized a new share repurchase program for the repurchase of up to $200.0 million of the Company’s outstanding common stock (the “April 2013 Repurchase Plan”). During the nine-months ended September 30, 2014, no shares of common stock were purchased under the April 2013 Repurchase Plan. During the year ended December 31, 2013, the Company purchased 0.951 million shares of common stock at an average purchase price of $56.98 per share for a total amount of $54.2 million (excluding broker commissions) under the April 2013 Repurchase Plan.</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During both the three- and nine-months ended September 30, 2014, 0.09 million shares were purchased from employees in lieu of cash payments for options exercised or withholding taxes due for a total amount of $8.1 million. While such purchases are considered common stock repurchases, they are not counted as purchases against the Company’s authorized share repurchase programs, including the April 2013 Repurchase Plan.</w:t>
      </w:r>
    </w:p>
    <w:p>
      <w:pPr>
        <w:sectPr>
          <w:pgSz w:w="11900" w:h="16838" w:orient="portrait"/>
          <w:cols w:equalWidth="0" w:num="1">
            <w:col w:w="11420"/>
          </w:cols>
          <w:pgMar w:left="240" w:top="122" w:right="239" w:bottom="0" w:gutter="0" w:footer="0" w:header="0"/>
        </w:sectPr>
      </w:pPr>
    </w:p>
    <w:bookmarkStart w:id="15" w:name="page16"/>
    <w:bookmarkEnd w:id="15"/>
    <w:p>
      <w:pPr>
        <w:ind w:left="640" w:hanging="632"/>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3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September 30, 2014: the Monster Beverage Corporation 2011 Omnibus Incentive Plan (the “2011 Omnibus Incentive Plan”) and the 2009 Monster Beverage Corporation Stock Incentive Plan for Non-Employee Directors (the “2009 Directors Plan”).</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recorded $7.4 million and $7.2 million of compensation expense relating to outstanding options, restricted stock awards, stock appreciation rights and restricted stock units during the three-months ended September 30, 2014 and 2013, respectively. The Company recorded $22.5 million and $21.6 million of compensation expense relating to outstanding options, restricted stock awards, stock appreciation rights and restricted stock units during the nine-months ended September 30, 2014 and 2013,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excess tax benefit realized for tax deductions from non-qualified stock option exercises, disqualifying dispositions of incentive stock options, vesting of restricted stock units and restricted stock awards for the three-months ended September 30, 2014 and 2013 was $8.2 million and $1.4 million, respectively. The excess tax benefit realized for tax deductions from non-qualified stock option exercises, disqualifying dispositions of incentive stock options, vesting of restricted stock units and restricted stock awards for the nine-months ended September 30, 2014 and 2013 was $11.5 million and $30.2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September 30, 2014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246"/>
        </w:trPr>
        <w:tc>
          <w:tcPr>
            <w:tcW w:w="2880" w:type="dxa"/>
            <w:vAlign w:val="bottom"/>
          </w:tcPr>
          <w:p>
            <w:pPr>
              <w:spacing w:after="0"/>
              <w:rPr>
                <w:sz w:val="21"/>
                <w:szCs w:val="21"/>
                <w:color w:val="auto"/>
              </w:rPr>
            </w:pPr>
          </w:p>
        </w:tc>
        <w:tc>
          <w:tcPr>
            <w:tcW w:w="3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20"/>
                <w:szCs w:val="20"/>
                <w:color w:val="auto"/>
              </w:rPr>
              <w:t>Three-Months Ended September 30,</w:t>
            </w:r>
          </w:p>
        </w:tc>
        <w:tc>
          <w:tcPr>
            <w:tcW w:w="4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20"/>
                <w:szCs w:val="20"/>
                <w:color w:val="auto"/>
              </w:rPr>
              <w:t>Nine-Months Ended September 30,</w:t>
            </w:r>
          </w:p>
        </w:tc>
        <w:tc>
          <w:tcPr>
            <w:tcW w:w="0" w:type="dxa"/>
            <w:vAlign w:val="bottom"/>
          </w:tcPr>
          <w:p>
            <w:pPr>
              <w:spacing w:after="0"/>
              <w:rPr>
                <w:sz w:val="1"/>
                <w:szCs w:val="1"/>
                <w:color w:val="auto"/>
              </w:rPr>
            </w:pPr>
          </w:p>
        </w:tc>
      </w:tr>
      <w:tr>
        <w:trPr>
          <w:trHeight w:val="223"/>
        </w:trPr>
        <w:tc>
          <w:tcPr>
            <w:tcW w:w="288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260" w:type="dxa"/>
            <w:vAlign w:val="bottom"/>
          </w:tcPr>
          <w:p>
            <w:pPr>
              <w:jc w:val="right"/>
              <w:ind w:right="61"/>
              <w:spacing w:after="0" w:line="223" w:lineRule="exact"/>
              <w:rPr>
                <w:sz w:val="20"/>
                <w:szCs w:val="20"/>
                <w:color w:val="auto"/>
              </w:rPr>
            </w:pPr>
            <w:r>
              <w:rPr>
                <w:rFonts w:ascii="Arial" w:cs="Arial" w:eastAsia="Arial" w:hAnsi="Arial"/>
                <w:sz w:val="20"/>
                <w:szCs w:val="20"/>
                <w:color w:val="auto"/>
              </w:rPr>
              <w:t>2014¹</w:t>
            </w:r>
          </w:p>
        </w:tc>
        <w:tc>
          <w:tcPr>
            <w:tcW w:w="2160" w:type="dxa"/>
            <w:vAlign w:val="bottom"/>
            <w:gridSpan w:val="3"/>
          </w:tcPr>
          <w:p>
            <w:pPr>
              <w:jc w:val="right"/>
              <w:ind w:right="240"/>
              <w:spacing w:after="0" w:line="223" w:lineRule="exact"/>
              <w:rPr>
                <w:sz w:val="20"/>
                <w:szCs w:val="20"/>
                <w:color w:val="auto"/>
              </w:rPr>
            </w:pPr>
            <w:r>
              <w:rPr>
                <w:rFonts w:ascii="Arial" w:cs="Arial" w:eastAsia="Arial" w:hAnsi="Arial"/>
                <w:sz w:val="20"/>
                <w:szCs w:val="20"/>
                <w:color w:val="auto"/>
              </w:rPr>
              <w:t>2013¹</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561"/>
              <w:spacing w:after="0" w:line="223" w:lineRule="exact"/>
              <w:rPr>
                <w:sz w:val="20"/>
                <w:szCs w:val="20"/>
                <w:color w:val="auto"/>
              </w:rPr>
            </w:pPr>
            <w:r>
              <w:rPr>
                <w:rFonts w:ascii="Arial" w:cs="Arial" w:eastAsia="Arial" w:hAnsi="Arial"/>
                <w:sz w:val="20"/>
                <w:szCs w:val="20"/>
                <w:color w:val="auto"/>
              </w:rPr>
              <w:t>2014</w:t>
            </w:r>
          </w:p>
        </w:tc>
        <w:tc>
          <w:tcPr>
            <w:tcW w:w="360" w:type="dxa"/>
            <w:vAlign w:val="bottom"/>
          </w:tcPr>
          <w:p>
            <w:pPr>
              <w:spacing w:after="0"/>
              <w:rPr>
                <w:sz w:val="19"/>
                <w:szCs w:val="19"/>
                <w:color w:val="auto"/>
              </w:rPr>
            </w:pPr>
          </w:p>
        </w:tc>
        <w:tc>
          <w:tcPr>
            <w:tcW w:w="1740" w:type="dxa"/>
            <w:vAlign w:val="bottom"/>
          </w:tcPr>
          <w:p>
            <w:pPr>
              <w:jc w:val="right"/>
              <w:ind w:right="581"/>
              <w:spacing w:after="0" w:line="223" w:lineRule="exact"/>
              <w:rPr>
                <w:sz w:val="20"/>
                <w:szCs w:val="20"/>
                <w:color w:val="auto"/>
              </w:rPr>
            </w:pPr>
            <w:r>
              <w:rPr>
                <w:rFonts w:ascii="Arial" w:cs="Arial" w:eastAsia="Arial" w:hAnsi="Arial"/>
                <w:sz w:val="20"/>
                <w:szCs w:val="20"/>
                <w:color w:val="auto"/>
              </w:rPr>
              <w:t>2013</w:t>
            </w:r>
          </w:p>
        </w:tc>
        <w:tc>
          <w:tcPr>
            <w:tcW w:w="0" w:type="dxa"/>
            <w:vAlign w:val="bottom"/>
          </w:tcPr>
          <w:p>
            <w:pPr>
              <w:spacing w:after="0"/>
              <w:rPr>
                <w:sz w:val="1"/>
                <w:szCs w:val="1"/>
                <w:color w:val="auto"/>
              </w:rPr>
            </w:pPr>
          </w:p>
        </w:tc>
      </w:tr>
      <w:tr>
        <w:trPr>
          <w:trHeight w:val="206"/>
        </w:trPr>
        <w:tc>
          <w:tcPr>
            <w:tcW w:w="2880" w:type="dxa"/>
            <w:vAlign w:val="bottom"/>
            <w:vMerge w:val="continue"/>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ind w:right="161"/>
              <w:spacing w:after="0" w:line="207" w:lineRule="exact"/>
              <w:rPr>
                <w:sz w:val="20"/>
                <w:szCs w:val="20"/>
                <w:color w:val="auto"/>
              </w:rPr>
            </w:pPr>
            <w:r>
              <w:rPr>
                <w:rFonts w:ascii="Arial" w:cs="Arial" w:eastAsia="Arial" w:hAnsi="Arial"/>
                <w:sz w:val="20"/>
                <w:szCs w:val="20"/>
                <w:color w:val="auto"/>
              </w:rPr>
              <w:t>-</w:t>
            </w:r>
          </w:p>
        </w:tc>
        <w:tc>
          <w:tcPr>
            <w:tcW w:w="360" w:type="dxa"/>
            <w:vAlign w:val="bottom"/>
          </w:tcPr>
          <w:p>
            <w:pPr>
              <w:spacing w:after="0"/>
              <w:rPr>
                <w:sz w:val="17"/>
                <w:szCs w:val="17"/>
                <w:color w:val="auto"/>
              </w:rPr>
            </w:pPr>
          </w:p>
        </w:tc>
        <w:tc>
          <w:tcPr>
            <w:tcW w:w="17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0.0 %</w:t>
            </w:r>
          </w:p>
        </w:tc>
        <w:tc>
          <w:tcPr>
            <w:tcW w:w="360" w:type="dxa"/>
            <w:vAlign w:val="bottom"/>
          </w:tcPr>
          <w:p>
            <w:pPr>
              <w:spacing w:after="0"/>
              <w:rPr>
                <w:sz w:val="17"/>
                <w:szCs w:val="17"/>
                <w:color w:val="auto"/>
              </w:rPr>
            </w:pPr>
          </w:p>
        </w:tc>
        <w:tc>
          <w:tcPr>
            <w:tcW w:w="17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0.0 %</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20"/>
                <w:szCs w:val="20"/>
                <w:color w:val="auto"/>
              </w:rPr>
              <w:t>Expected volatility</w:t>
            </w:r>
          </w:p>
        </w:tc>
        <w:tc>
          <w:tcPr>
            <w:tcW w:w="4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42.4 %</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47.9 %</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20"/>
                <w:szCs w:val="20"/>
                <w:color w:val="auto"/>
              </w:rPr>
              <w:t>Risk-free interest rate</w:t>
            </w:r>
          </w:p>
        </w:tc>
        <w:tc>
          <w:tcPr>
            <w:tcW w:w="4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1.6 %</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0.9 %</w:t>
            </w:r>
          </w:p>
        </w:tc>
        <w:tc>
          <w:tcPr>
            <w:tcW w:w="0" w:type="dxa"/>
            <w:vAlign w:val="bottom"/>
          </w:tcPr>
          <w:p>
            <w:pPr>
              <w:spacing w:after="0"/>
              <w:rPr>
                <w:sz w:val="1"/>
                <w:szCs w:val="1"/>
                <w:color w:val="auto"/>
              </w:rPr>
            </w:pPr>
          </w:p>
        </w:tc>
      </w:tr>
      <w:tr>
        <w:trPr>
          <w:trHeight w:val="250"/>
        </w:trPr>
        <w:tc>
          <w:tcPr>
            <w:tcW w:w="4140" w:type="dxa"/>
            <w:vAlign w:val="bottom"/>
            <w:gridSpan w:val="2"/>
          </w:tcPr>
          <w:p>
            <w:pPr>
              <w:spacing w:after="0"/>
              <w:rPr>
                <w:sz w:val="20"/>
                <w:szCs w:val="20"/>
                <w:color w:val="auto"/>
              </w:rPr>
            </w:pPr>
            <w:r>
              <w:rPr>
                <w:rFonts w:ascii="Arial" w:cs="Arial" w:eastAsia="Arial" w:hAnsi="Arial"/>
                <w:sz w:val="20"/>
                <w:szCs w:val="20"/>
                <w:color w:val="auto"/>
              </w:rPr>
              <w:t>Expected term</w:t>
            </w:r>
          </w:p>
        </w:tc>
        <w:tc>
          <w:tcPr>
            <w:tcW w:w="48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2080" w:type="dxa"/>
            <w:vAlign w:val="bottom"/>
            <w:gridSpan w:val="2"/>
          </w:tcPr>
          <w:p>
            <w:pPr>
              <w:ind w:left="940"/>
              <w:spacing w:after="0"/>
              <w:rPr>
                <w:sz w:val="20"/>
                <w:szCs w:val="20"/>
                <w:color w:val="auto"/>
              </w:rPr>
            </w:pPr>
            <w:r>
              <w:rPr>
                <w:rFonts w:ascii="Arial" w:cs="Arial" w:eastAsia="Arial" w:hAnsi="Arial"/>
                <w:sz w:val="20"/>
                <w:szCs w:val="20"/>
                <w:color w:val="auto"/>
              </w:rPr>
              <w:t>5.8 Years</w:t>
            </w:r>
          </w:p>
        </w:tc>
        <w:tc>
          <w:tcPr>
            <w:tcW w:w="1740" w:type="dxa"/>
            <w:vAlign w:val="bottom"/>
          </w:tcPr>
          <w:p>
            <w:pPr>
              <w:jc w:val="right"/>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760" w:hanging="104"/>
        <w:spacing w:after="0"/>
        <w:tabs>
          <w:tab w:leader="none" w:pos="760" w:val="left"/>
        </w:tabs>
        <w:numPr>
          <w:ilvl w:val="0"/>
          <w:numId w:val="21"/>
        </w:numPr>
        <w:rPr>
          <w:rFonts w:ascii="Arial" w:cs="Arial" w:eastAsia="Arial" w:hAnsi="Arial"/>
          <w:sz w:val="13"/>
          <w:szCs w:val="13"/>
          <w:i w:val="1"/>
          <w:iCs w:val="1"/>
          <w:color w:val="auto"/>
        </w:rPr>
      </w:pPr>
      <w:r>
        <w:rPr>
          <w:rFonts w:ascii="Arial" w:cs="Arial" w:eastAsia="Arial" w:hAnsi="Arial"/>
          <w:sz w:val="20"/>
          <w:szCs w:val="20"/>
          <w:i w:val="1"/>
          <w:iCs w:val="1"/>
          <w:color w:val="auto"/>
        </w:rPr>
        <w:t>No options were granted during the three-months ended September 30, 2014 and 2013.</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p>
      <w:pPr>
        <w:ind w:left="8460"/>
        <w:spacing w:after="0"/>
        <w:rPr>
          <w:sz w:val="20"/>
          <w:szCs w:val="20"/>
          <w:color w:val="auto"/>
        </w:rPr>
      </w:pPr>
      <w:r>
        <w:rPr>
          <w:rFonts w:ascii="Arial" w:cs="Arial" w:eastAsia="Arial" w:hAnsi="Arial"/>
          <w:sz w:val="20"/>
          <w:szCs w:val="20"/>
          <w:color w:val="auto"/>
        </w:rPr>
        <w:t>Weighted-</w:t>
      </w:r>
    </w:p>
    <w:p>
      <w:pPr>
        <w:spacing w:after="0" w:line="16"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20"/>
          <w:szCs w:val="20"/>
          <w:color w:val="auto"/>
        </w:rPr>
        <w:t>Weighted-</w:t>
      </w:r>
      <w:r>
        <w:rPr>
          <w:sz w:val="20"/>
          <w:szCs w:val="20"/>
          <w:color w:val="auto"/>
        </w:rPr>
        <w:tab/>
      </w:r>
      <w:r>
        <w:rPr>
          <w:rFonts w:ascii="Arial" w:cs="Arial" w:eastAsia="Arial" w:hAnsi="Arial"/>
          <w:sz w:val="16"/>
          <w:szCs w:val="16"/>
          <w:color w:val="auto"/>
        </w:rPr>
        <w:t>Average</w:t>
      </w:r>
    </w:p>
    <w:p>
      <w:pPr>
        <w:sectPr>
          <w:pgSz w:w="11900" w:h="16838" w:orient="portrait"/>
          <w:cols w:equalWidth="0" w:num="1">
            <w:col w:w="11420"/>
          </w:cols>
          <w:pgMar w:left="240" w:top="122"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Average</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89"/>
              </w:rPr>
              <w:t>Remaining</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8"/>
              </w:rPr>
              <w:t>Exercise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Contractual</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Shares (In</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20"/>
                <w:szCs w:val="20"/>
                <w:color w:val="auto"/>
                <w:w w:val="87"/>
              </w:rPr>
              <w:t>Price Per</w:t>
            </w:r>
          </w:p>
        </w:tc>
        <w:tc>
          <w:tcPr>
            <w:tcW w:w="1640" w:type="dxa"/>
            <w:vAlign w:val="bottom"/>
            <w:gridSpan w:val="2"/>
          </w:tcPr>
          <w:p>
            <w:pPr>
              <w:jc w:val="center"/>
              <w:ind w:right="300"/>
              <w:spacing w:after="0"/>
              <w:rPr>
                <w:sz w:val="20"/>
                <w:szCs w:val="20"/>
                <w:color w:val="auto"/>
              </w:rPr>
            </w:pPr>
            <w:r>
              <w:rPr>
                <w:rFonts w:ascii="Arial" w:cs="Arial" w:eastAsia="Arial" w:hAnsi="Arial"/>
                <w:sz w:val="20"/>
                <w:szCs w:val="20"/>
                <w:color w:val="auto"/>
                <w:w w:val="92"/>
              </w:rPr>
              <w:t>Term (In</w:t>
            </w:r>
          </w:p>
        </w:tc>
        <w:tc>
          <w:tcPr>
            <w:tcW w:w="200" w:type="dxa"/>
            <w:vAlign w:val="bottom"/>
          </w:tcPr>
          <w:p>
            <w:pPr>
              <w:spacing w:after="0"/>
              <w:rPr>
                <w:sz w:val="19"/>
                <w:szCs w:val="19"/>
                <w:color w:val="auto"/>
              </w:rPr>
            </w:pPr>
          </w:p>
        </w:tc>
        <w:tc>
          <w:tcPr>
            <w:tcW w:w="1380" w:type="dxa"/>
            <w:vAlign w:val="bottom"/>
          </w:tcPr>
          <w:p>
            <w:pPr>
              <w:jc w:val="right"/>
              <w:ind w:right="28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4860" w:type="dxa"/>
            <w:vAlign w:val="bottom"/>
            <w:gridSpan w:val="2"/>
          </w:tcPr>
          <w:p>
            <w:pPr>
              <w:ind w:left="1960"/>
              <w:spacing w:after="0"/>
              <w:rPr>
                <w:sz w:val="20"/>
                <w:szCs w:val="20"/>
                <w:color w:val="auto"/>
              </w:rPr>
            </w:pPr>
            <w:r>
              <w:rPr>
                <w:rFonts w:ascii="Arial" w:cs="Arial" w:eastAsia="Arial" w:hAnsi="Arial"/>
                <w:sz w:val="20"/>
                <w:szCs w:val="20"/>
                <w:color w:val="auto"/>
              </w:rPr>
              <w:t>Options</w:t>
            </w:r>
          </w:p>
        </w:tc>
        <w:tc>
          <w:tcPr>
            <w:tcW w:w="138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0"/>
                <w:szCs w:val="20"/>
                <w:color w:val="auto"/>
                <w:w w:val="86"/>
              </w:rPr>
              <w:t>Share</w:t>
            </w:r>
          </w:p>
        </w:tc>
        <w:tc>
          <w:tcPr>
            <w:tcW w:w="1640" w:type="dxa"/>
            <w:vAlign w:val="bottom"/>
            <w:gridSpan w:val="2"/>
          </w:tcPr>
          <w:p>
            <w:pPr>
              <w:jc w:val="center"/>
              <w:ind w:right="280"/>
              <w:spacing w:after="0"/>
              <w:rPr>
                <w:sz w:val="20"/>
                <w:szCs w:val="20"/>
                <w:color w:val="auto"/>
              </w:rPr>
            </w:pPr>
            <w:r>
              <w:rPr>
                <w:rFonts w:ascii="Arial" w:cs="Arial" w:eastAsia="Arial" w:hAnsi="Arial"/>
                <w:sz w:val="20"/>
                <w:szCs w:val="20"/>
                <w:color w:val="auto"/>
                <w:w w:val="86"/>
              </w:rPr>
              <w:t>years)</w:t>
            </w:r>
          </w:p>
        </w:tc>
        <w:tc>
          <w:tcPr>
            <w:tcW w:w="200" w:type="dxa"/>
            <w:vAlign w:val="bottom"/>
          </w:tcPr>
          <w:p>
            <w:pPr>
              <w:spacing w:after="0"/>
              <w:rPr>
                <w:sz w:val="21"/>
                <w:szCs w:val="21"/>
                <w:color w:val="auto"/>
              </w:rPr>
            </w:pPr>
          </w:p>
        </w:tc>
        <w:tc>
          <w:tcPr>
            <w:tcW w:w="1380" w:type="dxa"/>
            <w:vAlign w:val="bottom"/>
          </w:tcPr>
          <w:p>
            <w:pPr>
              <w:jc w:val="right"/>
              <w:ind w:right="121"/>
              <w:spacing w:after="0"/>
              <w:rPr>
                <w:sz w:val="20"/>
                <w:szCs w:val="20"/>
                <w:color w:val="auto"/>
              </w:rPr>
            </w:pPr>
            <w:r>
              <w:rPr>
                <w:rFonts w:ascii="Arial" w:cs="Arial" w:eastAsia="Arial" w:hAnsi="Arial"/>
                <w:sz w:val="20"/>
                <w:szCs w:val="20"/>
                <w:color w:val="auto"/>
                <w:w w:val="90"/>
              </w:rPr>
              <w:t>Intrinsic Value</w:t>
            </w:r>
          </w:p>
        </w:tc>
      </w:tr>
      <w:tr>
        <w:trPr>
          <w:trHeight w:val="206"/>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2014</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12,973</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15.70</w:t>
            </w:r>
          </w:p>
        </w:tc>
        <w:tc>
          <w:tcPr>
            <w:tcW w:w="300" w:type="dxa"/>
            <w:vAlign w:val="bottom"/>
          </w:tcPr>
          <w:p>
            <w:pPr>
              <w:spacing w:after="0"/>
              <w:rPr>
                <w:sz w:val="17"/>
                <w:szCs w:val="17"/>
                <w:color w:val="auto"/>
              </w:rPr>
            </w:pPr>
          </w:p>
        </w:tc>
        <w:tc>
          <w:tcPr>
            <w:tcW w:w="13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3.7</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675,595</w:t>
            </w:r>
          </w:p>
        </w:tc>
      </w:tr>
      <w:tr>
        <w:trPr>
          <w:trHeight w:val="230"/>
        </w:trPr>
        <w:tc>
          <w:tcPr>
            <w:tcW w:w="20" w:type="dxa"/>
            <w:vAlign w:val="bottom"/>
          </w:tcPr>
          <w:p>
            <w:pPr>
              <w:spacing w:after="0"/>
              <w:rPr>
                <w:sz w:val="19"/>
                <w:szCs w:val="19"/>
                <w:color w:val="auto"/>
              </w:rPr>
            </w:pPr>
          </w:p>
        </w:tc>
        <w:tc>
          <w:tcPr>
            <w:tcW w:w="4860" w:type="dxa"/>
            <w:vAlign w:val="bottom"/>
            <w:gridSpan w:val="2"/>
          </w:tcPr>
          <w:p>
            <w:pPr>
              <w:ind w:left="340"/>
              <w:spacing w:after="0"/>
              <w:rPr>
                <w:sz w:val="20"/>
                <w:szCs w:val="20"/>
                <w:color w:val="auto"/>
              </w:rPr>
            </w:pPr>
            <w:r>
              <w:rPr>
                <w:rFonts w:ascii="Arial" w:cs="Arial" w:eastAsia="Arial" w:hAnsi="Arial"/>
                <w:sz w:val="20"/>
                <w:szCs w:val="20"/>
                <w:color w:val="auto"/>
              </w:rPr>
              <w:t>Granted 01/01/14 - 03/31/14</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689</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70.06</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40"/>
              <w:spacing w:after="0"/>
              <w:rPr>
                <w:sz w:val="20"/>
                <w:szCs w:val="20"/>
                <w:color w:val="auto"/>
              </w:rPr>
            </w:pPr>
            <w:r>
              <w:rPr>
                <w:rFonts w:ascii="Arial" w:cs="Arial" w:eastAsia="Arial" w:hAnsi="Arial"/>
                <w:sz w:val="20"/>
                <w:szCs w:val="20"/>
                <w:color w:val="auto"/>
              </w:rPr>
              <w:t>Granted 04/01/14 - 06/30/14</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104</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69.15</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40"/>
              <w:spacing w:after="0"/>
              <w:rPr>
                <w:sz w:val="20"/>
                <w:szCs w:val="20"/>
                <w:color w:val="auto"/>
              </w:rPr>
            </w:pPr>
            <w:r>
              <w:rPr>
                <w:rFonts w:ascii="Arial" w:cs="Arial" w:eastAsia="Arial" w:hAnsi="Arial"/>
                <w:sz w:val="20"/>
                <w:szCs w:val="20"/>
                <w:color w:val="auto"/>
              </w:rPr>
              <w:t>Granted 07/01/14 - 09/30/14</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ind w:left="340"/>
              <w:spacing w:after="0"/>
              <w:rPr>
                <w:sz w:val="20"/>
                <w:szCs w:val="20"/>
                <w:color w:val="auto"/>
              </w:rPr>
            </w:pPr>
            <w:r>
              <w:rPr>
                <w:rFonts w:ascii="Arial" w:cs="Arial" w:eastAsia="Arial" w:hAnsi="Arial"/>
                <w:sz w:val="20"/>
                <w:szCs w:val="20"/>
                <w:color w:val="auto"/>
              </w:rPr>
              <w:t>Exercised</w:t>
            </w:r>
          </w:p>
        </w:tc>
        <w:tc>
          <w:tcPr>
            <w:tcW w:w="1380" w:type="dxa"/>
            <w:vAlign w:val="bottom"/>
          </w:tcPr>
          <w:p>
            <w:pPr>
              <w:jc w:val="right"/>
              <w:spacing w:after="0"/>
              <w:rPr>
                <w:sz w:val="20"/>
                <w:szCs w:val="20"/>
                <w:color w:val="auto"/>
              </w:rPr>
            </w:pPr>
            <w:r>
              <w:rPr>
                <w:rFonts w:ascii="Arial" w:cs="Arial" w:eastAsia="Arial" w:hAnsi="Arial"/>
                <w:sz w:val="20"/>
                <w:szCs w:val="20"/>
                <w:color w:val="auto"/>
              </w:rPr>
              <w:t>(686)</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21.95</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4860" w:type="dxa"/>
            <w:vAlign w:val="bottom"/>
            <w:gridSpan w:val="2"/>
          </w:tcPr>
          <w:p>
            <w:pPr>
              <w:ind w:left="340"/>
              <w:spacing w:after="0"/>
              <w:rPr>
                <w:sz w:val="20"/>
                <w:szCs w:val="20"/>
                <w:color w:val="auto"/>
              </w:rPr>
            </w:pPr>
            <w:r>
              <w:rPr>
                <w:rFonts w:ascii="Arial" w:cs="Arial" w:eastAsia="Arial" w:hAnsi="Arial"/>
                <w:sz w:val="20"/>
                <w:szCs w:val="20"/>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45.32</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3"/>
        </w:trPr>
        <w:tc>
          <w:tcPr>
            <w:tcW w:w="488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September 30, 2014</w:t>
            </w:r>
          </w:p>
        </w:tc>
        <w:tc>
          <w:tcPr>
            <w:tcW w:w="13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12,974</w:t>
            </w:r>
          </w:p>
        </w:tc>
        <w:tc>
          <w:tcPr>
            <w:tcW w:w="54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line="213" w:lineRule="exact"/>
              <w:rPr>
                <w:sz w:val="20"/>
                <w:szCs w:val="20"/>
                <w:color w:val="auto"/>
              </w:rPr>
            </w:pPr>
            <w:r>
              <w:rPr>
                <w:rFonts w:ascii="Arial" w:cs="Arial" w:eastAsia="Arial" w:hAnsi="Arial"/>
                <w:sz w:val="20"/>
                <w:szCs w:val="20"/>
                <w:color w:val="auto"/>
              </w:rPr>
              <w:t>18.44</w:t>
            </w:r>
          </w:p>
        </w:tc>
        <w:tc>
          <w:tcPr>
            <w:tcW w:w="300" w:type="dxa"/>
            <w:vAlign w:val="bottom"/>
          </w:tcPr>
          <w:p>
            <w:pPr>
              <w:spacing w:after="0"/>
              <w:rPr>
                <w:sz w:val="18"/>
                <w:szCs w:val="18"/>
                <w:color w:val="auto"/>
              </w:rPr>
            </w:pPr>
          </w:p>
        </w:tc>
        <w:tc>
          <w:tcPr>
            <w:tcW w:w="1360" w:type="dxa"/>
            <w:vAlign w:val="bottom"/>
          </w:tcPr>
          <w:p>
            <w:pPr>
              <w:jc w:val="right"/>
              <w:ind w:right="41"/>
              <w:spacing w:after="0" w:line="213" w:lineRule="exact"/>
              <w:rPr>
                <w:sz w:val="20"/>
                <w:szCs w:val="20"/>
                <w:color w:val="auto"/>
              </w:rPr>
            </w:pPr>
            <w:r>
              <w:rPr>
                <w:rFonts w:ascii="Arial" w:cs="Arial" w:eastAsia="Arial" w:hAnsi="Arial"/>
                <w:sz w:val="20"/>
                <w:szCs w:val="20"/>
                <w:color w:val="auto"/>
              </w:rPr>
              <w:t>3.3</w:t>
            </w:r>
          </w:p>
        </w:tc>
        <w:tc>
          <w:tcPr>
            <w:tcW w:w="28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950,080</w:t>
            </w:r>
          </w:p>
        </w:tc>
      </w:tr>
      <w:tr>
        <w:trPr>
          <w:trHeight w:val="230"/>
        </w:trPr>
        <w:tc>
          <w:tcPr>
            <w:tcW w:w="4880" w:type="dxa"/>
            <w:vAlign w:val="bottom"/>
            <w:gridSpan w:val="3"/>
          </w:tcPr>
          <w:p>
            <w:pPr>
              <w:spacing w:after="0"/>
              <w:rPr>
                <w:sz w:val="20"/>
                <w:szCs w:val="20"/>
                <w:color w:val="auto"/>
              </w:rPr>
            </w:pPr>
            <w:r>
              <w:rPr>
                <w:rFonts w:ascii="Arial" w:cs="Arial" w:eastAsia="Arial" w:hAnsi="Arial"/>
                <w:sz w:val="20"/>
                <w:szCs w:val="20"/>
                <w:color w:val="auto"/>
                <w:w w:val="99"/>
              </w:rPr>
              <w:t>Vested and expected to vest in the future at September</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580" w:type="dxa"/>
            <w:vAlign w:val="bottom"/>
            <w:gridSpan w:val="2"/>
          </w:tcPr>
          <w:p>
            <w:pPr>
              <w:ind w:left="380"/>
              <w:spacing w:after="0"/>
              <w:rPr>
                <w:sz w:val="20"/>
                <w:szCs w:val="20"/>
                <w:color w:val="auto"/>
              </w:rPr>
            </w:pPr>
            <w:r>
              <w:rPr>
                <w:rFonts w:ascii="Arial" w:cs="Arial" w:eastAsia="Arial" w:hAnsi="Arial"/>
                <w:sz w:val="20"/>
                <w:szCs w:val="20"/>
                <w:color w:val="auto"/>
              </w:rPr>
              <w:t>30, 2014</w:t>
            </w:r>
          </w:p>
        </w:tc>
        <w:tc>
          <w:tcPr>
            <w:tcW w:w="300" w:type="dxa"/>
            <w:vAlign w:val="bottom"/>
          </w:tcPr>
          <w:p>
            <w:pPr>
              <w:spacing w:after="0"/>
              <w:rPr>
                <w:sz w:val="19"/>
                <w:szCs w:val="19"/>
                <w:color w:val="auto"/>
              </w:rPr>
            </w:pP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12,574</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17.22</w:t>
            </w:r>
          </w:p>
        </w:tc>
        <w:tc>
          <w:tcPr>
            <w:tcW w:w="30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3.0</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936,106</w:t>
            </w:r>
          </w:p>
        </w:tc>
      </w:tr>
      <w:tr>
        <w:trPr>
          <w:trHeight w:val="250"/>
        </w:trPr>
        <w:tc>
          <w:tcPr>
            <w:tcW w:w="4880" w:type="dxa"/>
            <w:vAlign w:val="bottom"/>
            <w:gridSpan w:val="3"/>
          </w:tcPr>
          <w:p>
            <w:pPr>
              <w:spacing w:after="0"/>
              <w:rPr>
                <w:sz w:val="20"/>
                <w:szCs w:val="20"/>
                <w:color w:val="auto"/>
              </w:rPr>
            </w:pPr>
            <w:r>
              <w:rPr>
                <w:rFonts w:ascii="Arial" w:cs="Arial" w:eastAsia="Arial" w:hAnsi="Arial"/>
                <w:sz w:val="20"/>
                <w:szCs w:val="20"/>
                <w:color w:val="auto"/>
              </w:rPr>
              <w:t>Exercisable at September 30, 2014</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10,215</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1"/>
              <w:spacing w:after="0"/>
              <w:rPr>
                <w:sz w:val="20"/>
                <w:szCs w:val="20"/>
                <w:color w:val="auto"/>
              </w:rPr>
            </w:pPr>
            <w:r>
              <w:rPr>
                <w:rFonts w:ascii="Arial" w:cs="Arial" w:eastAsia="Arial" w:hAnsi="Arial"/>
                <w:sz w:val="20"/>
                <w:szCs w:val="20"/>
                <w:color w:val="auto"/>
              </w:rPr>
              <w:t>9.90</w:t>
            </w:r>
          </w:p>
        </w:tc>
        <w:tc>
          <w:tcPr>
            <w:tcW w:w="300" w:type="dxa"/>
            <w:vAlign w:val="bottom"/>
          </w:tcPr>
          <w:p>
            <w:pPr>
              <w:spacing w:after="0"/>
              <w:rPr>
                <w:sz w:val="21"/>
                <w:szCs w:val="21"/>
                <w:color w:val="auto"/>
              </w:rPr>
            </w:pP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2.0</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835,288</w:t>
            </w:r>
          </w:p>
        </w:tc>
      </w:tr>
    </w:tbl>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option awards were granted during the three-months ended September 30, 2014 and 2013. The weighted-average grant-date fair value of options granted during the nine-months ended September 30, 2014 and 2013 was $29.33 per share and $22.44 per share, respectively. The total intrinsic value of options exercised during the three-months ended September 30, 2014 and 2013 was $25.4 million and $3.3 million, respectively. The total intrinsic value of options exercised during the nine-months ended September 30, 2014 and 2013 was $40.4 million and $87.6 million, respectively.</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Cash received from option exercises under all plans for the three-months ended September 30, 2014 and 2013 was approximately $7.3 million and $1.9 million, respectively. Cash received from option exercises under all plans for the nine-months ended September 30, 2014 and 2013 was approximately $15.0 million and $18.2 million, respectively.</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September 30, 2014, there was $46.2 million of total unrecognized compensation expense related to non-vested options granted to employees under the Company’s share-based payment plans. That cost is expected to be recognized over a weighted-average period of 2.5 years.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Weighted</w:t>
            </w:r>
          </w:p>
        </w:tc>
      </w:tr>
      <w:tr>
        <w:trPr>
          <w:trHeight w:val="216"/>
        </w:trPr>
        <w:tc>
          <w:tcPr>
            <w:tcW w:w="5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Average</w:t>
            </w:r>
          </w:p>
        </w:tc>
      </w:tr>
      <w:tr>
        <w:trPr>
          <w:trHeight w:val="216"/>
        </w:trPr>
        <w:tc>
          <w:tcPr>
            <w:tcW w:w="53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Grant-Date</w:t>
            </w:r>
          </w:p>
        </w:tc>
      </w:tr>
      <w:tr>
        <w:trPr>
          <w:trHeight w:val="230"/>
        </w:trPr>
        <w:tc>
          <w:tcPr>
            <w:tcW w:w="53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thousands)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Non-vested at January 1, 2014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88"/>
              </w:rPr>
              <w:t>49.27</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Granted 01/01/14 - 03/31/14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Granted 04/01/14 - 06/30/14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88"/>
              </w:rPr>
              <w:t>69.00</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Granted 07/01/14 - 09/30/14</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88"/>
              </w:rPr>
              <w:t>44.11</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88"/>
              </w:rPr>
              <w:t>51.15</w:t>
            </w: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Non-vested at September 30, 2014</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88"/>
              </w:rPr>
              <w:t>58.56</w:t>
            </w:r>
          </w:p>
        </w:tc>
      </w:tr>
      <w:tr>
        <w:trPr>
          <w:trHeight w:val="20"/>
        </w:trPr>
        <w:tc>
          <w:tcPr>
            <w:tcW w:w="5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 restricted stock awards or restricted stock units were granted during the three-months ended September 30, 2014 and 2013. The weighted-average grant-date fair value of restricted stock units and restricted stock awards granted during the nine-months ended September 30, 2014 and 2013 was $69.00 and $53.25 per share, respectively. As of September 30, 2014, 0.1 million of restricted stock units and restricted stock awards are expected to vest over their respective terms.</w:t>
      </w:r>
    </w:p>
    <w:p>
      <w:pPr>
        <w:spacing w:after="0" w:line="20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At September 30, 2014, total unrecognized compensation expense relating to non-vested restricted stock awards and non-vested restricted stock units was $6.5 million, which is expected to be recognized over a weighted-average period of 2.4 years.</w:t>
      </w:r>
    </w:p>
    <w:p>
      <w:pPr>
        <w:spacing w:after="0" w:line="166"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INCOME TAXES</w:t>
      </w:r>
    </w:p>
    <w:p>
      <w:pPr>
        <w:sectPr>
          <w:pgSz w:w="11900" w:h="16838" w:orient="portrait"/>
          <w:cols w:equalWidth="0" w:num="1">
            <w:col w:w="11420"/>
          </w:cols>
          <w:pgMar w:left="240" w:top="122" w:right="239" w:bottom="255" w:gutter="0" w:footer="0" w:header="0"/>
        </w:sectPr>
      </w:pPr>
    </w:p>
    <w:bookmarkStart w:id="17" w:name="page18"/>
    <w:bookmarkEnd w:id="17"/>
    <w:p>
      <w:pPr>
        <w:ind w:right="400" w:firstLine="648"/>
        <w:spacing w:after="0" w:line="262"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nine-months ended September 30, 2014:</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jc w:val="right"/>
              <w:ind w:right="224"/>
              <w:spacing w:after="0"/>
              <w:rPr>
                <w:sz w:val="20"/>
                <w:szCs w:val="20"/>
                <w:color w:val="auto"/>
              </w:rPr>
            </w:pPr>
            <w:r>
              <w:rPr>
                <w:rFonts w:ascii="Arial" w:cs="Arial" w:eastAsia="Arial" w:hAnsi="Arial"/>
                <w:sz w:val="18"/>
                <w:szCs w:val="18"/>
                <w:b w:val="1"/>
                <w:bCs w:val="1"/>
                <w:color w:val="auto"/>
                <w:w w:val="91"/>
              </w:rPr>
              <w:t>Gross Unrecognized Tax</w:t>
            </w: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Arial" w:cs="Arial" w:eastAsia="Arial" w:hAnsi="Arial"/>
                <w:sz w:val="20"/>
                <w:szCs w:val="20"/>
                <w:color w:val="auto"/>
              </w:rPr>
              <w:t>Balance at December 31, 2013</w:t>
            </w: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ind w:right="844"/>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06"/>
        </w:trPr>
        <w:tc>
          <w:tcPr>
            <w:tcW w:w="4220" w:type="dxa"/>
            <w:vAlign w:val="bottom"/>
            <w:vMerge w:val="continue"/>
          </w:tcPr>
          <w:p>
            <w:pPr>
              <w:spacing w:after="0"/>
              <w:rPr>
                <w:sz w:val="17"/>
                <w:szCs w:val="17"/>
                <w:color w:val="auto"/>
              </w:rPr>
            </w:pPr>
          </w:p>
        </w:tc>
        <w:tc>
          <w:tcPr>
            <w:tcW w:w="2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280" w:type="dxa"/>
            <w:vAlign w:val="bottom"/>
          </w:tcPr>
          <w:p>
            <w:pPr>
              <w:jc w:val="right"/>
              <w:ind w:right="24"/>
              <w:spacing w:after="0" w:line="207"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Additions for tax positions related to</w:t>
            </w: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20"/>
                <w:szCs w:val="20"/>
                <w:color w:val="auto"/>
              </w:rPr>
              <w:t>the current year</w:t>
            </w:r>
          </w:p>
        </w:tc>
        <w:tc>
          <w:tcPr>
            <w:tcW w:w="220" w:type="dxa"/>
            <w:vAlign w:val="bottom"/>
          </w:tcPr>
          <w:p>
            <w:pPr>
              <w:spacing w:after="0"/>
              <w:rPr>
                <w:sz w:val="19"/>
                <w:szCs w:val="19"/>
                <w:color w:val="auto"/>
              </w:rPr>
            </w:pPr>
          </w:p>
        </w:tc>
        <w:tc>
          <w:tcPr>
            <w:tcW w:w="2280" w:type="dxa"/>
            <w:vAlign w:val="bottom"/>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Additions for tax positions related to</w:t>
            </w: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20"/>
                <w:szCs w:val="20"/>
                <w:color w:val="auto"/>
              </w:rPr>
              <w:t>the prior year</w:t>
            </w:r>
          </w:p>
        </w:tc>
        <w:tc>
          <w:tcPr>
            <w:tcW w:w="220" w:type="dxa"/>
            <w:vAlign w:val="bottom"/>
          </w:tcPr>
          <w:p>
            <w:pPr>
              <w:spacing w:after="0"/>
              <w:rPr>
                <w:sz w:val="19"/>
                <w:szCs w:val="19"/>
                <w:color w:val="auto"/>
              </w:rPr>
            </w:pPr>
          </w:p>
        </w:tc>
        <w:tc>
          <w:tcPr>
            <w:tcW w:w="2280" w:type="dxa"/>
            <w:vAlign w:val="bottom"/>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20"/>
                <w:szCs w:val="20"/>
                <w:color w:val="auto"/>
              </w:rPr>
              <w:t>Decreases related to settlement with</w:t>
            </w:r>
          </w:p>
        </w:tc>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220" w:type="dxa"/>
            <w:vAlign w:val="bottom"/>
          </w:tcPr>
          <w:p>
            <w:pPr>
              <w:ind w:left="180"/>
              <w:spacing w:after="0"/>
              <w:rPr>
                <w:sz w:val="20"/>
                <w:szCs w:val="20"/>
                <w:color w:val="auto"/>
              </w:rPr>
            </w:pPr>
            <w:r>
              <w:rPr>
                <w:rFonts w:ascii="Arial" w:cs="Arial" w:eastAsia="Arial" w:hAnsi="Arial"/>
                <w:sz w:val="20"/>
                <w:szCs w:val="20"/>
                <w:color w:val="auto"/>
              </w:rPr>
              <w:t>taxing authority</w:t>
            </w:r>
          </w:p>
        </w:tc>
        <w:tc>
          <w:tcPr>
            <w:tcW w:w="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24"/>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220" w:type="dxa"/>
            <w:vAlign w:val="bottom"/>
          </w:tcPr>
          <w:p>
            <w:pPr>
              <w:spacing w:after="0" w:line="223" w:lineRule="exact"/>
              <w:rPr>
                <w:sz w:val="20"/>
                <w:szCs w:val="20"/>
                <w:color w:val="auto"/>
              </w:rPr>
            </w:pPr>
            <w:r>
              <w:rPr>
                <w:rFonts w:ascii="Arial" w:cs="Arial" w:eastAsia="Arial" w:hAnsi="Arial"/>
                <w:sz w:val="20"/>
                <w:szCs w:val="20"/>
                <w:color w:val="auto"/>
              </w:rPr>
              <w:t>Balance at September 30, 2014</w:t>
            </w:r>
          </w:p>
        </w:tc>
        <w:tc>
          <w:tcPr>
            <w:tcW w:w="2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tcBorders>
          </w:tcPr>
          <w:p>
            <w:pPr>
              <w:jc w:val="right"/>
              <w:ind w:right="24"/>
              <w:spacing w:after="0" w:line="223" w:lineRule="exact"/>
              <w:rPr>
                <w:sz w:val="20"/>
                <w:szCs w:val="20"/>
                <w:color w:val="auto"/>
              </w:rPr>
            </w:pPr>
            <w:r>
              <w:rPr>
                <w:rFonts w:ascii="Arial" w:cs="Arial" w:eastAsia="Arial" w:hAnsi="Arial"/>
                <w:sz w:val="20"/>
                <w:szCs w:val="20"/>
                <w:color w:val="auto"/>
              </w:rPr>
              <w:t>935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September 30, 2014,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March 8, 2013, the Internal Revenue Service (“IRS”) began its examination of the Company’s U.S. federal income tax returns for the years ended December 31, 2010 and 2011. The Company is also in various stages of examination with certain states. The 2012 and 2013 U.S. federal income tax returns are subject to IRS examination. State income tax returns are subject to examination for the 2010 through 2013 tax years.</w:t>
      </w:r>
    </w:p>
    <w:p>
      <w:pPr>
        <w:spacing w:after="0" w:line="20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280" w:type="dxa"/>
            <w:vAlign w:val="bottom"/>
            <w:gridSpan w:val="5"/>
          </w:tcPr>
          <w:p>
            <w:pPr>
              <w:jc w:val="center"/>
              <w:ind w:right="300"/>
              <w:spacing w:after="0"/>
              <w:rPr>
                <w:sz w:val="20"/>
                <w:szCs w:val="20"/>
                <w:color w:val="auto"/>
              </w:rPr>
            </w:pPr>
            <w:r>
              <w:rPr>
                <w:rFonts w:ascii="Arial" w:cs="Arial" w:eastAsia="Arial" w:hAnsi="Arial"/>
                <w:sz w:val="20"/>
                <w:szCs w:val="20"/>
                <w:color w:val="auto"/>
                <w:w w:val="90"/>
              </w:rPr>
              <w:t>Three-Months Ended</w:t>
            </w:r>
          </w:p>
        </w:tc>
        <w:tc>
          <w:tcPr>
            <w:tcW w:w="3020" w:type="dxa"/>
            <w:vAlign w:val="bottom"/>
            <w:gridSpan w:val="4"/>
          </w:tcPr>
          <w:p>
            <w:pPr>
              <w:jc w:val="center"/>
              <w:spacing w:after="0"/>
              <w:rPr>
                <w:sz w:val="20"/>
                <w:szCs w:val="20"/>
                <w:color w:val="auto"/>
              </w:rPr>
            </w:pPr>
            <w:r>
              <w:rPr>
                <w:rFonts w:ascii="Arial" w:cs="Arial" w:eastAsia="Arial" w:hAnsi="Arial"/>
                <w:sz w:val="20"/>
                <w:szCs w:val="20"/>
                <w:color w:val="auto"/>
                <w:w w:val="91"/>
              </w:rPr>
              <w:t>Nine-Months Ended</w:t>
            </w:r>
          </w:p>
        </w:tc>
        <w:tc>
          <w:tcPr>
            <w:tcW w:w="0" w:type="dxa"/>
            <w:vAlign w:val="bottom"/>
          </w:tcPr>
          <w:p>
            <w:pPr>
              <w:spacing w:after="0"/>
              <w:rPr>
                <w:sz w:val="1"/>
                <w:szCs w:val="1"/>
                <w:color w:val="auto"/>
              </w:rPr>
            </w:pPr>
          </w:p>
        </w:tc>
      </w:tr>
      <w:tr>
        <w:trPr>
          <w:trHeight w:val="246"/>
        </w:trPr>
        <w:tc>
          <w:tcPr>
            <w:tcW w:w="458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20"/>
                <w:szCs w:val="20"/>
                <w:color w:val="auto"/>
                <w:w w:val="86"/>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Borders>
              <w:bottom w:val="single" w:sz="8" w:color="auto"/>
            </w:tcBorders>
            <w:gridSpan w:val="3"/>
          </w:tcPr>
          <w:p>
            <w:pPr>
              <w:jc w:val="center"/>
              <w:ind w:left="821"/>
              <w:spacing w:after="0"/>
              <w:rPr>
                <w:sz w:val="20"/>
                <w:szCs w:val="20"/>
                <w:color w:val="auto"/>
              </w:rPr>
            </w:pPr>
            <w:r>
              <w:rPr>
                <w:rFonts w:ascii="Arial" w:cs="Arial" w:eastAsia="Arial" w:hAnsi="Arial"/>
                <w:sz w:val="20"/>
                <w:szCs w:val="20"/>
                <w:color w:val="auto"/>
                <w:w w:val="86"/>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8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36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2013</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w w:val="89"/>
              </w:rPr>
              <w:t>2013</w:t>
            </w:r>
          </w:p>
        </w:tc>
        <w:tc>
          <w:tcPr>
            <w:tcW w:w="0" w:type="dxa"/>
            <w:vAlign w:val="bottom"/>
          </w:tcPr>
          <w:p>
            <w:pPr>
              <w:spacing w:after="0"/>
              <w:rPr>
                <w:sz w:val="1"/>
                <w:szCs w:val="1"/>
                <w:color w:val="auto"/>
              </w:rPr>
            </w:pPr>
          </w:p>
        </w:tc>
      </w:tr>
      <w:tr>
        <w:trPr>
          <w:trHeight w:val="193"/>
        </w:trPr>
        <w:tc>
          <w:tcPr>
            <w:tcW w:w="458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20"/>
                <w:szCs w:val="20"/>
                <w:color w:val="auto"/>
              </w:rPr>
              <w:t>Basic</w:t>
            </w:r>
          </w:p>
        </w:tc>
        <w:tc>
          <w:tcPr>
            <w:tcW w:w="1360" w:type="dxa"/>
            <w:vAlign w:val="bottom"/>
          </w:tcPr>
          <w:p>
            <w:pPr>
              <w:jc w:val="right"/>
              <w:ind w:right="41"/>
              <w:spacing w:after="0"/>
              <w:rPr>
                <w:sz w:val="20"/>
                <w:szCs w:val="20"/>
                <w:color w:val="auto"/>
              </w:rPr>
            </w:pPr>
            <w:r>
              <w:rPr>
                <w:rFonts w:ascii="Arial" w:cs="Arial" w:eastAsia="Arial" w:hAnsi="Arial"/>
                <w:sz w:val="20"/>
                <w:szCs w:val="20"/>
                <w:color w:val="auto"/>
              </w:rPr>
              <w:t>167,346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167,457</w:t>
            </w:r>
          </w:p>
        </w:tc>
        <w:tc>
          <w:tcPr>
            <w:tcW w:w="280" w:type="dxa"/>
            <w:vAlign w:val="bottom"/>
          </w:tcPr>
          <w:p>
            <w:pPr>
              <w:spacing w:after="0"/>
              <w:rPr>
                <w:sz w:val="19"/>
                <w:szCs w:val="19"/>
                <w:color w:val="auto"/>
              </w:rPr>
            </w:pP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167,116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166,483</w:t>
            </w:r>
          </w:p>
        </w:tc>
        <w:tc>
          <w:tcPr>
            <w:tcW w:w="0" w:type="dxa"/>
            <w:vAlign w:val="bottom"/>
          </w:tcPr>
          <w:p>
            <w:pPr>
              <w:spacing w:after="0"/>
              <w:rPr>
                <w:sz w:val="1"/>
                <w:szCs w:val="1"/>
                <w:color w:val="auto"/>
              </w:rPr>
            </w:pPr>
          </w:p>
        </w:tc>
      </w:tr>
      <w:tr>
        <w:trPr>
          <w:trHeight w:val="246"/>
        </w:trPr>
        <w:tc>
          <w:tcPr>
            <w:tcW w:w="4580" w:type="dxa"/>
            <w:vAlign w:val="bottom"/>
          </w:tcPr>
          <w:p>
            <w:pPr>
              <w:ind w:left="180"/>
              <w:spacing w:after="0"/>
              <w:rPr>
                <w:sz w:val="20"/>
                <w:szCs w:val="20"/>
                <w:color w:val="auto"/>
              </w:rPr>
            </w:pPr>
            <w:r>
              <w:rPr>
                <w:rFonts w:ascii="Arial" w:cs="Arial" w:eastAsia="Arial" w:hAnsi="Arial"/>
                <w:sz w:val="20"/>
                <w:szCs w:val="20"/>
                <w:color w:val="auto"/>
              </w:rPr>
              <w:t>Dilutive securities</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6,924</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6,491</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6,900</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6,861</w:t>
            </w:r>
          </w:p>
        </w:tc>
        <w:tc>
          <w:tcPr>
            <w:tcW w:w="0" w:type="dxa"/>
            <w:vAlign w:val="bottom"/>
          </w:tcPr>
          <w:p>
            <w:pPr>
              <w:spacing w:after="0"/>
              <w:rPr>
                <w:sz w:val="1"/>
                <w:szCs w:val="1"/>
                <w:color w:val="auto"/>
              </w:rPr>
            </w:pPr>
          </w:p>
        </w:tc>
      </w:tr>
      <w:tr>
        <w:trPr>
          <w:trHeight w:val="223"/>
        </w:trPr>
        <w:tc>
          <w:tcPr>
            <w:tcW w:w="4580" w:type="dxa"/>
            <w:vAlign w:val="bottom"/>
          </w:tcPr>
          <w:p>
            <w:pPr>
              <w:ind w:left="180"/>
              <w:spacing w:after="0" w:line="223" w:lineRule="exact"/>
              <w:rPr>
                <w:sz w:val="20"/>
                <w:szCs w:val="20"/>
                <w:color w:val="auto"/>
              </w:rPr>
            </w:pPr>
            <w:r>
              <w:rPr>
                <w:rFonts w:ascii="Arial" w:cs="Arial" w:eastAsia="Arial" w:hAnsi="Arial"/>
                <w:sz w:val="20"/>
                <w:szCs w:val="20"/>
                <w:color w:val="auto"/>
              </w:rPr>
              <w:t>Diluted</w:t>
            </w:r>
          </w:p>
        </w:tc>
        <w:tc>
          <w:tcPr>
            <w:tcW w:w="1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174,270</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173,948</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174,016</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173,344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For the three-months ended September 30, 2014 and 2013, options and awards outstanding totaling 0.8 million shares and 1.5 million shares, respectively, were excluded from the calculations as their effect would have been antidilutive. For the nine-months ended September 30, 2014 and 2013, options and awards outstanding totaling 0.8 million shares and 1.2 million shares, respectively, were excluded from the calculations as their effect would have been antidilutive.</w:t>
      </w:r>
    </w:p>
    <w:p>
      <w:pPr>
        <w:spacing w:after="0" w:line="20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18" w:name="page19"/>
    <w:bookmarkEnd w:id="18"/>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11"/>
          </w:tcPr>
          <w:p>
            <w:pPr>
              <w:ind w:left="100"/>
              <w:spacing w:after="0"/>
              <w:rPr>
                <w:sz w:val="20"/>
                <w:szCs w:val="20"/>
                <w:color w:val="auto"/>
              </w:rPr>
            </w:pPr>
            <w:r>
              <w:rPr>
                <w:rFonts w:ascii="Arial" w:cs="Arial" w:eastAsia="Arial" w:hAnsi="Arial"/>
                <w:sz w:val="20"/>
                <w:szCs w:val="20"/>
                <w:color w:val="auto"/>
                <w:w w:val="91"/>
              </w:rPr>
              <w:t>Three-Months Ended September 30, 2014</w:t>
            </w: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center"/>
              <w:ind w:right="320"/>
              <w:spacing w:after="0" w:line="207" w:lineRule="exact"/>
              <w:rPr>
                <w:sz w:val="20"/>
                <w:szCs w:val="20"/>
                <w:color w:val="auto"/>
              </w:rPr>
            </w:pPr>
            <w:r>
              <w:rPr>
                <w:rFonts w:ascii="Arial" w:cs="Arial" w:eastAsia="Arial" w:hAnsi="Arial"/>
                <w:sz w:val="20"/>
                <w:szCs w:val="20"/>
                <w:color w:val="auto"/>
                <w:w w:val="89"/>
              </w:rPr>
              <w:t>Corporate and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20" w:type="dxa"/>
            <w:vAlign w:val="bottom"/>
          </w:tcPr>
          <w:p>
            <w:pPr>
              <w:spacing w:after="0"/>
              <w:rPr>
                <w:sz w:val="21"/>
                <w:szCs w:val="21"/>
                <w:color w:val="auto"/>
              </w:rPr>
            </w:pPr>
          </w:p>
        </w:tc>
        <w:tc>
          <w:tcPr>
            <w:tcW w:w="1060" w:type="dxa"/>
            <w:vAlign w:val="bottom"/>
          </w:tcPr>
          <w:p>
            <w:pPr>
              <w:jc w:val="right"/>
              <w:ind w:right="401"/>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ind w:left="40"/>
              <w:spacing w:after="0"/>
              <w:rPr>
                <w:sz w:val="20"/>
                <w:szCs w:val="20"/>
                <w:color w:val="auto"/>
              </w:rPr>
            </w:pPr>
            <w:r>
              <w:rPr>
                <w:rFonts w:ascii="Arial" w:cs="Arial" w:eastAsia="Arial" w:hAnsi="Arial"/>
                <w:sz w:val="20"/>
                <w:szCs w:val="20"/>
                <w:color w:val="auto"/>
              </w:rPr>
              <w:t>Warehouse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20"/>
                <w:szCs w:val="20"/>
                <w:color w:val="auto"/>
                <w:w w:val="88"/>
              </w:rPr>
              <w:t>Unallocated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609,938</w:t>
            </w:r>
          </w:p>
        </w:tc>
        <w:tc>
          <w:tcPr>
            <w:tcW w:w="280" w:type="dxa"/>
            <w:vAlign w:val="bottom"/>
          </w:tcPr>
          <w:p>
            <w:pPr>
              <w:spacing w:after="0"/>
              <w:rPr>
                <w:sz w:val="17"/>
                <w:szCs w:val="17"/>
                <w:color w:val="auto"/>
              </w:rPr>
            </w:pPr>
          </w:p>
        </w:tc>
        <w:tc>
          <w:tcPr>
            <w:tcW w:w="20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26,034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gridSpan w:val="2"/>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635,972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Contribution margin*</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232,666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604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233,270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(43,363)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(43,363)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Operating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189,907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Other income (expense)</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(1,269)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(1,038)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188,869</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(4,626)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(1,419)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(6,130)</w:t>
            </w:r>
          </w:p>
        </w:tc>
        <w:tc>
          <w:tcPr>
            <w:tcW w:w="0" w:type="dxa"/>
            <w:vAlign w:val="bottom"/>
          </w:tcPr>
          <w:p>
            <w:pPr>
              <w:spacing w:after="0"/>
              <w:rPr>
                <w:sz w:val="1"/>
                <w:szCs w:val="1"/>
                <w:color w:val="auto"/>
              </w:rPr>
            </w:pPr>
          </w:p>
        </w:tc>
      </w:tr>
      <w:tr>
        <w:trPr>
          <w:trHeight w:val="455"/>
        </w:trPr>
        <w:tc>
          <w:tcPr>
            <w:tcW w:w="5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1"/>
          </w:tcPr>
          <w:p>
            <w:pPr>
              <w:ind w:left="100"/>
              <w:spacing w:after="0"/>
              <w:rPr>
                <w:sz w:val="20"/>
                <w:szCs w:val="20"/>
                <w:color w:val="auto"/>
              </w:rPr>
            </w:pPr>
            <w:r>
              <w:rPr>
                <w:rFonts w:ascii="Arial" w:cs="Arial" w:eastAsia="Arial" w:hAnsi="Arial"/>
                <w:sz w:val="20"/>
                <w:szCs w:val="20"/>
                <w:color w:val="auto"/>
                <w:w w:val="91"/>
              </w:rPr>
              <w:t>Three-Months Ended September 30, 2013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4"/>
          </w:tcPr>
          <w:p>
            <w:pPr>
              <w:jc w:val="center"/>
              <w:ind w:right="280"/>
              <w:spacing w:after="0" w:line="207" w:lineRule="exact"/>
              <w:rPr>
                <w:sz w:val="20"/>
                <w:szCs w:val="20"/>
                <w:color w:val="auto"/>
              </w:rPr>
            </w:pPr>
            <w:r>
              <w:rPr>
                <w:rFonts w:ascii="Arial" w:cs="Arial" w:eastAsia="Arial" w:hAnsi="Arial"/>
                <w:sz w:val="20"/>
                <w:szCs w:val="20"/>
                <w:color w:val="auto"/>
                <w:w w:val="89"/>
              </w:rPr>
              <w:t>Corporate and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20" w:type="dxa"/>
            <w:vAlign w:val="bottom"/>
          </w:tcPr>
          <w:p>
            <w:pPr>
              <w:spacing w:after="0"/>
              <w:rPr>
                <w:sz w:val="21"/>
                <w:szCs w:val="21"/>
                <w:color w:val="auto"/>
              </w:rPr>
            </w:pPr>
          </w:p>
        </w:tc>
        <w:tc>
          <w:tcPr>
            <w:tcW w:w="1060" w:type="dxa"/>
            <w:vAlign w:val="bottom"/>
          </w:tcPr>
          <w:p>
            <w:pPr>
              <w:jc w:val="right"/>
              <w:ind w:right="401"/>
              <w:spacing w:after="0"/>
              <w:rPr>
                <w:sz w:val="20"/>
                <w:szCs w:val="20"/>
                <w:color w:val="auto"/>
              </w:rPr>
            </w:pPr>
            <w:r>
              <w:rPr>
                <w:rFonts w:ascii="Arial" w:cs="Arial" w:eastAsia="Arial" w:hAnsi="Arial"/>
                <w:sz w:val="20"/>
                <w:szCs w:val="20"/>
                <w:color w:val="auto"/>
              </w:rPr>
              <w:t>DSD</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Arial" w:cs="Arial" w:eastAsia="Arial" w:hAnsi="Arial"/>
                <w:sz w:val="20"/>
                <w:szCs w:val="20"/>
                <w:color w:val="auto"/>
              </w:rPr>
              <w:t>Warehouse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20"/>
                <w:szCs w:val="20"/>
                <w:color w:val="auto"/>
                <w:w w:val="88"/>
              </w:rPr>
              <w:t>Unallocated</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320" w:type="dxa"/>
            <w:vAlign w:val="bottom"/>
            <w:tcBorders>
              <w:top w:val="single" w:sz="8" w:color="auto"/>
            </w:tcBorders>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566,768</w:t>
            </w:r>
          </w:p>
        </w:tc>
        <w:tc>
          <w:tcPr>
            <w:tcW w:w="300" w:type="dxa"/>
            <w:vAlign w:val="bottom"/>
            <w:gridSpan w:val="2"/>
          </w:tcPr>
          <w:p>
            <w:pPr>
              <w:spacing w:after="0"/>
              <w:rPr>
                <w:sz w:val="17"/>
                <w:szCs w:val="17"/>
                <w:color w:val="auto"/>
              </w:rPr>
            </w:pPr>
          </w:p>
        </w:tc>
        <w:tc>
          <w:tcPr>
            <w:tcW w:w="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4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23,654</w:t>
            </w:r>
          </w:p>
        </w:tc>
        <w:tc>
          <w:tcPr>
            <w:tcW w:w="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590,422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Contribution margin*</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194,915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(2,193)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192,722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(41,293)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(41,293)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Operating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151,429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Other income (expense)</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(706)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150,723</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(5,069)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(961)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(6,108)</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were $43.4 million for the three-months ended September 30, 2014 and included $21.9 million of payroll costs, of which $7.4 million was attributable to stock-based compensation expense (see Note 14, “Stock-Based Compensation”), $12.7 million of professional service expenses, including accounting and legal costs and $8.8 million of other operating expenses. Corporate and unallocated expenses were $41.3 million for the three-months ended September 30, 2013 and included $19.8 million of payroll costs, of which $7.2 million was attributable to stock-based compensation expense (see Note 14, “Stock-Based Compensation”), $10.9 million attributable to professional service expenses, including accounting and legal costs, and $10.6 million attributable to other operating expenses.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28% and 29% of the Company’s net sales for the three-months ended September 30, 2014 and 2013,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$136.3 million and $121.1 million for the three-months ended September 30, 2014 and 2013,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net revenues derived from the DSD and Warehouse segments and other financial information related thereto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12"/>
          </w:tcPr>
          <w:p>
            <w:pPr>
              <w:ind w:left="160"/>
              <w:spacing w:after="0"/>
              <w:rPr>
                <w:sz w:val="20"/>
                <w:szCs w:val="20"/>
                <w:color w:val="auto"/>
              </w:rPr>
            </w:pPr>
            <w:r>
              <w:rPr>
                <w:rFonts w:ascii="Arial" w:cs="Arial" w:eastAsia="Arial" w:hAnsi="Arial"/>
                <w:sz w:val="20"/>
                <w:szCs w:val="20"/>
                <w:color w:val="auto"/>
                <w:w w:val="92"/>
              </w:rPr>
              <w:t>Nine-Months Ended September 30, 2014</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5"/>
          </w:tcPr>
          <w:p>
            <w:pPr>
              <w:jc w:val="center"/>
              <w:ind w:right="280"/>
              <w:spacing w:after="0" w:line="207" w:lineRule="exact"/>
              <w:rPr>
                <w:sz w:val="20"/>
                <w:szCs w:val="20"/>
                <w:color w:val="auto"/>
              </w:rPr>
            </w:pPr>
            <w:r>
              <w:rPr>
                <w:rFonts w:ascii="Arial" w:cs="Arial" w:eastAsia="Arial" w:hAnsi="Arial"/>
                <w:sz w:val="20"/>
                <w:szCs w:val="20"/>
                <w:color w:val="auto"/>
                <w:w w:val="87"/>
              </w:rPr>
              <w:t>Corporate and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80" w:type="dxa"/>
            <w:vAlign w:val="bottom"/>
          </w:tcPr>
          <w:p>
            <w:pPr>
              <w:spacing w:after="0"/>
              <w:rPr>
                <w:sz w:val="21"/>
                <w:szCs w:val="21"/>
                <w:color w:val="auto"/>
              </w:rPr>
            </w:pP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ind w:left="60"/>
              <w:spacing w:after="0"/>
              <w:rPr>
                <w:sz w:val="20"/>
                <w:szCs w:val="20"/>
                <w:color w:val="auto"/>
              </w:rPr>
            </w:pPr>
            <w:r>
              <w:rPr>
                <w:rFonts w:ascii="Arial" w:cs="Arial" w:eastAsia="Arial" w:hAnsi="Arial"/>
                <w:sz w:val="20"/>
                <w:szCs w:val="20"/>
                <w:color w:val="auto"/>
              </w:rPr>
              <w:t>Warehouse</w:t>
            </w:r>
          </w:p>
        </w:tc>
        <w:tc>
          <w:tcPr>
            <w:tcW w:w="160" w:type="dxa"/>
            <w:vAlign w:val="bottom"/>
          </w:tcPr>
          <w:p>
            <w:pPr>
              <w:spacing w:after="0"/>
              <w:rPr>
                <w:sz w:val="21"/>
                <w:szCs w:val="21"/>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20"/>
                <w:szCs w:val="20"/>
                <w:color w:val="auto"/>
                <w:w w:val="90"/>
              </w:rPr>
              <w:t>Unallocated</w:t>
            </w:r>
          </w:p>
        </w:tc>
        <w:tc>
          <w:tcPr>
            <w:tcW w:w="300" w:type="dxa"/>
            <w:vAlign w:val="bottom"/>
          </w:tcPr>
          <w:p>
            <w:pPr>
              <w:spacing w:after="0"/>
              <w:rPr>
                <w:sz w:val="21"/>
                <w:szCs w:val="21"/>
                <w:color w:val="auto"/>
              </w:rPr>
            </w:pPr>
          </w:p>
        </w:tc>
        <w:tc>
          <w:tcPr>
            <w:tcW w:w="1080" w:type="dxa"/>
            <w:vAlign w:val="bottom"/>
          </w:tcPr>
          <w:p>
            <w:pPr>
              <w:jc w:val="right"/>
              <w:ind w:right="3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2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1,784,398</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74,903</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1,859,301</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Contribution margin*</w:t>
            </w: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675,281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2,221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677,502</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(122,918)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(122,918)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Operating income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554,584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Other income (expense)</w:t>
            </w: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529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(707)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553,877</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(14,588)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(248)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(4,288)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(19,124)</w:t>
            </w:r>
          </w:p>
        </w:tc>
        <w:tc>
          <w:tcPr>
            <w:tcW w:w="0" w:type="dxa"/>
            <w:vAlign w:val="bottom"/>
          </w:tcPr>
          <w:p>
            <w:pPr>
              <w:spacing w:after="0"/>
              <w:rPr>
                <w:sz w:val="1"/>
                <w:szCs w:val="1"/>
                <w:color w:val="auto"/>
              </w:rPr>
            </w:pPr>
          </w:p>
        </w:tc>
      </w:tr>
      <w:tr>
        <w:trPr>
          <w:trHeight w:val="455"/>
        </w:trPr>
        <w:tc>
          <w:tcPr>
            <w:tcW w:w="5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2"/>
          </w:tcPr>
          <w:p>
            <w:pPr>
              <w:ind w:left="160"/>
              <w:spacing w:after="0"/>
              <w:rPr>
                <w:sz w:val="20"/>
                <w:szCs w:val="20"/>
                <w:color w:val="auto"/>
              </w:rPr>
            </w:pPr>
            <w:r>
              <w:rPr>
                <w:rFonts w:ascii="Arial" w:cs="Arial" w:eastAsia="Arial" w:hAnsi="Arial"/>
                <w:sz w:val="20"/>
                <w:szCs w:val="20"/>
                <w:color w:val="auto"/>
                <w:w w:val="92"/>
              </w:rPr>
              <w:t>Nine-Months Ended September 30, 2013</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5"/>
          </w:tcPr>
          <w:p>
            <w:pPr>
              <w:jc w:val="center"/>
              <w:ind w:right="320"/>
              <w:spacing w:after="0" w:line="207" w:lineRule="exact"/>
              <w:rPr>
                <w:sz w:val="20"/>
                <w:szCs w:val="20"/>
                <w:color w:val="auto"/>
              </w:rPr>
            </w:pPr>
            <w:r>
              <w:rPr>
                <w:rFonts w:ascii="Arial" w:cs="Arial" w:eastAsia="Arial" w:hAnsi="Arial"/>
                <w:sz w:val="20"/>
                <w:szCs w:val="20"/>
                <w:color w:val="auto"/>
                <w:w w:val="87"/>
              </w:rPr>
              <w:t>Corporate and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2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280" w:type="dxa"/>
            <w:vAlign w:val="bottom"/>
          </w:tcPr>
          <w:p>
            <w:pPr>
              <w:spacing w:after="0"/>
              <w:rPr>
                <w:sz w:val="21"/>
                <w:szCs w:val="21"/>
                <w:color w:val="auto"/>
              </w:rPr>
            </w:pPr>
          </w:p>
        </w:tc>
        <w:tc>
          <w:tcPr>
            <w:tcW w:w="1080" w:type="dxa"/>
            <w:vAlign w:val="bottom"/>
            <w:gridSpan w:val="2"/>
          </w:tcPr>
          <w:p>
            <w:pPr>
              <w:ind w:left="20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4"/>
          </w:tcPr>
          <w:p>
            <w:pPr>
              <w:ind w:left="40"/>
              <w:spacing w:after="0"/>
              <w:rPr>
                <w:sz w:val="20"/>
                <w:szCs w:val="20"/>
                <w:color w:val="auto"/>
              </w:rPr>
            </w:pPr>
            <w:r>
              <w:rPr>
                <w:rFonts w:ascii="Arial" w:cs="Arial" w:eastAsia="Arial" w:hAnsi="Arial"/>
                <w:sz w:val="20"/>
                <w:szCs w:val="20"/>
                <w:color w:val="auto"/>
              </w:rPr>
              <w:t>Warehouse</w:t>
            </w:r>
          </w:p>
        </w:tc>
        <w:tc>
          <w:tcPr>
            <w:tcW w:w="160" w:type="dxa"/>
            <w:vAlign w:val="bottom"/>
          </w:tcPr>
          <w:p>
            <w:pPr>
              <w:spacing w:after="0"/>
              <w:rPr>
                <w:sz w:val="21"/>
                <w:szCs w:val="21"/>
                <w:color w:val="auto"/>
              </w:rPr>
            </w:pPr>
          </w:p>
        </w:tc>
        <w:tc>
          <w:tcPr>
            <w:tcW w:w="1480" w:type="dxa"/>
            <w:vAlign w:val="bottom"/>
            <w:gridSpan w:val="4"/>
          </w:tcPr>
          <w:p>
            <w:pPr>
              <w:jc w:val="center"/>
              <w:ind w:right="480"/>
              <w:spacing w:after="0"/>
              <w:rPr>
                <w:sz w:val="20"/>
                <w:szCs w:val="20"/>
                <w:color w:val="auto"/>
              </w:rPr>
            </w:pPr>
            <w:r>
              <w:rPr>
                <w:rFonts w:ascii="Arial" w:cs="Arial" w:eastAsia="Arial" w:hAnsi="Arial"/>
                <w:sz w:val="20"/>
                <w:szCs w:val="20"/>
                <w:color w:val="auto"/>
                <w:w w:val="90"/>
              </w:rPr>
              <w:t>Unallocated</w:t>
            </w:r>
          </w:p>
        </w:tc>
        <w:tc>
          <w:tcPr>
            <w:tcW w:w="300" w:type="dxa"/>
            <w:vAlign w:val="bottom"/>
          </w:tcPr>
          <w:p>
            <w:pPr>
              <w:spacing w:after="0"/>
              <w:rPr>
                <w:sz w:val="21"/>
                <w:szCs w:val="21"/>
                <w:color w:val="auto"/>
              </w:rPr>
            </w:pPr>
          </w:p>
        </w:tc>
        <w:tc>
          <w:tcPr>
            <w:tcW w:w="1080" w:type="dxa"/>
            <w:vAlign w:val="bottom"/>
          </w:tcPr>
          <w:p>
            <w:pPr>
              <w:jc w:val="right"/>
              <w:ind w:right="40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2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1,627,936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gridSpan w:val="2"/>
          </w:tcPr>
          <w:p>
            <w:pPr>
              <w:jc w:val="right"/>
              <w:spacing w:after="0" w:line="207"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77,643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89"/>
              </w:rPr>
              <w:t>$</w:t>
            </w:r>
          </w:p>
        </w:tc>
        <w:tc>
          <w:tcPr>
            <w:tcW w:w="11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1,705,579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Contribution margin*</w:t>
            </w:r>
          </w:p>
        </w:tc>
        <w:tc>
          <w:tcPr>
            <w:tcW w:w="28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548,906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548,224</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20"/>
                <w:szCs w:val="20"/>
                <w:color w:val="auto"/>
              </w:rPr>
              <w:t>Corporate and unallocated expenses</w:t>
            </w:r>
          </w:p>
        </w:tc>
        <w:tc>
          <w:tcPr>
            <w:tcW w:w="280" w:type="dxa"/>
            <w:vAlign w:val="bottom"/>
          </w:tcPr>
          <w:p>
            <w:pPr>
              <w:spacing w:after="0"/>
              <w:rPr>
                <w:sz w:val="21"/>
                <w:szCs w:val="21"/>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(110,064)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(110,064)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19" w:name="page20"/>
    <w:bookmarkEnd w:id="19"/>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20" w:type="dxa"/>
            <w:vAlign w:val="bottom"/>
          </w:tcPr>
          <w:p>
            <w:pPr>
              <w:spacing w:after="0"/>
              <w:rPr>
                <w:sz w:val="20"/>
                <w:szCs w:val="20"/>
                <w:color w:val="auto"/>
              </w:rPr>
            </w:pPr>
            <w:r>
              <w:rPr>
                <w:rFonts w:ascii="Arial" w:cs="Arial" w:eastAsia="Arial" w:hAnsi="Arial"/>
                <w:sz w:val="20"/>
                <w:szCs w:val="20"/>
                <w:color w:val="auto"/>
              </w:rPr>
              <w:t>Operating income</w:t>
            </w:r>
          </w:p>
        </w:tc>
        <w:tc>
          <w:tcPr>
            <w:tcW w:w="2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438,160</w:t>
            </w:r>
          </w:p>
        </w:tc>
      </w:t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Other income (expense)</w:t>
            </w:r>
          </w:p>
        </w:tc>
        <w:tc>
          <w:tcPr>
            <w:tcW w:w="2480" w:type="dxa"/>
            <w:vAlign w:val="bottom"/>
          </w:tcPr>
          <w:p>
            <w:pPr>
              <w:jc w:val="right"/>
              <w:ind w:right="561"/>
              <w:spacing w:after="0"/>
              <w:rPr>
                <w:sz w:val="20"/>
                <w:szCs w:val="20"/>
                <w:color w:val="auto"/>
              </w:rPr>
            </w:pPr>
            <w:r>
              <w:rPr>
                <w:rFonts w:ascii="Arial" w:cs="Arial" w:eastAsia="Arial" w:hAnsi="Arial"/>
                <w:sz w:val="20"/>
                <w:szCs w:val="20"/>
                <w:color w:val="auto"/>
              </w:rPr>
              <w:t>468</w:t>
            </w:r>
          </w:p>
        </w:tc>
        <w:tc>
          <w:tcPr>
            <w:tcW w:w="1560" w:type="dxa"/>
            <w:vAlign w:val="bottom"/>
          </w:tcPr>
          <w:p>
            <w:pPr>
              <w:jc w:val="right"/>
              <w:ind w:right="421"/>
              <w:spacing w:after="0"/>
              <w:rPr>
                <w:sz w:val="20"/>
                <w:szCs w:val="20"/>
                <w:color w:val="auto"/>
              </w:rPr>
            </w:pPr>
            <w:r>
              <w:rPr>
                <w:rFonts w:ascii="Arial" w:cs="Arial" w:eastAsia="Arial" w:hAnsi="Arial"/>
                <w:sz w:val="20"/>
                <w:szCs w:val="20"/>
                <w:color w:val="auto"/>
              </w:rPr>
              <w:t>(1)</w:t>
            </w:r>
          </w:p>
        </w:tc>
        <w:tc>
          <w:tcPr>
            <w:tcW w:w="1600" w:type="dxa"/>
            <w:vAlign w:val="bottom"/>
          </w:tcPr>
          <w:p>
            <w:pPr>
              <w:jc w:val="right"/>
              <w:ind w:right="381"/>
              <w:spacing w:after="0"/>
              <w:rPr>
                <w:sz w:val="20"/>
                <w:szCs w:val="20"/>
                <w:color w:val="auto"/>
              </w:rPr>
            </w:pPr>
            <w:r>
              <w:rPr>
                <w:rFonts w:ascii="Arial" w:cs="Arial" w:eastAsia="Arial" w:hAnsi="Arial"/>
                <w:sz w:val="20"/>
                <w:szCs w:val="20"/>
                <w:color w:val="auto"/>
              </w:rPr>
              <w:t>(6,476)</w:t>
            </w:r>
          </w:p>
        </w:tc>
        <w:tc>
          <w:tcPr>
            <w:tcW w:w="1200" w:type="dxa"/>
            <w:vAlign w:val="bottom"/>
          </w:tcPr>
          <w:p>
            <w:pPr>
              <w:jc w:val="right"/>
              <w:spacing w:after="0"/>
              <w:rPr>
                <w:sz w:val="20"/>
                <w:szCs w:val="20"/>
                <w:color w:val="auto"/>
              </w:rPr>
            </w:pPr>
            <w:r>
              <w:rPr>
                <w:rFonts w:ascii="Arial" w:cs="Arial" w:eastAsia="Arial" w:hAnsi="Arial"/>
                <w:sz w:val="20"/>
                <w:szCs w:val="20"/>
                <w:color w:val="auto"/>
              </w:rPr>
              <w:t>(6,009)</w:t>
            </w:r>
          </w:p>
        </w:tc>
      </w:tr>
      <w:tr>
        <w:trPr>
          <w:trHeight w:val="230"/>
        </w:trPr>
        <w:tc>
          <w:tcPr>
            <w:tcW w:w="452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2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432,151</w:t>
            </w:r>
          </w:p>
        </w:tc>
      </w:tr>
      <w:tr>
        <w:trPr>
          <w:trHeight w:val="250"/>
        </w:trPr>
        <w:tc>
          <w:tcPr>
            <w:tcW w:w="4520" w:type="dxa"/>
            <w:vAlign w:val="bottom"/>
          </w:tcPr>
          <w:p>
            <w:pPr>
              <w:spacing w:after="0"/>
              <w:rPr>
                <w:sz w:val="20"/>
                <w:szCs w:val="20"/>
                <w:color w:val="auto"/>
              </w:rPr>
            </w:pPr>
            <w:r>
              <w:rPr>
                <w:rFonts w:ascii="Arial" w:cs="Arial" w:eastAsia="Arial" w:hAnsi="Arial"/>
                <w:sz w:val="20"/>
                <w:szCs w:val="20"/>
                <w:color w:val="auto"/>
              </w:rPr>
              <w:t>Depreciation and amortization</w:t>
            </w:r>
          </w:p>
        </w:tc>
        <w:tc>
          <w:tcPr>
            <w:tcW w:w="2480" w:type="dxa"/>
            <w:vAlign w:val="bottom"/>
          </w:tcPr>
          <w:p>
            <w:pPr>
              <w:jc w:val="right"/>
              <w:ind w:right="501"/>
              <w:spacing w:after="0"/>
              <w:rPr>
                <w:sz w:val="20"/>
                <w:szCs w:val="20"/>
                <w:color w:val="auto"/>
              </w:rPr>
            </w:pPr>
            <w:r>
              <w:rPr>
                <w:rFonts w:ascii="Arial" w:cs="Arial" w:eastAsia="Arial" w:hAnsi="Arial"/>
                <w:sz w:val="20"/>
                <w:szCs w:val="20"/>
                <w:color w:val="auto"/>
              </w:rPr>
              <w:t>(14,091)</w:t>
            </w:r>
          </w:p>
        </w:tc>
        <w:tc>
          <w:tcPr>
            <w:tcW w:w="1560" w:type="dxa"/>
            <w:vAlign w:val="bottom"/>
          </w:tcPr>
          <w:p>
            <w:pPr>
              <w:jc w:val="right"/>
              <w:ind w:right="421"/>
              <w:spacing w:after="0"/>
              <w:rPr>
                <w:sz w:val="20"/>
                <w:szCs w:val="20"/>
                <w:color w:val="auto"/>
              </w:rPr>
            </w:pPr>
            <w:r>
              <w:rPr>
                <w:rFonts w:ascii="Arial" w:cs="Arial" w:eastAsia="Arial" w:hAnsi="Arial"/>
                <w:sz w:val="20"/>
                <w:szCs w:val="20"/>
                <w:color w:val="auto"/>
              </w:rPr>
              <w:t>(201)</w:t>
            </w:r>
          </w:p>
        </w:tc>
        <w:tc>
          <w:tcPr>
            <w:tcW w:w="1600" w:type="dxa"/>
            <w:vAlign w:val="bottom"/>
          </w:tcPr>
          <w:p>
            <w:pPr>
              <w:jc w:val="right"/>
              <w:ind w:right="381"/>
              <w:spacing w:after="0"/>
              <w:rPr>
                <w:sz w:val="20"/>
                <w:szCs w:val="20"/>
                <w:color w:val="auto"/>
              </w:rPr>
            </w:pPr>
            <w:r>
              <w:rPr>
                <w:rFonts w:ascii="Arial" w:cs="Arial" w:eastAsia="Arial" w:hAnsi="Arial"/>
                <w:sz w:val="20"/>
                <w:szCs w:val="20"/>
                <w:color w:val="auto"/>
              </w:rPr>
              <w:t>(2,152)</w:t>
            </w:r>
          </w:p>
        </w:tc>
        <w:tc>
          <w:tcPr>
            <w:tcW w:w="1200" w:type="dxa"/>
            <w:vAlign w:val="bottom"/>
          </w:tcPr>
          <w:p>
            <w:pPr>
              <w:jc w:val="right"/>
              <w:spacing w:after="0"/>
              <w:rPr>
                <w:sz w:val="20"/>
                <w:szCs w:val="20"/>
                <w:color w:val="auto"/>
              </w:rPr>
            </w:pPr>
            <w:r>
              <w:rPr>
                <w:rFonts w:ascii="Arial" w:cs="Arial" w:eastAsia="Arial" w:hAnsi="Arial"/>
                <w:sz w:val="20"/>
                <w:szCs w:val="20"/>
                <w:color w:val="auto"/>
              </w:rPr>
              <w:t>(16,444)</w:t>
            </w:r>
          </w:p>
        </w:tc>
      </w:tr>
    </w:tbl>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*Contribution margin is defined as gross profit less certain operating expenses deemed by management to be directly attributable to the respective reportable segment. Contribution margin is used by management as a key indicator of reportable segment profitability.</w:t>
      </w:r>
    </w:p>
    <w:p>
      <w:pPr>
        <w:spacing w:after="0" w:line="17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Revenue is derived from sales to external customers. Operating expenses that pertain to each segment are allocated to the appropriate segment.</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Corporate and unallocated expenses were $122.9 million for the nine-months ended September 30, 2014 and included $64.6 million of payroll costs, of which $22.5 million was attributable to stock-based compensation expense (see Note 14, “Stock-Based Compensation”), $33.9 million of professional service expenses, including accounting and legal costs and $24.4 million of other operating expenses. Corporate and unallocated expenses were $110.1 million for the nine-months ended September 30, 2013 and included $60.6 million of payroll costs, of which $21.6 million was attributable to stock-based compensation expense (see Note 14, “Stock-Based Compensation”), $27.9 million attributable to professional service expenses, including accounting and legal costs, and $21.6 million attributable to other operating expenses.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Refreshments USA Inc. (“CCR”), a customer of the DSD segment, accounted for approximately 29% of the Company’s net sales for both the nine-months ended September 30, 2014 and 2013.</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customers outside the United States amounted to $400.4 million and $354.9 million for the nine-months ended September 30, 2014 and 2013, respectively.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Company’s net sales by product line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80" w:type="dxa"/>
            <w:vAlign w:val="bottom"/>
            <w:gridSpan w:val="5"/>
          </w:tcPr>
          <w:p>
            <w:pPr>
              <w:ind w:left="340"/>
              <w:spacing w:after="0"/>
              <w:rPr>
                <w:sz w:val="20"/>
                <w:szCs w:val="20"/>
                <w:color w:val="auto"/>
              </w:rPr>
            </w:pPr>
            <w:r>
              <w:rPr>
                <w:rFonts w:ascii="Arial" w:cs="Arial" w:eastAsia="Arial" w:hAnsi="Arial"/>
                <w:sz w:val="20"/>
                <w:szCs w:val="20"/>
                <w:color w:val="auto"/>
              </w:rPr>
              <w:t>Three-Months Ended</w:t>
            </w:r>
          </w:p>
        </w:tc>
        <w:tc>
          <w:tcPr>
            <w:tcW w:w="300" w:type="dxa"/>
            <w:vAlign w:val="bottom"/>
          </w:tcPr>
          <w:p>
            <w:pPr>
              <w:spacing w:after="0"/>
              <w:rPr>
                <w:sz w:val="19"/>
                <w:szCs w:val="19"/>
                <w:color w:val="auto"/>
              </w:rPr>
            </w:pPr>
          </w:p>
        </w:tc>
        <w:tc>
          <w:tcPr>
            <w:tcW w:w="2700" w:type="dxa"/>
            <w:vAlign w:val="bottom"/>
            <w:gridSpan w:val="4"/>
          </w:tcPr>
          <w:p>
            <w:pPr>
              <w:jc w:val="right"/>
              <w:ind w:right="601"/>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5120" w:type="dxa"/>
            <w:vAlign w:val="bottom"/>
            <w:gridSpan w:val="4"/>
            <w:vMerge w:val="restart"/>
          </w:tcPr>
          <w:p>
            <w:pPr>
              <w:spacing w:after="0"/>
              <w:rPr>
                <w:sz w:val="20"/>
                <w:szCs w:val="20"/>
                <w:color w:val="auto"/>
              </w:rPr>
            </w:pPr>
            <w:r>
              <w:rPr>
                <w:rFonts w:ascii="Arial" w:cs="Arial" w:eastAsia="Arial" w:hAnsi="Arial"/>
                <w:sz w:val="20"/>
                <w:szCs w:val="20"/>
                <w:color w:val="auto"/>
              </w:rPr>
              <w:t>Product Line</w:t>
            </w: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gridSpan w:val="4"/>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0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81"/>
              <w:spacing w:after="0" w:line="223" w:lineRule="exact"/>
              <w:rPr>
                <w:sz w:val="20"/>
                <w:szCs w:val="20"/>
                <w:color w:val="auto"/>
              </w:rPr>
            </w:pPr>
            <w:r>
              <w:rPr>
                <w:rFonts w:ascii="Arial" w:cs="Arial" w:eastAsia="Arial" w:hAnsi="Arial"/>
                <w:sz w:val="20"/>
                <w:szCs w:val="20"/>
                <w:color w:val="auto"/>
                <w:w w:val="89"/>
              </w:rPr>
              <w:t>2013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381"/>
              <w:spacing w:after="0" w:line="223" w:lineRule="exact"/>
              <w:rPr>
                <w:sz w:val="20"/>
                <w:szCs w:val="20"/>
                <w:color w:val="auto"/>
              </w:rPr>
            </w:pPr>
            <w:r>
              <w:rPr>
                <w:rFonts w:ascii="Arial" w:cs="Arial" w:eastAsia="Arial" w:hAnsi="Arial"/>
                <w:sz w:val="20"/>
                <w:szCs w:val="20"/>
                <w:color w:val="auto"/>
                <w:w w:val="94"/>
              </w:rPr>
              <w:t>2013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Energy drinks</w:t>
            </w:r>
          </w:p>
        </w:tc>
        <w:tc>
          <w:tcPr>
            <w:tcW w:w="300" w:type="dxa"/>
            <w:vAlign w:val="bottom"/>
          </w:tcPr>
          <w:p>
            <w:pPr>
              <w:spacing w:after="0"/>
              <w:rPr>
                <w:sz w:val="21"/>
                <w:szCs w:val="21"/>
                <w:color w:val="auto"/>
              </w:rPr>
            </w:pPr>
          </w:p>
        </w:tc>
        <w:tc>
          <w:tcPr>
            <w:tcW w:w="320" w:type="dxa"/>
            <w:vAlign w:val="bottom"/>
            <w:tcBorders>
              <w:top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591,358</w:t>
            </w:r>
          </w:p>
        </w:tc>
        <w:tc>
          <w:tcPr>
            <w:tcW w:w="280" w:type="dxa"/>
            <w:vAlign w:val="bottom"/>
          </w:tcPr>
          <w:p>
            <w:pPr>
              <w:spacing w:after="0"/>
              <w:rPr>
                <w:sz w:val="21"/>
                <w:szCs w:val="21"/>
                <w:color w:val="auto"/>
              </w:rPr>
            </w:pPr>
          </w:p>
        </w:tc>
        <w:tc>
          <w:tcPr>
            <w:tcW w:w="460" w:type="dxa"/>
            <w:vAlign w:val="bottom"/>
            <w:tcBorders>
              <w:top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548,109</w:t>
            </w:r>
          </w:p>
        </w:tc>
        <w:tc>
          <w:tcPr>
            <w:tcW w:w="280" w:type="dxa"/>
            <w:vAlign w:val="bottom"/>
          </w:tcPr>
          <w:p>
            <w:pPr>
              <w:spacing w:after="0"/>
              <w:rPr>
                <w:sz w:val="21"/>
                <w:szCs w:val="21"/>
                <w:color w:val="auto"/>
              </w:rPr>
            </w:pPr>
          </w:p>
        </w:tc>
        <w:tc>
          <w:tcPr>
            <w:tcW w:w="300" w:type="dxa"/>
            <w:vAlign w:val="bottom"/>
            <w:tcBorders>
              <w:top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1,730,602</w:t>
            </w:r>
          </w:p>
        </w:tc>
        <w:tc>
          <w:tcPr>
            <w:tcW w:w="280" w:type="dxa"/>
            <w:vAlign w:val="bottom"/>
          </w:tcPr>
          <w:p>
            <w:pPr>
              <w:spacing w:after="0"/>
              <w:rPr>
                <w:sz w:val="21"/>
                <w:szCs w:val="21"/>
                <w:color w:val="auto"/>
              </w:rPr>
            </w:pPr>
          </w:p>
        </w:tc>
        <w:tc>
          <w:tcPr>
            <w:tcW w:w="44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w w:val="87"/>
              </w:rPr>
              <w:t>1,577,034</w:t>
            </w:r>
          </w:p>
        </w:tc>
        <w:tc>
          <w:tcPr>
            <w:tcW w:w="0" w:type="dxa"/>
            <w:vAlign w:val="bottom"/>
          </w:tcPr>
          <w:p>
            <w:pPr>
              <w:spacing w:after="0"/>
              <w:rPr>
                <w:sz w:val="1"/>
                <w:szCs w:val="1"/>
                <w:color w:val="auto"/>
              </w:rPr>
            </w:pPr>
          </w:p>
        </w:tc>
      </w:tr>
      <w:tr>
        <w:trPr>
          <w:trHeight w:val="273"/>
        </w:trPr>
        <w:tc>
          <w:tcPr>
            <w:tcW w:w="5120" w:type="dxa"/>
            <w:vAlign w:val="bottom"/>
            <w:gridSpan w:val="4"/>
          </w:tcPr>
          <w:p>
            <w:pPr>
              <w:spacing w:after="0"/>
              <w:rPr>
                <w:sz w:val="20"/>
                <w:szCs w:val="20"/>
                <w:color w:val="auto"/>
              </w:rPr>
            </w:pPr>
            <w:r>
              <w:rPr>
                <w:rFonts w:ascii="Arial" w:cs="Arial" w:eastAsia="Arial" w:hAnsi="Arial"/>
                <w:sz w:val="20"/>
                <w:szCs w:val="20"/>
                <w:color w:val="auto"/>
                <w:w w:val="94"/>
              </w:rPr>
              <w:t>Non-carbonated (primarily juice based beverages and Peace</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160"/>
              <w:spacing w:after="0"/>
              <w:rPr>
                <w:sz w:val="20"/>
                <w:szCs w:val="20"/>
                <w:color w:val="auto"/>
              </w:rPr>
            </w:pPr>
            <w:r>
              <w:rPr>
                <w:rFonts w:ascii="Arial" w:cs="Arial" w:eastAsia="Arial" w:hAnsi="Arial"/>
                <w:sz w:val="20"/>
                <w:szCs w:val="20"/>
                <w:color w:val="auto"/>
              </w:rPr>
              <w:t>Tea® iced teas)</w:t>
            </w: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33,626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30,622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94,698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94,760</w:t>
            </w:r>
          </w:p>
        </w:tc>
        <w:tc>
          <w:tcPr>
            <w:tcW w:w="0" w:type="dxa"/>
            <w:vAlign w:val="bottom"/>
          </w:tcPr>
          <w:p>
            <w:pPr>
              <w:spacing w:after="0"/>
              <w:rPr>
                <w:sz w:val="1"/>
                <w:szCs w:val="1"/>
                <w:color w:val="auto"/>
              </w:rPr>
            </w:pPr>
          </w:p>
        </w:tc>
      </w:tr>
      <w:tr>
        <w:trPr>
          <w:trHeight w:val="230"/>
        </w:trPr>
        <w:tc>
          <w:tcPr>
            <w:tcW w:w="5120" w:type="dxa"/>
            <w:vAlign w:val="bottom"/>
            <w:gridSpan w:val="4"/>
          </w:tcPr>
          <w:p>
            <w:pPr>
              <w:spacing w:after="0"/>
              <w:rPr>
                <w:sz w:val="20"/>
                <w:szCs w:val="20"/>
                <w:color w:val="auto"/>
              </w:rPr>
            </w:pPr>
            <w:r>
              <w:rPr>
                <w:rFonts w:ascii="Arial" w:cs="Arial" w:eastAsia="Arial" w:hAnsi="Arial"/>
                <w:sz w:val="20"/>
                <w:szCs w:val="20"/>
                <w:color w:val="auto"/>
              </w:rPr>
              <w:t>Carbonated (primarily soda beverages)</w:t>
            </w:r>
          </w:p>
        </w:tc>
        <w:tc>
          <w:tcPr>
            <w:tcW w:w="32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7,216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8,067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22,756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22,732</w:t>
            </w:r>
          </w:p>
        </w:tc>
        <w:tc>
          <w:tcPr>
            <w:tcW w:w="0" w:type="dxa"/>
            <w:vAlign w:val="bottom"/>
          </w:tcPr>
          <w:p>
            <w:pPr>
              <w:spacing w:after="0"/>
              <w:rPr>
                <w:sz w:val="1"/>
                <w:szCs w:val="1"/>
                <w:color w:val="auto"/>
              </w:rPr>
            </w:pPr>
          </w:p>
        </w:tc>
      </w:tr>
      <w:tr>
        <w:trPr>
          <w:trHeight w:val="246"/>
        </w:trPr>
        <w:tc>
          <w:tcPr>
            <w:tcW w:w="540" w:type="dxa"/>
            <w:vAlign w:val="bottom"/>
            <w:gridSpan w:val="2"/>
          </w:tcPr>
          <w:p>
            <w:pPr>
              <w:spacing w:after="0"/>
              <w:rPr>
                <w:sz w:val="20"/>
                <w:szCs w:val="20"/>
                <w:color w:val="auto"/>
              </w:rPr>
            </w:pPr>
            <w:r>
              <w:rPr>
                <w:rFonts w:ascii="Arial" w:cs="Arial" w:eastAsia="Arial" w:hAnsi="Arial"/>
                <w:sz w:val="20"/>
                <w:szCs w:val="20"/>
                <w:color w:val="auto"/>
              </w:rPr>
              <w:t>Other</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3,772</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3,624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11,245</w:t>
            </w: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635,972</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590,422</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1,859,301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w w:val="87"/>
              </w:rPr>
              <w:t>1,705,579</w:t>
            </w: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Arial" w:cs="Arial" w:eastAsia="Arial" w:hAnsi="Arial"/>
                <w:sz w:val="20"/>
                <w:szCs w:val="20"/>
                <w:color w:val="auto"/>
              </w:rPr>
              <w:t>18.</w:t>
            </w:r>
          </w:p>
        </w:tc>
        <w:tc>
          <w:tcPr>
            <w:tcW w:w="4580" w:type="dxa"/>
            <w:vAlign w:val="bottom"/>
            <w:gridSpan w:val="2"/>
            <w:vMerge w:val="restart"/>
          </w:tcPr>
          <w:p>
            <w:pPr>
              <w:ind w:left="100"/>
              <w:spacing w:after="0"/>
              <w:rPr>
                <w:sz w:val="20"/>
                <w:szCs w:val="20"/>
                <w:color w:val="auto"/>
              </w:rPr>
            </w:pPr>
            <w:r>
              <w:rPr>
                <w:rFonts w:ascii="Arial" w:cs="Arial" w:eastAsia="Arial" w:hAnsi="Arial"/>
                <w:sz w:val="20"/>
                <w:szCs w:val="20"/>
                <w:color w:val="auto"/>
              </w:rPr>
              <w:t>RELATED PARTY TRANSACTIONS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40" w:type="dxa"/>
            <w:vAlign w:val="bottom"/>
            <w:gridSpan w:val="2"/>
            <w:vMerge w:val="continue"/>
          </w:tcPr>
          <w:p>
            <w:pPr>
              <w:spacing w:after="0"/>
              <w:rPr>
                <w:sz w:val="24"/>
                <w:szCs w:val="24"/>
                <w:color w:val="auto"/>
              </w:rPr>
            </w:pPr>
          </w:p>
        </w:tc>
        <w:tc>
          <w:tcPr>
            <w:tcW w:w="4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September 30, 2014 and 2013 were $0.3 million and $0.1 million, respectively. Expenses incurred with such company in connection with promotional materials purchased during the nine-months ended September 30, 2014 and 2013 were $0.5 million and $0.4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Monster Beverage Corporation was incorporated in Delaware on April 25, 1990. Our principal place of business is located at 1 Monster Way, Corona, California 92879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On August 14, 2014, the Company and The Coca-Cola Company (“Coca-Cola”) entered into definitive agreements for a long-term strategic relationship in the global energy drink category (the “Coca-Cola Transaction”). In the Coca-Cola Transaction, the Company, New</w:t>
      </w:r>
    </w:p>
    <w:p>
      <w:pPr>
        <w:sectPr>
          <w:pgSz w:w="11900" w:h="16872" w:orient="portrait"/>
          <w:cols w:equalWidth="0" w:num="1">
            <w:col w:w="11420"/>
          </w:cols>
          <w:pgMar w:left="240" w:top="121" w:right="239" w:bottom="0" w:gutter="0" w:footer="0" w:header="0"/>
        </w:sectPr>
      </w:pPr>
    </w:p>
    <w:bookmarkStart w:id="20" w:name="page21"/>
    <w:bookmarkEnd w:id="20"/>
    <w:p>
      <w:pPr>
        <w:spacing w:after="0" w:line="101"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Laser Corporation, a wholly owned subsidiary of the Company (“NewCo”), New Laser Merger Corp., a wholly owned subsidiary of NewCo (“Merger Sub”), Coca-Cola and European Refreshments, an indirect wholly owned subsidiary of Coca-Cola, entered into a transaction agreement, and the Company, Coca-Cola and NewCo entered into an asset transfer agreement. Pursuant to the agreements, the Company will reorganize into a new holding company by merging Merger Sub into the Company, with the Company surviving as a wholly owned subsidiary of NewCo. In the merger, each outstanding share of the Company’s common stock will be converted into one share of NewCo’s common stock.</w:t>
      </w:r>
    </w:p>
    <w:p>
      <w:pPr>
        <w:spacing w:after="0" w:line="20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9"/>
          <w:szCs w:val="19"/>
          <w:color w:val="auto"/>
        </w:rPr>
        <w:t>Subject to the terms and conditions of the agreements, upon the closing of the Coca-Cola Transaction, (1) NewCo will issue to Coca-Cola newly issued shares of common stock representing approximately 16.7% of the total number of shares of issued and outstanding NewCo common stock (after giving effect to the new issuance) and Coca-Cola will have the right to nominate two (reduced to one in 36 months or if Coca-Cola’s equity interest in NewCo exceeds 20%) individuals to NewCo’s Board of Directors, (2) Coca-Cola will transfer its global energy drink business (including the NOS®, Full Throttle®, Burn®, Mother®, Play® and Power Play®, and Relentless® brands) to NewCo, and the Company will transfer its non-energy drink business (including the Hansen’s® Natural Soda, Peace Tea®, Hubert’s® Lemonade and Hansen’s® Juice Product brands) to Coca-Cola, (3) the Company and Coca-Cola will amend their current distribution coordination agreements by expanding distribution of the Company’s products into additional territories pursuant to long-term commercial agreements with Coca-Cola’s network of owned or controlled bottlers/distributors and independent bottling and distribution partners, and (4) Coca-Cola will make a net cash payment of $2.15 billion to the Company ($625.0 million of which will be held in escrow, subject to release upon achievement of milestones relating to the transfer of distribution rights).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closing of the transaction is subject to customary closing conditions and is expected to close in early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 names: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Monster Energy®</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Hansen’s®</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Monster Rehab®</w:t>
            </w:r>
          </w:p>
        </w:tc>
        <w:tc>
          <w:tcPr>
            <w:tcW w:w="6280" w:type="dxa"/>
            <w:vAlign w:val="bottom"/>
            <w:gridSpan w:val="2"/>
          </w:tcPr>
          <w:p>
            <w:pPr>
              <w:ind w:left="1680"/>
              <w:spacing w:after="0"/>
              <w:rPr>
                <w:sz w:val="20"/>
                <w:szCs w:val="20"/>
                <w:color w:val="auto"/>
              </w:rPr>
            </w:pPr>
            <w:r>
              <w:rPr>
                <w:rFonts w:ascii="Arial" w:cs="Arial" w:eastAsia="Arial" w:hAnsi="Arial"/>
                <w:sz w:val="20"/>
                <w:szCs w:val="20"/>
                <w:color w:val="auto"/>
              </w:rPr>
              <w:t>·  Hansen’s Natural Cane Soda®</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Monster Energy Extra Strength Nitrous Technology®</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Junior Juice®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Java Monster®</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Blue Sky®</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X-Presso Monster®</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Hubert’s®</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Muscle Monster®</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Worx Energy®</w:t>
            </w:r>
          </w:p>
        </w:tc>
      </w:tr>
      <w:tr>
        <w:trPr>
          <w:trHeight w:val="25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4920" w:type="dxa"/>
            <w:vAlign w:val="bottom"/>
          </w:tcPr>
          <w:p>
            <w:pPr>
              <w:ind w:left="220"/>
              <w:spacing w:after="0"/>
              <w:rPr>
                <w:sz w:val="20"/>
                <w:szCs w:val="20"/>
                <w:color w:val="auto"/>
              </w:rPr>
            </w:pPr>
            <w:r>
              <w:rPr>
                <w:rFonts w:ascii="Arial" w:cs="Arial" w:eastAsia="Arial" w:hAnsi="Arial"/>
                <w:sz w:val="20"/>
                <w:szCs w:val="20"/>
                <w:color w:val="auto"/>
              </w:rPr>
              <w:t>Punch Monster™</w:t>
            </w:r>
          </w:p>
        </w:tc>
        <w:tc>
          <w:tcPr>
            <w:tcW w:w="1840" w:type="dxa"/>
            <w:vAlign w:val="bottom"/>
          </w:tcPr>
          <w:p>
            <w:pPr>
              <w:ind w:left="1680"/>
              <w:spacing w:after="0"/>
              <w:rPr>
                <w:sz w:val="20"/>
                <w:szCs w:val="20"/>
                <w:color w:val="auto"/>
              </w:rPr>
            </w:pPr>
            <w:r>
              <w:rPr>
                <w:rFonts w:ascii="Arial" w:cs="Arial" w:eastAsia="Arial" w:hAnsi="Arial"/>
                <w:sz w:val="20"/>
                <w:szCs w:val="20"/>
                <w:color w:val="auto"/>
              </w:rPr>
              <w:t>·</w:t>
            </w:r>
          </w:p>
        </w:tc>
        <w:tc>
          <w:tcPr>
            <w:tcW w:w="4440" w:type="dxa"/>
            <w:vAlign w:val="bottom"/>
          </w:tcPr>
          <w:p>
            <w:pPr>
              <w:ind w:left="120"/>
              <w:spacing w:after="0"/>
              <w:rPr>
                <w:sz w:val="20"/>
                <w:szCs w:val="20"/>
                <w:color w:val="auto"/>
              </w:rPr>
            </w:pPr>
            <w:r>
              <w:rPr>
                <w:rFonts w:ascii="Arial" w:cs="Arial" w:eastAsia="Arial" w:hAnsi="Arial"/>
                <w:sz w:val="20"/>
                <w:szCs w:val="20"/>
                <w:color w:val="auto"/>
              </w:rPr>
              <w:t>Peace Tea®</w:t>
            </w:r>
          </w:p>
        </w:tc>
      </w:tr>
      <w:tr>
        <w:trPr>
          <w:trHeight w:val="428"/>
        </w:trPr>
        <w:tc>
          <w:tcPr>
            <w:tcW w:w="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40" w:type="dxa"/>
            <w:vAlign w:val="bottom"/>
          </w:tcPr>
          <w:p>
            <w:pPr>
              <w:ind w:left="440"/>
              <w:spacing w:after="0"/>
              <w:rPr>
                <w:sz w:val="20"/>
                <w:szCs w:val="20"/>
                <w:color w:val="auto"/>
              </w:rPr>
            </w:pPr>
            <w:r>
              <w:rPr>
                <w:rFonts w:ascii="Arial" w:cs="Arial" w:eastAsia="Arial" w:hAnsi="Arial"/>
                <w:sz w:val="18"/>
                <w:szCs w:val="18"/>
                <w:color w:val="auto"/>
              </w:rPr>
              <w:t>30</w:t>
            </w:r>
          </w:p>
        </w:tc>
        <w:tc>
          <w:tcPr>
            <w:tcW w:w="4440" w:type="dxa"/>
            <w:vAlign w:val="bottom"/>
          </w:tcPr>
          <w:p>
            <w:pPr>
              <w:spacing w:after="0"/>
              <w:rPr>
                <w:sz w:val="24"/>
                <w:szCs w:val="24"/>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Our Monster Energy® drinks, which represented 92.9% and 92.7% of our net sales for the three-months ended September 30, 2014 and 2013, respectively, include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Energy®</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Kona Blend</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Lo-Carb Monster Energy®</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Loca Moca®</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Assault®</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Mean Bean®</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Khaos®</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Vanilla Light</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M-80® (named Ripper® in certain countries)</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Irish Blend®</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Energy® Absolutely Zero</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Java Monster® Toffee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Energy® Import</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Java Monster® Kona Cappuccino™</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Energy® Import Light</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w w:val="93"/>
              </w:rPr>
              <w:t>·   Monster Energy Extra Strength Nitrous</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Punch Monster® Baller’s Blend (formerly Dub Edition)</w:t>
            </w:r>
          </w:p>
        </w:tc>
        <w:tc>
          <w:tcPr>
            <w:tcW w:w="118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20"/>
                <w:szCs w:val="20"/>
                <w:color w:val="auto"/>
              </w:rPr>
              <w:t>Technology® Super Dry™</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Punch Monster® Mad Dog (formerly Dub Edition)</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w w:val="93"/>
              </w:rPr>
              <w:t>·   Monster Energy Extra Strength Nitrous</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Tea + Lemonade + Energy</w:t>
            </w:r>
          </w:p>
        </w:tc>
        <w:tc>
          <w:tcPr>
            <w:tcW w:w="118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20"/>
                <w:szCs w:val="20"/>
                <w:color w:val="auto"/>
              </w:rPr>
              <w:t>Technology® Anti-Gravity®</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Rojo Tea + Energy</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w w:val="93"/>
              </w:rPr>
              <w:t>·   Monster Energy Extra Strength Nitrous</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Green Tea + Energy</w:t>
            </w:r>
          </w:p>
        </w:tc>
        <w:tc>
          <w:tcPr>
            <w:tcW w:w="1180" w:type="dxa"/>
            <w:vAlign w:val="bottom"/>
          </w:tcPr>
          <w:p>
            <w:pPr>
              <w:spacing w:after="0"/>
              <w:rPr>
                <w:sz w:val="19"/>
                <w:szCs w:val="19"/>
                <w:color w:val="auto"/>
              </w:rPr>
            </w:pPr>
          </w:p>
        </w:tc>
        <w:tc>
          <w:tcPr>
            <w:tcW w:w="3260" w:type="dxa"/>
            <w:vAlign w:val="bottom"/>
          </w:tcPr>
          <w:p>
            <w:pPr>
              <w:ind w:left="180"/>
              <w:spacing w:after="0"/>
              <w:rPr>
                <w:sz w:val="20"/>
                <w:szCs w:val="20"/>
                <w:color w:val="auto"/>
              </w:rPr>
            </w:pPr>
            <w:r>
              <w:rPr>
                <w:rFonts w:ascii="Arial" w:cs="Arial" w:eastAsia="Arial" w:hAnsi="Arial"/>
                <w:sz w:val="20"/>
                <w:szCs w:val="20"/>
                <w:color w:val="auto"/>
              </w:rPr>
              <w:t>Technology® Black Ice™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Protean + Energy</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X-Presso Monster® Hammer</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Tea + Orangeade + Energy</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X-Presso Monster® Midnite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Rehab® Tea + Pink Lemonade + Energy</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Monster Cuba-Lima®</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Muscle Monster® Vanilla</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Monster Energy® Zero Ultra</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Muscle Monster® Chocolate</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Monster Energy® Ultra Blue™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Muscle Monster® Coffee</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Monster Energy® Ultra Red™</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Muscle Monster® Strawberry</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Monster Energy® Ultra Black™</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Muscle Monster® Peanut Butter Cup</w:t>
            </w:r>
          </w:p>
        </w:tc>
        <w:tc>
          <w:tcPr>
            <w:tcW w:w="4440" w:type="dxa"/>
            <w:vAlign w:val="bottom"/>
            <w:gridSpan w:val="2"/>
          </w:tcPr>
          <w:p>
            <w:pPr>
              <w:ind w:left="980"/>
              <w:spacing w:after="0"/>
              <w:rPr>
                <w:sz w:val="20"/>
                <w:szCs w:val="20"/>
                <w:color w:val="auto"/>
              </w:rPr>
            </w:pPr>
            <w:r>
              <w:rPr>
                <w:rFonts w:ascii="Arial" w:cs="Arial" w:eastAsia="Arial" w:hAnsi="Arial"/>
                <w:sz w:val="20"/>
                <w:szCs w:val="20"/>
                <w:color w:val="auto"/>
              </w:rPr>
              <w:t>·   Monster Energy® Ultra Sunrise™</w:t>
            </w:r>
          </w:p>
        </w:tc>
      </w:tr>
      <w:tr>
        <w:trPr>
          <w:trHeight w:val="23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Monster Energy® Valentino Rossi</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Monster Energy® Unleaded</w:t>
            </w:r>
          </w:p>
        </w:tc>
      </w:tr>
      <w:tr>
        <w:trPr>
          <w:trHeight w:val="250"/>
        </w:trPr>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5620" w:type="dxa"/>
            <w:vAlign w:val="bottom"/>
          </w:tcPr>
          <w:p>
            <w:pPr>
              <w:ind w:left="220"/>
              <w:spacing w:after="0"/>
              <w:rPr>
                <w:sz w:val="20"/>
                <w:szCs w:val="20"/>
                <w:color w:val="auto"/>
              </w:rPr>
            </w:pPr>
            <w:r>
              <w:rPr>
                <w:rFonts w:ascii="Arial" w:cs="Arial" w:eastAsia="Arial" w:hAnsi="Arial"/>
                <w:sz w:val="20"/>
                <w:szCs w:val="20"/>
                <w:color w:val="auto"/>
              </w:rPr>
              <w:t>M3® Monster Energy® Super Concentrate</w:t>
            </w:r>
          </w:p>
        </w:tc>
        <w:tc>
          <w:tcPr>
            <w:tcW w:w="1180" w:type="dxa"/>
            <w:vAlign w:val="bottom"/>
          </w:tcPr>
          <w:p>
            <w:pPr>
              <w:ind w:left="980"/>
              <w:spacing w:after="0"/>
              <w:rPr>
                <w:sz w:val="20"/>
                <w:szCs w:val="20"/>
                <w:color w:val="auto"/>
              </w:rPr>
            </w:pPr>
            <w:r>
              <w:rPr>
                <w:rFonts w:ascii="Arial" w:cs="Arial" w:eastAsia="Arial" w:hAnsi="Arial"/>
                <w:sz w:val="20"/>
                <w:szCs w:val="20"/>
                <w:color w:val="auto"/>
              </w:rPr>
              <w:t>·</w:t>
            </w:r>
          </w:p>
        </w:tc>
        <w:tc>
          <w:tcPr>
            <w:tcW w:w="3260" w:type="dxa"/>
            <w:vAlign w:val="bottom"/>
          </w:tcPr>
          <w:p>
            <w:pPr>
              <w:ind w:left="140"/>
              <w:spacing w:after="0"/>
              <w:rPr>
                <w:sz w:val="20"/>
                <w:szCs w:val="20"/>
                <w:color w:val="auto"/>
              </w:rPr>
            </w:pPr>
            <w:r>
              <w:rPr>
                <w:rFonts w:ascii="Arial" w:cs="Arial" w:eastAsia="Arial" w:hAnsi="Arial"/>
                <w:sz w:val="20"/>
                <w:szCs w:val="20"/>
                <w:color w:val="auto"/>
              </w:rPr>
              <w:t>Übermonster® Energy Brew</w:t>
            </w:r>
          </w:p>
        </w:tc>
      </w:tr>
    </w:tbl>
    <w:p>
      <w:pPr>
        <w:spacing w:after="0" w:line="209"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We have two operating and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05" w:lineRule="exact"/>
        <w:rPr>
          <w:sz w:val="20"/>
          <w:szCs w:val="20"/>
          <w:color w:val="auto"/>
        </w:rPr>
      </w:pPr>
    </w:p>
    <w:p>
      <w:pPr>
        <w:jc w:val="both"/>
        <w:ind w:right="40" w:firstLine="648"/>
        <w:spacing w:after="0" w:line="316" w:lineRule="auto"/>
        <w:rPr>
          <w:sz w:val="20"/>
          <w:szCs w:val="20"/>
          <w:color w:val="auto"/>
        </w:rPr>
      </w:pPr>
      <w:r>
        <w:rPr>
          <w:rFonts w:ascii="Arial" w:cs="Arial" w:eastAsia="Arial" w:hAnsi="Arial"/>
          <w:sz w:val="18"/>
          <w:szCs w:val="18"/>
          <w:color w:val="auto"/>
        </w:rPr>
        <w:t>During the nine-months ended September 30, 2014, we continued to expand our existing product lines and flavors and further developed our markets. In particular, we continued to focus on developing and marketing beverages that fall within the category generally</w:t>
      </w:r>
    </w:p>
    <w:p>
      <w:pPr>
        <w:sectPr>
          <w:pgSz w:w="11900" w:h="16939" w:orient="portrait"/>
          <w:cols w:equalWidth="0" w:num="1">
            <w:col w:w="11460"/>
          </w:cols>
          <w:pgMar w:left="240" w:top="121" w:right="199" w:bottom="0" w:gutter="0" w:footer="0" w:header="0"/>
        </w:sectPr>
      </w:pPr>
    </w:p>
    <w:bookmarkStart w:id="21" w:name="page22"/>
    <w:bookmarkEnd w:id="21"/>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described as the “alternative” beverage category. During the nine-months ended September 30, 2014, we introduced the following products:</w:t>
      </w:r>
    </w:p>
    <w:p>
      <w:pPr>
        <w:spacing w:after="0" w:line="253" w:lineRule="exact"/>
        <w:rPr>
          <w:sz w:val="20"/>
          <w:szCs w:val="20"/>
          <w:color w:val="auto"/>
        </w:rPr>
      </w:pPr>
    </w:p>
    <w:p>
      <w:pPr>
        <w:ind w:left="600" w:hanging="36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Punch Monster® Baller’s Blend (formerly Dub Edition) (January 2014).</w:t>
      </w:r>
    </w:p>
    <w:p>
      <w:pPr>
        <w:spacing w:after="0" w:line="15" w:lineRule="exact"/>
        <w:rPr>
          <w:rFonts w:ascii="Arial" w:cs="Arial" w:eastAsia="Arial" w:hAnsi="Arial"/>
          <w:sz w:val="20"/>
          <w:szCs w:val="20"/>
          <w:color w:val="auto"/>
        </w:rPr>
      </w:pPr>
    </w:p>
    <w:p>
      <w:pPr>
        <w:ind w:left="600" w:hanging="36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Punch Monster® Mad Dog (formerly Dub Edition) (January 2014).</w:t>
      </w:r>
    </w:p>
    <w:p>
      <w:pPr>
        <w:ind w:left="600" w:hanging="36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Peace Tea Beverage Company™ Viva Mango™, a mango flavored juice drink (February 2014).</w:t>
      </w:r>
    </w:p>
    <w:p>
      <w:pPr>
        <w:ind w:left="600" w:hanging="36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Energy® Valentino Rossi, a carbonated energy drink (May 2014).</w:t>
      </w:r>
    </w:p>
    <w:p>
      <w:pPr>
        <w:ind w:left="640" w:hanging="405"/>
        <w:spacing w:after="0" w:line="239" w:lineRule="auto"/>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Energy® Ultra Black™, a carbonated energy drink which contains zero calories and zero sugar, launched as a summer promotion with 7-eleven (July 2014).</w:t>
      </w:r>
    </w:p>
    <w:p>
      <w:pPr>
        <w:spacing w:after="0" w:line="1" w:lineRule="exact"/>
        <w:rPr>
          <w:rFonts w:ascii="Arial" w:cs="Arial" w:eastAsia="Arial" w:hAnsi="Arial"/>
          <w:sz w:val="20"/>
          <w:szCs w:val="20"/>
          <w:color w:val="auto"/>
        </w:rPr>
      </w:pPr>
    </w:p>
    <w:p>
      <w:pPr>
        <w:ind w:left="600" w:hanging="365"/>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Monster Energy® Unleaded, a carbonated energy drink which contains no caffeine (August 2014).</w:t>
      </w:r>
    </w:p>
    <w:p>
      <w:pPr>
        <w:ind w:left="600" w:hanging="365"/>
        <w:spacing w:after="0"/>
        <w:tabs>
          <w:tab w:leader="none" w:pos="6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Monster Energy® Ultra Sunrise™, a carbonated energy drink which contains zero calories and zero sugar (September 2014).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during the nine-months ended September 30, 2014, either individually or in aggregate, did not have a material adverse impact on our financial position, results of operations or liquidity.</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gross sales (as defined below) of $738.1 million for the three-months ended September 30, 2014 represented record sales for our third fiscal quarter. The vast majority of our gross sales are derived from our Monster Energy® brand energy drinks. Gross sales of our Monster Energy® brand energy drinks were $689.8 million for the three-months ended September 30, 2014, an increase of $51.0 million, or 99.1% of our overall increase in gross sales for the three-months ended September 30, 2014.</w:t>
      </w:r>
    </w:p>
    <w:p>
      <w:pPr>
        <w:spacing w:after="0" w:line="20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DSD segment represented 95.9% and 96.0% of our consolidated net sales for the three-months ended September 30, 2014 and 2013, respectively. Our Warehouse segment represented 4.1% and 4.0% of our consolidated net sales for the three-months ended September 30, 2014 and 2013, respectively. Our DSD segment represented 96.0% and 95.4% of our consolidated net sales for the nine-months ended September 30, 2014 and 2013, respectively. Our Warehouse segment represented 4.0% and 4.6% of our consolidated net sales for the nine-months ended September 30, 2014 and 2013, respectively.</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from television and other well-known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of our beverage products are manufactured by various third party bottlers and co-packers situated throughout the United States and abroad, under separate arrangements with each party.</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growth strategy includes expanding our international business. Gross sales to customers outside the United States amounted to $173.2 million and $151.6 million for the three-months ended September 30, 2014 and 2013, respectively. Such sales were approximately 24% and 22% of gross sales for the three-months ended September 30, 2014 and 2013, respectively. Gross sales to customers outside the United States amounted to $497.8 million and $442.6 million for the nine-months ended September 30, 2014 and 2013, respectively. Such sales were approximately 23% of gross sales for both the nine-months ended September 30, 2014 and 2013.</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nine-months ended September 30, 2014 and 2013 are reflected below. Such information includes sales made by us directly to the customer types concerned, which include our full service beverage distributors in the United States. Such full service beverage distributors in turn sell certain of our products to some of the same customer types listed below. We limit our description of our customer types to include only our sales to our full service distributors without reference to such distributors’ sales to their own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9"/>
        </w:trPr>
        <w:tc>
          <w:tcPr>
            <w:tcW w:w="128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3300" w:type="dxa"/>
            <w:vAlign w:val="bottom"/>
            <w:gridSpan w:val="5"/>
          </w:tcPr>
          <w:p>
            <w:pPr>
              <w:jc w:val="center"/>
              <w:ind w:right="300"/>
              <w:spacing w:after="0"/>
              <w:rPr>
                <w:sz w:val="20"/>
                <w:szCs w:val="20"/>
                <w:color w:val="auto"/>
              </w:rPr>
            </w:pPr>
            <w:r>
              <w:rPr>
                <w:rFonts w:ascii="Arial" w:cs="Arial" w:eastAsia="Arial" w:hAnsi="Arial"/>
                <w:sz w:val="20"/>
                <w:szCs w:val="20"/>
                <w:color w:val="auto"/>
                <w:w w:val="89"/>
              </w:rPr>
              <w:t>Three-Months Ended</w:t>
            </w:r>
          </w:p>
        </w:tc>
        <w:tc>
          <w:tcPr>
            <w:tcW w:w="3000" w:type="dxa"/>
            <w:vAlign w:val="bottom"/>
            <w:gridSpan w:val="4"/>
          </w:tcPr>
          <w:p>
            <w:pPr>
              <w:jc w:val="center"/>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0" w:type="dxa"/>
            <w:vAlign w:val="bottom"/>
            <w:gridSpan w:val="4"/>
          </w:tcPr>
          <w:p>
            <w:pPr>
              <w:jc w:val="center"/>
              <w:ind w:right="1180"/>
              <w:spacing w:after="0"/>
              <w:rPr>
                <w:sz w:val="20"/>
                <w:szCs w:val="20"/>
                <w:color w:val="auto"/>
              </w:rPr>
            </w:pPr>
            <w:r>
              <w:rPr>
                <w:rFonts w:ascii="Arial" w:cs="Arial" w:eastAsia="Arial" w:hAnsi="Arial"/>
                <w:sz w:val="20"/>
                <w:szCs w:val="20"/>
                <w:color w:val="auto"/>
                <w:w w:val="86"/>
              </w:rPr>
              <w:t>September 30,</w:t>
            </w:r>
          </w:p>
        </w:tc>
        <w:tc>
          <w:tcPr>
            <w:tcW w:w="900" w:type="dxa"/>
            <w:vAlign w:val="bottom"/>
          </w:tcPr>
          <w:p>
            <w:pPr>
              <w:spacing w:after="0"/>
              <w:rPr>
                <w:sz w:val="21"/>
                <w:szCs w:val="21"/>
                <w:color w:val="auto"/>
              </w:rPr>
            </w:pPr>
          </w:p>
        </w:tc>
        <w:tc>
          <w:tcPr>
            <w:tcW w:w="2100" w:type="dxa"/>
            <w:vAlign w:val="bottom"/>
            <w:gridSpan w:val="3"/>
          </w:tcPr>
          <w:p>
            <w:pPr>
              <w:jc w:val="center"/>
              <w:ind w:right="801"/>
              <w:spacing w:after="0"/>
              <w:rPr>
                <w:sz w:val="20"/>
                <w:szCs w:val="20"/>
                <w:color w:val="auto"/>
              </w:rPr>
            </w:pPr>
            <w:r>
              <w:rPr>
                <w:rFonts w:ascii="Arial" w:cs="Arial" w:eastAsia="Arial" w:hAnsi="Arial"/>
                <w:sz w:val="20"/>
                <w:szCs w:val="20"/>
                <w:color w:val="auto"/>
                <w:w w:val="88"/>
              </w:rPr>
              <w:t>September 30,</w:t>
            </w:r>
          </w:p>
        </w:tc>
        <w:tc>
          <w:tcPr>
            <w:tcW w:w="0" w:type="dxa"/>
            <w:vAlign w:val="bottom"/>
          </w:tcPr>
          <w:p>
            <w:pPr>
              <w:spacing w:after="0"/>
              <w:rPr>
                <w:sz w:val="1"/>
                <w:szCs w:val="1"/>
                <w:color w:val="auto"/>
              </w:rPr>
            </w:pPr>
          </w:p>
        </w:tc>
      </w:tr>
      <w:tr>
        <w:trPr>
          <w:trHeight w:val="223"/>
        </w:trPr>
        <w:tc>
          <w:tcPr>
            <w:tcW w:w="5120" w:type="dxa"/>
            <w:vAlign w:val="bottom"/>
            <w:gridSpan w:val="2"/>
            <w:vMerge w:val="restart"/>
          </w:tcPr>
          <w:p>
            <w:pPr>
              <w:spacing w:after="0"/>
              <w:rPr>
                <w:sz w:val="20"/>
                <w:szCs w:val="20"/>
                <w:color w:val="auto"/>
              </w:rPr>
            </w:pPr>
            <w:r>
              <w:rPr>
                <w:rFonts w:ascii="Arial" w:cs="Arial" w:eastAsia="Arial" w:hAnsi="Arial"/>
                <w:sz w:val="20"/>
                <w:szCs w:val="20"/>
                <w:color w:val="auto"/>
              </w:rPr>
              <w:t>Full service distributors</w:t>
            </w:r>
          </w:p>
        </w:tc>
        <w:tc>
          <w:tcPr>
            <w:tcW w:w="900" w:type="dxa"/>
            <w:vAlign w:val="bottom"/>
            <w:tcBorders>
              <w:top w:val="single" w:sz="8" w:color="auto"/>
            </w:tcBorders>
          </w:tcPr>
          <w:p>
            <w:pPr>
              <w:jc w:val="center"/>
              <w:ind w:left="361"/>
              <w:spacing w:after="0" w:line="223" w:lineRule="exact"/>
              <w:rPr>
                <w:sz w:val="20"/>
                <w:szCs w:val="20"/>
                <w:color w:val="auto"/>
              </w:rPr>
            </w:pPr>
            <w:r>
              <w:rPr>
                <w:rFonts w:ascii="Arial" w:cs="Arial" w:eastAsia="Arial" w:hAnsi="Arial"/>
                <w:sz w:val="20"/>
                <w:szCs w:val="20"/>
                <w:color w:val="auto"/>
                <w:w w:val="89"/>
              </w:rPr>
              <w:t>2014</w:t>
            </w:r>
          </w:p>
        </w:tc>
        <w:tc>
          <w:tcPr>
            <w:tcW w:w="2120" w:type="dxa"/>
            <w:vAlign w:val="bottom"/>
            <w:tcBorders>
              <w:top w:val="single" w:sz="8" w:color="auto"/>
            </w:tcBorders>
            <w:gridSpan w:val="3"/>
          </w:tcPr>
          <w:p>
            <w:pPr>
              <w:jc w:val="center"/>
              <w:ind w:left="661"/>
              <w:spacing w:after="0" w:line="223" w:lineRule="exact"/>
              <w:rPr>
                <w:sz w:val="20"/>
                <w:szCs w:val="20"/>
                <w:color w:val="auto"/>
              </w:rPr>
            </w:pPr>
            <w:r>
              <w:rPr>
                <w:rFonts w:ascii="Arial" w:cs="Arial" w:eastAsia="Arial" w:hAnsi="Arial"/>
                <w:sz w:val="20"/>
                <w:szCs w:val="20"/>
                <w:color w:val="auto"/>
                <w:w w:val="89"/>
              </w:rPr>
              <w:t>2013</w:t>
            </w:r>
          </w:p>
        </w:tc>
        <w:tc>
          <w:tcPr>
            <w:tcW w:w="280" w:type="dxa"/>
            <w:vAlign w:val="bottom"/>
          </w:tcPr>
          <w:p>
            <w:pPr>
              <w:spacing w:after="0"/>
              <w:rPr>
                <w:sz w:val="19"/>
                <w:szCs w:val="19"/>
                <w:color w:val="auto"/>
              </w:rPr>
            </w:pPr>
          </w:p>
        </w:tc>
        <w:tc>
          <w:tcPr>
            <w:tcW w:w="900" w:type="dxa"/>
            <w:vAlign w:val="bottom"/>
            <w:tcBorders>
              <w:top w:val="single" w:sz="8" w:color="auto"/>
            </w:tcBorders>
          </w:tcPr>
          <w:p>
            <w:pPr>
              <w:jc w:val="center"/>
              <w:ind w:left="361"/>
              <w:spacing w:after="0" w:line="223" w:lineRule="exact"/>
              <w:rPr>
                <w:sz w:val="20"/>
                <w:szCs w:val="20"/>
                <w:color w:val="auto"/>
              </w:rPr>
            </w:pPr>
            <w:r>
              <w:rPr>
                <w:rFonts w:ascii="Arial" w:cs="Arial" w:eastAsia="Arial" w:hAnsi="Arial"/>
                <w:sz w:val="20"/>
                <w:szCs w:val="20"/>
                <w:color w:val="auto"/>
                <w:w w:val="89"/>
              </w:rPr>
              <w:t>2014</w:t>
            </w:r>
          </w:p>
        </w:tc>
        <w:tc>
          <w:tcPr>
            <w:tcW w:w="2100" w:type="dxa"/>
            <w:vAlign w:val="bottom"/>
            <w:tcBorders>
              <w:top w:val="single" w:sz="8" w:color="auto"/>
            </w:tcBorders>
            <w:gridSpan w:val="3"/>
          </w:tcPr>
          <w:p>
            <w:pPr>
              <w:jc w:val="center"/>
              <w:ind w:left="641"/>
              <w:spacing w:after="0" w:line="223" w:lineRule="exact"/>
              <w:rPr>
                <w:sz w:val="20"/>
                <w:szCs w:val="20"/>
                <w:color w:val="auto"/>
              </w:rPr>
            </w:pPr>
            <w:r>
              <w:rPr>
                <w:rFonts w:ascii="Arial" w:cs="Arial" w:eastAsia="Arial" w:hAnsi="Arial"/>
                <w:sz w:val="20"/>
                <w:szCs w:val="20"/>
                <w:color w:val="auto"/>
                <w:w w:val="89"/>
              </w:rPr>
              <w:t>2013</w:t>
            </w:r>
          </w:p>
        </w:tc>
        <w:tc>
          <w:tcPr>
            <w:tcW w:w="0" w:type="dxa"/>
            <w:vAlign w:val="bottom"/>
          </w:tcPr>
          <w:p>
            <w:pPr>
              <w:spacing w:after="0"/>
              <w:rPr>
                <w:sz w:val="1"/>
                <w:szCs w:val="1"/>
                <w:color w:val="auto"/>
              </w:rPr>
            </w:pPr>
          </w:p>
        </w:tc>
      </w:tr>
      <w:tr>
        <w:trPr>
          <w:trHeight w:val="206"/>
        </w:trPr>
        <w:tc>
          <w:tcPr>
            <w:tcW w:w="5120" w:type="dxa"/>
            <w:vAlign w:val="bottom"/>
            <w:gridSpan w:val="2"/>
            <w:vMerge w:val="continue"/>
          </w:tcPr>
          <w:p>
            <w:pPr>
              <w:spacing w:after="0"/>
              <w:rPr>
                <w:sz w:val="17"/>
                <w:szCs w:val="17"/>
                <w:color w:val="auto"/>
              </w:rPr>
            </w:pPr>
          </w:p>
        </w:tc>
        <w:tc>
          <w:tcPr>
            <w:tcW w:w="900" w:type="dxa"/>
            <w:vAlign w:val="bottom"/>
            <w:tcBorders>
              <w:top w:val="single" w:sz="8" w:color="auto"/>
            </w:tcBorders>
          </w:tcPr>
          <w:p>
            <w:pPr>
              <w:jc w:val="center"/>
              <w:ind w:left="361"/>
              <w:spacing w:after="0" w:line="207" w:lineRule="exact"/>
              <w:rPr>
                <w:sz w:val="20"/>
                <w:szCs w:val="20"/>
                <w:color w:val="auto"/>
              </w:rPr>
            </w:pPr>
            <w:r>
              <w:rPr>
                <w:rFonts w:ascii="Arial" w:cs="Arial" w:eastAsia="Arial" w:hAnsi="Arial"/>
                <w:sz w:val="20"/>
                <w:szCs w:val="20"/>
                <w:color w:val="auto"/>
                <w:w w:val="89"/>
              </w:rPr>
              <w:t>62%</w:t>
            </w:r>
          </w:p>
        </w:tc>
        <w:tc>
          <w:tcPr>
            <w:tcW w:w="4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63%</w:t>
            </w:r>
          </w:p>
        </w:tc>
        <w:tc>
          <w:tcPr>
            <w:tcW w:w="280" w:type="dxa"/>
            <w:vAlign w:val="bottom"/>
          </w:tcPr>
          <w:p>
            <w:pPr>
              <w:spacing w:after="0"/>
              <w:rPr>
                <w:sz w:val="17"/>
                <w:szCs w:val="17"/>
                <w:color w:val="auto"/>
              </w:rPr>
            </w:pPr>
          </w:p>
        </w:tc>
        <w:tc>
          <w:tcPr>
            <w:tcW w:w="900" w:type="dxa"/>
            <w:vAlign w:val="bottom"/>
            <w:tcBorders>
              <w:top w:val="single" w:sz="8" w:color="auto"/>
            </w:tcBorders>
          </w:tcPr>
          <w:p>
            <w:pPr>
              <w:jc w:val="center"/>
              <w:ind w:left="361"/>
              <w:spacing w:after="0" w:line="207" w:lineRule="exact"/>
              <w:rPr>
                <w:sz w:val="20"/>
                <w:szCs w:val="20"/>
                <w:color w:val="auto"/>
              </w:rPr>
            </w:pPr>
            <w:r>
              <w:rPr>
                <w:rFonts w:ascii="Arial" w:cs="Arial" w:eastAsia="Arial" w:hAnsi="Arial"/>
                <w:sz w:val="20"/>
                <w:szCs w:val="20"/>
                <w:color w:val="auto"/>
                <w:w w:val="89"/>
              </w:rPr>
              <w:t>62%</w:t>
            </w:r>
          </w:p>
        </w:tc>
        <w:tc>
          <w:tcPr>
            <w:tcW w:w="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63%</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20"/>
                <w:szCs w:val="20"/>
                <w:color w:val="auto"/>
              </w:rPr>
              <w:t>Club stores, drug chains &amp; mass merchandisers</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10%</w:t>
            </w:r>
          </w:p>
        </w:tc>
        <w:tc>
          <w:tcPr>
            <w:tcW w:w="212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9%</w:t>
            </w:r>
          </w:p>
        </w:tc>
        <w:tc>
          <w:tcPr>
            <w:tcW w:w="280" w:type="dxa"/>
            <w:vAlign w:val="bottom"/>
          </w:tcPr>
          <w:p>
            <w:pPr>
              <w:spacing w:after="0"/>
              <w:rPr>
                <w:sz w:val="19"/>
                <w:szCs w:val="19"/>
                <w:color w:val="auto"/>
              </w:rPr>
            </w:pPr>
          </w:p>
        </w:tc>
        <w:tc>
          <w:tcPr>
            <w:tcW w:w="900" w:type="dxa"/>
            <w:vAlign w:val="bottom"/>
          </w:tcPr>
          <w:p>
            <w:pPr>
              <w:jc w:val="center"/>
              <w:ind w:left="381"/>
              <w:spacing w:after="0"/>
              <w:rPr>
                <w:sz w:val="20"/>
                <w:szCs w:val="20"/>
                <w:color w:val="auto"/>
              </w:rPr>
            </w:pPr>
            <w:r>
              <w:rPr>
                <w:rFonts w:ascii="Arial" w:cs="Arial" w:eastAsia="Arial" w:hAnsi="Arial"/>
                <w:sz w:val="20"/>
                <w:szCs w:val="20"/>
                <w:color w:val="auto"/>
                <w:w w:val="89"/>
              </w:rPr>
              <w:t>9%</w:t>
            </w:r>
          </w:p>
        </w:tc>
        <w:tc>
          <w:tcPr>
            <w:tcW w:w="210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10%</w:t>
            </w:r>
          </w:p>
        </w:tc>
        <w:tc>
          <w:tcPr>
            <w:tcW w:w="0" w:type="dxa"/>
            <w:vAlign w:val="bottom"/>
          </w:tcPr>
          <w:p>
            <w:pPr>
              <w:spacing w:after="0"/>
              <w:rPr>
                <w:sz w:val="1"/>
                <w:szCs w:val="1"/>
                <w:color w:val="auto"/>
              </w:rPr>
            </w:pPr>
          </w:p>
        </w:tc>
      </w:tr>
      <w:tr>
        <w:trPr>
          <w:trHeight w:val="250"/>
        </w:trPr>
        <w:tc>
          <w:tcPr>
            <w:tcW w:w="5120" w:type="dxa"/>
            <w:vAlign w:val="bottom"/>
            <w:gridSpan w:val="2"/>
          </w:tcPr>
          <w:p>
            <w:pPr>
              <w:spacing w:after="0"/>
              <w:rPr>
                <w:sz w:val="20"/>
                <w:szCs w:val="20"/>
                <w:color w:val="auto"/>
              </w:rPr>
            </w:pPr>
            <w:r>
              <w:rPr>
                <w:rFonts w:ascii="Arial" w:cs="Arial" w:eastAsia="Arial" w:hAnsi="Arial"/>
                <w:sz w:val="20"/>
                <w:szCs w:val="20"/>
                <w:color w:val="auto"/>
              </w:rPr>
              <w:t>Outside the U.S.</w:t>
            </w: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24%</w:t>
            </w:r>
          </w:p>
        </w:tc>
        <w:tc>
          <w:tcPr>
            <w:tcW w:w="2120" w:type="dxa"/>
            <w:vAlign w:val="bottom"/>
            <w:gridSpan w:val="3"/>
          </w:tcPr>
          <w:p>
            <w:pPr>
              <w:jc w:val="center"/>
              <w:ind w:left="661"/>
              <w:spacing w:after="0"/>
              <w:rPr>
                <w:sz w:val="20"/>
                <w:szCs w:val="20"/>
                <w:color w:val="auto"/>
              </w:rPr>
            </w:pPr>
            <w:r>
              <w:rPr>
                <w:rFonts w:ascii="Arial" w:cs="Arial" w:eastAsia="Arial" w:hAnsi="Arial"/>
                <w:sz w:val="20"/>
                <w:szCs w:val="20"/>
                <w:color w:val="auto"/>
                <w:w w:val="89"/>
              </w:rPr>
              <w:t>22%</w:t>
            </w:r>
          </w:p>
        </w:tc>
        <w:tc>
          <w:tcPr>
            <w:tcW w:w="280" w:type="dxa"/>
            <w:vAlign w:val="bottom"/>
          </w:tcPr>
          <w:p>
            <w:pPr>
              <w:spacing w:after="0"/>
              <w:rPr>
                <w:sz w:val="21"/>
                <w:szCs w:val="21"/>
                <w:color w:val="auto"/>
              </w:rPr>
            </w:pPr>
          </w:p>
        </w:tc>
        <w:tc>
          <w:tcPr>
            <w:tcW w:w="900" w:type="dxa"/>
            <w:vAlign w:val="bottom"/>
          </w:tcPr>
          <w:p>
            <w:pPr>
              <w:jc w:val="center"/>
              <w:ind w:left="361"/>
              <w:spacing w:after="0"/>
              <w:rPr>
                <w:sz w:val="20"/>
                <w:szCs w:val="20"/>
                <w:color w:val="auto"/>
              </w:rPr>
            </w:pPr>
            <w:r>
              <w:rPr>
                <w:rFonts w:ascii="Arial" w:cs="Arial" w:eastAsia="Arial" w:hAnsi="Arial"/>
                <w:sz w:val="20"/>
                <w:szCs w:val="20"/>
                <w:color w:val="auto"/>
                <w:w w:val="89"/>
              </w:rPr>
              <w:t>23%</w:t>
            </w:r>
          </w:p>
        </w:tc>
        <w:tc>
          <w:tcPr>
            <w:tcW w:w="2100" w:type="dxa"/>
            <w:vAlign w:val="bottom"/>
            <w:gridSpan w:val="3"/>
          </w:tcPr>
          <w:p>
            <w:pPr>
              <w:jc w:val="center"/>
              <w:ind w:left="641"/>
              <w:spacing w:after="0"/>
              <w:rPr>
                <w:sz w:val="20"/>
                <w:szCs w:val="20"/>
                <w:color w:val="auto"/>
              </w:rPr>
            </w:pPr>
            <w:r>
              <w:rPr>
                <w:rFonts w:ascii="Arial" w:cs="Arial" w:eastAsia="Arial" w:hAnsi="Arial"/>
                <w:sz w:val="20"/>
                <w:szCs w:val="20"/>
                <w:color w:val="auto"/>
                <w:w w:val="89"/>
              </w:rPr>
              <w:t>23%</w:t>
            </w:r>
          </w:p>
        </w:tc>
        <w:tc>
          <w:tcPr>
            <w:tcW w:w="0" w:type="dxa"/>
            <w:vAlign w:val="bottom"/>
          </w:tcPr>
          <w:p>
            <w:pPr>
              <w:spacing w:after="0"/>
              <w:rPr>
                <w:sz w:val="1"/>
                <w:szCs w:val="1"/>
                <w:color w:val="auto"/>
              </w:rPr>
            </w:pPr>
          </w:p>
        </w:tc>
      </w:tr>
    </w:tbl>
    <w:p>
      <w:pPr>
        <w:sectPr>
          <w:pgSz w:w="11900" w:h="16901" w:orient="portrait"/>
          <w:cols w:equalWidth="0" w:num="1">
            <w:col w:w="11420"/>
          </w:cols>
          <w:pgMar w:left="240" w:top="12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4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1880" w:type="dxa"/>
            <w:vAlign w:val="bottom"/>
          </w:tcPr>
          <w:p>
            <w:pPr>
              <w:jc w:val="right"/>
              <w:ind w:right="581"/>
              <w:spacing w:after="0"/>
              <w:rPr>
                <w:sz w:val="20"/>
                <w:szCs w:val="20"/>
                <w:color w:val="auto"/>
              </w:rPr>
            </w:pPr>
            <w:r>
              <w:rPr>
                <w:rFonts w:ascii="Arial" w:cs="Arial" w:eastAsia="Arial" w:hAnsi="Arial"/>
                <w:sz w:val="20"/>
                <w:szCs w:val="20"/>
                <w:color w:val="auto"/>
              </w:rPr>
              <w:t>3%</w:t>
            </w:r>
          </w:p>
        </w:tc>
        <w:tc>
          <w:tcPr>
            <w:tcW w:w="1660" w:type="dxa"/>
            <w:vAlign w:val="bottom"/>
          </w:tcPr>
          <w:p>
            <w:pPr>
              <w:jc w:val="right"/>
              <w:ind w:right="601"/>
              <w:spacing w:after="0"/>
              <w:rPr>
                <w:sz w:val="20"/>
                <w:szCs w:val="20"/>
                <w:color w:val="auto"/>
              </w:rPr>
            </w:pPr>
            <w:r>
              <w:rPr>
                <w:rFonts w:ascii="Arial" w:cs="Arial" w:eastAsia="Arial" w:hAnsi="Arial"/>
                <w:sz w:val="20"/>
                <w:szCs w:val="20"/>
                <w:color w:val="auto"/>
              </w:rPr>
              <w:t>4%</w:t>
            </w:r>
          </w:p>
        </w:tc>
        <w:tc>
          <w:tcPr>
            <w:tcW w:w="1640" w:type="dxa"/>
            <w:vAlign w:val="bottom"/>
          </w:tcPr>
          <w:p>
            <w:pPr>
              <w:jc w:val="right"/>
              <w:ind w:right="581"/>
              <w:spacing w:after="0"/>
              <w:rPr>
                <w:sz w:val="20"/>
                <w:szCs w:val="20"/>
                <w:color w:val="auto"/>
              </w:rPr>
            </w:pPr>
            <w:r>
              <w:rPr>
                <w:rFonts w:ascii="Arial" w:cs="Arial" w:eastAsia="Arial" w:hAnsi="Arial"/>
                <w:sz w:val="20"/>
                <w:szCs w:val="20"/>
                <w:color w:val="auto"/>
              </w:rPr>
              <w:t>4%</w:t>
            </w:r>
          </w:p>
        </w:tc>
        <w:tc>
          <w:tcPr>
            <w:tcW w:w="96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Other</w:t>
            </w:r>
          </w:p>
        </w:tc>
        <w:tc>
          <w:tcPr>
            <w:tcW w:w="1880" w:type="dxa"/>
            <w:vAlign w:val="bottom"/>
          </w:tcPr>
          <w:p>
            <w:pPr>
              <w:jc w:val="right"/>
              <w:ind w:right="581"/>
              <w:spacing w:after="0"/>
              <w:rPr>
                <w:sz w:val="20"/>
                <w:szCs w:val="20"/>
                <w:color w:val="auto"/>
              </w:rPr>
            </w:pPr>
            <w:r>
              <w:rPr>
                <w:rFonts w:ascii="Arial" w:cs="Arial" w:eastAsia="Arial" w:hAnsi="Arial"/>
                <w:sz w:val="20"/>
                <w:szCs w:val="20"/>
                <w:color w:val="auto"/>
              </w:rPr>
              <w:t>1%</w:t>
            </w:r>
          </w:p>
        </w:tc>
        <w:tc>
          <w:tcPr>
            <w:tcW w:w="1660" w:type="dxa"/>
            <w:vAlign w:val="bottom"/>
          </w:tcPr>
          <w:p>
            <w:pPr>
              <w:jc w:val="right"/>
              <w:ind w:right="601"/>
              <w:spacing w:after="0"/>
              <w:rPr>
                <w:sz w:val="20"/>
                <w:szCs w:val="20"/>
                <w:color w:val="auto"/>
              </w:rPr>
            </w:pPr>
            <w:r>
              <w:rPr>
                <w:rFonts w:ascii="Arial" w:cs="Arial" w:eastAsia="Arial" w:hAnsi="Arial"/>
                <w:sz w:val="20"/>
                <w:szCs w:val="20"/>
                <w:color w:val="auto"/>
              </w:rPr>
              <w:t>2%</w:t>
            </w:r>
          </w:p>
        </w:tc>
        <w:tc>
          <w:tcPr>
            <w:tcW w:w="1640" w:type="dxa"/>
            <w:vAlign w:val="bottom"/>
          </w:tcPr>
          <w:p>
            <w:pPr>
              <w:jc w:val="right"/>
              <w:ind w:right="581"/>
              <w:spacing w:after="0"/>
              <w:rPr>
                <w:sz w:val="20"/>
                <w:szCs w:val="20"/>
                <w:color w:val="auto"/>
              </w:rPr>
            </w:pPr>
            <w:r>
              <w:rPr>
                <w:rFonts w:ascii="Arial" w:cs="Arial" w:eastAsia="Arial" w:hAnsi="Arial"/>
                <w:sz w:val="20"/>
                <w:szCs w:val="20"/>
                <w:color w:val="auto"/>
              </w:rPr>
              <w:t>2%</w:t>
            </w:r>
          </w:p>
        </w:tc>
        <w:tc>
          <w:tcPr>
            <w:tcW w:w="96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certain bottlers of the Coca-Cola Hellenic Bottling Company, Swire Coca-Cola, USA and certain other Coca-Cola Company independent bottlers, Anheuser-Busch, Inc. (“AB”), select independent AB distributors, Asahi, Kalil Bottling Group, Wal-Mart, Inc. (including Sam’s Club) and Costco. A decision by any large customer to decrease amounts purchased from us or to cease carrying our products could have a material negative effect on our financial condition and consolidated results of operations. CCR accounted for approximately 28% and 29% of our net sales for the three-months ended September 30, 2014 and 2013, respectively. CCR accounted for approximately 29% of our net sales for both the nine-months ended September 30, 2014 and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sets forth key statistics for the three- and nine-months ended September 30, 2014 and 2013,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Three-Months Ended</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Percentage</w:t>
            </w:r>
          </w:p>
        </w:tc>
        <w:tc>
          <w:tcPr>
            <w:tcW w:w="340" w:type="dxa"/>
            <w:vAlign w:val="bottom"/>
          </w:tcPr>
          <w:p>
            <w:pPr>
              <w:spacing w:after="0"/>
              <w:rPr>
                <w:sz w:val="17"/>
                <w:szCs w:val="17"/>
                <w:color w:val="auto"/>
              </w:rPr>
            </w:pPr>
          </w:p>
        </w:tc>
        <w:tc>
          <w:tcPr>
            <w:tcW w:w="212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Nine-Months Ended</w:t>
            </w:r>
          </w:p>
        </w:tc>
        <w:tc>
          <w:tcPr>
            <w:tcW w:w="12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6"/>
                <w:szCs w:val="16"/>
                <w:color w:val="auto"/>
              </w:rPr>
              <w:t>(In thousands, except per share amounts)</w:t>
            </w:r>
          </w:p>
        </w:tc>
        <w:tc>
          <w:tcPr>
            <w:tcW w:w="3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Change</w:t>
            </w:r>
          </w:p>
        </w:tc>
        <w:tc>
          <w:tcPr>
            <w:tcW w:w="340" w:type="dxa"/>
            <w:vAlign w:val="bottom"/>
          </w:tcPr>
          <w:p>
            <w:pPr>
              <w:spacing w:after="0"/>
              <w:rPr>
                <w:sz w:val="18"/>
                <w:szCs w:val="18"/>
                <w:color w:val="auto"/>
              </w:rPr>
            </w:pPr>
          </w:p>
        </w:tc>
        <w:tc>
          <w:tcPr>
            <w:tcW w:w="21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14 vs. 13</w:t>
            </w: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14 vs. 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tcPr>
          <w:p>
            <w:pPr>
              <w:spacing w:after="0"/>
              <w:rPr>
                <w:sz w:val="20"/>
                <w:szCs w:val="20"/>
                <w:color w:val="auto"/>
              </w:rPr>
            </w:pPr>
            <w:r>
              <w:rPr>
                <w:rFonts w:ascii="Arial" w:cs="Arial" w:eastAsia="Arial" w:hAnsi="Arial"/>
                <w:sz w:val="16"/>
                <w:szCs w:val="16"/>
                <w:color w:val="auto"/>
              </w:rPr>
              <w:t>Gross sales, net of discounts &amp; returns *</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738,123</w:t>
            </w:r>
          </w:p>
        </w:tc>
        <w:tc>
          <w:tcPr>
            <w:tcW w:w="180" w:type="dxa"/>
            <w:vAlign w:val="bottom"/>
          </w:tcPr>
          <w:p>
            <w:pPr>
              <w:spacing w:after="0"/>
              <w:rPr>
                <w:sz w:val="17"/>
                <w:szCs w:val="17"/>
                <w:color w:val="auto"/>
              </w:rPr>
            </w:pP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686,623</w:t>
            </w:r>
          </w:p>
        </w:tc>
        <w:tc>
          <w:tcPr>
            <w:tcW w:w="1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2,130,802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1,965,461</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780" w:type="dxa"/>
            <w:vAlign w:val="bottom"/>
          </w:tcPr>
          <w:p>
            <w:pPr>
              <w:spacing w:after="0"/>
              <w:rPr>
                <w:sz w:val="20"/>
                <w:szCs w:val="20"/>
                <w:color w:val="auto"/>
              </w:rPr>
            </w:pPr>
            <w:r>
              <w:rPr>
                <w:rFonts w:ascii="Arial" w:cs="Arial" w:eastAsia="Arial" w:hAnsi="Arial"/>
                <w:sz w:val="16"/>
                <w:szCs w:val="16"/>
                <w:color w:val="auto"/>
              </w:rPr>
              <w:t>Less: Promotional and other allowances**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102,151</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96,201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271,501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259,882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635,972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590,422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1,859,301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1,705,579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780" w:type="dxa"/>
            <w:vAlign w:val="bottom"/>
          </w:tcPr>
          <w:p>
            <w:pPr>
              <w:spacing w:after="0"/>
              <w:rPr>
                <w:sz w:val="20"/>
                <w:szCs w:val="20"/>
                <w:color w:val="auto"/>
              </w:rPr>
            </w:pPr>
            <w:r>
              <w:rPr>
                <w:rFonts w:ascii="Arial" w:cs="Arial" w:eastAsia="Arial" w:hAnsi="Arial"/>
                <w:sz w:val="16"/>
                <w:szCs w:val="16"/>
                <w:color w:val="auto"/>
              </w:rPr>
              <w:t>Cost of sales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294,052</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282,952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851,274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809,809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80" w:type="dxa"/>
            <w:vAlign w:val="bottom"/>
          </w:tcPr>
          <w:p>
            <w:pPr>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341,920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307,470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1,008,027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895,770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Gross profit as a percentage of net sales</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78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152,013</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156,041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453,443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457,610</w:t>
            </w: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Operating expenses as a percentage of net sales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780" w:type="dxa"/>
            <w:vAlign w:val="bottom"/>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189,907</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151,429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554,584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438,160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Operating income as a percentage of net sales</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780" w:type="dxa"/>
            <w:vAlign w:val="bottom"/>
          </w:tcPr>
          <w:p>
            <w:pPr>
              <w:spacing w:after="0"/>
              <w:rPr>
                <w:sz w:val="20"/>
                <w:szCs w:val="20"/>
                <w:color w:val="auto"/>
              </w:rPr>
            </w:pPr>
            <w:r>
              <w:rPr>
                <w:rFonts w:ascii="Arial" w:cs="Arial" w:eastAsia="Arial" w:hAnsi="Arial"/>
                <w:sz w:val="16"/>
                <w:szCs w:val="16"/>
                <w:color w:val="auto"/>
              </w:rPr>
              <w:t>Other (expense) income: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Interest and other (expense) income, net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(8,690)</w:t>
            </w: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(Loss) gain on investments and put options, net</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rPr>
                <w:sz w:val="20"/>
                <w:szCs w:val="20"/>
                <w:color w:val="auto"/>
              </w:rPr>
            </w:pPr>
            <w:r>
              <w:rPr>
                <w:rFonts w:ascii="Arial" w:cs="Arial" w:eastAsia="Arial" w:hAnsi="Arial"/>
                <w:sz w:val="16"/>
                <w:szCs w:val="16"/>
                <w:color w:val="auto"/>
              </w:rPr>
              <w:t>Total other (expense) income</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(6,009)</w:t>
            </w:r>
          </w:p>
        </w:tc>
        <w:tc>
          <w:tcPr>
            <w:tcW w:w="1280" w:type="dxa"/>
            <w:vAlign w:val="bottom"/>
            <w:gridSpan w:val="3"/>
          </w:tcPr>
          <w:p>
            <w:pPr>
              <w:jc w:val="right"/>
              <w:ind w:right="2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595"/>
        </w:trPr>
        <w:tc>
          <w:tcPr>
            <w:tcW w:w="3780" w:type="dxa"/>
            <w:vAlign w:val="bottom"/>
          </w:tcPr>
          <w:p>
            <w:pPr>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188,869</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150,723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553,877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432,151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7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67,269</w:t>
            </w:r>
          </w:p>
        </w:tc>
        <w:tc>
          <w:tcPr>
            <w:tcW w:w="1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58,536</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196,023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169,596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780" w:type="dxa"/>
            <w:vAlign w:val="bottom"/>
          </w:tcPr>
          <w:p>
            <w:pPr>
              <w:spacing w:after="0"/>
              <w:rPr>
                <w:sz w:val="20"/>
                <w:szCs w:val="20"/>
                <w:color w:val="auto"/>
              </w:rPr>
            </w:pPr>
            <w:r>
              <w:rPr>
                <w:rFonts w:ascii="Arial" w:cs="Arial" w:eastAsia="Arial" w:hAnsi="Arial"/>
                <w:sz w:val="16"/>
                <w:szCs w:val="16"/>
                <w:color w:val="auto"/>
                <w:w w:val="98"/>
              </w:rPr>
              <w:t>Income taxes as a percentage of income before taxes</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8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121,600</w:t>
            </w:r>
          </w:p>
        </w:tc>
        <w:tc>
          <w:tcPr>
            <w:tcW w:w="180" w:type="dxa"/>
            <w:vAlign w:val="bottom"/>
          </w:tcPr>
          <w:p>
            <w:pPr>
              <w:spacing w:after="0"/>
              <w:rPr>
                <w:sz w:val="24"/>
                <w:szCs w:val="24"/>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92,187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357,854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262,555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color w:val="auto"/>
              </w:rPr>
              <w:t>Net income as a percentage of net sales</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7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$0.73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$0.55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$0.53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3780" w:type="dxa"/>
            <w:vAlign w:val="bottom"/>
          </w:tcPr>
          <w:p>
            <w:pPr>
              <w:spacing w:after="0"/>
              <w:rPr>
                <w:sz w:val="20"/>
                <w:szCs w:val="20"/>
                <w:color w:val="auto"/>
              </w:rPr>
            </w:pPr>
            <w:r>
              <w:rPr>
                <w:rFonts w:ascii="Arial" w:cs="Arial" w:eastAsia="Arial" w:hAnsi="Arial"/>
                <w:sz w:val="16"/>
                <w:szCs w:val="16"/>
                <w:color w:val="auto"/>
              </w:rPr>
              <w:t>Case sales (in thousands)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80"/>
              <w:spacing w:after="0"/>
              <w:rPr>
                <w:sz w:val="20"/>
                <w:szCs w:val="20"/>
                <w:color w:val="auto"/>
              </w:rPr>
            </w:pPr>
            <w:r>
              <w:rPr>
                <w:rFonts w:ascii="Arial" w:cs="Arial" w:eastAsia="Arial" w:hAnsi="Arial"/>
                <w:sz w:val="16"/>
                <w:szCs w:val="16"/>
                <w:color w:val="auto"/>
              </w:rPr>
              <w:t>(in 192-ounce case equivalents)</w:t>
            </w:r>
          </w:p>
        </w:tc>
        <w:tc>
          <w:tcPr>
            <w:tcW w:w="34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62,204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59,204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179,717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168,568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ectPr>
          <w:pgSz w:w="11900" w:h="16838" w:orient="portrait"/>
          <w:cols w:equalWidth="0" w:num="1">
            <w:col w:w="11420"/>
          </w:cols>
          <w:pgMar w:left="240" w:top="121" w:right="239" w:bottom="0" w:gutter="0" w:footer="0" w:header="0"/>
        </w:sectPr>
      </w:pPr>
    </w:p>
    <w:bookmarkStart w:id="23" w:name="page24"/>
    <w:bookmarkEnd w:id="23"/>
    <w:p>
      <w:pPr>
        <w:jc w:val="both"/>
        <w:ind w:firstLine="8"/>
        <w:spacing w:after="0" w:line="268" w:lineRule="auto"/>
        <w:tabs>
          <w:tab w:leader="none" w:pos="225" w:val="left"/>
        </w:tabs>
        <w:numPr>
          <w:ilvl w:val="0"/>
          <w:numId w:val="26"/>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Three-Months Ended September 30, 2014 Compared to the Three-Months Ended September 30, 2013.</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$738.1 million for the three-months ended September 30, 2014, an increase of approximately $51.5</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7.5% higher than gross sales of $686.6 million for the three-months ended September 30, 2013. The increase in the gross sales of our Monster Energy® brand energy drinks represented approximately $51.0 million, or 99.1%, of the overall increase in gross sales. Gross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9% of the overall increase in gross sales. No other individual product line contributed either a material increase or decrease to gross sales for the three-months ended September 30, 2014. Promotional and other allowances, as described in the footnote above, were $102.2 million for the three-months ended September 30, 2014, an increase of $5.9 million, or 6.2% higher than promotional and other allowances of $96.2 million for the three-months ended September 30, 2013. Promotional and other allowances as a percentage of gross sales decreased to 13.8% from 14.0% for the three-months ended September 30, 2014 and 2013, respectively. As a result, the percentage increase in net sales for the three-months ended September 30, 2014 was higher than the percentage increase in gross sales.</w:t>
      </w:r>
    </w:p>
    <w:p>
      <w:pPr>
        <w:spacing w:after="0" w:line="199" w:lineRule="exact"/>
        <w:rPr>
          <w:sz w:val="20"/>
          <w:szCs w:val="20"/>
          <w:color w:val="auto"/>
        </w:rPr>
      </w:pPr>
    </w:p>
    <w:p>
      <w:pPr>
        <w:jc w:val="both"/>
        <w:ind w:firstLine="687"/>
        <w:spacing w:after="0" w:line="27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$636.0 million for the three-months ended September 30, 2014, an increase of approximately $45.6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7.7% higher than net sales of $590.4 million for the three-months ended September 30, 2013. The increase in net sales of our Monster Energy® brand energy drinks represented approximately $43.4 million, or 95.2%, of the overall increase in net sales. Net sales of our Monster Energy® brand energy drinks increased partially due to increased sales by volume as a result of increased domestic and international consumer demand as well as our expansion into new international markets. Price increases on our 24-ounce Monster Energy® brand energy drinks and our Peace Tea® line represented approximately 10% of the overall increase in net sales. No other individual product line contributed either a material increase or decrease to net sales for the three-months ended September 30, 2014.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62.2 million cases for the three-months ended September 30, 2014, an increase of approximately 3.0 million cases or 5.1% higher than case sales of 59.2 million cases for the three-months ended September 30, 2013. The overall average net sales per case increased to $10.22 for the three-months ended September 30, 2014, which was 2.5% higher than the average net sales per case of $9.97 for the three-months ended September 30, 2013.</w:t>
      </w:r>
    </w:p>
    <w:p>
      <w:pPr>
        <w:spacing w:after="0" w:line="205" w:lineRule="exact"/>
        <w:rPr>
          <w:sz w:val="20"/>
          <w:szCs w:val="20"/>
          <w:color w:val="auto"/>
        </w:rPr>
      </w:pPr>
    </w:p>
    <w:p>
      <w:pPr>
        <w:jc w:val="both"/>
        <w:ind w:firstLine="687"/>
        <w:spacing w:after="0" w:line="257" w:lineRule="auto"/>
        <w:rPr>
          <w:sz w:val="20"/>
          <w:szCs w:val="20"/>
          <w:color w:val="auto"/>
        </w:rPr>
      </w:pPr>
      <w:r>
        <w:rPr>
          <w:rFonts w:ascii="Arial" w:cs="Arial" w:eastAsia="Arial" w:hAnsi="Arial"/>
          <w:sz w:val="19"/>
          <w:szCs w:val="19"/>
          <w:color w:val="auto"/>
        </w:rPr>
        <w:t>Net sales for the DSD segment were $609.9 million for the three-months ended September 30, 2014, an increase of approximately $43.2 million, or 7.6% higher than net sales of $566.8 million for the three-months ended September 30, 2013. The increase in net sales of our Monster Energy® brand energy drinks represented approximately $43.4 million, or 100.5%, of the overall increase in net sales for the DSD segment. Net sales for the DSD segment of our Monster Energy® brand energy drinks increased partially due to increased sales by volume as a result of increased domestic and international consumer demand as well as our expansion into new international markets. Price increases on our 24-ounce Monster Energy® brand energy drinks and our Peace Tea® line represented approximately 10% of the overall increase in net sales for the DSD segment. No other individual product line contributed either a material increase or decrease to net sales for the DSD segment for the three-months ended September 30, 2014.</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Warehouse segment were $26.0 million for the three-months ended September 30, 2014, an increase of approximately $2.4 million, or 10.1% higher than net sales of $23.7 million for the three-months ended September 30, 2013. The increase in net sales for the Warehouse segment was primarily attributable to increased sales by volume of aseptic juices and increased sales by volume of Hubert’s® lemonades.</w:t>
      </w:r>
    </w:p>
    <w:p>
      <w:pPr>
        <w:spacing w:after="0" w:line="20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$341.9 million for the three-months ended September 30, 2014, an increase of approximately $34.5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11.2% higher than the gross profit of $307.5 million for the three-months ended September 30, 2013. Gross profit as a percentage of net sales increased to 53.8% for the three-months ended September 30, 2014 from 52.1% for the three-months ended September 30, 2013. The increase in gross profit dollars was primarily the result of the $51.0 million increase in gross sales of our Monster Energy® brand energy drinks. The increase in gross profit as a percentage of net sales was largely attributable to lower costs of certain sweeteners and other raw</w:t>
      </w:r>
    </w:p>
    <w:p>
      <w:pPr>
        <w:sectPr>
          <w:pgSz w:w="11900" w:h="16838" w:orient="portrait"/>
          <w:cols w:equalWidth="0" w:num="1">
            <w:col w:w="11420"/>
          </w:cols>
          <w:pgMar w:left="240" w:top="341" w:right="239" w:bottom="0" w:gutter="0" w:footer="0" w:header="0"/>
        </w:sectPr>
      </w:pPr>
    </w:p>
    <w:bookmarkStart w:id="24" w:name="page25"/>
    <w:bookmarkEnd w:id="24"/>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materials, price increases on our 24-ounce Monster Energy® brand energy drinks and our Peace Tea® line, changes in product sales mix, an increase in production efficiencies and lower promotional and other allowances as a percentage of gross sales.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$152.0 million for the three-months ended September 30, 2014,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$4.0 million, or 2.6% lower than total operating expenses of $156.0 million for the three-months ended September 30, 2013. The decrease in operating expenses was partially attributable to decreased expenditures of $2.8 million for allocated trade development, a $2.5 million non-routine indirect tax related provision recorded in the third quarter of 2013, subsequently reversed in the second quarter of 2014 for non-realization, decreased expenditures of $1.7 million for distribution costs, decreased expenditures of $1.6 million for premiums and decreased expenditures of $1.1 million related to regulatory matters and litigation concerning our Monster Energy® brand energy drinks. The decrease in operating expenses was partially offset by increased payroll expenses of $2.8 million (of which $0.2 million was related to an increase in stock-based compensation) and expenditures of $2.6 million for professional service costs related to the Coca-Cola Transaction.</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$232.7 million for the three-months ended September 30, 2014,</w:t>
      </w:r>
      <w:r>
        <w:rPr>
          <w:rFonts w:ascii="Arial" w:cs="Arial" w:eastAsia="Arial" w:hAnsi="Arial"/>
          <w:sz w:val="20"/>
          <w:szCs w:val="20"/>
          <w:i w:val="1"/>
          <w:iCs w:val="1"/>
          <w:color w:val="auto"/>
        </w:rPr>
        <w:t xml:space="preserve"> </w:t>
      </w:r>
      <w:r>
        <w:rPr>
          <w:rFonts w:ascii="Arial" w:cs="Arial" w:eastAsia="Arial" w:hAnsi="Arial"/>
          <w:sz w:val="20"/>
          <w:szCs w:val="20"/>
          <w:color w:val="auto"/>
        </w:rPr>
        <w:t>an increase of approximately $37.8 million, or 19.4% higher than contribution margin of $194.9 million for the three-months ended September 30, 2013. The increase in the contribution margin for the DSD segment was primarily the result of the $51.0 million increase in gross sales of our Monster Energy® brand energy drinks. Contribution margin for the Warehouse segment was $0.6 million for the three-months ended September 30, 2014, approximately $2.8 million higher than contribution loss of ($2.2) million for the three-months ended September 30, 2013.</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$189.9 million for the three-months ended September 30, 2014,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$38.5 million, or 25.4% higher than operating income of $151.4 million for the three-months ended September 30, 2013. Operating income as a percentage of net sales increased to 29.9% for the three-months ended September 30, 2014 from 25.6% for the three-months ended September 30, 2013, primarily due to the increase in gross profit as a percentage of net sales as well as the decrease in operating expenses as a percentage of net sales. The increase in operating income in dollars was primarily due to an increase of $34.5 million in gross profit. Operating income (loss) was $9.4 million and ($5.2) million for the three-months ended September 30, 2014 and 2013,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Other (Expense) Income</w:t>
      </w:r>
      <w:r>
        <w:rPr>
          <w:rFonts w:ascii="Arial" w:cs="Arial" w:eastAsia="Arial" w:hAnsi="Arial"/>
          <w:sz w:val="20"/>
          <w:szCs w:val="20"/>
          <w:color w:val="auto"/>
        </w:rPr>
        <w:t>. Other (expense) income was ($1.0) million for the three-months ended September 30, 2014,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other (expense) income of ($0.7) million for the three-months ended September 30, 2013. Foreign currency transaction losses were ($1.5) million and ($1.0) million for the three-months ended September 30, 2014 and 2013, respectively. The increase in foreign currency losses during the three-months ended September 30, 2014 was primarily related to our foreign currency transactions in Australia, Canada, Chile, Japan, Mexico and South Africa. Interest income was $0.4 million and $0.3 million for the three-months ended September 30, 2014 and 2013, respectively.</w:t>
      </w:r>
    </w:p>
    <w:p>
      <w:pPr>
        <w:spacing w:after="0" w:line="21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$67.3 million for the three-months ended September 30, 2014,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$8.7 million or 14.9% higher than the provision for income taxes of $58.5 million for the three-months ended September 30, 2013. The effective combined federal, state and foreign tax rate decreased to 35.6% from 38.8% for the three-months ended September 30,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$121.6 million for the three-months ended September 30, 2014, an increase of $29.4 million or 31.9%</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$92.2 million for the three-months ended September 30, 2013. The increase in net income was primarily attributable to an increase in gross profit of $34.5 million as well as a decrease in operating expenses of $4.0 million. The increase in net income was partially offset by an increase in the provision for income taxes of $8.7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Nine-Months Ended September 30, 2014 Compared to the Nine-Months Ended September 30, 2013.</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$2,130.8 million for the nine-months ended September 30, 2014, an increase of approximately $165.3</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8.4% higher than gross sales of $1,965.5 million for the nine-months ended September 30, 2013. The increase in the gross sales of our Monster Energy® brand energy drinks represented approximately $162.9 million, or 98.5%, of the overall increase in gross sales. Gross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8% of the overall increase in gross sales. No other individual product line contributed either a material increase or decrease to gross sales for the nine-months ended September 30, 2014. Promotional and other allowances, as described in the footnote above, were $271.5 million for the nine-months ended September 30, 2014, an increase of $11.6 million, or 4.5% higher than promotional and other allowances of $259.9 million for the nine-months ended September 30, 2013. Promotional and other allowances as a percentage of gross sales decreased to 12.7% from 13.2% for the nine-months ended September 30, 2014 and 2013, respectively. As a result, the percentage increase in net sales for the nine-months ended September 30, 2014 was higher than the percentage increase in gross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912" w:orient="portrait"/>
          <w:cols w:equalWidth="0" w:num="1">
            <w:col w:w="11420"/>
          </w:cols>
          <w:pgMar w:left="240" w:top="121" w:right="239" w:bottom="0" w:gutter="0" w:footer="0" w:header="0"/>
        </w:sectPr>
      </w:pPr>
    </w:p>
    <w:p>
      <w:pPr>
        <w:spacing w:after="0" w:line="223" w:lineRule="exact"/>
        <w:rPr>
          <w:sz w:val="20"/>
          <w:szCs w:val="20"/>
          <w:color w:val="auto"/>
        </w:rPr>
      </w:pPr>
    </w:p>
    <w:p>
      <w:pPr>
        <w:ind w:firstLine="687"/>
        <w:spacing w:after="0" w:line="316"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$1,859.3 million for the nine-months ended September 30, 2014, an increase of approximately $153.7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9.0% higher than net sales of $1,705.6 million for the nine-months ended September 30, 2013. The increase in net sales of our</w:t>
      </w:r>
    </w:p>
    <w:p>
      <w:pPr>
        <w:sectPr>
          <w:pgSz w:w="11900" w:h="16912" w:orient="portrait"/>
          <w:cols w:equalWidth="0" w:num="1">
            <w:col w:w="11420"/>
          </w:cols>
          <w:pgMar w:left="240" w:top="121" w:right="239" w:bottom="0" w:gutter="0" w:footer="0" w:header="0"/>
          <w:type w:val="continuous"/>
        </w:sectPr>
      </w:pPr>
    </w:p>
    <w:bookmarkStart w:id="25" w:name="page26"/>
    <w:bookmarkEnd w:id="25"/>
    <w:p>
      <w:pPr>
        <w:jc w:val="both"/>
        <w:spacing w:after="0" w:line="279" w:lineRule="auto"/>
        <w:rPr>
          <w:sz w:val="20"/>
          <w:szCs w:val="20"/>
          <w:color w:val="auto"/>
        </w:rPr>
      </w:pPr>
      <w:r>
        <w:rPr>
          <w:rFonts w:ascii="Arial" w:cs="Arial" w:eastAsia="Arial" w:hAnsi="Arial"/>
          <w:sz w:val="18"/>
          <w:szCs w:val="18"/>
          <w:color w:val="auto"/>
        </w:rPr>
        <w:t>Monster Energy® brand energy drinks represented approximately $153.9 million, or 100.1%, of the overall increase in net sales. Net sales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8% of the overall increase in net sales. No other individual product line contributed either a material increase or decrease to net sales for the nine-months ended September 30, 2014.</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Case sales, in 192-ounce case equivalents, were 179.7 million cases for the nine-months ended September 30, 2014, an increase of approximately 11.1 million cases or 6.6% higher than case sales of 168.6 million cases for the nine-months ended September 30, 2013. The overall average net sales per case increased to $10.35 for the nine-months ended September 30, 2014, which was 2.2% higher than the average net sales per case of $10.12 for the nine-months ended September 30, 2013.</w:t>
      </w:r>
    </w:p>
    <w:p>
      <w:pPr>
        <w:spacing w:after="0" w:line="205" w:lineRule="exact"/>
        <w:rPr>
          <w:sz w:val="20"/>
          <w:szCs w:val="20"/>
          <w:color w:val="auto"/>
        </w:rPr>
      </w:pPr>
    </w:p>
    <w:p>
      <w:pPr>
        <w:jc w:val="both"/>
        <w:ind w:firstLine="687"/>
        <w:spacing w:after="0" w:line="257" w:lineRule="auto"/>
        <w:rPr>
          <w:sz w:val="20"/>
          <w:szCs w:val="20"/>
          <w:color w:val="auto"/>
        </w:rPr>
      </w:pPr>
      <w:r>
        <w:rPr>
          <w:rFonts w:ascii="Arial" w:cs="Arial" w:eastAsia="Arial" w:hAnsi="Arial"/>
          <w:sz w:val="19"/>
          <w:szCs w:val="19"/>
          <w:color w:val="auto"/>
        </w:rPr>
        <w:t>Net sales for the DSD segment were $1,784.4 million for the nine-months ended September 30, 2014, an increase of approximately $156.5 million, or 9.6% higher than net sales of $1,627.9 million for the nine-months ended September 30, 2013. The increase in net sales of our Monster Energy® brand energy drinks represented approximately $153.9 million, or 98.3%,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Price increases on our 24-ounce Monster Energy® brand energy drinks and our Peace Tea® line represented approximately 8% of the overall increase in net sales for the DSD segment. No other individual product line contributed either a material increase or decrease to net sales for the DSD segment for the nine-months ended September 30, 2014.</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Net sales for the Warehouse segment were $74.9 million for the nine-months ended September 30, 2014, a decrease of approximately $2.7 million, or 3.5% lower than net sales of $77.6 million for the nine-months ended September 30, 2013. The decrease in net sales for the Warehouse segment was primarily attributable to decreased sales by volume of Hubert’s® lemonades and apple juice. The decrease in net sales for the Warehouse segment was partially offset by increased sales by volume of aseptic juices.</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$1,008.0 million for the nine-months ended September 30, 2014, an increase of approximately $112.3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12.5% higher than the gross profit of $895.8 million for the nine-months ended September 30, 2013. Gross profit as a percentage of net sales increased to 54.2% for the nine-months ended September 30, 2014 from 52.5% for the nine-months ended September 30, 2013. The increase in gross profit dollars was primarily the result of the $162.9 million increase in gross sales of our Monster Energy® brand energy drinks. The increase in gross profit as a percentage of net sales was largely attributable to lower promotional and other allowances as a percentage of gross sales, price increases on our 24-ounce Monster Energy® brand energy drinks and our Peace Tea® line, changes in product sales mix, lower costs of certain sweeteners and other raw materials as well as an increase in production efficiencies.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$453.4 million for the nine-months ended September 30, 2014,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$4.2 million, or 0.9% lower than total operating expenses of $457.6 million for the nine-months ended September 30, 2013. The decrease in operating expenses was partially attributable to decreased expenditures of $10.9 million relating to the costs associated with terminating existing distributors, decreased expenditures of $10.3 million for premiums, decreased expenditures of $6.6 million for allocated trade development, a $2.5 million non-routine indirect tax related provision recorded in the third quarter of 2013, subsequently reversed in the second quarter of 2014 for non-realization, and decreased expenditures of $4.3 million for point-of-sale materials. The decrease in operating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expenses was partially offset by increased out-bound freight and warehouse costs of $6.7 million, increased expenditures of $6.2 million for sponsorships and endorsements, increased payroll expenses of $6.0 million (of which $0.9 million related to an increase in stock-based compensation), increased expenditures of $4.5 million related to regulatory matters and litigation concerning our Monster Energy® brand energy drinks and expenditures of $3.6 million for professional service costs related to the Coca-Cola Transaction.</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DSD segment was $675.3 million for the nine-months ended September 30, 2014,</w:t>
      </w:r>
      <w:r>
        <w:rPr>
          <w:rFonts w:ascii="Arial" w:cs="Arial" w:eastAsia="Arial" w:hAnsi="Arial"/>
          <w:sz w:val="20"/>
          <w:szCs w:val="20"/>
          <w:i w:val="1"/>
          <w:iCs w:val="1"/>
          <w:color w:val="auto"/>
        </w:rPr>
        <w:t xml:space="preserve"> </w:t>
      </w:r>
      <w:r>
        <w:rPr>
          <w:rFonts w:ascii="Arial" w:cs="Arial" w:eastAsia="Arial" w:hAnsi="Arial"/>
          <w:sz w:val="20"/>
          <w:szCs w:val="20"/>
          <w:color w:val="auto"/>
        </w:rPr>
        <w:t>an increase of approximately $126.4 million, or 23.0% higher than contribution margin of $548.9 million for the nine-months ended September 30, 2013. The increase in the contribution margin for the DSD segment was primarily the result of the $162.9 million increase in gross sales of our Monster Energy® brand energy drinks. Contribution margin for the Warehouse segment was $2.2 million for the nine-months ended September 30, 2014, approximately $2.9 million higher than contribution loss of ($0.7) million for the nine-months ended September 30, 2013.</w:t>
      </w:r>
    </w:p>
    <w:p>
      <w:pPr>
        <w:spacing w:after="0" w:line="21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$554.6 million for the nine-months ended September 30, 2014,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$116.4 million, or 26.6% higher than operating income of $438.2 million for the nine-months ended September 30, 2013. Operating income as a percentage of net sales increased to 29.8% for the nine-months ended September 30, 2014 from 25.7% for the nine-months ended September 30, 2013, primarily due to the increase in gross profit as a percentage of net sales as well as the decrease in operating expenses as a percentage of net sales. The increase in operating income in dollars was primarily due to an increase of $112.3 million in gross profit. Operating income (loss) was $24.0 million and ($9.1) million for the nine-months ended September 30, 2014 and 2013, respectively, in relation to our operations in Africa, Asia, Australia, Europe, the Middle East and South America.</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Other (Expense) Income</w:t>
      </w:r>
      <w:r>
        <w:rPr>
          <w:rFonts w:ascii="Arial" w:cs="Arial" w:eastAsia="Arial" w:hAnsi="Arial"/>
          <w:sz w:val="20"/>
          <w:szCs w:val="20"/>
          <w:color w:val="auto"/>
        </w:rPr>
        <w:t>. Other (expense) income was ($0.7) million for the nine-months ended September 30, 2014,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other (expense) income of ($6.0) million for the nine-months ended September 30, 2013. Foreign currency transaction losses were ($2.1) million and ($9.3) million for the nine-months ended September 30, 2014 and 2013, respectively. The decrease in foreign currency losses during the nine-months ended September 30, 2014 was primarily related to our foreign currency transactions in Australia, Canada, Japan, Ireland and South Africa. Interest income was $1.2 million and $0.6 million for the nine-months ended September 30, 2014 and 2013, respectively.</w:t>
      </w:r>
    </w:p>
    <w:p>
      <w:pPr>
        <w:sectPr>
          <w:pgSz w:w="11900" w:h="16838" w:orient="portrait"/>
          <w:cols w:equalWidth="0" w:num="1">
            <w:col w:w="11420"/>
          </w:cols>
          <w:pgMar w:left="240" w:top="121" w:right="239" w:bottom="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$196.0 million for the nine-months ended September 30, 2014,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$26.4 million or 15.6% higher than the provision for income taxes of $169.6 million for the nine-months ended September 30, 2013. The effective combined federal, state and foreign tax rate decreased to 35.4% from 39.2% for the nine-months ended September 30, 2014 and 2013, respectively. The decrease in the effective tax rate was primarily the result of profits earned in certain foreign subsidiaries that have no related income tax expense, as a result of the prior establishment of valuation allowances on their deferred tax assets.</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$357.9 million for the nine-months ended September 30, 2014, an increase of $95.3 million or 36.3%</w:t>
      </w:r>
      <w:r>
        <w:rPr>
          <w:rFonts w:ascii="Arial" w:cs="Arial" w:eastAsia="Arial" w:hAnsi="Arial"/>
          <w:sz w:val="20"/>
          <w:szCs w:val="20"/>
          <w:i w:val="1"/>
          <w:iCs w:val="1"/>
          <w:color w:val="auto"/>
        </w:rPr>
        <w:t xml:space="preserve"> </w:t>
      </w:r>
      <w:r>
        <w:rPr>
          <w:rFonts w:ascii="Arial" w:cs="Arial" w:eastAsia="Arial" w:hAnsi="Arial"/>
          <w:sz w:val="20"/>
          <w:szCs w:val="20"/>
          <w:color w:val="auto"/>
        </w:rPr>
        <w:t>higher than net income of $262.6 million for the nine-months ended September 30, 2013. The increase in net income was primarily attributable to an increase in gross profit of $112.3 million. The increase in net income was partially offset by an increase in the provision for income taxes of $26.4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$407.0 million for the nine-months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2014, as compared with net cash provided by operating activities of $275.8 million for the nine-months ended September 30, 2013. For the nine-months ended September 30, 2014, cash provided by operating activities was primarily attributable to net income earned of $357.9 million and adjustments for certain non-cash expenses, consisting of $22.5 million of stock-based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compensation and $19.1 million of depreciation and other amortization. For the nine-months ended September 30, 2014, cash provided by operating activities also increased due to a $32.4 million increase in accrued promotional allowances, a $30.0 million increase in accounts payable, a $13.3 million decrease in inventory, a $12.4 million increase in accrued liabilities, a $4.9 million increase in income taxes payable and a $2.0 million decrease in distributor receivables. For the nine-months ended September 30, 2014, cash provided by operating activities was reduced due to a $45.8 million increase in accounts receivable, an $11.5 million tax benefit from the exercise of stock options, a $8.7 million increase in prepaid income taxes, a $7.9 million increase in deferred income taxes, a $5.9 million decrease in deferred revenue, a $4.6 million increase in prepaid expenses and other current assets, and a $2.3 million decrease in distributor terminations.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the nine-months ended September 30, 2013, cash provided by operating activities was primarily attributable to net income earned of $262.6 million and adjustments for certain non-cash expenses consisting of $21.6 million of stock-based compensation and $16.4 million of depreciation and other amortization. For the nine-months ended September 30, 2013, cash provided by operating activities also increased due to a $78.4 million increase in income taxes payable, a $40.2 million increase in accrued promotional allowances, a $33.7 million increase in accounts payable, a $21.2 million increase in accrued liabilities, a $4.8 million increase in deferred revenue and a $3.5 million increase in accrued distributor terminations. For the nine-months ended September 30, 2013, cash provided by operating activities was reduced due to a $104.7 million increase in accounts receivable, a $46.7 million increase in inventory, a $30.3 million increase in tax benefit from the exercise of stock options, a $13.0 million increase in prepaid expenses and other current assets, a $3.4 million increase in distributor receivables, a $4.9 million increase in prepaid income taxes and a $3.1 million gain on investments.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Cash flows used in investing activities. </w:t>
      </w:r>
      <w:r>
        <w:rPr>
          <w:rFonts w:ascii="Arial" w:cs="Arial" w:eastAsia="Arial" w:hAnsi="Arial"/>
          <w:sz w:val="20"/>
          <w:szCs w:val="20"/>
          <w:color w:val="auto"/>
        </w:rPr>
        <w:t>Net cash used in investing activities was $223.0 million for the nine-months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September 30, 2014, as compared to net cash used in investing activities of $246.7 million for the nine-months ended September 30, 2013. For the nine-months ended September 30, 2014, cash used in investing activities was primarily attributable to purchases of held-to-maturity investments, purchases of property and equipment, as well as additions to intangibles. For the nine-months ended September 30, 2013, cash used in investing activities was primarily attributable to purchases of held-to-maturity investments, purchases of property and equipment, and additions to intangibles. For the nine-months ended September 30, 2014, cash provided by investing activities was primarily attributable to maturities of held-to-maturity investments. For the nine-months ended September 30, 2013, cash provided by investing activities was primarily attributable to maturities of held-to-maturity investments and proceeds from the sale of property and equipment, including the sale of real property.</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For both the nine-months ended September 30, 2014 and 2013,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the purchase of Coca-Cola’s energy drink business,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Cash flows provided by financing activities. </w:t>
      </w:r>
      <w:r>
        <w:rPr>
          <w:rFonts w:ascii="Arial" w:cs="Arial" w:eastAsia="Arial" w:hAnsi="Arial"/>
          <w:sz w:val="19"/>
          <w:szCs w:val="19"/>
          <w:color w:val="auto"/>
        </w:rPr>
        <w:t>Net cash provided by financing activities was $17.1 million for the nine-months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September 30, 2014, as compared to net cash provided by financing activities of $33.7 million for the nine-months ended September 30, 2013. For the nine-months ended September 30, 2014, cash provided by financing activities was primarily attributable to $15.1 million received from the issuance of common stock in connection with the exercise of certain stock options and an $11.5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9"/>
          <w:szCs w:val="19"/>
          <w:color w:val="auto"/>
        </w:rPr>
        <w:t>million tax benefit from the exercise of stock options. For the nine-months ended September 30, 2014, cash used in financing activities was primarily attributable to $8.1 million of re-purchases of common stock. For the nine-months ended September 30, 2013, cash provided by financing activities was primarily attributable to a $30.3 million tax benefit from the exercise of stock options and $18.2 million received from the issuance of common stock in connection with the exercise of certain stock options. For the nine-months ended September 30, 2013, cash used in financing activities was primarily attributable to $13.4 million of re-purchases of common stock.</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and coolers), leasehold improvements, acquisition and maintenance of trademarks, payments of accounts payable, income taxes payable and purchases of our common stock are expected to remain our principal recurring use of cash.</w:t>
      </w:r>
    </w:p>
    <w:p>
      <w:pPr>
        <w:spacing w:after="0" w:line="18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Cash and cash equivalents, short-term and long-term investments. </w:t>
      </w:r>
      <w:r>
        <w:rPr>
          <w:rFonts w:ascii="Arial" w:cs="Arial" w:eastAsia="Arial" w:hAnsi="Arial"/>
          <w:sz w:val="19"/>
          <w:szCs w:val="19"/>
          <w:color w:val="auto"/>
        </w:rPr>
        <w:t>At September 30, 2014, we had $408.3 million in cash and cash</w:t>
      </w:r>
      <w:r>
        <w:rPr>
          <w:rFonts w:ascii="Arial" w:cs="Arial" w:eastAsia="Arial" w:hAnsi="Arial"/>
          <w:sz w:val="19"/>
          <w:szCs w:val="19"/>
          <w:i w:val="1"/>
          <w:iCs w:val="1"/>
          <w:color w:val="auto"/>
        </w:rPr>
        <w:t xml:space="preserve"> </w:t>
      </w:r>
      <w:r>
        <w:rPr>
          <w:rFonts w:ascii="Arial" w:cs="Arial" w:eastAsia="Arial" w:hAnsi="Arial"/>
          <w:sz w:val="19"/>
          <w:szCs w:val="19"/>
          <w:color w:val="auto"/>
        </w:rPr>
        <w:t>equivalents and $616.5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Of our $408.3 million of cash and cash equivalents held at September 30, 2014, $117.1 million was held by our foreign subsidiaries. No short-term or long-term investments were held by our foreign subsidiaries at September 30, 2014.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$120.0 million through September 30, 2015. However, future business opportunities may cause a change in this estimate.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September 30,</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gridSpan w:val="8"/>
          </w:tcPr>
          <w:p>
            <w:pPr>
              <w:ind w:left="40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15"/>
        </w:trPr>
        <w:tc>
          <w:tcPr>
            <w:tcW w:w="3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Less than</w:t>
            </w:r>
          </w:p>
        </w:tc>
        <w:tc>
          <w:tcPr>
            <w:tcW w:w="320" w:type="dxa"/>
            <w:vAlign w:val="bottom"/>
          </w:tcPr>
          <w:p>
            <w:pPr>
              <w:spacing w:after="0"/>
              <w:rPr>
                <w:sz w:val="18"/>
                <w:szCs w:val="18"/>
                <w:color w:val="auto"/>
              </w:rPr>
            </w:pPr>
          </w:p>
        </w:tc>
        <w:tc>
          <w:tcPr>
            <w:tcW w:w="106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2"/>
              <w:spacing w:after="0" w:line="216" w:lineRule="exact"/>
              <w:rPr>
                <w:sz w:val="20"/>
                <w:szCs w:val="20"/>
                <w:color w:val="auto"/>
              </w:rPr>
            </w:pPr>
            <w:r>
              <w:rPr>
                <w:rFonts w:ascii="Arial" w:cs="Arial" w:eastAsia="Arial" w:hAnsi="Arial"/>
                <w:sz w:val="22"/>
                <w:szCs w:val="22"/>
                <w:color w:val="auto"/>
              </w:rPr>
              <w:t>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132"/>
              <w:spacing w:after="0" w:line="216" w:lineRule="exact"/>
              <w:rPr>
                <w:sz w:val="20"/>
                <w:szCs w:val="20"/>
                <w:color w:val="auto"/>
              </w:rPr>
            </w:pPr>
            <w:r>
              <w:rPr>
                <w:rFonts w:ascii="Arial" w:cs="Arial" w:eastAsia="Arial" w:hAnsi="Arial"/>
                <w:sz w:val="22"/>
                <w:szCs w:val="22"/>
                <w:color w:val="auto"/>
                <w:w w:val="90"/>
              </w:rPr>
              <w:t>More than</w:t>
            </w:r>
          </w:p>
        </w:tc>
      </w:tr>
      <w:tr>
        <w:trPr>
          <w:trHeight w:val="265"/>
        </w:trPr>
        <w:tc>
          <w:tcPr>
            <w:tcW w:w="3040" w:type="dxa"/>
            <w:vAlign w:val="bottom"/>
            <w:tcBorders>
              <w:bottom w:val="single" w:sz="8" w:color="auto"/>
            </w:tcBorders>
          </w:tcPr>
          <w:p>
            <w:pPr>
              <w:ind w:left="1020"/>
              <w:spacing w:after="0"/>
              <w:rPr>
                <w:sz w:val="20"/>
                <w:szCs w:val="20"/>
                <w:color w:val="auto"/>
              </w:rPr>
            </w:pPr>
            <w:r>
              <w:rPr>
                <w:rFonts w:ascii="Arial" w:cs="Arial" w:eastAsia="Arial" w:hAnsi="Arial"/>
                <w:sz w:val="22"/>
                <w:szCs w:val="22"/>
                <w:color w:val="auto"/>
              </w:rPr>
              <w:t>Obligations</w:t>
            </w:r>
          </w:p>
        </w:tc>
        <w:tc>
          <w:tcPr>
            <w:tcW w:w="3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Total</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22"/>
                <w:szCs w:val="22"/>
                <w:color w:val="auto"/>
              </w:rPr>
              <w:t>1 year</w:t>
            </w:r>
          </w:p>
        </w:tc>
        <w:tc>
          <w:tcPr>
            <w:tcW w:w="2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5 years</w:t>
            </w:r>
          </w:p>
        </w:tc>
      </w:tr>
      <w:tr>
        <w:trPr>
          <w:trHeight w:val="458"/>
        </w:trPr>
        <w:tc>
          <w:tcPr>
            <w:tcW w:w="334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2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70,642</w:t>
            </w:r>
          </w:p>
        </w:tc>
        <w:tc>
          <w:tcPr>
            <w:tcW w:w="3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44,414</w:t>
            </w:r>
          </w:p>
        </w:tc>
        <w:tc>
          <w:tcPr>
            <w:tcW w:w="28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60" w:type="dxa"/>
            <w:vAlign w:val="bottom"/>
          </w:tcPr>
          <w:p>
            <w:pPr>
              <w:jc w:val="right"/>
              <w:spacing w:after="0"/>
              <w:rPr>
                <w:sz w:val="20"/>
                <w:szCs w:val="20"/>
                <w:color w:val="auto"/>
              </w:rPr>
            </w:pPr>
            <w:r>
              <w:rPr>
                <w:rFonts w:ascii="Arial" w:cs="Arial" w:eastAsia="Arial" w:hAnsi="Arial"/>
                <w:sz w:val="22"/>
                <w:szCs w:val="22"/>
                <w:color w:val="auto"/>
              </w:rPr>
              <w:t>25,888</w:t>
            </w:r>
          </w:p>
        </w:tc>
        <w:tc>
          <w:tcPr>
            <w:tcW w:w="280" w:type="dxa"/>
            <w:vAlign w:val="bottom"/>
          </w:tcPr>
          <w:p>
            <w:pPr>
              <w:spacing w:after="0"/>
              <w:rPr>
                <w:sz w:val="24"/>
                <w:szCs w:val="24"/>
                <w:color w:val="auto"/>
              </w:rPr>
            </w:pPr>
          </w:p>
        </w:tc>
        <w:tc>
          <w:tcPr>
            <w:tcW w:w="3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340</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657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657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2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13,318</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5,157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6,353</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789</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1,019</w:t>
            </w:r>
          </w:p>
        </w:tc>
      </w:tr>
      <w:tr>
        <w:trPr>
          <w:trHeight w:val="265"/>
        </w:trPr>
        <w:tc>
          <w:tcPr>
            <w:tcW w:w="3340" w:type="dxa"/>
            <w:vAlign w:val="bottom"/>
            <w:gridSpan w:val="2"/>
          </w:tcPr>
          <w:p>
            <w:pPr>
              <w:spacing w:after="0"/>
              <w:rPr>
                <w:sz w:val="20"/>
                <w:szCs w:val="20"/>
                <w:color w:val="auto"/>
              </w:rPr>
            </w:pPr>
            <w:r>
              <w:rPr>
                <w:rFonts w:ascii="Arial" w:cs="Arial" w:eastAsia="Arial" w:hAnsi="Arial"/>
                <w:sz w:val="22"/>
                <w:szCs w:val="22"/>
                <w:color w:val="auto"/>
              </w:rPr>
              <w:t>Purchase Commitments²</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37,031</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37,031</w:t>
            </w:r>
          </w:p>
        </w:tc>
        <w:tc>
          <w:tcPr>
            <w:tcW w:w="2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r>
      <w:tr>
        <w:trPr>
          <w:trHeight w:val="237"/>
        </w:trPr>
        <w:tc>
          <w:tcPr>
            <w:tcW w:w="3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121,648</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87,259</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32,241</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1,129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1,019</w:t>
            </w:r>
          </w:p>
        </w:tc>
      </w:tr>
      <w:tr>
        <w:trPr>
          <w:trHeight w:val="20"/>
        </w:trPr>
        <w:tc>
          <w:tcPr>
            <w:tcW w:w="3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$0.9 million of unrecognized tax benefits have been recorded as liabilities as of September 30, 2014. It is expected that the amount of unrecognized tax benefits will not significantly change within the next 12 months. We have also recorded a liability for potential penalties and interest of $0.4 million as of September 30, 2014.</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table below discloses selected quarterly data regarding sales for the three- and nine-months ended September 30, 2014 and 2013, respectively. Data from any one or more quarters or periods is not necessarily indicative of annual results or continuing trends.</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0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 of seasonal fluctuations on</w:t>
      </w:r>
    </w:p>
    <w:p>
      <w:pPr>
        <w:sectPr>
          <w:pgSz w:w="11900" w:h="16838" w:orient="portrait"/>
          <w:cols w:equalWidth="0" w:num="1">
            <w:col w:w="11420"/>
          </w:cols>
          <w:pgMar w:left="240" w:top="121" w:right="239" w:bottom="0" w:gutter="0" w:footer="0" w:header="0"/>
        </w:sectPr>
      </w:pPr>
    </w:p>
    <w:bookmarkStart w:id="28" w:name="page29"/>
    <w:bookmarkEnd w:id="28"/>
    <w:p>
      <w:pPr>
        <w:jc w:val="both"/>
        <w:ind w:right="40"/>
        <w:spacing w:after="0" w:line="279" w:lineRule="auto"/>
        <w:rPr>
          <w:sz w:val="20"/>
          <w:szCs w:val="20"/>
          <w:color w:val="auto"/>
        </w:rPr>
      </w:pPr>
      <w:r>
        <w:rPr>
          <w:rFonts w:ascii="Arial" w:cs="Arial" w:eastAsia="Arial" w:hAnsi="Arial"/>
          <w:sz w:val="18"/>
          <w:szCs w:val="18"/>
          <w:color w:val="auto"/>
        </w:rPr>
        <w:t>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20"/>
                <w:szCs w:val="20"/>
                <w:color w:val="auto"/>
              </w:rPr>
              <w:t>(In thousands, except average</w:t>
            </w:r>
          </w:p>
        </w:tc>
        <w:tc>
          <w:tcPr>
            <w:tcW w:w="320" w:type="dxa"/>
            <w:vAlign w:val="bottom"/>
          </w:tcPr>
          <w:p>
            <w:pPr>
              <w:spacing w:after="0"/>
              <w:rPr>
                <w:sz w:val="19"/>
                <w:szCs w:val="19"/>
                <w:color w:val="auto"/>
              </w:rPr>
            </w:pPr>
          </w:p>
        </w:tc>
        <w:tc>
          <w:tcPr>
            <w:tcW w:w="3000" w:type="dxa"/>
            <w:vAlign w:val="bottom"/>
            <w:gridSpan w:val="5"/>
          </w:tcPr>
          <w:p>
            <w:pPr>
              <w:ind w:left="36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680" w:type="dxa"/>
            <w:vAlign w:val="bottom"/>
            <w:gridSpan w:val="4"/>
          </w:tcPr>
          <w:p>
            <w:pPr>
              <w:jc w:val="right"/>
              <w:ind w:right="601"/>
              <w:spacing w:after="0"/>
              <w:rPr>
                <w:sz w:val="20"/>
                <w:szCs w:val="20"/>
                <w:color w:val="auto"/>
              </w:rPr>
            </w:pPr>
            <w:r>
              <w:rPr>
                <w:rFonts w:ascii="Arial" w:cs="Arial" w:eastAsia="Arial" w:hAnsi="Arial"/>
                <w:sz w:val="20"/>
                <w:szCs w:val="20"/>
                <w:color w:val="auto"/>
              </w:rPr>
              <w:t>Nine-Months Ended</w:t>
            </w:r>
          </w:p>
        </w:tc>
        <w:tc>
          <w:tcPr>
            <w:tcW w:w="140" w:type="dxa"/>
            <w:vAlign w:val="bottom"/>
          </w:tcPr>
          <w:p>
            <w:pPr>
              <w:spacing w:after="0"/>
              <w:rPr>
                <w:sz w:val="19"/>
                <w:szCs w:val="19"/>
                <w:color w:val="auto"/>
              </w:rPr>
            </w:pPr>
          </w:p>
        </w:tc>
      </w:tr>
      <w:tr>
        <w:trPr>
          <w:trHeight w:val="246"/>
        </w:trPr>
        <w:tc>
          <w:tcPr>
            <w:tcW w:w="5000" w:type="dxa"/>
            <w:vAlign w:val="bottom"/>
            <w:gridSpan w:val="2"/>
          </w:tcPr>
          <w:p>
            <w:pPr>
              <w:ind w:left="200"/>
              <w:spacing w:after="0"/>
              <w:rPr>
                <w:sz w:val="20"/>
                <w:szCs w:val="20"/>
                <w:color w:val="auto"/>
              </w:rPr>
            </w:pPr>
            <w:r>
              <w:rPr>
                <w:rFonts w:ascii="Arial" w:cs="Arial" w:eastAsia="Arial" w:hAnsi="Arial"/>
                <w:sz w:val="20"/>
                <w:szCs w:val="20"/>
                <w:color w:val="auto"/>
              </w:rPr>
              <w:t>net sales per case)</w:t>
            </w:r>
          </w:p>
        </w:tc>
        <w:tc>
          <w:tcPr>
            <w:tcW w:w="32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23"/>
        </w:trPr>
        <w:tc>
          <w:tcPr>
            <w:tcW w:w="4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2"/>
              <w:spacing w:after="0" w:line="223" w:lineRule="exact"/>
              <w:rPr>
                <w:sz w:val="20"/>
                <w:szCs w:val="20"/>
                <w:color w:val="auto"/>
              </w:rPr>
            </w:pPr>
            <w:r>
              <w:rPr>
                <w:rFonts w:ascii="Arial" w:cs="Arial" w:eastAsia="Arial" w:hAnsi="Arial"/>
                <w:sz w:val="20"/>
                <w:szCs w:val="20"/>
                <w:color w:val="auto"/>
              </w:rPr>
              <w:t>2014</w:t>
            </w:r>
          </w:p>
        </w:tc>
        <w:tc>
          <w:tcPr>
            <w:tcW w:w="3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94"/>
              </w:rPr>
              <w:t>2013</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2014</w:t>
            </w: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w w:val="89"/>
              </w:rPr>
              <w:t>2013</w:t>
            </w:r>
          </w:p>
        </w:tc>
        <w:tc>
          <w:tcPr>
            <w:tcW w:w="140" w:type="dxa"/>
            <w:vAlign w:val="bottom"/>
          </w:tcPr>
          <w:p>
            <w:pPr>
              <w:spacing w:after="0"/>
              <w:rPr>
                <w:sz w:val="19"/>
                <w:szCs w:val="19"/>
                <w:color w:val="auto"/>
              </w:rPr>
            </w:pPr>
          </w:p>
        </w:tc>
      </w:tr>
      <w:tr>
        <w:trPr>
          <w:trHeight w:val="436"/>
        </w:trPr>
        <w:tc>
          <w:tcPr>
            <w:tcW w:w="5000" w:type="dxa"/>
            <w:vAlign w:val="bottom"/>
            <w:gridSpan w:val="2"/>
          </w:tcPr>
          <w:p>
            <w:pPr>
              <w:spacing w:after="0"/>
              <w:rPr>
                <w:sz w:val="20"/>
                <w:szCs w:val="20"/>
                <w:color w:val="auto"/>
              </w:rPr>
            </w:pPr>
            <w:r>
              <w:rPr>
                <w:rFonts w:ascii="Arial" w:cs="Arial" w:eastAsia="Arial" w:hAnsi="Arial"/>
                <w:sz w:val="20"/>
                <w:szCs w:val="20"/>
                <w:color w:val="auto"/>
              </w:rPr>
              <w:t>Net sales</w:t>
            </w:r>
          </w:p>
        </w:tc>
        <w:tc>
          <w:tcPr>
            <w:tcW w:w="3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635,972</w:t>
            </w:r>
          </w:p>
        </w:tc>
        <w:tc>
          <w:tcPr>
            <w:tcW w:w="300" w:type="dxa"/>
            <w:vAlign w:val="bottom"/>
          </w:tcPr>
          <w:p>
            <w:pPr>
              <w:spacing w:after="0"/>
              <w:rPr>
                <w:sz w:val="24"/>
                <w:szCs w:val="24"/>
                <w:color w:val="auto"/>
              </w:rPr>
            </w:pPr>
          </w:p>
        </w:tc>
        <w:tc>
          <w:tcPr>
            <w:tcW w:w="44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590,422</w:t>
            </w:r>
          </w:p>
        </w:tc>
        <w:tc>
          <w:tcPr>
            <w:tcW w:w="280" w:type="dxa"/>
            <w:vAlign w:val="bottom"/>
          </w:tcPr>
          <w:p>
            <w:pPr>
              <w:spacing w:after="0"/>
              <w:rPr>
                <w:sz w:val="24"/>
                <w:szCs w:val="24"/>
                <w:color w:val="auto"/>
              </w:rPr>
            </w:pP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1,859,301</w:t>
            </w:r>
          </w:p>
        </w:tc>
        <w:tc>
          <w:tcPr>
            <w:tcW w:w="280" w:type="dxa"/>
            <w:vAlign w:val="bottom"/>
          </w:tcPr>
          <w:p>
            <w:pPr>
              <w:spacing w:after="0"/>
              <w:rPr>
                <w:sz w:val="24"/>
                <w:szCs w:val="24"/>
                <w:color w:val="auto"/>
              </w:rPr>
            </w:pPr>
          </w:p>
        </w:tc>
        <w:tc>
          <w:tcPr>
            <w:tcW w:w="46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w w:val="89"/>
              </w:rPr>
              <w:t>1,705,579</w:t>
            </w:r>
          </w:p>
        </w:tc>
        <w:tc>
          <w:tcPr>
            <w:tcW w:w="140" w:type="dxa"/>
            <w:vAlign w:val="bottom"/>
          </w:tcPr>
          <w:p>
            <w:pPr>
              <w:spacing w:after="0"/>
              <w:rPr>
                <w:sz w:val="24"/>
                <w:szCs w:val="24"/>
                <w:color w:val="auto"/>
              </w:rPr>
            </w:pPr>
          </w:p>
        </w:tc>
      </w:tr>
      <w:tr>
        <w:trPr>
          <w:trHeight w:val="246"/>
        </w:trPr>
        <w:tc>
          <w:tcPr>
            <w:tcW w:w="5000" w:type="dxa"/>
            <w:vAlign w:val="bottom"/>
            <w:gridSpan w:val="2"/>
          </w:tcPr>
          <w:p>
            <w:pPr>
              <w:spacing w:after="0"/>
              <w:rPr>
                <w:sz w:val="20"/>
                <w:szCs w:val="20"/>
                <w:color w:val="auto"/>
              </w:rPr>
            </w:pPr>
            <w:r>
              <w:rPr>
                <w:rFonts w:ascii="Arial" w:cs="Arial" w:eastAsia="Arial" w:hAnsi="Arial"/>
                <w:sz w:val="20"/>
                <w:szCs w:val="20"/>
                <w:color w:val="auto"/>
              </w:rPr>
              <w:t>Case sales (192-ounce case equivalents)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62,204</w:t>
            </w: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59,204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179,717</w:t>
            </w:r>
          </w:p>
        </w:tc>
        <w:tc>
          <w:tcPr>
            <w:tcW w:w="2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168,568</w:t>
            </w:r>
          </w:p>
        </w:tc>
        <w:tc>
          <w:tcPr>
            <w:tcW w:w="140" w:type="dxa"/>
            <w:vAlign w:val="bottom"/>
          </w:tcPr>
          <w:p>
            <w:pPr>
              <w:spacing w:after="0"/>
              <w:rPr>
                <w:sz w:val="21"/>
                <w:szCs w:val="21"/>
                <w:color w:val="auto"/>
              </w:rPr>
            </w:pPr>
          </w:p>
        </w:tc>
      </w:tr>
      <w:tr>
        <w:trPr>
          <w:trHeight w:val="223"/>
        </w:trPr>
        <w:tc>
          <w:tcPr>
            <w:tcW w:w="5000" w:type="dxa"/>
            <w:vAlign w:val="bottom"/>
            <w:gridSpan w:val="2"/>
          </w:tcPr>
          <w:p>
            <w:pPr>
              <w:spacing w:after="0" w:line="223" w:lineRule="exact"/>
              <w:rPr>
                <w:sz w:val="20"/>
                <w:szCs w:val="20"/>
                <w:color w:val="auto"/>
              </w:rPr>
            </w:pPr>
            <w:r>
              <w:rPr>
                <w:rFonts w:ascii="Arial" w:cs="Arial" w:eastAsia="Arial" w:hAnsi="Arial"/>
                <w:sz w:val="20"/>
                <w:szCs w:val="20"/>
                <w:color w:val="auto"/>
              </w:rPr>
              <w:t>Average net sales per case</w:t>
            </w:r>
          </w:p>
        </w:tc>
        <w:tc>
          <w:tcPr>
            <w:tcW w:w="32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10.22</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1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9.97</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10.35</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0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10.12</w:t>
            </w:r>
          </w:p>
        </w:tc>
        <w:tc>
          <w:tcPr>
            <w:tcW w:w="14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8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4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2013.</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right="40" w:firstLine="441"/>
        <w:spacing w:after="0" w:line="244" w:lineRule="auto"/>
        <w:rPr>
          <w:sz w:val="20"/>
          <w:szCs w:val="20"/>
          <w:color w:val="auto"/>
        </w:rPr>
      </w:pPr>
      <w:r>
        <w:rPr>
          <w:rFonts w:ascii="Arial" w:cs="Arial" w:eastAsia="Arial" w:hAnsi="Arial"/>
          <w:sz w:val="20"/>
          <w:szCs w:val="20"/>
          <w:color w:val="auto"/>
        </w:rPr>
        <w:t>In September 2014, the Company elected to early adopt FASB ASU No. 2014-08, “Presentation of Financial Statements and Property, Plant, and Equipment - Reporting Discontinued Operations and Disclosures of Disposals of Components of an Entity”. ASU 2014-08 provides new guidance related to the definition of a discontinued operation and requires new disclosures of both discontinued operations and certain other disposals that do not meet the definition of a discontinued operation. The adoption of ASU 2014-08 did not have a material impact on the Company’s financial position, results of operations or liquidity.</w:t>
      </w:r>
    </w:p>
    <w:p>
      <w:pPr>
        <w:spacing w:after="0" w:line="208" w:lineRule="exact"/>
        <w:rPr>
          <w:sz w:val="20"/>
          <w:szCs w:val="20"/>
          <w:color w:val="auto"/>
        </w:rPr>
      </w:pPr>
    </w:p>
    <w:p>
      <w:pPr>
        <w:jc w:val="both"/>
        <w:ind w:right="40" w:firstLine="441"/>
        <w:spacing w:after="0" w:line="255" w:lineRule="auto"/>
        <w:rPr>
          <w:sz w:val="20"/>
          <w:szCs w:val="20"/>
          <w:color w:val="auto"/>
        </w:rPr>
      </w:pPr>
      <w:r>
        <w:rPr>
          <w:rFonts w:ascii="Arial" w:cs="Arial" w:eastAsia="Arial" w:hAnsi="Arial"/>
          <w:sz w:val="19"/>
          <w:szCs w:val="19"/>
          <w:color w:val="auto"/>
        </w:rPr>
        <w:t>In June 2014, the Financial Accounting Standards Board (the “FASB”) issued Accounting Standards Update (“ASU”) No. 2014-12, “Compensation—Stock Compensation (Topic 718): Accounting for Share-Based Payments When the Terms of an Award Provide That a Performance Target Could Be Achieved after the Requisite Service Period (a consensus of the FASB Emerging Issues Task Force)”. ASU 2014-12 clarifies that a performance target that affects vesting and that could be 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ASU 2014-12 is effective for annual periods, and interim periods within those years, beginning after December 15, 2015. Early adoption is permitted. ASU 2014-12 may be applied either (a) prospectively to all awards granted or modified after the effective date or (b) retrospectively to all awards with performance targets that are outstanding as of the beginning of the earliest annual period presented in the financial statements and to all new or modified awards thereafter. The adoption of ASU 2014-12 is not expected to have a material impact on the Company’s financial position, results of operations or liquidity.</w:t>
      </w:r>
    </w:p>
    <w:p>
      <w:pPr>
        <w:spacing w:after="0" w:line="196"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8"/>
          <w:szCs w:val="18"/>
          <w:color w:val="auto"/>
        </w:rPr>
        <w:t>In May 2014, the FASB issued ASU No. 2014-09, “Revenue from Contracts with Customers”, which supersedes previous revenue recognition guidance. ASU 2014-09 requires that a company recognize revenue at an amount that reflects the consideration to which the company expects to be entitled in exchange for transferring goods or services to a customer. In applying the new guidance, a company will</w:t>
      </w:r>
    </w:p>
    <w:p>
      <w:pPr>
        <w:spacing w:after="0" w:line="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identify the contract(s) with a customer; (2) identify the performance obligations in the contract; (3) determine the transaction price;</w:t>
      </w:r>
    </w:p>
    <w:p>
      <w:pPr>
        <w:spacing w:after="0" w:line="11" w:lineRule="exact"/>
        <w:rPr>
          <w:rFonts w:ascii="Arial" w:cs="Arial" w:eastAsia="Arial" w:hAnsi="Arial"/>
          <w:sz w:val="19"/>
          <w:szCs w:val="19"/>
          <w:color w:val="auto"/>
        </w:rPr>
      </w:pPr>
    </w:p>
    <w:p>
      <w:pPr>
        <w:jc w:val="both"/>
        <w:ind w:right="40" w:firstLine="8"/>
        <w:spacing w:after="0" w:line="241" w:lineRule="auto"/>
        <w:tabs>
          <w:tab w:leader="none" w:pos="317" w:val="left"/>
        </w:tabs>
        <w:numPr>
          <w:ilvl w:val="0"/>
          <w:numId w:val="28"/>
        </w:numPr>
        <w:rPr>
          <w:rFonts w:ascii="Arial" w:cs="Arial" w:eastAsia="Arial" w:hAnsi="Arial"/>
          <w:sz w:val="20"/>
          <w:szCs w:val="20"/>
          <w:color w:val="auto"/>
        </w:rPr>
      </w:pPr>
      <w:r>
        <w:rPr>
          <w:rFonts w:ascii="Arial" w:cs="Arial" w:eastAsia="Arial" w:hAnsi="Arial"/>
          <w:sz w:val="20"/>
          <w:szCs w:val="20"/>
          <w:color w:val="auto"/>
        </w:rPr>
        <w:t>allocate the transaction price to the contract’s performance obligations; and (5) recognize revenue when (or as) the entity satisfies a performance obligation. ASU 2014-09 is effective for reporting periods beginning after December 15, 2016 and can be adopted using either a full retrospective or modified approach. The Company is currently evaluating the impact of ASU 2014-09 on its financial position, results of operations and liquidity.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ectPr>
          <w:pgSz w:w="11900" w:h="16838" w:orient="portrait"/>
          <w:cols w:equalWidth="0" w:num="1">
            <w:col w:w="11460"/>
          </w:cols>
          <w:pgMar w:left="240" w:top="121" w:right="199" w:bottom="261" w:gutter="0" w:footer="0" w:header="0"/>
        </w:sectPr>
      </w:pPr>
    </w:p>
    <w:bookmarkStart w:id="29" w:name="page30"/>
    <w:bookmarkEnd w:id="29"/>
    <w:p>
      <w:pPr>
        <w:spacing w:after="0" w:line="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00"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consummate the Coca-Cola Transaction or recognize any benefits from the Coca-Cola Transaction;</w:t>
      </w:r>
    </w:p>
    <w:p>
      <w:pPr>
        <w:spacing w:after="0" w:line="15" w:lineRule="exact"/>
        <w:rPr>
          <w:rFonts w:ascii="Arial" w:cs="Arial" w:eastAsia="Arial" w:hAnsi="Arial"/>
          <w:sz w:val="20"/>
          <w:szCs w:val="20"/>
          <w:color w:val="auto"/>
        </w:rPr>
      </w:pPr>
    </w:p>
    <w:p>
      <w:pPr>
        <w:ind w:left="340" w:hanging="332"/>
        <w:spacing w:after="0" w:line="239" w:lineRule="auto"/>
        <w:tabs>
          <w:tab w:leader="none" w:pos="349"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Lack of anticipated demand for our products in international markets;</w:t>
      </w:r>
    </w:p>
    <w:p>
      <w:pPr>
        <w:ind w:left="240" w:hanging="232"/>
        <w:spacing w:after="0"/>
        <w:tabs>
          <w:tab w:leader="none" w:pos="2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and/or trade restrictions;</w:t>
      </w:r>
    </w:p>
    <w:p>
      <w:pPr>
        <w:jc w:val="both"/>
        <w:ind w:left="340" w:hanging="332"/>
        <w:spacing w:after="0" w:line="239" w:lineRule="auto"/>
        <w:tabs>
          <w:tab w:leader="none" w:pos="3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achieve profitability from our operations outside the United States;</w:t>
      </w:r>
    </w:p>
    <w:p>
      <w:pPr>
        <w:ind w:left="340" w:right="20" w:hanging="332"/>
        <w:spacing w:after="0" w:line="252" w:lineRule="auto"/>
        <w:tabs>
          <w:tab w:leader="none" w:pos="524"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40" w:hanging="332"/>
        <w:spacing w:after="0" w:line="239" w:lineRule="auto"/>
        <w:tabs>
          <w:tab w:leader="none" w:pos="4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line="239" w:lineRule="auto"/>
        <w:tabs>
          <w:tab w:leader="none" w:pos="416"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7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possibility of future shareholder derivative actions or shareholder securities litigation filed against us;</w:t>
      </w:r>
    </w:p>
    <w:p>
      <w:pPr>
        <w:jc w:val="both"/>
        <w:ind w:left="340" w:hanging="332"/>
        <w:spacing w:after="0" w:line="241" w:lineRule="auto"/>
        <w:tabs>
          <w:tab w:leader="none" w:pos="32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spacing w:after="0" w:line="15" w:lineRule="exact"/>
        <w:rPr>
          <w:rFonts w:ascii="Arial" w:cs="Arial" w:eastAsia="Arial" w:hAnsi="Arial"/>
          <w:sz w:val="20"/>
          <w:szCs w:val="20"/>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 over financial reporting;</w:t>
      </w:r>
    </w:p>
    <w:p>
      <w:pPr>
        <w:ind w:left="260" w:hanging="252"/>
        <w:spacing w:after="0"/>
        <w:tabs>
          <w:tab w:leader="none" w:pos="2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40" w:hanging="314"/>
        <w:spacing w:after="0" w:line="239" w:lineRule="auto"/>
        <w:tabs>
          <w:tab w:leader="none" w:pos="678"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 and/or from higher gasoline prices;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Changes in demand that are weather related, particularly in areas outside of California;</w:t>
      </w:r>
    </w:p>
    <w:p>
      <w:pPr>
        <w:ind w:left="340" w:hanging="332"/>
        <w:spacing w:after="0" w:line="239" w:lineRule="auto"/>
        <w:tabs>
          <w:tab w:leader="none" w:pos="322" w:val="left"/>
        </w:tabs>
        <w:numPr>
          <w:ilvl w:val="0"/>
          <w:numId w:val="30"/>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280" w:hanging="272"/>
        <w:spacing w:after="0"/>
        <w:tabs>
          <w:tab w:leader="none" w:pos="2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66" w:lineRule="auto"/>
        <w:tabs>
          <w:tab w:leader="none" w:pos="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increase the sales of our Monster Energy® brand energy drinks and/or our Peace Tea® iced teas and/or our other products, including, following the Coca-Cola Transaction, the energy drinks acquired from Coca-Cola;</w:t>
      </w:r>
    </w:p>
    <w:p>
      <w:pPr>
        <w:jc w:val="both"/>
        <w:ind w:left="340" w:hanging="332"/>
        <w:spacing w:after="0" w:line="266" w:lineRule="auto"/>
        <w:tabs>
          <w:tab w:leader="none" w:pos="2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or impose age restrictions for the sale of energy drinks;</w:t>
      </w:r>
    </w:p>
    <w:p>
      <w:pPr>
        <w:jc w:val="both"/>
        <w:ind w:left="340" w:hanging="332"/>
        <w:spacing w:after="0" w:line="269"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and/or sales and/or other taxes on our products and revised tax law interpretations) and environmental laws, as well as the FFDC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sectPr>
          <w:pgSz w:w="11900" w:h="16880" w:orient="portrait"/>
          <w:cols w:equalWidth="0" w:num="1">
            <w:col w:w="11420"/>
          </w:cols>
          <w:pgMar w:left="240" w:top="121" w:right="239" w:bottom="0" w:gutter="0" w:footer="0" w:header="0"/>
        </w:sectPr>
      </w:pPr>
    </w:p>
    <w:bookmarkStart w:id="30" w:name="page31"/>
    <w:bookmarkEnd w:id="30"/>
    <w:p>
      <w:pPr>
        <w:ind w:left="340" w:right="20" w:hanging="332"/>
        <w:spacing w:after="0" w:line="261" w:lineRule="auto"/>
        <w:tabs>
          <w:tab w:leader="none" w:pos="2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Our ability to satisfy all criteria set forth in any model energy drink guidelines, including, without limitation, those adopted by the American Beverage Association, of which the Company is a member, and the impact on the Company of such guidelines;</w:t>
      </w:r>
    </w:p>
    <w:p>
      <w:pPr>
        <w:spacing w:after="0" w:line="1" w:lineRule="exact"/>
        <w:rPr>
          <w:rFonts w:ascii="Arial" w:cs="Arial" w:eastAsia="Arial" w:hAnsi="Arial"/>
          <w:sz w:val="19"/>
          <w:szCs w:val="19"/>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effect of unfavorable press and/or articles, comments and/or media attention;</w:t>
      </w:r>
    </w:p>
    <w:p>
      <w:pPr>
        <w:jc w:val="both"/>
        <w:ind w:left="340" w:hanging="332"/>
        <w:spacing w:after="0" w:line="239" w:lineRule="auto"/>
        <w:tabs>
          <w:tab w:leader="none" w:pos="335"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0"/>
          <w:szCs w:val="20"/>
          <w:color w:val="auto"/>
        </w:rPr>
      </w:pPr>
    </w:p>
    <w:p>
      <w:pPr>
        <w:ind w:left="340" w:hanging="332"/>
        <w:spacing w:after="0" w:line="239" w:lineRule="auto"/>
        <w:tabs>
          <w:tab w:leader="none" w:pos="389"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fuel and/or raw materials and/or ingredients and/or commodities affecting our business;</w:t>
      </w:r>
    </w:p>
    <w:p>
      <w:pPr>
        <w:spacing w:after="0" w:line="1" w:lineRule="exact"/>
        <w:rPr>
          <w:rFonts w:ascii="Arial" w:cs="Arial" w:eastAsia="Arial" w:hAnsi="Arial"/>
          <w:sz w:val="20"/>
          <w:szCs w:val="20"/>
          <w:color w:val="auto"/>
        </w:rPr>
      </w:pPr>
    </w:p>
    <w:p>
      <w:pPr>
        <w:jc w:val="both"/>
        <w:ind w:left="340" w:right="20" w:hanging="332"/>
        <w:spacing w:after="0" w:line="239" w:lineRule="auto"/>
        <w:tabs>
          <w:tab w:leader="none" w:pos="308"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40" w:hanging="332"/>
        <w:spacing w:after="0" w:line="239" w:lineRule="auto"/>
        <w:tabs>
          <w:tab w:leader="none" w:pos="403"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secure and/or retain competent and/or effective distributors internationally;</w:t>
      </w:r>
    </w:p>
    <w:p>
      <w:pPr>
        <w:spacing w:after="0" w:line="15" w:lineRule="exact"/>
        <w:rPr>
          <w:rFonts w:ascii="Arial" w:cs="Arial" w:eastAsia="Arial" w:hAnsi="Arial"/>
          <w:sz w:val="20"/>
          <w:szCs w:val="20"/>
          <w:color w:val="auto"/>
        </w:rPr>
      </w:pPr>
    </w:p>
    <w:p>
      <w:pPr>
        <w:ind w:left="340" w:right="20" w:hanging="332"/>
        <w:spacing w:after="0" w:line="239" w:lineRule="auto"/>
        <w:tabs>
          <w:tab w:leader="none" w:pos="43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of distributors of our products, most of which distribute products that are competitive with our products;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713"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product category consumption;</w:t>
      </w: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40" w:hanging="332"/>
        <w:spacing w:after="0" w:line="239" w:lineRule="auto"/>
        <w:tabs>
          <w:tab w:leader="none" w:pos="308"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co-packing of any of our products both domestically and internationally and/or the timely replacement of discontinued co-packing arrangements;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procurement of non-defective raw materials;</w:t>
      </w:r>
    </w:p>
    <w:p>
      <w:pPr>
        <w:ind w:left="340" w:hanging="332"/>
        <w:spacing w:after="0" w:line="239" w:lineRule="auto"/>
        <w:tabs>
          <w:tab w:leader="none" w:pos="416"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40" w:hanging="332"/>
        <w:spacing w:after="0" w:line="239" w:lineRule="auto"/>
        <w:tabs>
          <w:tab w:leader="none" w:pos="322"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failure of our bottlers and contract packers to manufacture our products on a timely basis or at all;</w:t>
      </w: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hanging="332"/>
        <w:spacing w:after="0" w:line="239" w:lineRule="auto"/>
        <w:tabs>
          <w:tab w:leader="none" w:pos="55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0"/>
          <w:szCs w:val="20"/>
          <w:color w:val="auto"/>
        </w:rPr>
      </w:pPr>
    </w:p>
    <w:p>
      <w:pPr>
        <w:ind w:left="280" w:hanging="272"/>
        <w:spacing w:after="0"/>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 is not exhaustive. See the section entitled “Risk Factors” in our Form 10-K for the fiscal year ended December 31, 2013,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Currency Exchange Rate Risk</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Our gross sales to customers outside of the United States were approximately 24% and 23% of consolidated gross sales for the three-and nine-months ended September 30, 2014, respectively. Our growth strategy includes expanding our international business. As a result, we are subject to risks from changes in foreign currency exchange rates. During the three- and nine-months ended September 30, 2014,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September 30, 2014 have terms of one month or less. We do not enter into forward currency exchange contracts for speculation or trading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31" w:name="page32"/>
    <w:bookmarkEnd w:id="31"/>
    <w:p>
      <w:pPr>
        <w:jc w:val="both"/>
        <w:ind w:firstLine="648"/>
        <w:spacing w:after="0" w:line="328" w:lineRule="auto"/>
        <w:rPr>
          <w:sz w:val="20"/>
          <w:szCs w:val="20"/>
          <w:color w:val="auto"/>
        </w:rPr>
      </w:pPr>
      <w:r>
        <w:rPr>
          <w:rFonts w:ascii="Arial" w:cs="Arial" w:eastAsia="Arial" w:hAnsi="Arial"/>
          <w:sz w:val="16"/>
          <w:szCs w:val="16"/>
          <w:color w:val="auto"/>
        </w:rPr>
        <w:t>We have not designated our foreign currency exchange contracts as hedge transactions under ASC 815. Therefore, gains and losses on our foreign currency exchange contracts are recognized in interest and other (expense) income, net, in the condensed consolidated statements of income, and are largely offset by the changes in the fair value of the underlying economically hedged item. We do not consider the potential loss resulting from a hypothetical 10% adverse change in quoted foreign currency exchange rates as of September 30, 2014 to be significant.</w:t>
      </w:r>
    </w:p>
    <w:p>
      <w:pPr>
        <w:spacing w:after="0" w:line="14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There have been no additional material changes in our market risk during the three- and nine-months ended September 30, 2014 compared with the disclosures in Part II, Item 7A of our Annual Report on Form 10-K for the year ended December 31, 2013.</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 management,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9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September 30, 2014,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11.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Risk Factors are discussed in our Annual Report on Form 10-K for the fiscal year ended December 31, 2013. There have been no material changes with respect to the risk factors disclosed in our Annual Report on Form 10-K for the period ended December 31, 2013.</w:t>
      </w:r>
    </w:p>
    <w:p>
      <w:pPr>
        <w:spacing w:after="0" w:line="138"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During the three-months ended September 30, 2014, 0.09 million shares were purchased from employees in lieu of cash payments for options exercised or withholding taxes due for a total amount of $8.1 million. While such purchases are considered common stock repurchases, they are not counted as purchases against our authorized share repurchase program, including the April 2013 Repurchase Plan.</w:t>
      </w:r>
    </w:p>
    <w:p>
      <w:pPr>
        <w:spacing w:after="0" w:line="15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420"/>
          </w:cols>
          <w:pgMar w:left="240" w:top="339"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00" w:lineRule="exact"/>
        <w:rPr>
          <w:sz w:val="20"/>
          <w:szCs w:val="20"/>
          <w:color w:val="auto"/>
        </w:rPr>
      </w:pPr>
    </w:p>
    <w:p>
      <w:pPr>
        <w:sectPr>
          <w:pgSz w:w="11900" w:h="16838" w:orient="portrait"/>
          <w:cols w:equalWidth="0" w:num="2">
            <w:col w:w="740" w:space="540"/>
            <w:col w:w="10140"/>
          </w:cols>
          <w:pgMar w:left="240" w:top="339" w:right="239" w:bottom="0" w:gutter="0" w:footer="0" w:header="0"/>
          <w:type w:val="continuous"/>
        </w:sectPr>
      </w:pP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20"/>
          </w:cols>
          <w:pgMar w:left="240" w:top="339" w:right="239" w:bottom="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00" w:lineRule="exact"/>
        <w:rPr>
          <w:sz w:val="20"/>
          <w:szCs w:val="20"/>
          <w:color w:val="auto"/>
        </w:rPr>
      </w:pPr>
    </w:p>
    <w:p>
      <w:pPr>
        <w:sectPr>
          <w:pgSz w:w="11900" w:h="16838" w:orient="portrait"/>
          <w:cols w:equalWidth="0" w:num="2">
            <w:col w:w="740" w:space="540"/>
            <w:col w:w="10140"/>
          </w:cols>
          <w:pgMar w:left="240" w:top="339" w:right="239" w:bottom="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Transaction Agreement, dated as of August 14, 2014, by and among Monster Beverage Corporation, New Laser Corporation, New Laser Merger Corp, The Coca-Cola Company and European Refreshments (incorporated by reference from exhibit 2.1 to our Form 8-K filed on August 18, 2014).</w:t>
      </w:r>
    </w:p>
    <w:p>
      <w:pPr>
        <w:spacing w:after="0" w:line="200" w:lineRule="exact"/>
        <w:rPr>
          <w:sz w:val="20"/>
          <w:szCs w:val="20"/>
          <w:color w:val="auto"/>
        </w:rPr>
      </w:pPr>
    </w:p>
    <w:p>
      <w:pPr>
        <w:sectPr>
          <w:pgSz w:w="11900" w:h="16838" w:orient="portrait"/>
          <w:cols w:equalWidth="0" w:num="2">
            <w:col w:w="840" w:space="720"/>
            <w:col w:w="9860"/>
          </w:cols>
          <w:pgMar w:left="240" w:top="339" w:right="239" w:bottom="0" w:gutter="0" w:footer="0" w:header="0"/>
          <w:type w:val="continuous"/>
        </w:sect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ind w:right="120"/>
        <w:spacing w:after="0" w:line="250" w:lineRule="auto"/>
        <w:rPr>
          <w:sz w:val="20"/>
          <w:szCs w:val="20"/>
          <w:color w:val="auto"/>
        </w:rPr>
      </w:pPr>
      <w:r>
        <w:rPr>
          <w:rFonts w:ascii="Arial" w:cs="Arial" w:eastAsia="Arial" w:hAnsi="Arial"/>
          <w:sz w:val="20"/>
          <w:szCs w:val="20"/>
          <w:color w:val="auto"/>
        </w:rPr>
        <w:t>Asset Transfer Agreement, dated as of August 14, 2014, by and among Monster Beverage Corporation, New Laser Corporation and The Coca-Cola Company Refreshments (incorporated by reference from exhibit 2.2 to our Form 8-K filed on August 18, 2014).</w:t>
      </w:r>
    </w:p>
    <w:p>
      <w:pPr>
        <w:spacing w:after="0" w:line="200" w:lineRule="exact"/>
        <w:rPr>
          <w:sz w:val="20"/>
          <w:szCs w:val="20"/>
          <w:color w:val="auto"/>
        </w:rPr>
      </w:pPr>
    </w:p>
    <w:p>
      <w:pPr>
        <w:sectPr>
          <w:pgSz w:w="11900" w:h="16838" w:orient="portrait"/>
          <w:cols w:equalWidth="0" w:num="2">
            <w:col w:w="840" w:space="720"/>
            <w:col w:w="9860"/>
          </w:cols>
          <w:pgMar w:left="240" w:top="339" w:right="239" w:bottom="0" w:gutter="0" w:footer="0" w:header="0"/>
          <w:type w:val="continuous"/>
        </w:sectPr>
      </w:pPr>
    </w:p>
    <w:p>
      <w:pPr>
        <w:spacing w:after="0"/>
        <w:rPr>
          <w:sz w:val="20"/>
          <w:szCs w:val="20"/>
          <w:color w:val="auto"/>
        </w:rPr>
      </w:pPr>
      <w:r>
        <w:rPr>
          <w:rFonts w:ascii="Arial" w:cs="Arial" w:eastAsia="Arial" w:hAnsi="Arial"/>
          <w:sz w:val="19"/>
          <w:szCs w:val="19"/>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p>
      <w:pPr>
        <w:sectPr>
          <w:pgSz w:w="11900" w:h="16838" w:orient="portrait"/>
          <w:cols w:equalWidth="0" w:num="2">
            <w:col w:w="840" w:space="720"/>
            <w:col w:w="9860"/>
          </w:cols>
          <w:pgMar w:left="240" w:top="339" w:right="239"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0"/>
                <w:szCs w:val="20"/>
                <w:color w:val="auto"/>
              </w:rPr>
            </w:pPr>
            <w:r>
              <w:rPr>
                <w:rFonts w:ascii="Arial" w:cs="Arial" w:eastAsia="Arial" w:hAnsi="Arial"/>
                <w:sz w:val="20"/>
                <w:szCs w:val="20"/>
                <w:color w:val="auto"/>
              </w:rPr>
              <w:t>31.2*</w:t>
            </w:r>
          </w:p>
        </w:tc>
        <w:tc>
          <w:tcPr>
            <w:tcW w:w="10260" w:type="dxa"/>
            <w:vAlign w:val="bottom"/>
          </w:tcPr>
          <w:p>
            <w:pPr>
              <w:ind w:left="56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r>
        <w:trPr>
          <w:trHeight w:val="438"/>
        </w:trPr>
        <w:tc>
          <w:tcPr>
            <w:tcW w:w="1000" w:type="dxa"/>
            <w:vAlign w:val="bottom"/>
          </w:tcPr>
          <w:p>
            <w:pPr>
              <w:spacing w:after="0"/>
              <w:rPr>
                <w:sz w:val="20"/>
                <w:szCs w:val="20"/>
                <w:color w:val="auto"/>
              </w:rPr>
            </w:pPr>
            <w:r>
              <w:rPr>
                <w:rFonts w:ascii="Arial" w:cs="Arial" w:eastAsia="Arial" w:hAnsi="Arial"/>
                <w:sz w:val="20"/>
                <w:szCs w:val="20"/>
                <w:color w:val="auto"/>
              </w:rPr>
              <w:t>32.1*</w:t>
            </w:r>
          </w:p>
        </w:tc>
        <w:tc>
          <w:tcPr>
            <w:tcW w:w="10260" w:type="dxa"/>
            <w:vAlign w:val="bottom"/>
          </w:tcPr>
          <w:p>
            <w:pPr>
              <w:ind w:left="560"/>
              <w:spacing w:after="0"/>
              <w:rPr>
                <w:sz w:val="20"/>
                <w:szCs w:val="20"/>
                <w:color w:val="auto"/>
              </w:rPr>
            </w:pPr>
            <w:r>
              <w:rPr>
                <w:rFonts w:ascii="Arial" w:cs="Arial" w:eastAsia="Arial" w:hAnsi="Arial"/>
                <w:sz w:val="20"/>
                <w:szCs w:val="20"/>
                <w:color w:val="auto"/>
                <w:w w:val="92"/>
              </w:rPr>
              <w:t>Certification of Chief Executive Officer Pursuant to 18 U.S.C. Section 1350, as Adopted Pursuant to Section 906 of the</w:t>
            </w:r>
          </w:p>
        </w:tc>
      </w:tr>
      <w:tr>
        <w:trPr>
          <w:trHeight w:val="250"/>
        </w:trPr>
        <w:tc>
          <w:tcPr>
            <w:tcW w:w="1000" w:type="dxa"/>
            <w:vAlign w:val="bottom"/>
          </w:tcPr>
          <w:p>
            <w:pPr>
              <w:spacing w:after="0"/>
              <w:rPr>
                <w:sz w:val="21"/>
                <w:szCs w:val="21"/>
                <w:color w:val="auto"/>
              </w:rPr>
            </w:pPr>
          </w:p>
        </w:tc>
        <w:tc>
          <w:tcPr>
            <w:tcW w:w="10260" w:type="dxa"/>
            <w:vAlign w:val="bottom"/>
          </w:tcPr>
          <w:p>
            <w:pPr>
              <w:ind w:left="560"/>
              <w:spacing w:after="0"/>
              <w:rPr>
                <w:sz w:val="20"/>
                <w:szCs w:val="20"/>
                <w:color w:val="auto"/>
              </w:rPr>
            </w:pPr>
            <w:r>
              <w:rPr>
                <w:rFonts w:ascii="Arial" w:cs="Arial" w:eastAsia="Arial" w:hAnsi="Arial"/>
                <w:sz w:val="20"/>
                <w:szCs w:val="20"/>
                <w:color w:val="auto"/>
              </w:rPr>
              <w:t>Sarbanes-Oxley Act of 2002</w:t>
            </w:r>
          </w:p>
        </w:tc>
      </w:tr>
      <w:tr>
        <w:trPr>
          <w:trHeight w:val="438"/>
        </w:trPr>
        <w:tc>
          <w:tcPr>
            <w:tcW w:w="1000" w:type="dxa"/>
            <w:vAlign w:val="bottom"/>
          </w:tcPr>
          <w:p>
            <w:pPr>
              <w:spacing w:after="0"/>
              <w:rPr>
                <w:sz w:val="20"/>
                <w:szCs w:val="20"/>
                <w:color w:val="auto"/>
              </w:rPr>
            </w:pPr>
            <w:r>
              <w:rPr>
                <w:rFonts w:ascii="Arial" w:cs="Arial" w:eastAsia="Arial" w:hAnsi="Arial"/>
                <w:sz w:val="20"/>
                <w:szCs w:val="20"/>
                <w:color w:val="auto"/>
              </w:rPr>
              <w:t>32.2*</w:t>
            </w:r>
          </w:p>
        </w:tc>
        <w:tc>
          <w:tcPr>
            <w:tcW w:w="10260" w:type="dxa"/>
            <w:vAlign w:val="bottom"/>
          </w:tcPr>
          <w:p>
            <w:pPr>
              <w:ind w:left="560"/>
              <w:spacing w:after="0"/>
              <w:rPr>
                <w:sz w:val="20"/>
                <w:szCs w:val="20"/>
                <w:color w:val="auto"/>
              </w:rPr>
            </w:pPr>
            <w:r>
              <w:rPr>
                <w:rFonts w:ascii="Arial" w:cs="Arial" w:eastAsia="Arial" w:hAnsi="Arial"/>
                <w:sz w:val="20"/>
                <w:szCs w:val="20"/>
                <w:color w:val="auto"/>
                <w:w w:val="92"/>
              </w:rPr>
              <w:t>Certification by Chief Financial Officer Pursuant to 18 U.S.C. Section 1350, as Adopted Pursuant to Section 906 of the</w:t>
            </w:r>
          </w:p>
        </w:tc>
      </w:tr>
      <w:tr>
        <w:trPr>
          <w:trHeight w:val="250"/>
        </w:trPr>
        <w:tc>
          <w:tcPr>
            <w:tcW w:w="1000" w:type="dxa"/>
            <w:vAlign w:val="bottom"/>
          </w:tcPr>
          <w:p>
            <w:pPr>
              <w:spacing w:after="0"/>
              <w:rPr>
                <w:sz w:val="21"/>
                <w:szCs w:val="21"/>
                <w:color w:val="auto"/>
              </w:rPr>
            </w:pPr>
          </w:p>
        </w:tc>
        <w:tc>
          <w:tcPr>
            <w:tcW w:w="10260" w:type="dxa"/>
            <w:vAlign w:val="bottom"/>
          </w:tcPr>
          <w:p>
            <w:pPr>
              <w:ind w:left="560"/>
              <w:spacing w:after="0"/>
              <w:rPr>
                <w:sz w:val="20"/>
                <w:szCs w:val="20"/>
                <w:color w:val="auto"/>
              </w:rPr>
            </w:pPr>
            <w:r>
              <w:rPr>
                <w:rFonts w:ascii="Arial" w:cs="Arial" w:eastAsia="Arial" w:hAnsi="Arial"/>
                <w:sz w:val="20"/>
                <w:szCs w:val="20"/>
                <w:color w:val="auto"/>
              </w:rPr>
              <w:t>Sarbanes-Oxley Act of 2002</w:t>
            </w:r>
          </w:p>
        </w:tc>
      </w:tr>
      <w:tr>
        <w:trPr>
          <w:trHeight w:val="438"/>
        </w:trPr>
        <w:tc>
          <w:tcPr>
            <w:tcW w:w="1000" w:type="dxa"/>
            <w:vAlign w:val="bottom"/>
          </w:tcPr>
          <w:p>
            <w:pPr>
              <w:spacing w:after="0"/>
              <w:rPr>
                <w:sz w:val="20"/>
                <w:szCs w:val="20"/>
                <w:color w:val="auto"/>
              </w:rPr>
            </w:pPr>
            <w:r>
              <w:rPr>
                <w:rFonts w:ascii="Arial" w:cs="Arial" w:eastAsia="Arial" w:hAnsi="Arial"/>
                <w:sz w:val="20"/>
                <w:szCs w:val="20"/>
                <w:color w:val="auto"/>
              </w:rPr>
              <w:t>101*</w:t>
            </w:r>
          </w:p>
        </w:tc>
        <w:tc>
          <w:tcPr>
            <w:tcW w:w="10260" w:type="dxa"/>
            <w:vAlign w:val="bottom"/>
          </w:tcPr>
          <w:p>
            <w:pPr>
              <w:ind w:left="560"/>
              <w:spacing w:after="0"/>
              <w:rPr>
                <w:sz w:val="20"/>
                <w:szCs w:val="20"/>
                <w:color w:val="auto"/>
              </w:rPr>
            </w:pPr>
            <w:r>
              <w:rPr>
                <w:rFonts w:ascii="Arial" w:cs="Arial" w:eastAsia="Arial" w:hAnsi="Arial"/>
                <w:sz w:val="20"/>
                <w:szCs w:val="20"/>
                <w:color w:val="auto"/>
                <w:w w:val="91"/>
              </w:rPr>
              <w:t>The following financial information from Monster Beverage Corporation’s Quarterly Report on Form 10-Q for the quarter</w:t>
            </w:r>
          </w:p>
        </w:tc>
      </w:tr>
      <w:tr>
        <w:trPr>
          <w:trHeight w:val="246"/>
        </w:trPr>
        <w:tc>
          <w:tcPr>
            <w:tcW w:w="1000" w:type="dxa"/>
            <w:vAlign w:val="bottom"/>
          </w:tcPr>
          <w:p>
            <w:pPr>
              <w:spacing w:after="0"/>
              <w:rPr>
                <w:sz w:val="21"/>
                <w:szCs w:val="21"/>
                <w:color w:val="auto"/>
              </w:rPr>
            </w:pPr>
          </w:p>
        </w:tc>
        <w:tc>
          <w:tcPr>
            <w:tcW w:w="10260" w:type="dxa"/>
            <w:vAlign w:val="bottom"/>
          </w:tcPr>
          <w:p>
            <w:pPr>
              <w:ind w:left="560"/>
              <w:spacing w:after="0"/>
              <w:rPr>
                <w:sz w:val="20"/>
                <w:szCs w:val="20"/>
                <w:color w:val="auto"/>
              </w:rPr>
            </w:pPr>
            <w:r>
              <w:rPr>
                <w:rFonts w:ascii="Arial" w:cs="Arial" w:eastAsia="Arial" w:hAnsi="Arial"/>
                <w:sz w:val="20"/>
                <w:szCs w:val="20"/>
                <w:color w:val="auto"/>
                <w:w w:val="91"/>
              </w:rPr>
              <w:t>ended September 30, 2014, formatted in XBRL (eXtensible Business Reporting Language): (i) Condensed Consolidated</w:t>
            </w:r>
          </w:p>
        </w:tc>
      </w:tr>
    </w:tbl>
    <w:p>
      <w:pPr>
        <w:ind w:left="1560" w:right="200"/>
        <w:spacing w:after="0"/>
        <w:rPr>
          <w:sz w:val="20"/>
          <w:szCs w:val="20"/>
          <w:color w:val="auto"/>
        </w:rPr>
      </w:pPr>
      <w:r>
        <w:rPr>
          <w:rFonts w:ascii="Arial" w:cs="Arial" w:eastAsia="Arial" w:hAnsi="Arial"/>
          <w:sz w:val="20"/>
          <w:szCs w:val="20"/>
          <w:color w:val="auto"/>
        </w:rPr>
        <w:t>Balance Sheets as of September 30, 2014 and December 31, 2013, (ii) Condensed Consolidated Statements of Income for the three- and nine-months ended September 30, 2014 and 2013, (iii) Condensed Consolidated Statements of Comprehensive Income for the three- and nine-months ended September 30, 2014 and 2013, (iv) Condensed Consolidated Statements of Cash Flows for the nine-months ended September 30, 2014 and 2013, and (v) the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SIGNATURES</w:t>
      </w:r>
    </w:p>
    <w:p>
      <w:pPr>
        <w:spacing w:after="0" w:line="27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MONSTER BEVERAGE CORPORATION</w:t>
            </w:r>
          </w:p>
        </w:tc>
      </w:tr>
      <w:tr>
        <w:trPr>
          <w:trHeight w:val="250"/>
        </w:trPr>
        <w:tc>
          <w:tcPr>
            <w:tcW w:w="3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44"/>
        </w:trPr>
        <w:tc>
          <w:tcPr>
            <w:tcW w:w="3800" w:type="dxa"/>
            <w:vAlign w:val="bottom"/>
          </w:tcPr>
          <w:p>
            <w:pPr>
              <w:spacing w:after="0"/>
              <w:rPr>
                <w:sz w:val="20"/>
                <w:szCs w:val="20"/>
                <w:color w:val="auto"/>
              </w:rPr>
            </w:pPr>
            <w:r>
              <w:rPr>
                <w:rFonts w:ascii="Arial" w:cs="Arial" w:eastAsia="Arial" w:hAnsi="Arial"/>
                <w:sz w:val="20"/>
                <w:szCs w:val="20"/>
                <w:color w:val="auto"/>
              </w:rPr>
              <w:t>Date: November 7, 2014</w:t>
            </w:r>
          </w:p>
        </w:tc>
        <w:tc>
          <w:tcPr>
            <w:tcW w:w="192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3760" w:type="dxa"/>
            <w:vAlign w:val="bottom"/>
          </w:tcPr>
          <w:p>
            <w:pPr>
              <w:spacing w:after="0"/>
              <w:rPr>
                <w:sz w:val="20"/>
                <w:szCs w:val="20"/>
                <w:color w:val="auto"/>
              </w:rPr>
            </w:pPr>
          </w:p>
        </w:tc>
      </w:tr>
      <w:tr>
        <w:trPr>
          <w:trHeight w:val="230"/>
        </w:trPr>
        <w:tc>
          <w:tcPr>
            <w:tcW w:w="38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28"/>
        </w:trPr>
        <w:tc>
          <w:tcPr>
            <w:tcW w:w="3800" w:type="dxa"/>
            <w:vAlign w:val="bottom"/>
          </w:tcPr>
          <w:p>
            <w:pPr>
              <w:spacing w:after="0"/>
              <w:rPr>
                <w:sz w:val="24"/>
                <w:szCs w:val="24"/>
                <w:color w:val="auto"/>
              </w:rPr>
            </w:pPr>
          </w:p>
        </w:tc>
        <w:tc>
          <w:tcPr>
            <w:tcW w:w="3900" w:type="dxa"/>
            <w:vAlign w:val="bottom"/>
            <w:gridSpan w:val="2"/>
          </w:tcPr>
          <w:p>
            <w:pPr>
              <w:jc w:val="right"/>
              <w:ind w:right="1801"/>
              <w:spacing w:after="0"/>
              <w:rPr>
                <w:sz w:val="20"/>
                <w:szCs w:val="20"/>
                <w:color w:val="auto"/>
              </w:rPr>
            </w:pPr>
            <w:r>
              <w:rPr>
                <w:rFonts w:ascii="Arial" w:cs="Arial" w:eastAsia="Arial" w:hAnsi="Arial"/>
                <w:sz w:val="18"/>
                <w:szCs w:val="18"/>
                <w:color w:val="auto"/>
              </w:rPr>
              <w:t>48</w:t>
            </w:r>
          </w:p>
        </w:tc>
        <w:tc>
          <w:tcPr>
            <w:tcW w:w="3760" w:type="dxa"/>
            <w:vAlign w:val="bottom"/>
          </w:tcPr>
          <w:p>
            <w:pPr>
              <w:spacing w:after="0"/>
              <w:rPr>
                <w:sz w:val="24"/>
                <w:szCs w:val="24"/>
                <w:color w:val="auto"/>
              </w:rPr>
            </w:pPr>
          </w:p>
        </w:tc>
      </w:tr>
      <w:tr>
        <w:trPr>
          <w:trHeight w:val="132"/>
        </w:trPr>
        <w:tc>
          <w:tcPr>
            <w:tcW w:w="380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439"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840" w:type="dxa"/>
            <w:vAlign w:val="bottom"/>
          </w:tcPr>
          <w:p>
            <w:pPr>
              <w:ind w:left="420"/>
              <w:spacing w:after="0"/>
              <w:rPr>
                <w:sz w:val="20"/>
                <w:szCs w:val="20"/>
                <w:color w:val="auto"/>
              </w:rPr>
            </w:pPr>
            <w:r>
              <w:rPr>
                <w:rFonts w:ascii="Arial" w:cs="Arial" w:eastAsia="Arial" w:hAnsi="Arial"/>
                <w:sz w:val="20"/>
                <w:szCs w:val="20"/>
                <w:color w:val="auto"/>
              </w:rPr>
              <w:t>November 7, 2014</w:t>
            </w: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5720" w:type="dxa"/>
            <w:vAlign w:val="bottom"/>
          </w:tcPr>
          <w:p>
            <w:pPr>
              <w:ind w:left="12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5" w:right="199" w:bottom="1440" w:gutter="0" w:footer="0" w:header="0"/>
        </w:sectPr>
      </w:pPr>
    </w:p>
    <w:bookmarkStart w:id="34" w:name="page35"/>
    <w:bookmarkEnd w:id="34"/>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380"/>
              <w:spacing w:after="0"/>
              <w:rPr>
                <w:sz w:val="20"/>
                <w:szCs w:val="20"/>
                <w:color w:val="auto"/>
              </w:rPr>
            </w:pPr>
            <w:r>
              <w:rPr>
                <w:rFonts w:ascii="Arial" w:cs="Arial" w:eastAsia="Arial" w:hAnsi="Arial"/>
                <w:sz w:val="20"/>
                <w:szCs w:val="20"/>
                <w:color w:val="auto"/>
              </w:rPr>
              <w:t>November 7, 2014</w:t>
            </w:r>
          </w:p>
        </w:tc>
        <w:tc>
          <w:tcPr>
            <w:tcW w:w="57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700" w:type="dxa"/>
            <w:vAlign w:val="bottom"/>
          </w:tcPr>
          <w:p>
            <w:pPr>
              <w:ind w:left="14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700" w:type="dxa"/>
            <w:vAlign w:val="bottom"/>
          </w:tcPr>
          <w:p>
            <w:pPr>
              <w:ind w:left="14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0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5" w:name="page36"/>
    <w:bookmarkEnd w:id="35"/>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2014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4860" w:type="dxa"/>
            <w:vAlign w:val="bottom"/>
          </w:tcPr>
          <w:p>
            <w:pPr>
              <w:ind w:left="420"/>
              <w:spacing w:after="0"/>
              <w:rPr>
                <w:sz w:val="20"/>
                <w:szCs w:val="20"/>
                <w:color w:val="auto"/>
              </w:rPr>
            </w:pPr>
            <w:r>
              <w:rPr>
                <w:rFonts w:ascii="Arial" w:cs="Arial" w:eastAsia="Arial" w:hAnsi="Arial"/>
                <w:sz w:val="20"/>
                <w:szCs w:val="20"/>
                <w:color w:val="auto"/>
              </w:rPr>
              <w:t>November 7, 2014</w:t>
            </w:r>
          </w:p>
        </w:tc>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8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720" w:type="dxa"/>
            <w:vAlign w:val="bottom"/>
          </w:tcPr>
          <w:p>
            <w:pPr>
              <w:ind w:left="12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720" w:type="dxa"/>
            <w:vAlign w:val="bottom"/>
          </w:tcPr>
          <w:p>
            <w:pPr>
              <w:ind w:left="12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5720" w:type="dxa"/>
            <w:vAlign w:val="bottom"/>
          </w:tcPr>
          <w:p>
            <w:pPr>
              <w:ind w:left="12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840" w:type="dxa"/>
            <w:vAlign w:val="bottom"/>
            <w:tcBorders>
              <w:bottom w:val="single" w:sz="8" w:color="010101"/>
            </w:tcBorders>
          </w:tcPr>
          <w:p>
            <w:pPr>
              <w:spacing w:after="0"/>
              <w:rPr>
                <w:sz w:val="24"/>
                <w:szCs w:val="24"/>
                <w:color w:val="auto"/>
              </w:rPr>
            </w:pPr>
          </w:p>
        </w:tc>
        <w:tc>
          <w:tcPr>
            <w:tcW w:w="486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September 30, 2014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100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420"/>
              <w:spacing w:after="0"/>
              <w:rPr>
                <w:sz w:val="20"/>
                <w:szCs w:val="20"/>
                <w:color w:val="auto"/>
              </w:rPr>
            </w:pPr>
            <w:r>
              <w:rPr>
                <w:rFonts w:ascii="Arial" w:cs="Arial" w:eastAsia="Arial" w:hAnsi="Arial"/>
                <w:sz w:val="20"/>
                <w:szCs w:val="20"/>
                <w:color w:val="auto"/>
              </w:rPr>
              <w:t>November 7, 2014</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8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640" w:type="dxa"/>
            <w:vAlign w:val="bottom"/>
          </w:tcPr>
          <w:p>
            <w:pPr>
              <w:ind w:left="14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8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8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86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3"/>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Roman"/>
      <w:start w:val="2"/>
    </w:lvl>
  </w:abstractNum>
  <w:abstractNum w:abstractNumId="9">
    <w:nsid w:val="2D1D5AE9"/>
    <w:multiLevelType w:val="hybridMultilevel"/>
    <w:lvl w:ilvl="0">
      <w:lvlJc w:val="left"/>
      <w:lvlText w:val="%1."/>
      <w:numFmt w:val="decimal"/>
      <w:start w:val="6"/>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9"/>
    </w:lvl>
  </w:abstractNum>
  <w:abstractNum w:abstractNumId="13">
    <w:nsid w:val="79838CB2"/>
    <w:multiLevelType w:val="hybridMultilevel"/>
    <w:lvl w:ilvl="0">
      <w:lvlJc w:val="left"/>
      <w:lvlText w:val="%1."/>
      <w:numFmt w:val="decimal"/>
      <w:start w:val="10"/>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lowerRoman"/>
      <w:start w:val="1"/>
    </w:lvl>
  </w:abstractNum>
  <w:abstractNum w:abstractNumId="16">
    <w:nsid w:val="189A769B"/>
    <w:multiLevelType w:val="hybridMultilevel"/>
    <w:lvl w:ilvl="0">
      <w:lvlJc w:val="left"/>
      <w:lvlText w:val="%1"/>
      <w:numFmt w:val="decimal"/>
      <w:start w:val="1"/>
    </w:lvl>
    <w:lvl w:ilvl="1">
      <w:lvlJc w:val="left"/>
      <w:lvlText w:val="(%2)"/>
      <w:numFmt w:val="lowerRoman"/>
      <w:start w:val="1"/>
    </w:lvl>
  </w:abstractNum>
  <w:abstractNum w:abstractNumId="17">
    <w:nsid w:val="54E49EB4"/>
    <w:multiLevelType w:val="hybridMultilevel"/>
    <w:lvl w:ilvl="0">
      <w:lvlJc w:val="left"/>
      <w:lvlText w:val="(%1)"/>
      <w:numFmt w:val="decimal"/>
      <w:start w:val="2"/>
    </w:lvl>
    <w:lvl w:ilvl="1">
      <w:lvlJc w:val="left"/>
      <w:lvlText w:val="%2"/>
      <w:numFmt w:val="lowerRoman"/>
      <w:start w:val="1"/>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1."/>
      <w:numFmt w:val="decimal"/>
      <w:start w:val="14"/>
    </w:lvl>
  </w:abstractNum>
  <w:abstractNum w:abstractNumId="20">
    <w:nsid w:val="836C40E"/>
    <w:multiLevelType w:val="hybridMultilevel"/>
    <w:lvl w:ilvl="0">
      <w:lvlJc w:val="left"/>
      <w:lvlText w:val="1"/>
      <w:numFmt w:val="bullet"/>
      <w:start w:val="1"/>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decimal"/>
      <w:start w:val="16"/>
    </w:lvl>
  </w:abstractNum>
  <w:abstractNum w:abstractNumId="23">
    <w:nsid w:val="8138641"/>
    <w:multiLevelType w:val="hybridMultilevel"/>
    <w:lvl w:ilvl="0">
      <w:lvlJc w:val="left"/>
      <w:lvlText w:val="%1."/>
      <w:numFmt w:val="decimal"/>
      <w:start w:val="17"/>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4"/>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lvl w:ilvl="1">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2019-12-06T03:18:21Z</dcterms:created>
  <dcterms:modified xsi:type="dcterms:W3CDTF">2019-12-06T03:18:21Z</dcterms:modified>
</cp:coreProperties>
</file>