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60" w:right="3140" w:hanging="814"/>
        <w:spacing w:after="0" w:line="261" w:lineRule="auto"/>
        <w:tabs>
          <w:tab w:leader="none" w:pos="3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2008</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960" w:right="3020" w:hanging="931"/>
        <w:spacing w:after="0" w:line="308" w:lineRule="auto"/>
        <w:tabs>
          <w:tab w:leader="none" w:pos="3187"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w:t>
      </w:r>
    </w:p>
    <w:p>
      <w:pPr>
        <w:spacing w:after="0" w:line="151" w:lineRule="exact"/>
        <w:rPr>
          <w:sz w:val="24"/>
          <w:szCs w:val="24"/>
          <w:color w:val="auto"/>
        </w:rPr>
      </w:pPr>
    </w:p>
    <w:p>
      <w:pPr>
        <w:ind w:left="4220"/>
        <w:spacing w:after="0"/>
        <w:tabs>
          <w:tab w:leader="none" w:pos="66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3930015</wp:posOffset>
            </wp:positionH>
            <wp:positionV relativeFrom="paragraph">
              <wp:posOffset>-6985</wp:posOffset>
            </wp:positionV>
            <wp:extent cx="645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795"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0-18761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HANSEN NATURAL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441" w:right="239" w:bottom="0" w:gutter="0" w:footer="0" w:header="0"/>
        </w:sectPr>
      </w:pPr>
    </w:p>
    <w:p>
      <w:pPr>
        <w:spacing w:after="0" w:line="194"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7060" w:space="720"/>
            <w:col w:w="3640"/>
          </w:cols>
          <w:pgMar w:left="240" w:top="441" w:right="239" w:bottom="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color w:val="auto"/>
        </w:rPr>
        <w:t>(State or other jurisdiction of</w:t>
      </w:r>
    </w:p>
    <w:p>
      <w:pPr>
        <w:ind w:left="19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7060" w:space="720"/>
            <w:col w:w="3640"/>
          </w:cols>
          <w:pgMar w:left="240" w:top="441" w:right="2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550 Monica Circle, Suite 201, Corona, California 92880</w:t>
      </w:r>
    </w:p>
    <w:p>
      <w:pPr>
        <w:spacing w:after="0" w:line="33"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ectPr>
          <w:pgSz w:w="11900" w:h="16838" w:orient="portrait"/>
          <w:cols w:equalWidth="0" w:num="1">
            <w:col w:w="11420"/>
          </w:cols>
          <w:pgMar w:left="240" w:top="441" w:right="239" w:bottom="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32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87"/>
              </w:rPr>
              <w:t>Name of each exchange</w:t>
            </w:r>
          </w:p>
        </w:tc>
      </w:tr>
      <w:tr>
        <w:trPr>
          <w:trHeight w:val="190"/>
        </w:trPr>
        <w:tc>
          <w:tcPr>
            <w:tcW w:w="35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rPr>
              <w:t>Title of each class</w:t>
            </w:r>
          </w:p>
        </w:tc>
        <w:tc>
          <w:tcPr>
            <w:tcW w:w="1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on which registered</w:t>
            </w:r>
          </w:p>
        </w:tc>
        <w:tc>
          <w:tcPr>
            <w:tcW w:w="300" w:type="dxa"/>
            <w:vAlign w:val="bottom"/>
          </w:tcPr>
          <w:p>
            <w:pPr>
              <w:spacing w:after="0"/>
              <w:rPr>
                <w:sz w:val="16"/>
                <w:szCs w:val="16"/>
                <w:color w:val="auto"/>
              </w:rPr>
            </w:pP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1720" w:type="dxa"/>
            <w:vAlign w:val="bottom"/>
            <w:gridSpan w:val="2"/>
          </w:tcPr>
          <w:p>
            <w:pPr>
              <w:spacing w:after="0"/>
              <w:rPr>
                <w:sz w:val="20"/>
                <w:szCs w:val="20"/>
                <w:color w:val="auto"/>
              </w:rPr>
            </w:pPr>
            <w:r>
              <w:rPr>
                <w:rFonts w:ascii="Arial" w:cs="Arial" w:eastAsia="Arial" w:hAnsi="Arial"/>
                <w:sz w:val="18"/>
                <w:szCs w:val="18"/>
                <w:color w:val="auto"/>
              </w:rPr>
              <w:t>Not Applicable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Title of class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$0.005 par value per share</w:t>
      </w:r>
    </w:p>
    <w:p>
      <w:pPr>
        <w:spacing w:after="0" w:line="19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No[X]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No[X]</w:t>
      </w:r>
    </w:p>
    <w:p>
      <w:pPr>
        <w:spacing w:after="0" w:line="23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Exchange Act from their obligations under those Sections.</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 No </w:t>
      </w:r>
      <w:r>
        <w:rPr>
          <w:rFonts w:ascii="Arial" w:cs="Arial" w:eastAsia="Arial" w:hAnsi="Arial"/>
          <w:sz w:val="18"/>
          <w:szCs w:val="18"/>
          <w:u w:val="single" w:color="auto"/>
          <w:color w:val="auto"/>
        </w:rPr>
        <w:t>[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9" w:lineRule="exact"/>
        <w:rPr>
          <w:sz w:val="24"/>
          <w:szCs w:val="24"/>
          <w:color w:val="auto"/>
        </w:rPr>
      </w:pPr>
    </w:p>
    <w:p>
      <w:pPr>
        <w:ind w:right="3620" w:firstLine="243"/>
        <w:spacing w:after="0" w:line="261" w:lineRule="auto"/>
        <w:rPr>
          <w:sz w:val="20"/>
          <w:szCs w:val="20"/>
          <w:color w:val="auto"/>
        </w:rPr>
      </w:pPr>
      <w:r>
        <w:rPr>
          <w:rFonts w:ascii="Arial" w:cs="Arial" w:eastAsia="Arial" w:hAnsi="Arial"/>
          <w:sz w:val="18"/>
          <w:szCs w:val="18"/>
          <w:color w:val="auto"/>
        </w:rPr>
        <w:t>Large accelerated filer x Accelerated filer o Non-accelerated filer o Smaller reporting company o (Do not check if a smaller reporting company)</w:t>
      </w:r>
    </w:p>
    <w:p>
      <w:pPr>
        <w:spacing w:after="0" w:line="400" w:lineRule="exact"/>
        <w:rPr>
          <w:sz w:val="24"/>
          <w:szCs w:val="24"/>
          <w:color w:val="auto"/>
        </w:rPr>
      </w:pPr>
    </w:p>
    <w:p>
      <w:pPr>
        <w:ind w:left="660"/>
        <w:spacing w:after="0"/>
        <w:tabs>
          <w:tab w:leader="none" w:pos="908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tab/>
        <w:t>Yes [  ] No [X]</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market value of the common equity held by nonaffiliates of the registrant was $2,180,565,237 computed by reference to the closing sale price for such stock on the NASDAQ Capital Market on June 30, 2008, the last business day of the registrant’s most recently completed second fiscal quarter.</w:t>
      </w:r>
    </w:p>
    <w:p>
      <w:pPr>
        <w:spacing w:after="0" w:line="181"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shares of the registrant’s common stock, $0.005 par value per share (being the only class of common stock of the registrant), outstanding on February 6, 2009 was 90,401,966 shares.</w:t>
      </w:r>
    </w:p>
    <w:p>
      <w:pPr>
        <w:sectPr>
          <w:pgSz w:w="11900" w:h="16838" w:orient="portrait"/>
          <w:cols w:equalWidth="0" w:num="1">
            <w:col w:w="11420"/>
          </w:cols>
          <w:pgMar w:left="240" w:top="441" w:right="239" w:bottom="0" w:gutter="0" w:footer="0" w:header="0"/>
          <w:type w:val="continuous"/>
        </w:sectPr>
      </w:pPr>
    </w:p>
    <w:bookmarkStart w:id="1" w:name="page2"/>
    <w:bookmarkEnd w:id="1"/>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Portions of the registrant’s Definitive Proxy Statement to be filed subsequent to the date hereof with the Commission pursuant to Regulation 14A in connection with the registrant’s 2009 Annual Meeting of Stockholders are incorporated by reference into Part III of this Report. Such Definitive Proxy Statement will be filed with the Securities and Exchange Commission no later than 120 days after the conclusion of the registrant’s fiscal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20" w:type="dxa"/>
            <w:vAlign w:val="bottom"/>
            <w:gridSpan w:val="4"/>
          </w:tcPr>
          <w:p>
            <w:pPr>
              <w:jc w:val="center"/>
              <w:ind w:right="1820"/>
              <w:spacing w:after="0"/>
              <w:rPr>
                <w:sz w:val="20"/>
                <w:szCs w:val="20"/>
                <w:color w:val="auto"/>
              </w:rPr>
            </w:pPr>
            <w:r>
              <w:rPr>
                <w:rFonts w:ascii="Arial" w:cs="Arial" w:eastAsia="Arial" w:hAnsi="Arial"/>
                <w:sz w:val="18"/>
                <w:szCs w:val="18"/>
                <w:b w:val="1"/>
                <w:bCs w:val="1"/>
                <w:color w:val="auto"/>
                <w:w w:val="99"/>
              </w:rPr>
              <w:t>HANSEN NATURAL CORPORATION</w:t>
            </w:r>
          </w:p>
        </w:tc>
        <w:tc>
          <w:tcPr>
            <w:tcW w:w="10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2"/>
          </w:tcPr>
          <w:p>
            <w:pPr>
              <w:jc w:val="center"/>
              <w:ind w:right="3660"/>
              <w:spacing w:after="0"/>
              <w:rPr>
                <w:sz w:val="20"/>
                <w:szCs w:val="20"/>
                <w:color w:val="auto"/>
              </w:rPr>
            </w:pPr>
            <w:r>
              <w:rPr>
                <w:rFonts w:ascii="Arial" w:cs="Arial" w:eastAsia="Arial" w:hAnsi="Arial"/>
                <w:sz w:val="18"/>
                <w:szCs w:val="18"/>
                <w:b w:val="1"/>
                <w:bCs w:val="1"/>
                <w:color w:val="auto"/>
              </w:rPr>
              <w:t>FORM 10-K</w:t>
            </w:r>
          </w:p>
        </w:tc>
        <w:tc>
          <w:tcPr>
            <w:tcW w:w="10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20" w:type="dxa"/>
            <w:vAlign w:val="bottom"/>
            <w:gridSpan w:val="4"/>
          </w:tcPr>
          <w:p>
            <w:pPr>
              <w:jc w:val="center"/>
              <w:ind w:right="182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r>
      <w:tr>
        <w:trPr>
          <w:trHeight w:val="608"/>
        </w:trPr>
        <w:tc>
          <w:tcPr>
            <w:tcW w:w="9800" w:type="dxa"/>
            <w:vAlign w:val="bottom"/>
            <w:gridSpan w:val="15"/>
          </w:tcPr>
          <w:p>
            <w:pPr>
              <w:spacing w:after="0"/>
              <w:rPr>
                <w:sz w:val="20"/>
                <w:szCs w:val="20"/>
                <w:color w:val="auto"/>
              </w:rPr>
            </w:pPr>
            <w:r>
              <w:rPr>
                <w:rFonts w:ascii="Arial" w:cs="Arial" w:eastAsia="Arial" w:hAnsi="Arial"/>
                <w:sz w:val="18"/>
                <w:szCs w:val="18"/>
                <w:b w:val="1"/>
                <w:bCs w:val="1"/>
                <w:color w:val="auto"/>
              </w:rPr>
              <w:t>Item Number</w:t>
            </w:r>
          </w:p>
        </w:tc>
        <w:tc>
          <w:tcPr>
            <w:tcW w:w="1060" w:type="dxa"/>
            <w:vAlign w:val="bottom"/>
          </w:tcPr>
          <w:p>
            <w:pPr>
              <w:spacing w:after="0"/>
              <w:rPr>
                <w:sz w:val="20"/>
                <w:szCs w:val="20"/>
                <w:color w:val="auto"/>
              </w:rPr>
            </w:pPr>
            <w:r>
              <w:rPr>
                <w:rFonts w:ascii="Arial" w:cs="Arial" w:eastAsia="Arial" w:hAnsi="Arial"/>
                <w:sz w:val="18"/>
                <w:szCs w:val="18"/>
                <w:b w:val="1"/>
                <w:bCs w:val="1"/>
                <w:color w:val="auto"/>
                <w:w w:val="89"/>
              </w:rPr>
              <w:t>Page Number</w:t>
            </w:r>
          </w:p>
        </w:tc>
      </w:tr>
      <w:tr>
        <w:trPr>
          <w:trHeight w:val="196"/>
        </w:trPr>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44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412"/>
        </w:trPr>
        <w:tc>
          <w:tcPr>
            <w:tcW w:w="68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1.</w:t>
              </w:r>
            </w:hyperlink>
          </w:p>
        </w:tc>
        <w:tc>
          <w:tcPr>
            <w:tcW w:w="9120" w:type="dxa"/>
            <w:vAlign w:val="bottom"/>
            <w:gridSpan w:val="11"/>
          </w:tcPr>
          <w:p>
            <w:pPr>
              <w:ind w:left="240"/>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1A.</w:t>
              </w:r>
            </w:hyperlink>
          </w:p>
        </w:tc>
        <w:tc>
          <w:tcPr>
            <w:tcW w:w="24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7960" w:type="dxa"/>
            <w:vAlign w:val="bottom"/>
            <w:gridSpan w:val="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400" w:type="dxa"/>
            <w:vAlign w:val="bottom"/>
          </w:tcPr>
          <w:p>
            <w:pPr>
              <w:spacing w:after="0"/>
              <w:rPr>
                <w:sz w:val="17"/>
                <w:szCs w:val="17"/>
                <w:color w:val="auto"/>
              </w:rPr>
            </w:pPr>
          </w:p>
        </w:tc>
        <w:tc>
          <w:tcPr>
            <w:tcW w:w="280" w:type="dxa"/>
            <w:vAlign w:val="bottom"/>
            <w:gridSpan w:val="3"/>
          </w:tcPr>
          <w:p>
            <w:pPr>
              <w:jc w:val="right"/>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1B.</w:t>
              </w:r>
            </w:hyperlink>
          </w:p>
        </w:tc>
        <w:tc>
          <w:tcPr>
            <w:tcW w:w="9120" w:type="dxa"/>
            <w:vAlign w:val="bottom"/>
            <w:gridSpan w:val="11"/>
          </w:tcPr>
          <w:p>
            <w:pPr>
              <w:ind w:left="2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420" w:type="dxa"/>
            <w:vAlign w:val="bottom"/>
            <w:gridSpan w:val="2"/>
          </w:tcPr>
          <w:p>
            <w:pPr>
              <w:spacing w:after="0"/>
              <w:rPr>
                <w:sz w:val="17"/>
                <w:szCs w:val="17"/>
                <w:color w:val="auto"/>
              </w:rPr>
            </w:pPr>
          </w:p>
        </w:tc>
        <w:tc>
          <w:tcPr>
            <w:tcW w:w="2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2.</w:t>
              </w:r>
            </w:hyperlink>
          </w:p>
        </w:tc>
        <w:tc>
          <w:tcPr>
            <w:tcW w:w="240" w:type="dxa"/>
            <w:vAlign w:val="bottom"/>
          </w:tcPr>
          <w:p>
            <w:pPr>
              <w:spacing w:after="0"/>
              <w:rPr>
                <w:sz w:val="17"/>
                <w:szCs w:val="17"/>
                <w:color w:val="auto"/>
              </w:rPr>
            </w:pPr>
          </w:p>
        </w:tc>
        <w:tc>
          <w:tcPr>
            <w:tcW w:w="2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6820" w:type="dxa"/>
            <w:vAlign w:val="bottom"/>
            <w:gridSpan w:val="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20"/>
        </w:trPr>
        <w:tc>
          <w:tcPr>
            <w:tcW w:w="5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680" w:type="dxa"/>
            <w:vAlign w:val="bottom"/>
            <w:gridSpan w:val="4"/>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3.</w:t>
              </w:r>
            </w:hyperlink>
          </w:p>
        </w:tc>
        <w:tc>
          <w:tcPr>
            <w:tcW w:w="9120" w:type="dxa"/>
            <w:vAlign w:val="bottom"/>
            <w:gridSpan w:val="11"/>
          </w:tcPr>
          <w:p>
            <w:pPr>
              <w:ind w:left="2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r>
      <w:tr>
        <w:trPr>
          <w:trHeight w:val="20"/>
        </w:trPr>
        <w:tc>
          <w:tcPr>
            <w:tcW w:w="5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680" w:type="dxa"/>
            <w:vAlign w:val="bottom"/>
            <w:gridSpan w:val="4"/>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4.</w:t>
              </w:r>
            </w:hyperlink>
          </w:p>
        </w:tc>
        <w:tc>
          <w:tcPr>
            <w:tcW w:w="9120" w:type="dxa"/>
            <w:vAlign w:val="bottom"/>
            <w:gridSpan w:val="11"/>
          </w:tcPr>
          <w:p>
            <w:pPr>
              <w:ind w:left="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PART II</w:t>
        </w:r>
      </w:hyperlink>
    </w:p>
    <w:p>
      <w:pPr>
        <w:spacing w:after="0" w:line="229" w:lineRule="exact"/>
        <w:rPr>
          <w:sz w:val="20"/>
          <w:szCs w:val="20"/>
          <w:color w:val="auto"/>
        </w:rPr>
      </w:pPr>
    </w:p>
    <w:p>
      <w:pPr>
        <w:ind w:left="1160" w:hanging="381"/>
        <w:spacing w:after="0"/>
        <w:tabs>
          <w:tab w:leader="none" w:pos="1160" w:val="left"/>
        </w:tabs>
        <w:numPr>
          <w:ilvl w:val="0"/>
          <w:numId w:val="3"/>
        </w:numPr>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Market for the Registrant’s Common Equity, Related</w:t>
        </w:r>
      </w:hyperlink>
    </w:p>
    <w:tbl>
      <w:tblPr>
        <w:tblLayout w:type="fixed"/>
        <w:tblInd w:w="600" w:type="dxa"/>
        <w:tblCellMar>
          <w:top w:w="0" w:type="dxa"/>
          <w:left w:w="0" w:type="dxa"/>
          <w:bottom w:w="0" w:type="dxa"/>
          <w:right w:w="0" w:type="dxa"/>
        </w:tblCellMar>
      </w:tblPr>
      <w:tr>
        <w:trPr>
          <w:trHeight w:val="199"/>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9"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Stockholder Matters and Issuer Purchases of Equity Securities</w:t>
              </w:r>
            </w:hyperlink>
          </w:p>
        </w:tc>
        <w:tc>
          <w:tcPr>
            <w:tcW w:w="2320" w:type="dxa"/>
            <w:vAlign w:val="bottom"/>
          </w:tcPr>
          <w:p>
            <w:pPr>
              <w:spacing w:after="0"/>
              <w:rPr>
                <w:sz w:val="17"/>
                <w:szCs w:val="17"/>
                <w:color w:val="auto"/>
              </w:rPr>
            </w:pPr>
          </w:p>
        </w:tc>
        <w:tc>
          <w:tcPr>
            <w:tcW w:w="2500" w:type="dxa"/>
            <w:vAlign w:val="bottom"/>
          </w:tcPr>
          <w:p>
            <w:pPr>
              <w:jc w:val="right"/>
              <w:spacing w:after="0" w:line="199" w:lineRule="exact"/>
              <w:rPr>
                <w:sz w:val="20"/>
                <w:szCs w:val="20"/>
                <w:color w:val="auto"/>
              </w:rPr>
            </w:pPr>
            <w:r>
              <w:rPr>
                <w:rFonts w:ascii="Arial" w:cs="Arial" w:eastAsia="Arial" w:hAnsi="Arial"/>
                <w:sz w:val="18"/>
                <w:szCs w:val="18"/>
                <w:color w:val="auto"/>
              </w:rPr>
              <w:t>30</w:t>
            </w:r>
          </w:p>
        </w:tc>
      </w:tr>
      <w:tr>
        <w:trPr>
          <w:trHeight w:val="196"/>
        </w:trPr>
        <w:tc>
          <w:tcPr>
            <w:tcW w:w="320" w:type="dxa"/>
            <w:vAlign w:val="bottom"/>
            <w:gridSpan w:val="2"/>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6.</w:t>
              </w:r>
            </w:hyperlink>
          </w:p>
        </w:tc>
        <w:tc>
          <w:tcPr>
            <w:tcW w:w="7240" w:type="dxa"/>
            <w:vAlign w:val="bottom"/>
            <w:gridSpan w:val="9"/>
          </w:tcPr>
          <w:p>
            <w:pPr>
              <w:ind w:left="2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320" w:type="dxa"/>
            <w:vAlign w:val="bottom"/>
            <w:gridSpan w:val="2"/>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7.</w:t>
              </w:r>
            </w:hyperlink>
          </w:p>
        </w:tc>
        <w:tc>
          <w:tcPr>
            <w:tcW w:w="7240" w:type="dxa"/>
            <w:vAlign w:val="bottom"/>
            <w:gridSpan w:val="9"/>
          </w:tcPr>
          <w:p>
            <w:pPr>
              <w:ind w:left="24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w:t>
              </w:r>
            </w:hyperlink>
          </w:p>
        </w:tc>
        <w:tc>
          <w:tcPr>
            <w:tcW w:w="2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Condition and Results of Operations</w:t>
              </w:r>
            </w:hyperlink>
          </w:p>
        </w:tc>
        <w:tc>
          <w:tcPr>
            <w:tcW w:w="1020" w:type="dxa"/>
            <w:vAlign w:val="bottom"/>
            <w:tcBorders>
              <w:top w:val="single" w:sz="8" w:color="0000EE"/>
            </w:tcBorders>
            <w:gridSpan w:val="2"/>
          </w:tcPr>
          <w:p>
            <w:pPr>
              <w:spacing w:after="0"/>
              <w:rPr>
                <w:sz w:val="17"/>
                <w:szCs w:val="17"/>
                <w:color w:val="auto"/>
              </w:rPr>
            </w:pPr>
          </w:p>
        </w:tc>
        <w:tc>
          <w:tcPr>
            <w:tcW w:w="3160" w:type="dxa"/>
            <w:vAlign w:val="bottom"/>
            <w:gridSpan w:val="3"/>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20" w:type="dxa"/>
            <w:vAlign w:val="bottom"/>
            <w:gridSpan w:val="2"/>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7A.</w:t>
              </w:r>
            </w:hyperlink>
          </w:p>
        </w:tc>
        <w:tc>
          <w:tcPr>
            <w:tcW w:w="240" w:type="dxa"/>
            <w:vAlign w:val="bottom"/>
          </w:tcPr>
          <w:p>
            <w:pPr>
              <w:spacing w:after="0"/>
              <w:rPr>
                <w:sz w:val="17"/>
                <w:szCs w:val="17"/>
                <w:color w:val="auto"/>
              </w:rPr>
            </w:pPr>
          </w:p>
        </w:tc>
        <w:tc>
          <w:tcPr>
            <w:tcW w:w="700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Risks</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2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8.</w:t>
              </w:r>
            </w:hyperlink>
          </w:p>
        </w:tc>
        <w:tc>
          <w:tcPr>
            <w:tcW w:w="240" w:type="dxa"/>
            <w:vAlign w:val="bottom"/>
          </w:tcPr>
          <w:p>
            <w:pPr>
              <w:spacing w:after="0"/>
              <w:rPr>
                <w:sz w:val="17"/>
                <w:szCs w:val="17"/>
                <w:color w:val="auto"/>
              </w:rPr>
            </w:pPr>
          </w:p>
        </w:tc>
        <w:tc>
          <w:tcPr>
            <w:tcW w:w="4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2620" w:type="dxa"/>
            <w:vAlign w:val="bottom"/>
            <w:gridSpan w:val="2"/>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3" w:lineRule="exact"/>
        <w:rPr>
          <w:sz w:val="20"/>
          <w:szCs w:val="20"/>
          <w:color w:val="auto"/>
        </w:rPr>
      </w:pPr>
    </w:p>
    <w:p>
      <w:pPr>
        <w:ind w:left="1160" w:hanging="381"/>
        <w:spacing w:after="0"/>
        <w:tabs>
          <w:tab w:leader="none" w:pos="1160" w:val="left"/>
        </w:tabs>
        <w:numPr>
          <w:ilvl w:val="0"/>
          <w:numId w:val="4"/>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Changes in and Disagreements with Accountants on</w:t>
        </w:r>
      </w:hyperlink>
    </w:p>
    <w:tbl>
      <w:tblPr>
        <w:tblLayout w:type="fixed"/>
        <w:tblInd w:w="6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gridSpan w:val="6"/>
          </w:tcPr>
          <w:p>
            <w:pPr>
              <w:spacing w:after="0" w:line="199" w:lineRule="exact"/>
              <w:rPr>
                <w:rFonts w:ascii="Arial" w:cs="Arial" w:eastAsia="Arial" w:hAnsi="Arial"/>
                <w:sz w:val="18"/>
                <w:szCs w:val="18"/>
                <w:color w:val="0000EE"/>
              </w:rPr>
            </w:pPr>
            <w:hyperlink w:anchor="page36">
              <w:r>
                <w:rPr>
                  <w:rFonts w:ascii="Arial" w:cs="Arial" w:eastAsia="Arial" w:hAnsi="Arial"/>
                  <w:sz w:val="18"/>
                  <w:szCs w:val="18"/>
                  <w:color w:val="0000EE"/>
                </w:rPr>
                <w:t>Accounting and Financial Disclosure</w:t>
              </w:r>
            </w:hyperlink>
          </w:p>
        </w:tc>
        <w:tc>
          <w:tcPr>
            <w:tcW w:w="4980" w:type="dxa"/>
            <w:vAlign w:val="bottom"/>
          </w:tcPr>
          <w:p>
            <w:pPr>
              <w:jc w:val="right"/>
              <w:spacing w:after="0" w:line="199" w:lineRule="exact"/>
              <w:rPr>
                <w:sz w:val="20"/>
                <w:szCs w:val="20"/>
                <w:color w:val="auto"/>
              </w:rPr>
            </w:pPr>
            <w:r>
              <w:rPr>
                <w:rFonts w:ascii="Arial" w:cs="Arial" w:eastAsia="Arial" w:hAnsi="Arial"/>
                <w:sz w:val="18"/>
                <w:szCs w:val="18"/>
                <w:color w:val="auto"/>
              </w:rPr>
              <w:t>61</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9A.</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Controls and Procedures</w:t>
              </w:r>
            </w:hyperlink>
          </w:p>
        </w:tc>
        <w:tc>
          <w:tcPr>
            <w:tcW w:w="2700" w:type="dxa"/>
            <w:vAlign w:val="bottom"/>
            <w:gridSpan w:val="4"/>
          </w:tcPr>
          <w:p>
            <w:pPr>
              <w:spacing w:after="0"/>
              <w:rPr>
                <w:sz w:val="17"/>
                <w:szCs w:val="17"/>
                <w:color w:val="auto"/>
              </w:rPr>
            </w:pP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00" w:type="dxa"/>
            <w:vAlign w:val="bottom"/>
            <w:gridSpan w:val="5"/>
          </w:tcPr>
          <w:p>
            <w:pPr>
              <w:jc w:val="right"/>
              <w:ind w:right="120"/>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9B.</w:t>
              </w:r>
            </w:hyperlink>
          </w:p>
        </w:tc>
        <w:tc>
          <w:tcPr>
            <w:tcW w:w="4640" w:type="dxa"/>
            <w:vAlign w:val="bottom"/>
            <w:gridSpan w:val="8"/>
          </w:tcPr>
          <w:p>
            <w:pPr>
              <w:ind w:left="1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412"/>
        </w:trPr>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4980" w:type="dxa"/>
            <w:vAlign w:val="bottom"/>
          </w:tcPr>
          <w:p>
            <w:pPr>
              <w:spacing w:after="0"/>
              <w:rPr>
                <w:sz w:val="24"/>
                <w:szCs w:val="24"/>
                <w:color w:val="auto"/>
              </w:rPr>
            </w:pPr>
          </w:p>
        </w:tc>
      </w:tr>
      <w:tr>
        <w:trPr>
          <w:trHeight w:val="412"/>
        </w:trPr>
        <w:tc>
          <w:tcPr>
            <w:tcW w:w="40" w:type="dxa"/>
            <w:vAlign w:val="bottom"/>
            <w:gridSpan w:val="2"/>
          </w:tcPr>
          <w:p>
            <w:pPr>
              <w:spacing w:after="0"/>
              <w:rPr>
                <w:sz w:val="24"/>
                <w:szCs w:val="24"/>
                <w:color w:val="auto"/>
              </w:rPr>
            </w:pPr>
          </w:p>
        </w:tc>
        <w:tc>
          <w:tcPr>
            <w:tcW w:w="240" w:type="dxa"/>
            <w:vAlign w:val="bottom"/>
            <w:gridSpan w:val="2"/>
          </w:tcPr>
          <w:p>
            <w:pPr>
              <w:jc w:val="right"/>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10.</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7"/>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Directors, Executive Officers and Corporate Governance</w:t>
              </w:r>
            </w:hyperlink>
          </w:p>
        </w:tc>
        <w:tc>
          <w:tcPr>
            <w:tcW w:w="4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40" w:type="dxa"/>
            <w:vAlign w:val="bottom"/>
            <w:gridSpan w:val="2"/>
          </w:tcPr>
          <w:p>
            <w:pPr>
              <w:spacing w:after="0"/>
              <w:rPr>
                <w:sz w:val="17"/>
                <w:szCs w:val="17"/>
                <w:color w:val="auto"/>
              </w:rPr>
            </w:pPr>
          </w:p>
        </w:tc>
        <w:tc>
          <w:tcPr>
            <w:tcW w:w="2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11.</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420" w:type="dxa"/>
            <w:vAlign w:val="bottom"/>
          </w:tcPr>
          <w:p>
            <w:pPr>
              <w:spacing w:after="0"/>
              <w:rPr>
                <w:sz w:val="17"/>
                <w:szCs w:val="17"/>
                <w:color w:val="auto"/>
              </w:rPr>
            </w:pPr>
          </w:p>
        </w:tc>
        <w:tc>
          <w:tcPr>
            <w:tcW w:w="49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3" w:lineRule="exact"/>
        <w:rPr>
          <w:sz w:val="20"/>
          <w:szCs w:val="20"/>
          <w:color w:val="auto"/>
        </w:rPr>
      </w:pPr>
    </w:p>
    <w:p>
      <w:pPr>
        <w:ind w:left="1160" w:hanging="471"/>
        <w:spacing w:after="0"/>
        <w:tabs>
          <w:tab w:leader="none" w:pos="1160" w:val="left"/>
        </w:tabs>
        <w:numPr>
          <w:ilvl w:val="0"/>
          <w:numId w:val="5"/>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Security Ownership of Certain Beneficial Owners and Management</w:t>
        </w:r>
      </w:hyperlink>
    </w:p>
    <w:tbl>
      <w:tblPr>
        <w:tblLayout w:type="fixed"/>
        <w:tblInd w:w="1160" w:type="dxa"/>
        <w:tblCellMar>
          <w:top w:w="0" w:type="dxa"/>
          <w:left w:w="0" w:type="dxa"/>
          <w:bottom w:w="0" w:type="dxa"/>
          <w:right w:w="0" w:type="dxa"/>
        </w:tblCellMar>
      </w:tblPr>
      <w:tr>
        <w:trPr>
          <w:trHeight w:val="199"/>
        </w:trPr>
        <w:tc>
          <w:tcPr>
            <w:tcW w:w="2380" w:type="dxa"/>
            <w:vAlign w:val="bottom"/>
            <w:tcBorders>
              <w:bottom w:val="single" w:sz="8" w:color="0000EE"/>
            </w:tcBorders>
          </w:tcPr>
          <w:p>
            <w:pPr>
              <w:spacing w:after="0" w:line="199"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and Related Stockholder Matters</w:t>
              </w:r>
            </w:hyperlink>
          </w:p>
        </w:tc>
        <w:tc>
          <w:tcPr>
            <w:tcW w:w="7120" w:type="dxa"/>
            <w:vAlign w:val="bottom"/>
          </w:tcPr>
          <w:p>
            <w:pPr>
              <w:jc w:val="right"/>
              <w:spacing w:after="0" w:line="199" w:lineRule="exact"/>
              <w:rPr>
                <w:sz w:val="20"/>
                <w:szCs w:val="20"/>
                <w:color w:val="auto"/>
              </w:rPr>
            </w:pPr>
            <w:r>
              <w:rPr>
                <w:rFonts w:ascii="Arial" w:cs="Arial" w:eastAsia="Arial" w:hAnsi="Arial"/>
                <w:sz w:val="18"/>
                <w:szCs w:val="18"/>
                <w:color w:val="auto"/>
              </w:rPr>
              <w:t>64</w:t>
            </w:r>
          </w:p>
        </w:tc>
      </w:tr>
    </w:tbl>
    <w:p>
      <w:pPr>
        <w:spacing w:after="0" w:line="13" w:lineRule="exact"/>
        <w:rPr>
          <w:sz w:val="20"/>
          <w:szCs w:val="20"/>
          <w:color w:val="auto"/>
        </w:rPr>
      </w:pPr>
    </w:p>
    <w:p>
      <w:pPr>
        <w:ind w:left="1160" w:hanging="471"/>
        <w:spacing w:after="0"/>
        <w:tabs>
          <w:tab w:leader="none" w:pos="1160" w:val="left"/>
        </w:tabs>
        <w:numPr>
          <w:ilvl w:val="0"/>
          <w:numId w:val="6"/>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Certain Relationships and Related Transactions, and Director</w:t>
        </w:r>
      </w:hyperlink>
    </w:p>
    <w:tbl>
      <w:tblPr>
        <w:tblLayout w:type="fixed"/>
        <w:tblInd w:w="0" w:type="dxa"/>
        <w:tblCellMar>
          <w:top w:w="0" w:type="dxa"/>
          <w:left w:w="0" w:type="dxa"/>
          <w:bottom w:w="0" w:type="dxa"/>
          <w:right w:w="0" w:type="dxa"/>
        </w:tblCellMar>
      </w:tblPr>
      <w:tr>
        <w:trPr>
          <w:trHeight w:val="199"/>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gridSpan w:val="5"/>
          </w:tcPr>
          <w:p>
            <w:pPr>
              <w:spacing w:after="0" w:line="199" w:lineRule="exact"/>
              <w:rPr>
                <w:rFonts w:ascii="Arial" w:cs="Arial" w:eastAsia="Arial" w:hAnsi="Arial"/>
                <w:sz w:val="18"/>
                <w:szCs w:val="18"/>
                <w:color w:val="0000EE"/>
              </w:rPr>
            </w:pPr>
            <w:hyperlink w:anchor="page38">
              <w:r>
                <w:rPr>
                  <w:rFonts w:ascii="Arial" w:cs="Arial" w:eastAsia="Arial" w:hAnsi="Arial"/>
                  <w:sz w:val="18"/>
                  <w:szCs w:val="18"/>
                  <w:color w:val="0000EE"/>
                </w:rPr>
                <w:t>Independence</w:t>
              </w:r>
            </w:hyperlink>
          </w:p>
        </w:tc>
        <w:tc>
          <w:tcPr>
            <w:tcW w:w="6500" w:type="dxa"/>
            <w:vAlign w:val="bottom"/>
            <w:gridSpan w:val="2"/>
          </w:tcPr>
          <w:p>
            <w:pPr>
              <w:jc w:val="right"/>
              <w:ind w:right="800"/>
              <w:spacing w:after="0" w:line="199" w:lineRule="exact"/>
              <w:rPr>
                <w:sz w:val="20"/>
                <w:szCs w:val="20"/>
                <w:color w:val="auto"/>
              </w:rPr>
            </w:pPr>
            <w:r>
              <w:rPr>
                <w:rFonts w:ascii="Arial" w:cs="Arial" w:eastAsia="Arial" w:hAnsi="Arial"/>
                <w:sz w:val="18"/>
                <w:szCs w:val="18"/>
                <w:color w:val="auto"/>
              </w:rPr>
              <w:t>65</w:t>
            </w: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1000" w:type="dxa"/>
            <w:vAlign w:val="bottom"/>
            <w:gridSpan w:val="3"/>
          </w:tcPr>
          <w:p>
            <w:pPr>
              <w:jc w:val="right"/>
              <w:ind w:right="8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14.</w:t>
              </w:r>
            </w:hyperlink>
          </w:p>
        </w:tc>
        <w:tc>
          <w:tcPr>
            <w:tcW w:w="160" w:type="dxa"/>
            <w:vAlign w:val="bottom"/>
          </w:tcPr>
          <w:p>
            <w:pPr>
              <w:spacing w:after="0"/>
              <w:rPr>
                <w:sz w:val="17"/>
                <w:szCs w:val="17"/>
                <w:color w:val="auto"/>
              </w:rPr>
            </w:pPr>
          </w:p>
        </w:tc>
        <w:tc>
          <w:tcPr>
            <w:tcW w:w="3800" w:type="dxa"/>
            <w:vAlign w:val="bottom"/>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6500" w:type="dxa"/>
            <w:vAlign w:val="bottom"/>
            <w:gridSpan w:val="2"/>
          </w:tcPr>
          <w:p>
            <w:pPr>
              <w:jc w:val="right"/>
              <w:ind w:right="800"/>
              <w:spacing w:after="0" w:line="196" w:lineRule="exact"/>
              <w:rPr>
                <w:sz w:val="20"/>
                <w:szCs w:val="20"/>
                <w:color w:val="auto"/>
              </w:rPr>
            </w:pPr>
            <w:r>
              <w:rPr>
                <w:rFonts w:ascii="Arial" w:cs="Arial" w:eastAsia="Arial" w:hAnsi="Arial"/>
                <w:sz w:val="18"/>
                <w:szCs w:val="18"/>
                <w:color w:val="auto"/>
              </w:rPr>
              <w:t>65</w:t>
            </w:r>
          </w:p>
        </w:tc>
      </w:tr>
      <w:tr>
        <w:trPr>
          <w:trHeight w:val="412"/>
        </w:trPr>
        <w:tc>
          <w:tcPr>
            <w:tcW w:w="6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PART IV</w:t>
              </w:r>
            </w:hyperlink>
          </w:p>
        </w:tc>
        <w:tc>
          <w:tcPr>
            <w:tcW w:w="578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15.</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 Financial Statement Schedules</w:t>
              </w:r>
            </w:hyperlink>
          </w:p>
        </w:tc>
        <w:tc>
          <w:tcPr>
            <w:tcW w:w="6500" w:type="dxa"/>
            <w:vAlign w:val="bottom"/>
            <w:gridSpan w:val="2"/>
          </w:tcPr>
          <w:p>
            <w:pPr>
              <w:jc w:val="right"/>
              <w:ind w:right="800"/>
              <w:spacing w:after="0"/>
              <w:rPr>
                <w:sz w:val="20"/>
                <w:szCs w:val="20"/>
                <w:color w:val="auto"/>
              </w:rPr>
            </w:pPr>
            <w:r>
              <w:rPr>
                <w:rFonts w:ascii="Arial" w:cs="Arial" w:eastAsia="Arial" w:hAnsi="Arial"/>
                <w:sz w:val="18"/>
                <w:szCs w:val="18"/>
                <w:color w:val="auto"/>
              </w:rPr>
              <w:t>65</w:t>
            </w:r>
          </w:p>
        </w:tc>
      </w:tr>
      <w:tr>
        <w:trPr>
          <w:trHeight w:val="412"/>
        </w:trPr>
        <w:tc>
          <w:tcPr>
            <w:tcW w:w="6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900" w:type="dxa"/>
            <w:vAlign w:val="bottom"/>
          </w:tcPr>
          <w:p>
            <w:pPr>
              <w:spacing w:after="0"/>
              <w:rPr>
                <w:sz w:val="24"/>
                <w:szCs w:val="24"/>
                <w:color w:val="auto"/>
              </w:rPr>
            </w:pPr>
          </w:p>
        </w:tc>
        <w:tc>
          <w:tcPr>
            <w:tcW w:w="6500" w:type="dxa"/>
            <w:vAlign w:val="bottom"/>
            <w:gridSpan w:val="2"/>
          </w:tcPr>
          <w:p>
            <w:pPr>
              <w:jc w:val="right"/>
              <w:ind w:right="800"/>
              <w:spacing w:after="0"/>
              <w:rPr>
                <w:sz w:val="20"/>
                <w:szCs w:val="20"/>
                <w:color w:val="auto"/>
              </w:rPr>
            </w:pPr>
            <w:r>
              <w:rPr>
                <w:rFonts w:ascii="Arial" w:cs="Arial" w:eastAsia="Arial" w:hAnsi="Arial"/>
                <w:sz w:val="18"/>
                <w:szCs w:val="18"/>
                <w:color w:val="auto"/>
              </w:rPr>
              <w:t>66</w:t>
            </w:r>
          </w:p>
        </w:tc>
      </w:tr>
      <w:tr>
        <w:trPr>
          <w:trHeight w:val="453"/>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gridSpan w:val="2"/>
          </w:tcPr>
          <w:p>
            <w:pPr>
              <w:jc w:val="right"/>
              <w:ind w:right="5700"/>
              <w:spacing w:after="0"/>
              <w:rPr>
                <w:sz w:val="20"/>
                <w:szCs w:val="20"/>
                <w:color w:val="auto"/>
              </w:rPr>
            </w:pPr>
            <w:r>
              <w:rPr>
                <w:rFonts w:ascii="Arial" w:cs="Arial" w:eastAsia="Arial" w:hAnsi="Arial"/>
                <w:sz w:val="18"/>
                <w:szCs w:val="18"/>
                <w:color w:val="auto"/>
              </w:rPr>
              <w:t>2</w:t>
            </w:r>
          </w:p>
        </w:tc>
      </w:tr>
      <w:tr>
        <w:trPr>
          <w:trHeight w:val="132"/>
        </w:trPr>
        <w:tc>
          <w:tcPr>
            <w:tcW w:w="6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5780" w:type="dxa"/>
            <w:vAlign w:val="bottom"/>
            <w:tcBorders>
              <w:bottom w:val="single" w:sz="8" w:color="010101"/>
            </w:tcBorders>
          </w:tcPr>
          <w:p>
            <w:pPr>
              <w:spacing w:after="0"/>
              <w:rPr>
                <w:sz w:val="11"/>
                <w:szCs w:val="11"/>
                <w:color w:val="auto"/>
              </w:rPr>
            </w:pPr>
          </w:p>
        </w:tc>
      </w:tr>
      <w:tr>
        <w:trPr>
          <w:trHeight w:val="780"/>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gridSpan w:val="2"/>
          </w:tcPr>
          <w:p>
            <w:pPr>
              <w:jc w:val="right"/>
              <w:ind w:right="5460"/>
              <w:spacing w:after="0"/>
              <w:rPr>
                <w:sz w:val="20"/>
                <w:szCs w:val="20"/>
                <w:color w:val="auto"/>
              </w:rPr>
            </w:pPr>
            <w:r>
              <w:rPr>
                <w:rFonts w:ascii="Arial" w:cs="Arial" w:eastAsia="Arial" w:hAnsi="Arial"/>
                <w:sz w:val="18"/>
                <w:szCs w:val="18"/>
                <w:b w:val="1"/>
                <w:bCs w:val="1"/>
                <w:color w:val="auto"/>
              </w:rPr>
              <w:t>PART I</w:t>
            </w:r>
          </w:p>
        </w:tc>
      </w:tr>
      <w:tr>
        <w:trPr>
          <w:trHeight w:val="432"/>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3960" w:type="dxa"/>
            <w:vAlign w:val="bottom"/>
            <w:gridSpan w:val="6"/>
          </w:tcPr>
          <w:p>
            <w:pPr>
              <w:ind w:left="80"/>
              <w:spacing w:after="0"/>
              <w:rPr>
                <w:sz w:val="20"/>
                <w:szCs w:val="20"/>
                <w:color w:val="auto"/>
              </w:rPr>
            </w:pPr>
            <w:r>
              <w:rPr>
                <w:rFonts w:ascii="Arial" w:cs="Arial" w:eastAsia="Arial" w:hAnsi="Arial"/>
                <w:sz w:val="18"/>
                <w:szCs w:val="18"/>
                <w:b w:val="1"/>
                <w:bCs w:val="1"/>
                <w:color w:val="auto"/>
              </w:rPr>
              <w:t>BUSINESS</w:t>
            </w:r>
          </w:p>
        </w:tc>
        <w:tc>
          <w:tcPr>
            <w:tcW w:w="72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432"/>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Overview</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Hansen Natural Corporation was incorporated in Delaware on April 25, 1990. Our principal place of business is located at 550 Monica Circle, Suite 201, Corona, California 92880 and our telephone number is (951) 739-6200. When this report uses the words “Hansen”, “HBC”, “the Company”, “we”, “us”, and “our”, these words refer to Hansen Natural Corporation and our subsidiaries other than Monster LDA Company (“MLDA”), unless the context otherwise requires.</w:t>
      </w:r>
    </w:p>
    <w:p>
      <w:pPr>
        <w:spacing w:after="0" w:line="18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a holding company and carry no operating business except through our wholly owned subsidiaries: Hansen Beverage Company (“HBC”) which was incorporated in Delaware on June 8, 1992; MLDA, formerly known as Hard e Beverage Company, and previously known as Hard Energy Company and as CVI Ventures, Inc., which was incorporated in Delaware on April 30, 1990; Monster Energy UK Limited (“Monster UK”), a direct wholly owned subsidiary of HBC, which was incorporated in the United Kingdom on October 9, 2007; Monster Energy AU Pty, Ltd. (“MEAU”), a direct wholly</w:t>
      </w:r>
    </w:p>
    <w:p>
      <w:pPr>
        <w:sectPr>
          <w:pgSz w:w="11900" w:h="16945" w:orient="portrait"/>
          <w:cols w:equalWidth="0" w:num="1">
            <w:col w:w="11460"/>
          </w:cols>
          <w:pgMar w:left="240" w:top="125" w:right="199" w:bottom="0" w:gutter="0" w:footer="0" w:header="0"/>
        </w:sectPr>
      </w:pPr>
    </w:p>
    <w:bookmarkStart w:id="2" w:name="page3"/>
    <w:bookmarkEnd w:id="2"/>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owned subsidiary of HBC, which was incorporated in Australia on August 5, 2008; and Monster Energy Limited (“MEL”), a direct wholly owned subsidiary of HBC, which was incorporated in Ireland on September 24, 2008. In 2008</w:t>
      </w:r>
      <w:r>
        <w:rPr>
          <w:rFonts w:ascii="Arial" w:cs="Arial" w:eastAsia="Arial" w:hAnsi="Arial"/>
          <w:sz w:val="17"/>
          <w:szCs w:val="17"/>
          <w:b w:val="1"/>
          <w:bCs w:val="1"/>
          <w:color w:val="auto"/>
        </w:rPr>
        <w:t>,</w:t>
      </w:r>
      <w:r>
        <w:rPr>
          <w:rFonts w:ascii="Arial" w:cs="Arial" w:eastAsia="Arial" w:hAnsi="Arial"/>
          <w:sz w:val="17"/>
          <w:szCs w:val="17"/>
          <w:color w:val="auto"/>
        </w:rPr>
        <w:t xml:space="preserve"> HBC and Monster UK generated all of our operating revenues.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develop, market, sell and distribute “alternative” beverage category natural sodas, fruit juices and juice drinks, energy drinks and energy sports drinks, fruit juice smoothies and “functional” drinks, non-carbonated ready-to-drink iced teas, children’s multi-vitamin juice drinks, Junior Juice® juices and flavored sparkling beverages under the Hansen’s® brand name. We also develop, market, sell and distribute energy drinks under the following brand names: Monster Energy®; Monster Hitman Energy Shooter™; Lost® Energy™; and Joker Mad Energy™ names as well as Rumba®, Samba and Tango brand energy juices. We also market, sell and distribute the Java Monster™ line of non-carbonated dairy based coffee drinks. Additionally, we market, sell and distribute natural sodas, premium natural sodas with supplements, organic natural sodas, seltzer waters, sports drinks and energy drinks under the Blue Sky® brand name. In July 2008 we began to market, sell and distribute enhanced water beverages under the Vidration™ brand name.</w:t>
      </w:r>
    </w:p>
    <w:p>
      <w:pPr>
        <w:spacing w:after="0" w:line="16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Our Monster Energy® brand energy drinks include Monster Energy® drinks (introduced in April 2002), lo-carb Monster Energy® drinks (introduced in August 2003), Monster Energy® Assault® energy drinks (introduced in September 2004),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August 2005), Monster Energy® M-80</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March 2007, and named “RIPPER” in certain countries), Monster Energy® Heavy Metal™ energy drinks (introduced in November 2007) and Monster Energy® MIXXD™ (introduced in December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pasteurized natural juices and juice blends that are shelf stable and formed Hansen Foods, Inc. (“HFI”). HFI expanded its product line from juices to include Hansen’s Natural Sodas®. The California Co-Packers Corporation (d/b/a/ Hansen Beverage Company) (“CCC”) acquired certain assets of HFI, including the right to market the Hansen’s® brand name, in January 1990. On July 27, 1992, HBC acquired the Hansen’s® brand natural soda and apple juice business from CCC. Under our ownership, the Hansen beverage business has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expanded and includes a wide range of beverages within the growing “alternative” beverage category, including in particular, energy drinks. In September 1999, we acquired all of FJC’s rights to manufacture, sell and distribute fresh non-pasteurized juice products under the Hansen’s® trademark together with certain additional rights. In 2000, HBC, through its wholly-owned subsidiary, Blue Sky Natural Beverage Co. (“Blue Sky”), which was incorporated in Delaware on September 8, 2000, acquired the natural soda business previously conducted by Blue Sky Natural Beverage Co., a New Mexico corporation (“BSNBC”), under the Blue Sky® trademark. In 2001, HBC, through its wholly-owned subsidiary Hansen Junior Juice Company, (“Junior Juice”), which was incorporated in Delaware on May 7, 2001, acquired the Junior Juice business previously conducted by Pasco Juices, Inc. (“Pasco”) under the Junior Juice® trademark.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“alternative” beverage category combines non-carbonated ready-to-drink iced teas, lemonades, juice cocktails, single serve juices and fruit beverages, ready-to-drink dairy and coffee drinks, energy drinks, sports drinks, and single-serve still water (flavored, unflavored and enhanced) with “new age” beverages, including sodas that are considered natural, sparkling juices and flavored sparkling beverages. The “alternative” beverage category is the fastest growing segment of the beverage marketplace according to Beverage Marketing Corporation. According to Beverage Marketing Corporation, wholesale sales in 2008 for the “alternative” beverage category of the market are estimated at $26.0 billion representing a growth rate of approximately 2.8% over the estimated wholesale sales in 2007 of approximately $25.3 billion (revised from previously reported estimate of $25.5 billion).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two reportable segments, namely Direct Store Delivery (“DSD”), whose principal products comprise primarily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&amp; Unallocated.” Net sales of our DSD segment represented 90.7%, 89.5% and 84.9% of our consolidated net sales for the years ended December 31, 2008, 2007 and 2006,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financial information about our reporting segments and geographic areas, refer to Note 16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DSD Segment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Monster Energy® Drinks </w:t>
      </w:r>
      <w:r>
        <w:rPr>
          <w:rFonts w:ascii="Arial" w:cs="Arial" w:eastAsia="Arial" w:hAnsi="Arial"/>
          <w:sz w:val="18"/>
          <w:szCs w:val="18"/>
          <w:color w:val="auto"/>
        </w:rPr>
        <w:t>- In 2002, we launched a new carbonated energy drink under the Monster Energy® brand name in 16-ounce cans,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almost double the size of our Hansen’s branded energy drinks (in 8.3-ounce cans) and the vast majority of competitive energy drinks on the market at that time. Our Monster Energy® drinks contain different types and levels of supplements than our Hansen’s® energy drinks and are marketed through our full service distributor network. We offer the following products under the Monster Energy® brand energy drink product line: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lo-carb Monster Energy®,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Assault®, Monster Energy</w:t>
      </w:r>
      <w:r>
        <w:rPr>
          <w:rFonts w:ascii="Arial" w:cs="Arial" w:eastAsia="Arial" w:hAnsi="Arial"/>
          <w:sz w:val="18"/>
          <w:szCs w:val="18"/>
          <w:b w:val="1"/>
          <w:bCs w:val="1"/>
          <w:color w:val="auto"/>
        </w:rPr>
        <w:t>®</w:t>
      </w:r>
      <w:r>
        <w:rPr>
          <w:rFonts w:ascii="Arial" w:cs="Arial" w:eastAsia="Arial" w:hAnsi="Arial"/>
          <w:sz w:val="18"/>
          <w:szCs w:val="18"/>
          <w:color w:val="auto"/>
        </w:rPr>
        <w:t xml:space="preserve"> Khaos™, Monster Energy® M-80™ (named “RIPPER” in certain countries), Monster Energy® Heavy Metal™ and Monster Energy® MIXXD™. We package our Monster Energy® drinks in 8.3-ounce and/or 16-ounce and/or 24-ounce and/or 32-ounce and/or 500ml aluminum cans and/or 500ml glass bottles.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Lost® Energy™ Drinks </w:t>
      </w:r>
      <w:r>
        <w:rPr>
          <w:rFonts w:ascii="Arial" w:cs="Arial" w:eastAsia="Arial" w:hAnsi="Arial"/>
          <w:sz w:val="17"/>
          <w:szCs w:val="17"/>
          <w:color w:val="auto"/>
        </w:rPr>
        <w:t>- In 2004, we launched a new carbonated energy drink under the Lost® brand name. The Lost® brand name is owned by</w:t>
      </w:r>
      <w:r>
        <w:rPr>
          <w:rFonts w:ascii="Arial" w:cs="Arial" w:eastAsia="Arial" w:hAnsi="Arial"/>
          <w:sz w:val="17"/>
          <w:szCs w:val="17"/>
          <w:i w:val="1"/>
          <w:iCs w:val="1"/>
          <w:color w:val="auto"/>
        </w:rPr>
        <w:t xml:space="preserve"> </w:t>
      </w:r>
      <w:r>
        <w:rPr>
          <w:rFonts w:ascii="Arial" w:cs="Arial" w:eastAsia="Arial" w:hAnsi="Arial"/>
          <w:sz w:val="17"/>
          <w:szCs w:val="17"/>
          <w:color w:val="auto"/>
        </w:rPr>
        <w:t>Lost International, LLC and the drinks are produced, sold and distributed by us under an exclusive license from Lost International, LLC. We offer the</w:t>
      </w:r>
    </w:p>
    <w:p>
      <w:pPr>
        <w:sectPr>
          <w:pgSz w:w="11900" w:h="16953" w:orient="portrait"/>
          <w:cols w:equalWidth="0" w:num="1">
            <w:col w:w="11420"/>
          </w:cols>
          <w:pgMar w:left="240" w:top="125" w:right="239" w:bottom="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following products under the Lost® Energy™ brand energy drink product line: Lost®, Lost® Perfect 10™, Lost® Five-O™ and Lost® Cadillac™. We package our Lost® Energy™ drinks in 8.3-ounce and/or 16-ounce and/or 24-ounce aluminum cans.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Energy Juice </w:t>
      </w:r>
      <w:r>
        <w:rPr>
          <w:rFonts w:ascii="Arial" w:cs="Arial" w:eastAsia="Arial" w:hAnsi="Arial"/>
          <w:sz w:val="16"/>
          <w:szCs w:val="16"/>
          <w:color w:val="auto"/>
        </w:rPr>
        <w:t>- In 2004, we launched a new non-carbonated energy juice under the Rumba® brand name. Our energy juice is a 100% juice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that targets male and female morning beverage consumers and is positioned as a substitute for coffee, caffeinated sodas and 100% orange or other juices. We offer the following products under the energy juice product line: Rumba®, Samba and Tango. We package our energy juices in 15.5-ounce aluminum cans.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Joker Mad Energy™ Drinks </w:t>
      </w:r>
      <w:r>
        <w:rPr>
          <w:rFonts w:ascii="Arial" w:cs="Arial" w:eastAsia="Arial" w:hAnsi="Arial"/>
          <w:sz w:val="18"/>
          <w:szCs w:val="18"/>
          <w:color w:val="auto"/>
        </w:rPr>
        <w:t>- In 2005, we introduced Joker Mad Energy™ energy drinks. We offer the following products under the Joker Mad</w:t>
      </w:r>
      <w:r>
        <w:rPr>
          <w:rFonts w:ascii="Arial" w:cs="Arial" w:eastAsia="Arial" w:hAnsi="Arial"/>
          <w:sz w:val="18"/>
          <w:szCs w:val="18"/>
          <w:i w:val="1"/>
          <w:iCs w:val="1"/>
          <w:color w:val="auto"/>
        </w:rPr>
        <w:t xml:space="preserve"> </w:t>
      </w:r>
      <w:r>
        <w:rPr>
          <w:rFonts w:ascii="Arial" w:cs="Arial" w:eastAsia="Arial" w:hAnsi="Arial"/>
          <w:sz w:val="18"/>
          <w:szCs w:val="18"/>
          <w:color w:val="auto"/>
        </w:rPr>
        <w:t>Energy™ product line: Joker Mad Energy™, Joker Mad Energy™ Lo-Carb and Joker Mad Energy™ with Juice. We package our Joker Mad Energy™ drinks in 16-ounce aluminum cans.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Java Monster™ Coffee Drinks </w:t>
      </w:r>
      <w:r>
        <w:rPr>
          <w:rFonts w:ascii="Arial" w:cs="Arial" w:eastAsia="Arial" w:hAnsi="Arial"/>
          <w:sz w:val="18"/>
          <w:szCs w:val="18"/>
          <w:color w:val="auto"/>
        </w:rPr>
        <w:t>- In 2007, we launched a new line of non-carbonated dairy based coffee drinks under the Java Monster™ brand</w:t>
      </w:r>
      <w:r>
        <w:rPr>
          <w:rFonts w:ascii="Arial" w:cs="Arial" w:eastAsia="Arial" w:hAnsi="Arial"/>
          <w:sz w:val="18"/>
          <w:szCs w:val="18"/>
          <w:i w:val="1"/>
          <w:iCs w:val="1"/>
          <w:color w:val="auto"/>
        </w:rPr>
        <w:t xml:space="preserve"> </w:t>
      </w:r>
      <w:r>
        <w:rPr>
          <w:rFonts w:ascii="Arial" w:cs="Arial" w:eastAsia="Arial" w:hAnsi="Arial"/>
          <w:sz w:val="18"/>
          <w:szCs w:val="18"/>
          <w:color w:val="auto"/>
        </w:rPr>
        <w:t>name. We offer the following products under the Java Monster™ product line: Java Monster™ Originale™, Java Monster™ Loca Moca®, Java Monster™ Mean Bean®, Java Monster™ Russian, Java Monster™ Irish Blend™, Java Monster™ Chai Hai™, Java Monster™ Nut Up™ and Java Monster™ Lo-Ball™. We package our Java Monster™ coffee drinks in 15-ounce aluminum cans.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Monster Hitman Energy Shooter™ </w:t>
      </w:r>
      <w:r>
        <w:rPr>
          <w:rFonts w:ascii="Arial" w:cs="Arial" w:eastAsia="Arial" w:hAnsi="Arial"/>
          <w:sz w:val="18"/>
          <w:szCs w:val="18"/>
          <w:color w:val="auto"/>
        </w:rPr>
        <w:t>- In 2008, we introduced a new line of energy shooters in 3-ounce polyethylene terephthalate (“PET”) plastic</w:t>
      </w:r>
      <w:r>
        <w:rPr>
          <w:rFonts w:ascii="Arial" w:cs="Arial" w:eastAsia="Arial" w:hAnsi="Arial"/>
          <w:sz w:val="18"/>
          <w:szCs w:val="18"/>
          <w:i w:val="1"/>
          <w:iCs w:val="1"/>
          <w:color w:val="auto"/>
        </w:rPr>
        <w:t xml:space="preserve"> </w:t>
      </w:r>
      <w:r>
        <w:rPr>
          <w:rFonts w:ascii="Arial" w:cs="Arial" w:eastAsia="Arial" w:hAnsi="Arial"/>
          <w:sz w:val="18"/>
          <w:szCs w:val="18"/>
          <w:color w:val="auto"/>
        </w:rPr>
        <w:t>bottles. We offer the following products under the Monster Hitman Energy Shooter™ product line: Monster Hitman Energy Shooter™, Monster LOBO Energy Shooter™ and Monster Sniper Energy Shooter™.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Vidration</w:t>
      </w:r>
      <w:r>
        <w:rPr>
          <w:rFonts w:ascii="Arial" w:cs="Arial" w:eastAsia="Arial" w:hAnsi="Arial"/>
          <w:sz w:val="16"/>
          <w:szCs w:val="16"/>
          <w:color w:val="auto"/>
        </w:rPr>
        <w:t>® - In July 2008, we introduced our zero calorie, vitamin enhanced, water line under the Vidration® brand name in 20-ounce PET bottles.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Warehouse Segment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Hansen’s Natural Sodas® - </w:t>
      </w:r>
      <w:r>
        <w:rPr>
          <w:rFonts w:ascii="Arial" w:cs="Arial" w:eastAsia="Arial" w:hAnsi="Arial"/>
          <w:sz w:val="17"/>
          <w:szCs w:val="17"/>
          <w:color w:val="auto"/>
        </w:rPr>
        <w:t>Hansen’s Natural Sodas® have been a leading natural soda brand in Southern California for the past 30 years.</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 to Information Resources, Inc.’s Analyzer Reports for California, in 2008 our natural sodas recorded the highest sales among comparable carbonated new age category beverages measured by unit volume in the California market. Hansen’s Natural Sodas®, with cane sugar and Hansen’s® Calorie Free Sodas contain no preservatives, no sodium and no caffeine. We offer the following sodas under the Hansen’s® brand name: Hansen’s Natural Sodas®, Hansen’s® Calorie Free Sodas, Hansen’s® Natural Soda Mixers, Hansen’s® Natural Green Tea Sodas, Hansen’s® Diet Green Tea Sodas, Hansen’s® Natural Sparkling Sleek Beverages, Hansen’s® Natural Sparkling Sleek Sugar Free Beverages, Hansen’s® Natural Sparkling Sleek Green Tea Beverages and Hansen’s® Natural Sparkling Sleek Sugar Free Green Tea Beverages. We package our natural sodas in 12-ounce, and recently in 16-ounce, aluminum cans and our sleek beverages in contemporary 10.5-ounce aluminum cans.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Blue Sky</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 In September 2000, we acquired the Blue Sky® natural soda business from BSNBC. The Blue Sky® products contain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preservatives, sodium or caffeine (other than the energy drinks) or artificial coloring and are made with sugar and high quality natural flavors. We offer the following under the Blue Sky® product line: Blue Sky® Natural Sodas, Blue Sky® Lite Natural Sodas, Blue Sky® Premium Sodas, Blue Sky® Organic Natural Sodas, Blue Sky® Seltzer Water, Blue Sky®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Blue Energy® drink, Blue Sky® Café Energy, Blue Sky® Tea Sodas and Blue Sky® Blue Sport Isotonic Sports Drinks. We package our Blue Sky® Natural Sodas, seltzer waters and tea sodas in 12-ounce aluminum cans. We package our Blue Sky® Café energy drinks in 15-ounce aluminum cans. We package our Blue Sky® Blue Sport Isotonic Sports Drinks in 16-ounce PET plastic bottles. We package our Blue Sky® energy drinks in 8.3-ounce and/or 16-ounce aluminum cans.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Hansen’s</w:t>
      </w:r>
      <w:r>
        <w:rPr>
          <w:rFonts w:ascii="Arial" w:cs="Arial" w:eastAsia="Arial" w:hAnsi="Arial"/>
          <w:sz w:val="18"/>
          <w:szCs w:val="18"/>
          <w:color w:val="auto"/>
        </w:rPr>
        <w:t>®</w:t>
      </w:r>
      <w:r>
        <w:rPr>
          <w:rFonts w:ascii="Arial" w:cs="Arial" w:eastAsia="Arial" w:hAnsi="Arial"/>
          <w:sz w:val="18"/>
          <w:szCs w:val="18"/>
          <w:i w:val="1"/>
          <w:iCs w:val="1"/>
          <w:color w:val="auto"/>
        </w:rPr>
        <w:t xml:space="preserve"> Energy Drinks </w:t>
      </w:r>
      <w:r>
        <w:rPr>
          <w:rFonts w:ascii="Arial" w:cs="Arial" w:eastAsia="Arial" w:hAnsi="Arial"/>
          <w:sz w:val="18"/>
          <w:szCs w:val="18"/>
          <w:color w:val="auto"/>
        </w:rPr>
        <w:t>- - Our Hansen’s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compete in the “functional” beverage category, namely, beverages that provide a real or</w:t>
      </w:r>
      <w:r>
        <w:rPr>
          <w:rFonts w:ascii="Arial" w:cs="Arial" w:eastAsia="Arial" w:hAnsi="Arial"/>
          <w:sz w:val="18"/>
          <w:szCs w:val="18"/>
          <w:i w:val="1"/>
          <w:iCs w:val="1"/>
          <w:color w:val="auto"/>
        </w:rPr>
        <w:t xml:space="preserve"> </w:t>
      </w:r>
      <w:r>
        <w:rPr>
          <w:rFonts w:ascii="Arial" w:cs="Arial" w:eastAsia="Arial" w:hAnsi="Arial"/>
          <w:sz w:val="18"/>
          <w:szCs w:val="18"/>
          <w:color w:val="auto"/>
        </w:rPr>
        <w:t>perceived benefit in addition to simply delivering refreshment. Our Hansen’s</w:t>
      </w:r>
      <w:r>
        <w:rPr>
          <w:rFonts w:ascii="Arial" w:cs="Arial" w:eastAsia="Arial" w:hAnsi="Arial"/>
          <w:sz w:val="18"/>
          <w:szCs w:val="18"/>
          <w:b w:val="1"/>
          <w:bCs w:val="1"/>
          <w:color w:val="auto"/>
        </w:rPr>
        <w:t>®</w:t>
      </w:r>
      <w:r>
        <w:rPr>
          <w:rFonts w:ascii="Arial" w:cs="Arial" w:eastAsia="Arial" w:hAnsi="Arial"/>
          <w:sz w:val="18"/>
          <w:szCs w:val="18"/>
          <w:color w:val="auto"/>
        </w:rPr>
        <w:t xml:space="preserve"> energy drinks contain vitamins, minerals, nutrients, herbs and supplements (collectively “supplements”). Since 2006, we have marketed our Hansen’s® brand energy drinks through the Warehouse segment. We offer the following under the Hansen’s</w:t>
      </w:r>
      <w:r>
        <w:rPr>
          <w:rFonts w:ascii="Arial" w:cs="Arial" w:eastAsia="Arial" w:hAnsi="Arial"/>
          <w:sz w:val="18"/>
          <w:szCs w:val="18"/>
          <w:b w:val="1"/>
          <w:bCs w:val="1"/>
          <w:color w:val="auto"/>
        </w:rPr>
        <w:t>®</w:t>
      </w:r>
      <w:r>
        <w:rPr>
          <w:rFonts w:ascii="Arial" w:cs="Arial" w:eastAsia="Arial" w:hAnsi="Arial"/>
          <w:sz w:val="18"/>
          <w:szCs w:val="18"/>
          <w:color w:val="auto"/>
        </w:rPr>
        <w:t xml:space="preserve"> energy drink product line: Hansen’s® Energy Pro and Hansen’s Diet Red Energy</w:t>
      </w:r>
      <w:r>
        <w:rPr>
          <w:rFonts w:ascii="Arial" w:cs="Arial" w:eastAsia="Arial" w:hAnsi="Arial"/>
          <w:sz w:val="18"/>
          <w:szCs w:val="18"/>
          <w:b w:val="1"/>
          <w:bCs w:val="1"/>
          <w:color w:val="auto"/>
        </w:rPr>
        <w:t>®.</w:t>
      </w:r>
      <w:r>
        <w:rPr>
          <w:rFonts w:ascii="Arial" w:cs="Arial" w:eastAsia="Arial" w:hAnsi="Arial"/>
          <w:sz w:val="18"/>
          <w:szCs w:val="18"/>
          <w:color w:val="auto"/>
        </w:rPr>
        <w:t xml:space="preserve"> We package our Hansen’s® energy drinks in 8.3-ounce aluminum cans.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Juice Products and Smoothies - </w:t>
      </w:r>
      <w:r>
        <w:rPr>
          <w:rFonts w:ascii="Arial" w:cs="Arial" w:eastAsia="Arial" w:hAnsi="Arial"/>
          <w:sz w:val="18"/>
          <w:szCs w:val="18"/>
          <w:color w:val="auto"/>
        </w:rPr>
        <w:t>Our fruit juice product line includes Hansen’s® Natural Apple Juice, which is packaged in 64-ounce PET plastic</w:t>
      </w:r>
      <w:r>
        <w:rPr>
          <w:rFonts w:ascii="Arial" w:cs="Arial" w:eastAsia="Arial" w:hAnsi="Arial"/>
          <w:sz w:val="18"/>
          <w:szCs w:val="18"/>
          <w:i w:val="1"/>
          <w:iCs w:val="1"/>
          <w:color w:val="auto"/>
        </w:rPr>
        <w:t xml:space="preserve"> </w:t>
      </w:r>
      <w:r>
        <w:rPr>
          <w:rFonts w:ascii="Arial" w:cs="Arial" w:eastAsia="Arial" w:hAnsi="Arial"/>
          <w:sz w:val="18"/>
          <w:szCs w:val="18"/>
          <w:color w:val="auto"/>
        </w:rPr>
        <w:t>bottles and 128-ounce High Density Polyethylene bottles and Hansen’s® Natural Grape Juice, White Grape Juice, Pineapple Juice, Apple Grape Juice and Apple Strawberry Juice in 64-ounce PET plastic bottles. These Hansen’s® juice products contain 100% juice as well as 120% of the United States Recommended Daily Allowances (the “USRDA”) for Vitamin C (except Pomegranate which contains 27% juice and 100% of the USRDA for Vitamin C). Hansen’s® juice products compete in the shelf-stable juice category.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Hansen’s® fruit juice smoothies contain approximately 25% juice and provide 100% of the recommended daily intake for adults of Vitamins A, C &amp; E and represented Hansen’s entry into what is commonly referred to as the “functional” beverage category. Hansen’s® fruit juice smoothies are packaged in 11.5-ounce aluminum cans.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market the above-mentioned juice and smoothie products to our direct retail customers.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Hansen’s® Iced Teas - </w:t>
      </w:r>
      <w:r>
        <w:rPr>
          <w:rFonts w:ascii="Arial" w:cs="Arial" w:eastAsia="Arial" w:hAnsi="Arial"/>
          <w:sz w:val="18"/>
          <w:szCs w:val="18"/>
          <w:color w:val="auto"/>
        </w:rPr>
        <w:t>In 2006, we introduced a new line of iced teas in sleek 16-ounce wide mouth PET plastic bottles. We offer varieties</w:t>
      </w:r>
      <w:r>
        <w:rPr>
          <w:rFonts w:ascii="Arial" w:cs="Arial" w:eastAsia="Arial" w:hAnsi="Arial"/>
          <w:sz w:val="18"/>
          <w:szCs w:val="18"/>
          <w:i w:val="1"/>
          <w:iCs w:val="1"/>
          <w:color w:val="auto"/>
        </w:rPr>
        <w:t xml:space="preserve"> </w:t>
      </w:r>
      <w:r>
        <w:rPr>
          <w:rFonts w:ascii="Arial" w:cs="Arial" w:eastAsia="Arial" w:hAnsi="Arial"/>
          <w:sz w:val="18"/>
          <w:szCs w:val="18"/>
          <w:color w:val="auto"/>
        </w:rPr>
        <w:t>sweetened with cane sugar as well as sugar free and unsweetened varieties. Each bottle of tea contains 75 mg of Epigallocatechin Gallate (EGCG), a natural and powerful antioxidant.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Hansen’s® Primal Energy Tea </w:t>
      </w:r>
      <w:r>
        <w:rPr>
          <w:rFonts w:ascii="Arial" w:cs="Arial" w:eastAsia="Arial" w:hAnsi="Arial"/>
          <w:sz w:val="18"/>
          <w:szCs w:val="18"/>
          <w:color w:val="auto"/>
        </w:rPr>
        <w:t>- In 2008, we introduced a new line of energy green teas in 16-ounce aluminum cans. Each can of tea contains 100</w:t>
      </w:r>
      <w:r>
        <w:rPr>
          <w:rFonts w:ascii="Arial" w:cs="Arial" w:eastAsia="Arial" w:hAnsi="Arial"/>
          <w:sz w:val="18"/>
          <w:szCs w:val="18"/>
          <w:i w:val="1"/>
          <w:iCs w:val="1"/>
          <w:color w:val="auto"/>
        </w:rPr>
        <w:t xml:space="preserve"> </w:t>
      </w:r>
      <w:r>
        <w:rPr>
          <w:rFonts w:ascii="Arial" w:cs="Arial" w:eastAsia="Arial" w:hAnsi="Arial"/>
          <w:sz w:val="18"/>
          <w:szCs w:val="18"/>
          <w:color w:val="auto"/>
        </w:rPr>
        <w:t>mg of EGCG.</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Juices for Children - </w:t>
      </w:r>
      <w:r>
        <w:rPr>
          <w:rFonts w:ascii="Arial" w:cs="Arial" w:eastAsia="Arial" w:hAnsi="Arial"/>
          <w:sz w:val="16"/>
          <w:szCs w:val="16"/>
          <w:color w:val="auto"/>
        </w:rPr>
        <w:t>Our Juice Blast® line of children’s multi-vitamin juice drinks is a dual-branded 100% juice line which was launched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Costco Wholesale Corporation (“Costco”) and is sold through Costco stores. Our Juice Slam™ line of children’s multi-vitamin juice drinks is a 100% juice line which we market to grocery store chain customers, the health food trade, and other customers. Both Juice Blast® and Juice Slam™ lines</w:t>
      </w:r>
    </w:p>
    <w:p>
      <w:pPr>
        <w:sectPr>
          <w:pgSz w:w="11900" w:h="16838" w:orient="portrait"/>
          <w:cols w:equalWidth="0" w:num="1">
            <w:col w:w="11420"/>
          </w:cols>
          <w:pgMar w:left="240" w:top="125" w:right="239" w:bottom="0" w:gutter="0" w:footer="0" w:header="0"/>
        </w:sectPr>
      </w:pPr>
    </w:p>
    <w:bookmarkStart w:id="4" w:name="page5"/>
    <w:bookmarkEnd w:id="4"/>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children’s multi-vitamin juice drinks contain eleven essential vitamins and six essential minerals. Both the Juice Blast® and Juice Slam™ lines are marketed in 6.75-ounce aseptic boxes. In addition, we also offer an organic Juice Slam™ in 6.75-ounce organic pouches.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2001, we acquired the Junior Juice® beverage business. The Junior Juice® product line is a 100% juice line offered in 4.23-ounce aseptic packages and is targeted at toddlers and preschoolers. Certain flavors of the Junior Juice® line have calcium added and all flavors contain 100% of the daily recommended allowance of Vitamin C. In 2006, we extended the Junior Juice® line by adding organic juice products in 4.23-ounce aseptic boxes. Each of our organic Junior Juice® products have 100% juice and contain 100% of the daily recommended allowance of Vitamin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Hansen’s® Organic Junior Water™ - </w:t>
      </w:r>
      <w:r>
        <w:rPr>
          <w:rFonts w:ascii="Arial" w:cs="Arial" w:eastAsia="Arial" w:hAnsi="Arial"/>
          <w:sz w:val="18"/>
          <w:szCs w:val="18"/>
          <w:color w:val="auto"/>
        </w:rPr>
        <w:t>In July 2008, we introduced our Hansen’s® Organic Junior Water™ line in 4.23-ounce aseptic packages</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specially for children ages two to six years old. Our Hansen’s® Organic Junior Water™ line of flavored water contains 100% of the daily recommended allowance of Vitamin C per serving, contains no preservatives, no artificial colors, no artificial flavors, no artificial sweeteners, no high fructose corn syrup and contains only thirty calories per serving.</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Bottled Water - </w:t>
      </w:r>
      <w:r>
        <w:rPr>
          <w:rFonts w:ascii="Arial" w:cs="Arial" w:eastAsia="Arial" w:hAnsi="Arial"/>
          <w:sz w:val="18"/>
          <w:szCs w:val="18"/>
          <w:color w:val="auto"/>
        </w:rPr>
        <w:t>Our still water product was introduced in 1993 and is now sold in 0.5-liter plastic bottles, primarily to the food service trade.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product line are very limited.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2008,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Other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evaluate and, where considered appropriate, introduce additional flavors and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develop and supply, on a limited basis, selected beverages in different formats to a limited number of customers with the objective of solidifying our relationship with those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and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directly manufacture our products but instead outsource the manufacturing process to third party bottlers and contract packers.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concentrates, juices, flavors, supplements, cans, bottles, aseptic boxes, aseptic pouches, caps, labels, trays, boxes and other ingredients for our beverage products which are delivered to our various third party bottlers and co-packers. Depending on the product, the third party bottlers or packers add filtered water and/or other ingredients and supplements for the manufacture and packaging of the finished products into Company-approved containers in accordance with our formulas. In the case of sodas and other carbonated beverages, the bottler/packer adds carbonation to the products as part of the production process.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generally responsible for arranging for the purchase of and delivery to our third party bottlers and co-packers of the containers in which our beverage products are packaged.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in Europe, under separate arrangements with each party. The majority of our co-packaging arrangements are on a month-to-month basis. However, certain of our co-packing arrangements are described below:</w:t>
      </w:r>
    </w:p>
    <w:p>
      <w:pPr>
        <w:spacing w:after="0" w:line="181" w:lineRule="exact"/>
        <w:rPr>
          <w:sz w:val="20"/>
          <w:szCs w:val="20"/>
          <w:color w:val="auto"/>
        </w:rPr>
      </w:pPr>
    </w:p>
    <w:p>
      <w:pPr>
        <w:jc w:val="both"/>
        <w:ind w:left="660" w:hanging="328"/>
        <w:spacing w:after="0" w:line="264" w:lineRule="auto"/>
        <w:tabs>
          <w:tab w:leader="none" w:pos="73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agreement with Gluek Brewing Company (“Gluek”) pursuant to which Gluek packages certain of our energy drinks. This contract continues until May 2009 and is automatically extended for additional terms of one (1) year each, unless either party notifies the other in writing at least one hundred eighty (180) days prior to the last day of the then current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hanging="328"/>
        <w:spacing w:after="0" w:line="264" w:lineRule="auto"/>
        <w:tabs>
          <w:tab w:leader="none" w:pos="816"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Carolina Beer &amp; Beverage (“Carolina”) pursuant to which Carolina packages certain of our energy drinks. This contract continues until April 11, 2009 and is automatically extended for additional periods of one (1) year each, unless either party notifies the other in writing at least one hundred eighty (180) days prior to the last day of the then current term.</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792"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Lucerne Foods, Inc. (“Safeway Norwalk”) pursuant to which Safeway-Norwalk packages certain of our energy drinks and Hansen’s Natural Sodas®. This contract continues until March 31, 2009 and is automatically renewed annually thereafter, unless terminated by either party upon six (6) months written notice.</w:t>
      </w:r>
    </w:p>
    <w:p>
      <w:pPr>
        <w:spacing w:after="0" w:line="181" w:lineRule="exact"/>
        <w:rPr>
          <w:rFonts w:ascii="Arial" w:cs="Arial" w:eastAsia="Arial" w:hAnsi="Arial"/>
          <w:sz w:val="18"/>
          <w:szCs w:val="18"/>
          <w:color w:val="auto"/>
        </w:rPr>
      </w:pPr>
    </w:p>
    <w:p>
      <w:pPr>
        <w:ind w:left="660" w:hanging="328"/>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Seven-Up/RC Bottling Company of Southern California, Inc. (“Seven-Up”) pursuant to which Seven-Up packages certain of our energy drinks. This contract continues until March 31, 2009.</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792"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agreement with Nor-Cal Beverage Co. Inc. (“Nor-Cal”) pursuant to which Nor-Cal packages certain of our Hansen’s juices in PET plastic bottles. This contract continues until August 2009 and is automatically renewed for one (1) year terms thereafter unless terminated by either party not less than ninety (90) days before the end of the initial term or any renewal period.</w:t>
      </w:r>
    </w:p>
    <w:p>
      <w:pPr>
        <w:spacing w:after="0" w:line="181" w:lineRule="exact"/>
        <w:rPr>
          <w:rFonts w:ascii="Arial" w:cs="Arial" w:eastAsia="Arial" w:hAnsi="Arial"/>
          <w:sz w:val="18"/>
          <w:szCs w:val="18"/>
          <w:color w:val="auto"/>
        </w:rPr>
      </w:pPr>
    </w:p>
    <w:p>
      <w:pPr>
        <w:jc w:val="both"/>
        <w:ind w:left="660" w:hanging="328"/>
        <w:spacing w:after="0" w:line="312" w:lineRule="auto"/>
        <w:tabs>
          <w:tab w:leader="none" w:pos="678"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agreement with Dairy Farmers of America, Inc. (“DFA”) pursuant to which DFA packages certain of our energy drinks. This contract continues until March 2010 and is automatically renewed for consecutive one (1) year periods, subject to mutually agreeable pricing, unless either party provides notice of cancellation at least ninety (90) days prior to the end of the initial term or subsequent extension period. Further, either party may</w:t>
      </w:r>
    </w:p>
    <w:p>
      <w:pPr>
        <w:sectPr>
          <w:pgSz w:w="11900" w:h="16952" w:orient="portrait"/>
          <w:cols w:equalWidth="0" w:num="1">
            <w:col w:w="11420"/>
          </w:cols>
          <w:pgMar w:left="240" w:top="125" w:right="239" w:bottom="0" w:gutter="0" w:footer="0" w:header="0"/>
        </w:sectPr>
      </w:pPr>
    </w:p>
    <w:bookmarkStart w:id="5" w:name="page6"/>
    <w:bookmarkEnd w:id="5"/>
    <w:p>
      <w:pPr>
        <w:spacing w:after="0" w:line="9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terminate this agreement at its sole discretion at any time by providing the other party with one hundred eighty (180) days prior written notification specifying the date of termination.</w:t>
      </w:r>
    </w:p>
    <w:p>
      <w:pPr>
        <w:spacing w:after="0" w:line="170" w:lineRule="exact"/>
        <w:rPr>
          <w:sz w:val="20"/>
          <w:szCs w:val="20"/>
          <w:color w:val="auto"/>
        </w:rPr>
      </w:pPr>
    </w:p>
    <w:p>
      <w:pPr>
        <w:jc w:val="both"/>
        <w:ind w:left="660" w:hanging="328"/>
        <w:spacing w:after="0" w:line="264"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agreement with Dr. Pepper Bottling Co. (“Dr. Pepper”) pursuant to which Dr. Pepper packages certain of our energy drinks. This contract continues until December 31, 2009 and is automatically renewed for additional terms of one (1) year at a time, unless terminated by either party at least ninety (90) days prior to the last day of the then current term.</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agreement with Giumarra &amp; Associates Beverage Company (“Giumarra”) pursuant to which Giumarra packages certain of our energy drinks and juices. This contract continues until June 28, 2009 and is automatically extended for additional periods of one (1) year, unless either party notifies the other in writing at least one hundred eighty (180) days prior to the last day of the then current term.</w:t>
      </w:r>
    </w:p>
    <w:p>
      <w:pPr>
        <w:spacing w:after="0" w:line="181" w:lineRule="exact"/>
        <w:rPr>
          <w:rFonts w:ascii="Arial" w:cs="Arial" w:eastAsia="Arial" w:hAnsi="Arial"/>
          <w:sz w:val="18"/>
          <w:szCs w:val="18"/>
          <w:color w:val="auto"/>
        </w:rPr>
      </w:pPr>
    </w:p>
    <w:p>
      <w:pPr>
        <w:ind w:left="660" w:hanging="328"/>
        <w:spacing w:after="0" w:line="277" w:lineRule="auto"/>
        <w:tabs>
          <w:tab w:leader="none" w:pos="72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agreement with Pri-Pak, Inc. (“Pri-Pak”) pursuant to which Pri-Pak packages certain of our energy drinks. This contract continues indefinitely but may be terminated at any time by either party by giving ninety (90) days prior written notice.</w:t>
      </w:r>
    </w:p>
    <w:p>
      <w:pPr>
        <w:spacing w:after="0" w:line="170" w:lineRule="exact"/>
        <w:rPr>
          <w:rFonts w:ascii="Arial" w:cs="Arial" w:eastAsia="Arial" w:hAnsi="Arial"/>
          <w:sz w:val="18"/>
          <w:szCs w:val="18"/>
          <w:color w:val="auto"/>
        </w:rPr>
      </w:pPr>
    </w:p>
    <w:p>
      <w:pPr>
        <w:jc w:val="both"/>
        <w:ind w:left="660" w:hanging="328"/>
        <w:spacing w:after="0" w:line="312" w:lineRule="auto"/>
        <w:tabs>
          <w:tab w:leader="none" w:pos="762"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agreement with O-AT-KA Milk Products Cooperative (“O-AT-KA”) pursuant to which O-AT-KA packages certain of our energy drinks. This contract continues until December 2010 and is automatically renewable for consecutive one (1) year periods, subject to mutually agreeable pricing, unless either party provides notice of cancellation at least ninety (90) days prior to the end of the initial term or subsequent extension period.</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agreement with Olympic Food, Inc. (“OFI”) pursuant to which OFI packages certain of our energy drinks. This contract continues until June 1, 2009 and shall automatically renew for successive one (1) year periods, unless one party gives the other written notice of its intention not to renew, at least one hundred twenty (120) days prior to the expiration of the initial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instances, equipment is purchased by us and installed at the facilities of our co-packers to enable them to produce certain of our products. In general, such equipment remains our property and is to be returned to us upon termination of the packing arrangements with such co-packers or is amortized over a pre-determined number of cases that are to be produced at the facilities concerned.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pack certain products outside of the West Coast region to enable us to produce products closer to the markets where they are sold and thereby reduce freight costs. As distribution volumes in markets outside of California grow, we continue to secure additional packing arrangements closer to such markets to further reduce freight costs.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PET/plastic bottles, aseptic boxes, cans, glass, labels, flavors, juice concentrates, or supplement ingredients or certain sweeteners, or packing arrangements, we might not be able to satisfy demand on a short-term basis. (See “Part I, Item 1A — Risk Factors”).</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our production arrangements are generally of short duration or are terminable upon our request, we believe a short disruption or delay would not significantly affect our revenues because alternative packing facilities in the United States with adequate capacity can usually be obtained for many of our products at commercially reasonable rates and/or within a reasonably short time period. However, there are limited packing facilities in the United States, Canada, the United Kingdom and Europe with adequate capacity and/or suitable equipment for certain of our products, including Monster Energy® and Lost® Energy</w:t>
      </w:r>
      <w:r>
        <w:rPr>
          <w:rFonts w:ascii="Arial" w:cs="Arial" w:eastAsia="Arial" w:hAnsi="Arial"/>
          <w:sz w:val="16"/>
          <w:szCs w:val="16"/>
          <w:i w:val="1"/>
          <w:iCs w:val="1"/>
          <w:color w:val="auto"/>
        </w:rPr>
        <w:t>™</w:t>
      </w:r>
      <w:r>
        <w:rPr>
          <w:rFonts w:ascii="Arial" w:cs="Arial" w:eastAsia="Arial" w:hAnsi="Arial"/>
          <w:sz w:val="16"/>
          <w:szCs w:val="16"/>
          <w:color w:val="auto"/>
        </w:rPr>
        <w:t xml:space="preserve"> energy drinks, and Rumba®, Samba and Tango energy juice in 8.3-ounce and/or 16-ounce and/or 24-ounce and/or 24-ounce cap-can and/or 32-ounce and/or 500ml aluminum cans and/or 500ml glass bottles, the Java Monster™ line of non-carbonated dairy based coffee drinks in 15-ounce cans and our aseptic juice products. A disruption or delay in production of any of such products could significantly affect our revenues from such products as alternative co-packing facilities in the United States, Canada, the United Kingdom or Europe, as the case may be,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Canada, the United Kingdom and Europe with adequate capacity for the production of our various products to minimize the risk of a disruption in production.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2009, we ascertained that it was likely that our west coast copacker of our aseptic juice products would cease to produce such products in the near future. We are endeavoring to secure alternative copacking facilities to replace that portion of our volume of such products. However, available copacking capacity for that portion of our volume of such products is limited and we may not be able to secure sufficient production timely or at all, which would cause a disruption in our ability to continue to supply that portion of our volume of such products to customers, either partially or at all.</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During the second quarter of 2006, we entered into a distribution agreement with Cadbury Bebidas, S.A. de C.V. (“Cadbury Bebidas”), for exclusive distribution by Cadbury Bebidas throughout Mexico, excluding Baja California, of our Monster Energy® and Lost® Energy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products. In December 2008, this distributor was notified of the termination of its distribution agreement on January 25, 2009. This agreement was terminated on January 25, 2009.</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During the second quarter of 2006, we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us, our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brands non-alcoholic energy drinks and Rumba®, Samba and Tango brand energy juice, as well as additional products that may be agreed between the parties.</w:t>
      </w:r>
    </w:p>
    <w:p>
      <w:pPr>
        <w:spacing w:after="0" w:line="20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first quarter of 2007, we entered into the On-Premise Distribution Coordination Agreement (the “On-Premise Agreement”) with AB. Under the On-Premise Agreement, AB manages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coordinates the sale, distribution and merchandising of Monster Energy® energy drinks to on-premise retailers including bars, nightclubs and restaurants in territories approved by us.</w:t>
      </w:r>
    </w:p>
    <w:p>
      <w:pPr>
        <w:sectPr>
          <w:pgSz w:w="11900" w:h="16929" w:orient="portrait"/>
          <w:cols w:equalWidth="0" w:num="1">
            <w:col w:w="11420"/>
          </w:cols>
          <w:pgMar w:left="240" w:top="125" w:right="239" w:bottom="0" w:gutter="0" w:footer="0" w:header="0"/>
        </w:sectPr>
      </w:pPr>
    </w:p>
    <w:bookmarkStart w:id="6" w:name="page7"/>
    <w:bookmarkEnd w:id="6"/>
    <w:p>
      <w:pPr>
        <w:jc w:val="both"/>
        <w:ind w:firstLine="648"/>
        <w:spacing w:after="0" w:line="234" w:lineRule="auto"/>
        <w:rPr>
          <w:sz w:val="20"/>
          <w:szCs w:val="20"/>
          <w:color w:val="auto"/>
        </w:rPr>
      </w:pPr>
      <w:r>
        <w:rPr>
          <w:rFonts w:ascii="Arial" w:cs="Arial" w:eastAsia="Arial" w:hAnsi="Arial"/>
          <w:sz w:val="18"/>
          <w:szCs w:val="18"/>
          <w:color w:val="auto"/>
        </w:rPr>
        <w:t xml:space="preserve">During the first quarter of 2007, we entered into a distribution agreement with Pepsi-QTG Canada, a division of PepsiCo Canada, ULC (“Pepsi Canada”), for the exclusive distribution by Pepsi Canada throughout Canada of our </w:t>
      </w:r>
      <w:r>
        <w:rPr>
          <w:rFonts w:ascii="Arial" w:cs="Arial" w:eastAsia="Arial" w:hAnsi="Arial"/>
          <w:sz w:val="17"/>
          <w:szCs w:val="17"/>
          <w:color w:val="auto"/>
        </w:rPr>
        <w:t>Monster Energy®,</w:t>
      </w:r>
      <w:r>
        <w:rPr>
          <w:rFonts w:ascii="Arial" w:cs="Arial" w:eastAsia="Arial" w:hAnsi="Arial"/>
          <w:sz w:val="18"/>
          <w:szCs w:val="18"/>
          <w:color w:val="auto"/>
        </w:rPr>
        <w:t xml:space="preserve">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Hansen’s® energy products. This agreement was terminated by us effective December 31, 2008.</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2008, we entered into the Monster Energy Distribution Coordination Agreement (the “TCCC North American Coordination Agreement”) with The Coca-Cola Company (“TCCC”). Pursuant to the TCCC North American Coordination Agreement, we have designated, and in the future may designate, territories in which bottlers from TCCC’s network of partially owned and independent bottlers, including Coca-Cola Enterprises, Inc. (“CCE”), Coca-Cola Bottling Company (“CCBC”), CCBCC Operations, LLC (“Consolidated”), United Bottling Contracts Company, LLC (“United”), and other TCCC independent bottlers (collectively, the “TCCC North American Bottlers”) will distribute and sell primarily our Monster Energy® beverages (the “Products”) in the United States and Canada.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2008, we entered into the Monster Energy Distribution Agreement with CCE pursuant to which CCE was appointed to distribute, directly and through certain sub-distributors, the Products in portions of twenty-four U.S. states (the “U.S. Territories”). We may designate additional territories within reasonable proximity to the U.S. Territories and CCE will use reasonable good faith efforts to add the additional territories. During the fourth quarter of 2008, we entered into the Monster Energy Canadian Distribution Agreement with CCBC, pursuant to which CCBC has been appointed to distribute, directly and through certain sub-distributors, the Products in Canada, with performance commencing on January 1, 2009. In addition, during the fourth quarter of 2008, we entered into distribution agreements with Consolidated, United and other TCCC North American Bottlers for the distribution of the Products in various territories within the United States.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2008, we entered into the Monster Energy International Coordination Agreement (the “TCCC International Coordination Agreement”) with TCCC. Pursuant to the TCCC International Coordination Agreement, we have designated, and in the future may designate, countries in which we wish to appoint TCCC distributors to distribute and sell the Products.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fourth quarter of 2008, we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During the fourth quarter of 2008, we entered into a distribution agreement with Comercializadora Eloro, S.A., a subsidiary of Grupo Jumex, for exclusive distribution throughout Mexico, excluding the Baja and Sonora regions, of our Monster Energy® and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as well as select Java Monster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non-carbonated dairy based coffee drinks. Distribution under this agreement commenced January 26, 2009.</w:t>
      </w:r>
    </w:p>
    <w:p>
      <w:pPr>
        <w:spacing w:after="0" w:line="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Distribution levels vary from state to state and from product to product. Certain of our products are sold in Canada and Mexico. We also sell a limited range of our products to distributors outside of the United States, including in the Caribbean, Central and South America, Japan, Korea, Saudi Arabia, Hong Kong, South Africa, the United Kingdom, Ireland, France, the Netherlands, Spain, Belgium, Luxembourg, Monaco and Sweden. Gross sales outside the United States accounted for $96.3 million, $55.7 million and $24.8 million for the years ended December 31, 2008, 2007 and 2006, respectively. The reclassification of certain military customers from gross sales to customers within the United States to gross sales to customers outside the United States, resulted in an increase in gross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outside the United States of $14.8 million and $5.5 million for the years ended December 31, 2007 and 2006, respectively, over amounts previously reported.</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continually seek to expand distribution of our products by entering into agreements with regional bottlers or other direct store delivery distributors with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14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During 2008, we continued to expand distribution of our products both outside of California and outside of the United States. We expanded our sales force to support and grow sales, primarily of Monster Energy® drinks,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line of non-carbonated dairy based coffee drinks and Monster Hitman Energy Shooter</w:t>
      </w:r>
      <w:r>
        <w:rPr>
          <w:rFonts w:ascii="Arial" w:cs="Arial" w:eastAsia="Arial" w:hAnsi="Arial"/>
          <w:sz w:val="23"/>
          <w:szCs w:val="23"/>
          <w:color w:val="auto"/>
          <w:vertAlign w:val="superscript"/>
        </w:rPr>
        <w:t>TM</w:t>
      </w:r>
      <w:r>
        <w:rPr>
          <w:rFonts w:ascii="Arial" w:cs="Arial" w:eastAsia="Arial" w:hAnsi="Arial"/>
          <w:sz w:val="18"/>
          <w:szCs w:val="18"/>
          <w:color w:val="auto"/>
        </w:rPr>
        <w:t>’s.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Blue Sky® products are sold primarily to the health food trade, natural food chains and mainstream grocery store chains, through specialty health food distributors.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2007, we relocated our corporate offices to newly leased offices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which is currently in escrow. In August 2008, we completed the purchase of an additional 1.09 acres of adjacent land for a purchase price of $1.4 million. The properties are located adjacent to the newly leased warehouse and distribution space. We are reviewing the feasibility of constructing a new office building and parking lot on these combined parcels of land to replace our existing office space.</w:t>
      </w:r>
    </w:p>
    <w:p>
      <w:pPr>
        <w:spacing w:after="0" w:line="187"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color w:val="auto"/>
        </w:rPr>
        <w:t>We have sublet a small portion of our previous office, warehouse and distribution space on a month to month basis. In addition, we continue to utilize the remaining portion of this space as overflow warehousing for our main warehouse. This lease expires in October 2010. (See “Part I, Item 2 – Properties”).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rent additional warehouse space on a short-term basis from time to time in public warehouses situated throughout the United States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ectPr>
          <w:pgSz w:w="11900" w:h="16838" w:orient="portrait"/>
          <w:cols w:equalWidth="0" w:num="1">
            <w:col w:w="11420"/>
          </w:cols>
          <w:pgMar w:left="240" w:top="341" w:right="239" w:bottom="0" w:gutter="0" w:footer="0" w:header="0"/>
        </w:sectPr>
      </w:pPr>
    </w:p>
    <w:bookmarkStart w:id="7" w:name="page8"/>
    <w:bookmarkEnd w:id="7"/>
    <w:p>
      <w:pPr>
        <w:jc w:val="both"/>
        <w:ind w:firstLine="648"/>
        <w:spacing w:after="0" w:line="242" w:lineRule="auto"/>
        <w:rPr>
          <w:sz w:val="20"/>
          <w:szCs w:val="20"/>
          <w:color w:val="auto"/>
        </w:rPr>
      </w:pPr>
      <w:r>
        <w:rPr>
          <w:rFonts w:ascii="Arial" w:cs="Arial" w:eastAsia="Arial" w:hAnsi="Arial"/>
          <w:sz w:val="18"/>
          <w:szCs w:val="18"/>
          <w:color w:val="auto"/>
        </w:rPr>
        <w:t>The principal raw materials used in the manufacturing of our products are aluminum cans, glass bottles and PET plastic bottles as well as juice concentrates, sugar, sucralose, milk and cream, the costs of which are subject to fluctuations. Overall, the prices of aluminum cans, PET plastic bottles, certain juice concentrates and sugar increased in 2008 as compared to 2007. In particular, prices of apple concentrate increased materially; although, such pricing did retreat towards the end of 2008. Furthermore, we have secured a major part of our 2009 supply of apple concentrate at prices below the overall prices incurred in 2008. The dairy components in our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line of non-carbonated dairy based coffee drinks saw a reduction in 2008 as compared to 2007. Sucralose prices stayed constant in 2008.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purchase beverage flavors, concentrates, juices, supplements, cane sugar, sucrose, sucralose and other sweeteners as well as other ingredients from independent suppliers located in the United States and abroad.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raw materials utilized by us in our business are readily available from numerous sources. However, certain raw materials are manufactured by only one company. We purchase sucralose, which is used alone or in combination with Acesulfame-K in our low-calorie products, flavors, vitamin blends and herbs from single manufacturers. Additionally, certain of our cans are only manufactured by single companies in the United States.</w:t>
      </w:r>
    </w:p>
    <w:p>
      <w:pPr>
        <w:spacing w:after="0" w:line="14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With regard to our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line of non-carbonated dairy based coffee drinks, the dairy industry is subject to shortages and higher demand from time to time which may result in higher prices.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regard to our fruit juice and juice-drink products, the industry is subject to variability of weather conditions, which may result in higher prices and/or lower consumer demand for juices.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 certain fruits and fruit juices, and supplements and sweeteners have been, and could from time to time in the future be, experienced, which could interfere with and/or delay production of certain of our products.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continually endeavor to develop back-up sources of supply for certain of our flavors and concentrates as well as to negotiate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development of new products and flavors, independent suppliers bear a large portion of the expense of product development, thereby enabling us to develop new products and flavors at relatively low cost. We have historically developed and successfully introduced new products and flavors and packaging for our products and intend to continue developing and introducing additional new beverages and flavors.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We also compete for distributors who will focus on the sale of our products ahead of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affect on our business and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experienced substantial competition from new entrants in the energy drink and energy shot categories. A number of companies who market and distribute iced teas and juice cocktails in larger volume packages, such as 16- and 20-ounce glass bottles, including Sobe, Snapple Elements,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from our energy or “functional” drinks. Our smoothies and tea lines are positioned more closely against those products.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compete not only for consumer preference,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TCCC,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natural sodas compete directly with traditional soda products including those marketed by TCCC, PepsiCo, Inc. and Cadbury Schweppes plc,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fruit juice smoothies compete directly with Kern’s, Jumex, Jugos del Valle and Libby’s Nectars, and V8 Smoothies, as well as with single serve juice products produced by many competitors. Such competitive products are packaged in glass and PET bottles ranging from 8- to 48-ounces in size and in 11.5-ounce aluminum cans. The juice content of such competitive products ranges from 1% to 100%.</w:t>
      </w:r>
    </w:p>
    <w:p>
      <w:pPr>
        <w:sectPr>
          <w:pgSz w:w="11900" w:h="16838" w:orient="portrait"/>
          <w:cols w:equalWidth="0" w:num="1">
            <w:col w:w="11420"/>
          </w:cols>
          <w:pgMar w:left="240" w:top="125" w:right="239" w:bottom="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Our apple and other juice products compete directly with Tree Top, Mott’s, Martinelli’s, Welch’s, Ocean Spray, Tropicana, Minute Maid, Langers, Apple and Eve, Seneca, Northland, Juicy Juice and also with other brands of apple juice and juice blends, especially store brands.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energy drinks, including Hansen’s® energy, Diet Red Energy®, Monster Energy®, Lost® Energy™, Joker Mad Energy™ and Rumba®, Samba and Tango energy juice in 8.3-ounce and/or 16-ounce and/or 24-ounce and/or 32-ounce and/or 500ml aluminum cans and/or 500ml glass bottles, and our Monster Hitman Energy Shooter™’s compete directly with Red Bull, Rockstar, Full Throttle, No Fear, Amp, Adrenaline Rush, NOS, Redline, 180, Red Devil, Rip It, Vitaminenergy, 5-Hour Energy Shot, Redline Energy Shot, NOS Energy Shot, Rockstar Energy Shot, Full Throttle Quick Shot, Amp Energy Shot and many other brands. TCCC and PepsiCo Inc. also market and/or distribute additional products in that market segment such as Pepsi Max, Mountain Dew, Mountain Dew MDX and Vault.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Java Monster™ line of non-carbonated dairy based coffee drinks competes directly with Starbucks Frappuccino, Starbucks Double Shot, Starbucks Double Shot Energy Plus Coffee and other Starbucks coffee drinks, Rockstar Roasted, Caribou Coffee, Cinnabon coffee drinks, Godiva dairy based drinks and Full Throttle Coffee.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sales and marketing strategy for all our beverages is to focus our efforts on developing brand awareness and trial through sampling both in stores and at events. We use our branded vehicles and other promotional vehicles at events where we sample our products to consumers. We utilize “push-pull”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methods to achieve maximum shelf and display space exposure in sales outlets and maximum demand from consumers for our products, including advertising, in-store promotions and in-store placement of point-of-sale materials and racks, prize promotions, price promotions, competitions, endorsements from selected public and extreme sports figures, coupons, sampling and sponsorship of selected causes such as cancer research. Our extreme sports team endorsements include teams such as the Pro Circuit – Kawasaki Motocross and Supercross teams, Kawasaki Factory Motocross and Supercross teams, Robby Gordon Racing Team, Ken Block Rally Racing Team and the Tech 3 Moto GP Team (new for 2009). Our individual athlete and/or personality endorsements include extreme sports figures and athletes such as NASCAR Camping World Truck Series racer Ricky Carmichael, Moto GP motorcycle racer Valentino Rossi (new for 2009), television personalities such as Rob Dyrdek as well as many athletes that compete in other sports related activities, particularly, the Winter and Summer X-Games, supercross, motocross, freestyle motocross, surfing, skateboarding, wakeboarding, skiing, snowboarding, BMX, mountain bike downhill racing, snowmobile freestyle, snowmobile racing, etc. Our event endorsements include a wide range of events such as the Monster Energy® Supercross Series, the AMA Pro Motocross Championship Series and the Vans Warped Tour. In-store posters, outdoor posters, print, radio and television advertising, together with price promotions and coupons, may also be used to promote our brands.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one of the keys to success in the beverage industry is differentiation, which entails making our products visually distinctive from other beverages on the shelves of retailers. We review our products and packaging on an ongoing basis and, where practical, endeavor to make them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 appropriate we partner with retailers to assist our marketing efforts. For example, while we retain responsibility for the marketing of the Juice Slam® line of children’s multi-vitamin juice drinks, Costco has undertaken partial responsibility for the marketing of the Juice Blast® line.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increased expenditures for our sales and marketing programs by approximately 24.1% in 2008 compared to 2007. As of December 31, 2008, we employed 1,020 employees in sales and marketing activities, of which 331 were employed on a full-time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customers are typically retail grocery and specialty chains, wholesalers, club stores, drug chains, mass merchandisers, convenience chains, full service beverage distributors, health food distributors and food service customers. Gross sales to our various customer types for the years ended December 2008, 2007 and 2006 are reflected below. The allocations below reflect changes made by us to the categories historically reported.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Retail grocery, specialty chains and wholesalers</w:t>
            </w:r>
          </w:p>
        </w:tc>
        <w:tc>
          <w:tcPr>
            <w:tcW w:w="18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8%</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Club stores, drug chains &amp; mass merchandisers</w:t>
            </w:r>
          </w:p>
        </w:tc>
        <w:tc>
          <w:tcPr>
            <w:tcW w:w="1840" w:type="dxa"/>
            <w:vAlign w:val="bottom"/>
          </w:tcPr>
          <w:p>
            <w:pPr>
              <w:jc w:val="center"/>
              <w:ind w:right="30"/>
              <w:spacing w:after="0"/>
              <w:rPr>
                <w:sz w:val="20"/>
                <w:szCs w:val="20"/>
                <w:color w:val="auto"/>
              </w:rPr>
            </w:pPr>
            <w:r>
              <w:rPr>
                <w:rFonts w:ascii="Arial" w:cs="Arial" w:eastAsia="Arial" w:hAnsi="Arial"/>
                <w:sz w:val="18"/>
                <w:szCs w:val="18"/>
                <w:color w:val="auto"/>
                <w:w w:val="88"/>
              </w:rPr>
              <w:t>14%</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14%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Full service distributors</w:t>
            </w:r>
          </w:p>
        </w:tc>
        <w:tc>
          <w:tcPr>
            <w:tcW w:w="18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74%</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1840" w:type="dxa"/>
            <w:vAlign w:val="bottom"/>
          </w:tcPr>
          <w:p>
            <w:pPr>
              <w:jc w:val="center"/>
              <w:ind w:right="30"/>
              <w:spacing w:after="0"/>
              <w:rPr>
                <w:sz w:val="20"/>
                <w:szCs w:val="20"/>
                <w:color w:val="auto"/>
              </w:rPr>
            </w:pPr>
            <w:r>
              <w:rPr>
                <w:rFonts w:ascii="Arial" w:cs="Arial" w:eastAsia="Arial" w:hAnsi="Arial"/>
                <w:sz w:val="18"/>
                <w:szCs w:val="18"/>
                <w:color w:val="auto"/>
                <w:w w:val="92"/>
              </w:rPr>
              <w:t>1%</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3%</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customers include CCE, CCBC, Consolidated, United and other TCCC North American Bottlers, Wal-Mart, Inc. (including Sam’s Club), AB Distributors, Kalil Bottling Group, Trader Joe’s, John Lenore &amp; Company, Pepsi Canada (terminated by us effective December 31, 2008), Swire Coca-Cola, Costco, The Kroger Co., Safeway Inc. and Albertsons. A decision by any large customer to decrease amounts purchased from us or to cease carrying our products could have a material negative effect on our financial condition and consolidated results of operations. The Dr. Pepper Snapple Group,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 a former customer of the DSD division, accounted for approximately 13%, 16% and 19% of our net sales for the years ended December 31, 2008, 2007 and 2006, respectively. Our distribution agreement with the Dr. Pepper Snapple Group, Inc. was terminated by us effective November 9, 2008. The related terminated distributor territories are now serviced by a combination of TCCC North American Bottlers and AB Distributors. Wal-Mart, Inc. (including Sam’s Club), a customer of both the DSD and Warehouse divisions, accounted for approximately 11%, 12% and 12% of our net sales for the years ended December 31, 2008, 2007 and 2006,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ectPr>
          <w:pgSz w:w="11900" w:h="16838" w:orient="portrait"/>
          <w:cols w:equalWidth="0" w:num="1">
            <w:col w:w="11420"/>
          </w:cols>
          <w:pgMar w:left="240" w:top="125" w:right="239" w:bottom="0"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7"/>
          <w:szCs w:val="17"/>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our products. However, the energy drink category appears to be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sales of our finished products and changes in and/or increased advertising, marketing and promotional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numerous trademarks that are very important to our business. Depending upon the jurisdiction, trademarks are valid as long as they are in use and/or their registrations are properly maintained and they have not been found to have become generic. Registrations of trademarks can generally be renewed as long as the trademarks are in use. We also own the copyright in and to numerous statements made and content appearing on the packaging of our products.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own the Hansen’s®, Monster Energy®, M (stylized)® and the M Monster Energy® trademarks. These trademarks are crucial to our business and are registered in the U.S. Patent and Trademark Office and in various countries throughout the world. We own a number of other trademark registrations in a number of countries around the world including, but not limited to: Vidration®, A New Kind a Buzz®, Unleash the Beast!®, AssaultÒ, Mean BeanÒ, Loca MocaÒ, Hansen’s Energy®, Blue Energy®, Energade®, RumbaÒ, FizzitÒ, Hansen’s E2O Energy Water®, Hansen’s Slim Down®, Power Formula®, The Real Deal®, Liquidfruit®, California’s Natural Choice®, Medicine Man®, Hansen’s Power®, B·Well®, Anti-ox®, D-stress®, Stamina®, Immunejuice®, Hansen’s Natural Multi-Vitamin Juice Slam®, Juice Blast®, Red Rocker®, and Hansen’s Natural Soda® in the United States and, the Monster®, Monster Energy®, M(stylized)®, Hansen’s® and Smoothie® trademarks.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register a number of trademarks in the United States and elsewhere including, but not limited to: Monster™, Monster Energy™, M(stylized)™, Khaos™, Monster M-80™, BFCÔ, Predator™, Mutant™, Ace™, Junior WaterÔ, Fizz Bomb™, Java Monster™, Java Monster Big Black™, Monster OriginaleÔ, Chai Hai™, Irish Blend™, Java Monster Russian™, Nut-Up™, Lo-Ball™, The Juice is Loose™, Monster MIXXD™, Heavy Metal™, Monster Black IceÔ, Monster HitmanÔ, Monster Hitman Energy ShooterÔ and Energy Pro™.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2000, in connection with the acquisition of the Blue Sky Natural Beverage business, we acquired the Blue Sky® trademark which is registered in the United States and Canada, through our wholly owned subsidiary Blue Sky.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2001, in connection with the acquisition of the Junior Juice beverage business, we acquired the Junior Juice® trademark, which is registered in the United States, through our wholly owned subsidiary Junior Juice.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2006, we acquired the Unbound Energy® trademark which is registered in the United States. On February 18, 2009, we assigned all of our right, title and interest in and to the Unbound Energy® trademark to BP Products North America,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production, distribution and sale in the United States of many of our products is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is also subject to numerous similar and other statutes and regulations.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California law requires that a specific warning appear on any product that contains a component listed by the State of California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Laws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facilities in the United States are subject to federal, state and local environmental laws and regulations. Compliance with these provisions has not had, and we do not expect such compliance to have, any material adverse effect upon our capital expenditures, net income or competitive position.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0" w:name="page11"/>
    <w:bookmarkEnd w:id="10"/>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2008, we employed a total of 1,270 employees of which 564 were employed on a full-time basis. Of our 1,270 employees, we employ 250 in administrative and operational capacities and 1,020 persons in sales and marketing capacities.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www.hansens.com</w:t>
      </w:r>
      <w:r>
        <w:rPr>
          <w:rFonts w:ascii="Arial" w:cs="Arial" w:eastAsia="Arial" w:hAnsi="Arial"/>
          <w:sz w:val="17"/>
          <w:szCs w:val="17"/>
          <w:color w:val="auto"/>
        </w:rPr>
        <w:t xml:space="preserve">. Information contained on our website is not part of this annual report on Form 10-K. Our annual report on Form 10-K and quarterly reports on Form 10-Q will be made available free of charge on </w:t>
      </w:r>
      <w:r>
        <w:rPr>
          <w:rFonts w:ascii="Arial" w:cs="Arial" w:eastAsia="Arial" w:hAnsi="Arial"/>
          <w:sz w:val="17"/>
          <w:szCs w:val="17"/>
          <w:u w:val="single" w:color="auto"/>
          <w:color w:val="auto"/>
        </w:rPr>
        <w:t>www.hansens.com</w:t>
      </w:r>
      <w:r>
        <w:rPr>
          <w:rFonts w:ascii="Arial" w:cs="Arial" w:eastAsia="Arial" w:hAnsi="Arial"/>
          <w:sz w:val="17"/>
          <w:szCs w:val="17"/>
          <w:color w:val="auto"/>
        </w:rPr>
        <w:t>, as soon as reasonably practicable after we electronically file such material with, or furnish it to, the Securities and Exchange Commission (the “SEC”). In addition, you may request a copy of these filings (excluding exhibits) at no cost by writing or telephoning us at the following address or telephone number: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Hansen Natural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Monica Circle, Suite 201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Corona, CA 92880</w:t>
      </w:r>
    </w:p>
    <w:p>
      <w:pPr>
        <w:spacing w:after="0" w:line="9" w:lineRule="exact"/>
        <w:rPr>
          <w:sz w:val="20"/>
          <w:szCs w:val="20"/>
          <w:color w:val="auto"/>
        </w:rPr>
      </w:pPr>
    </w:p>
    <w:p>
      <w:pPr>
        <w:ind w:left="5580" w:hanging="428"/>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5520" w:hanging="438"/>
        <w:spacing w:after="0"/>
        <w:tabs>
          <w:tab w:leader="none" w:pos="5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HANSENS</w:t>
      </w:r>
    </w:p>
    <w:p>
      <w:pPr>
        <w:spacing w:after="0" w:line="9" w:lineRule="exact"/>
        <w:rPr>
          <w:rFonts w:ascii="Arial" w:cs="Arial" w:eastAsia="Arial" w:hAnsi="Arial"/>
          <w:sz w:val="18"/>
          <w:szCs w:val="18"/>
          <w:color w:val="auto"/>
        </w:rPr>
      </w:pPr>
    </w:p>
    <w:p>
      <w:pPr>
        <w:ind w:left="5580" w:hanging="428"/>
        <w:spacing w:after="0"/>
        <w:tabs>
          <w:tab w:leader="none" w:pos="5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426-7367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global economic conditions may adversely affect our industry, business and results of operations.</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The global credit and financial markets have been experiencing extreme disruptions in recent months, including severely diminished liquidity and credit availability, declines in consumer confidence, declines in economic growth, increases in unemployment rates, and uncertainty about economic stability. There can be no assurance that there will not be further deterioration in credit and financial markets and confidence in economic conditions. These economic uncertainties affect businesses such as ours in a number of ways, making it difficult to accurately forecast and plan our future business activities. The current adverse global economic conditions and tightening of credit in financial markets may lead consumers to postpone spending, which may cause our customers to cancel, decrease or delay their existing and future orders with us. In addition, financial difficulties experienced by our suppliers or customers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our business and results of operations could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competition could hurt our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 Our Java Monster™ line of non-carbonated dairy based coffee drinks competes directly with Starbucks Frappuccino, Starbucks Double Shot, Starbucks Double Shot Energy Plus Coffee and other Starbucks coffee drinks, Rockstar Roasted, Caribou Coffee, Cinnabon coffee drinks, Godiva dairy based drinks and Full Throttle Coffee.</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derive a substantial portion of revenues from our energy drinks and competitive pressure in the “energy drink” category could adversely affect our operating results.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substantial portion of our sales are derived from our energy drinks, including in particular our Monster Energy® brand energy drinks. Our DSD segment which comprises primarily energy drinks, represented 90.7% of net sales for the year ended December 31, 2008. Any decrease in the sales of our Monster Energy® brand energy drinks could significantly adversely affect our future revenues and net income. Historically, we have experienced substantial competition from new entrants in the energy drink category. Our energy drinks compete directly with Red Bull, Rockstar, Full Throttle, No Fear, Amp, Adrenaline Rush, NOS, Redline, 180, Red Devil, Rip It, Vitaminenergy, 5-Hour Energy Shot, Redline Energy Shot, NOS Energy Shot, Rockstar Energy Shot, Full Throttle Quick Shot, Amp Energy Shot and many other brands. A number of companies who market and distribute iced teas and juice cocktails in different packages, such as 16- and 20-ounce glass bottles, including Sobe, Snapple, Arizona, Fuse, and Vitamin Water, have added supplements to their products with a view to marketing their products as “functional” or energy beverages or as having “functional” benefits. In addition, certain large companies such as TCCC and PepsiCo Inc., market and/or distribute products in that market segment such as Pepsi Max, Mountain Dew, Mountain Dew MDX and</w:t>
      </w:r>
    </w:p>
    <w:p>
      <w:pPr>
        <w:sectPr>
          <w:pgSz w:w="11900" w:h="16932" w:orient="portrait"/>
          <w:cols w:equalWidth="0" w:num="1">
            <w:col w:w="11420"/>
          </w:cols>
          <w:pgMar w:left="240" w:top="121" w:right="239" w:bottom="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Vault. Competitive pressures in the energy drink category could impact our revenues or we could experience price erosion or lower market share, any of which could have a material adverse affect on our business and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consumer preferences may reduce demand for some of our products.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increasing awareness and concern for the health consequences of obesity. This may reduce demand for our non-diet beverages, which could affect our profitability.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We do not directly manufacture our products, but instead outsource such manufacturing to bottlers and other contract packers. </w:t>
      </w:r>
      <w:r>
        <w:rPr>
          <w:rFonts w:ascii="Arial" w:cs="Arial" w:eastAsia="Arial" w:hAnsi="Arial"/>
          <w:sz w:val="17"/>
          <w:szCs w:val="17"/>
          <w:color w:val="auto"/>
        </w:rPr>
        <w:t>In the event of a</w:t>
      </w:r>
      <w:r>
        <w:rPr>
          <w:rFonts w:ascii="Arial" w:cs="Arial" w:eastAsia="Arial" w:hAnsi="Arial"/>
          <w:sz w:val="18"/>
          <w:szCs w:val="18"/>
          <w:color w:val="auto"/>
        </w:rPr>
        <w:t xml:space="preserve"> </w:t>
      </w:r>
      <w:r>
        <w:rPr>
          <w:rFonts w:ascii="Arial" w:cs="Arial" w:eastAsia="Arial" w:hAnsi="Arial"/>
          <w:sz w:val="17"/>
          <w:szCs w:val="17"/>
          <w:color w:val="auto"/>
        </w:rPr>
        <w:t>disruption or delay, we may be unable to procure alternative packing facilities at commercially reasonable rates and/or within a reasonably short time period. In addition, there are limited alternative packing facilities in the United States with adequate capacity and/or suitable equipment for many of our products, including Hansen’s® brand energy drinks in 8.3-ounce cans, our PET tea line, Hansen’s® Sparkling beverages in 10.5-ounce sleek cans, aseptic juice products, juices in 64-ounce PET plastic bottles, Monster Energy®, Lost® Energy™, Rumba</w:t>
      </w:r>
      <w:r>
        <w:rPr>
          <w:rFonts w:ascii="Arial" w:cs="Arial" w:eastAsia="Arial" w:hAnsi="Arial"/>
          <w:sz w:val="18"/>
          <w:szCs w:val="18"/>
          <w:color w:val="auto"/>
        </w:rPr>
        <w:t>®, Samba, Tango and Joker Mad Energy</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w:t>
      </w:r>
      <w:r>
        <w:rPr>
          <w:rFonts w:ascii="Arial" w:cs="Arial" w:eastAsia="Arial" w:hAnsi="Arial"/>
          <w:sz w:val="18"/>
          <w:szCs w:val="18"/>
          <w:color w:val="auto"/>
        </w:rPr>
        <w:t>energy drinks in 8.3-ounce and/or 16-ounce</w:t>
      </w:r>
      <w:r>
        <w:rPr>
          <w:rFonts w:ascii="Arial" w:cs="Arial" w:eastAsia="Arial" w:hAnsi="Arial"/>
          <w:sz w:val="17"/>
          <w:szCs w:val="17"/>
          <w:color w:val="auto"/>
        </w:rPr>
        <w:t xml:space="preserve"> </w:t>
      </w:r>
      <w:r>
        <w:rPr>
          <w:rFonts w:ascii="Arial" w:cs="Arial" w:eastAsia="Arial" w:hAnsi="Arial"/>
          <w:sz w:val="18"/>
          <w:szCs w:val="18"/>
          <w:color w:val="auto"/>
        </w:rPr>
        <w:t>and/or 24-ounce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and/or 32-ounce and/or 500ml aluminum cans and/or 500ml glass bottles, our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line of non-carbonated dairy based coffee drinks in 15-ounce cans, Monster Hitman Energy Shooter</w:t>
      </w:r>
      <w:r>
        <w:rPr>
          <w:rFonts w:ascii="Arial" w:cs="Arial" w:eastAsia="Arial" w:hAnsi="Arial"/>
          <w:sz w:val="23"/>
          <w:szCs w:val="23"/>
          <w:color w:val="auto"/>
          <w:vertAlign w:val="superscript"/>
        </w:rPr>
        <w:t>TM</w:t>
      </w:r>
      <w:r>
        <w:rPr>
          <w:rFonts w:ascii="Arial" w:cs="Arial" w:eastAsia="Arial" w:hAnsi="Arial"/>
          <w:sz w:val="18"/>
          <w:szCs w:val="18"/>
          <w:color w:val="auto"/>
        </w:rPr>
        <w:t>’s and other products.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rely on bottlers and distributors to distribute our DSD products. If we are unable to secure such bottlers and distributors and/or we are unable to maintain good relationships with our existing bottlers and distributors, our business could suffer.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(both alcoholic and non-alcoholic), including energy drinks. In many cases, such products compete directly with our products.</w:t>
      </w:r>
    </w:p>
    <w:p>
      <w:pPr>
        <w:spacing w:after="0" w:line="18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with greater focus in preference to the products of our competitors, our business, financial condition and results of operations could be adversely affected.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TCCC North American Bottlers and AB Distributors are our primary domestic and international distributors of our Monster Energy® beverages. If we are unable to maintain good relationships with the TCCC North American Bottlers and AB Distributors, or if the TCCC North American Bottlers and/or AB Distributors do not market and promote our products above the products of our competitors, sales of our Monster Energy® beverages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customers are material to our success. If we are unable to maintain good relationships with our existing customers, our business could suffer.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Dr. Pepper Snapple Group, Inc., a former customer of the DSD division, accounted for approximately 13%, 16% and 19% of our net sales for the years ended December 31, 2008, 2007 and 2006, respectively. Our distribution agreement with the Dr. Pepper Snapple Group, Inc. was terminated by us effective November 9, 2008. The related terminated distributor territories are now serviced by a combination of the TCCC North American Bottlers and AB Distributors. If the TCCC North American Bottlers and/or AB Distributors are generally not as successful in selling our products as the Dr. Pepper Snapple Group, Inc. was, this could have a material adverse effect on our financial condition and consolidated results of operations.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Wal-Mart, Inc. (including Sam’s Club), a customer of both the DSD and Warehouse divisions, accounted for approximately 11%, 12% and 12% of our net sales for each of the years ended December 31, 2008, 2007 and 2006, respectively. A decision by Wal-Mart, Inc. (including Sam’s Club), or any other large customer, to decrease the amount purchased from us or to cease carrying our products could have a material adverse effect on our financial condition and consolidated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2" w:name="page13"/>
    <w:bookmarkEnd w:id="12"/>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cost or shortages of raw materials or increases in costs of co-packing could harm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raw materials used by us are aluminum cans, glass bottles and PET plastic bottles as well as juice concentrates, sugar, sucralose, milk and cream, the costs of which are subject to fluctuations. Overall, the prices of aluminum cans, PET plastic bottles, certain juice concentrates and sugar increased in 2008 as compared to 2007. In addition, certain of our co-pack arrangements allow such co-packers to increase their charges based on certain of their own cost increases. We are uncertain whether the prices of any of the above or any other raw materials or ingredients will rise in the future and whether we will be able to pass any of such increases on to our customers. We do not use hedging agreements or alternative instruments to manage the risks associated with securing sufficient ingredients or raw materials.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some of these raw materials, such as sucralose and certain sizes of cans, are available from a limited number of suppliers. Sucralose, which is used in many of our products including our low-calorie products, is purchased by us from a single manufacturer. While we believe that our 2009 sucralose volume allocation will be sufficient to meet the demand for our products that contain sucralose, we may need to reformulate certain of those products that contain sucralose with alternative sweetener systems to avoid an interruption in supply of those products, should the need arise.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accurately estimate demand for our products could adversely affect our business and financial results.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PET plastic bottles, cans, glass, labels, sucralose, flavors, supplements, certain sweeteners, or packing arrangements, we might not be able to satisfy demand on a short-term basis. Moreover, industry-wide shortages of certain juice concentrates, supplements and sweeteners have been and could, from time to time in the future, be experienced. Such shortages could interfere with and/or delay production of certain of our products and could have a material adverse effect on our business and financial results. We generally do not use hedging agreements or alternative instruments to manage this risk.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costs of packaging supplies are subject to price increases from time to time and we may be unable to pass all or some of such increased costs on to our customers.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packaging supplies contracts allow our suppliers to alter the costs they charge us for packaging supplies based on changes in the costs of the underlying commodities that are used to produce those packaging supplies, such as resin for PET bottles, aluminum for cans, pulp for cartons and/or trays. These changes in the prices we pay for our packaging supplies occur at certain predetermined times that vary by product and supplier. In some cases, we fix the prices of certain packaging supplies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rely upon our ongoing relationships with our key flavor suppliers. If we are unable to source our flavors on acceptable terms from our key suppliers, we could suffer disruptions in our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flavor suppliers hold the proprietary rights to their flavors. Consequently, we do not have the list of ingredients or formulae for our flavors and certain of our concentrates readily available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and we may be unable to obtain these flavors or concentrates from alternative suppliers on short notice. Industry-wide shortages of certain juice concentrates, supplements and sweeteners have been, and could, from time to time in the future, be experienced. Such shortages could interfere with and/or delay production of certain of our products. If we have to replace a flavor supplier, we could experience temporary disruptions in our ability to deliver products to our customers which could have a material adverse effect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intellectual property rights are critical to our success, the loss of such rights could materially adversely affect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property with registered and common law trademarks and copyrights, restrictions on disclosure and other actions to prevent infringement. Product packages, mechanical designs and artwork are important to our success and we take action to protect against imitation of our packaging and trade dress and to protect our trademarks and copyrights as necessary.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changes in government regulation may hinder sales.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production, distribution and sale in the United States of many of our products is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packaging changed, thus adversely affecting our financial condition and operations. California law requires that a specific warning appear on any product that contains a component listed by the State of California as having been found to cause cancer or birth defects.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brand image or product quality, or if we encounter product recalls, our business may suffer.</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success depends on our ability to maintain and build brand image for our existing products, new products and brand extensions. We have no assurance that our advertising, marketing and promotional programs will have the desired impact on our products’ brand image and on consumer preferences.</w:t>
      </w:r>
    </w:p>
    <w:p>
      <w:pPr>
        <w:sectPr>
          <w:pgSz w:w="11900" w:h="16908" w:orient="portrait"/>
          <w:cols w:equalWidth="0" w:num="1">
            <w:col w:w="11420"/>
          </w:cols>
          <w:pgMar w:left="240" w:top="125" w:right="239" w:bottom="0" w:gutter="0" w:footer="0" w:header="0"/>
        </w:sectPr>
      </w:pPr>
    </w:p>
    <w:bookmarkStart w:id="13" w:name="page14"/>
    <w:bookmarkEnd w:id="13"/>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 quality issues, real or imagined, or allegations of product contamination, even if false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effected.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do not maintain sufficient inventory levels or if we are unable to deliver our products to our customers in sufficient quantities, or if our retailers’ inventory levels are too high, our operating results will be adversely affected.</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do not accurately anticipate the future demand for a particular product or the time it will take to obtain new inventory, our inventory levels will not be appropriate and our results of operations may be negatively impacted. If we fail to meet our shipping schedules, we could damage our relationships with distributors and/or retailers, increase our shipping costs 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would unfavorably impact our future sales and adversely affect our operating results.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not able to retain the full-time services of senior management there may be an adverse effect on our operations and/or our operating performance until we find suitable replacements.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dependent, to a large extent, upon the services of our senior management. We do not maintain key person life insurance for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could adversely affect our supply chain and demand for our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regard to fruit juice, fruit juice concentrates and natural flavors, the beverage industry is subject to variability of weather conditions, which may result in higher prices and/or the nonavailability of any of such items. Sales of our products may also be influenced to some extent by weather conditions in the markets in which we operate, particularly in areas outside of California. Weather conditions may influence consumer demand for certain of our beverages, which could have an adverse effect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changes in accounting practices and/or taxation may adversely affect our financial results.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cannot predict the impact that future changes in accounting standards or practices may have on our financial results. New accounting standards could be issued that could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 of stock price may restrict sale opportunities.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projected volumes and sales of many product types and/or new products, certain of which are more profitable than others. There can be no assurance that the Company will achieve projected levels or mixes of product sales. As a result, our stock price is subject to significant volatility and stockholders may not be able to sell our stock at attractive prices.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December 31, 2008, our stock price high was $45.63 and stock price low was $20.52.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Provisions in our organizational documents and control by insiders may prevent changes in control even if such changes would be beneficial to other stockholders.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organizational documents may limit changes in control. Furthermore, as of February 6, 2009, Mr. Sacks and Mr. Schlosberg together may be deemed to control a maximum of 22.1% of our outstanding common stock. Consequently, Mr. Sacks and Mr. Schlosberg could exercise significant control on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cash flow may not be sufficient to fund our long term goals.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investments in marketable securities are subject to risks which may cause losses and affect the liquidity of these investments.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2008, we had $256.8 million in cash and cash equivalents and $118.7 million in short- and long-term investments. We have historically invested these amounts in U.S. Treasury bills, government agencies and municipal securities (which may have an auction reset feature), corporate</w:t>
      </w:r>
    </w:p>
    <w:p>
      <w:pPr>
        <w:sectPr>
          <w:pgSz w:w="11900" w:h="16975" w:orient="portrait"/>
          <w:cols w:equalWidth="0" w:num="1">
            <w:col w:w="11420"/>
          </w:cols>
          <w:pgMar w:left="240" w:top="125" w:right="239" w:bottom="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of our short-term investments and all of our long-term investments are comprised of municipal or educational related or other public body notes with an auction reset feature (“auction rate securities”). The majority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At December 31, 2008, we held auction rate securities with a face value of $112.5 million. Subsequent to December 31, 2008, we redeemed $8.1 million of auction rate securities at par, which are included in short-term investments in our consolidated financial statements. During the year ended December 31, 2008, a large portion of the auctions for these auction rate securities failed. We determined that there was an impairment of our auction rate securities of $14.9 million, resulting in a fair value of $89.6 million, which is included in long-term investments in our consolidated financial statements. We determined that of the $14.9 million impairment of our auction rate securities, $14.4 million was deemed temporary. This amount has been recorded, net of a tax benefit of $5.7 million, as a component of accumulated other comprehensive loss for the year ended December 31, 2008. In addition, we determined that $0.5 million of the impairment was other-than-temporary and recorded a charge to interest and other income, net in our consolidated financial statements for the year ended December 31, 2008. There is no assurance that auctions on the remaining auction rate securities in our investment portfolio will succeed. The auction failures appear to have been attributable to inadequate buyers and/or buying demand and/or the lack of support from financial advisors and sponsors. In the event that there is a failed auction, the indenture governing the security in some cases requires the issuer to pay interest at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default rate that is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 Consequently, certain of these securities have been classified as long-term investments in our consolidated financial statements. We anticipate that due to the higher interest rates now payable on certain of these securities and for other reasons, certain issuers are likely to take steps to refinance their notes to enable them to call and repay the securities and therefore avoid the higher interest rates now payable on such securities.</w:t>
      </w:r>
    </w:p>
    <w:p>
      <w:pPr>
        <w:spacing w:after="0" w:line="16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If the issuers of these auction rate securities are unable to refinance their debts and call the notes or successfully close future auctions and their credit ratings deteriorate, we may in the future be required to record additional impairment charges on these investments. If uncertainties in the credit and capital markets continue or there are ratings downgrades on the auction rate securities held by us, we may be required to recognize additional impairments on these investments. We may be required to wait until market stability is restored for these instruments or until the final maturity of the underlying notes (up to 40 years) to realize our investments’ recorded value. (See “Part II, Item 7A — Qualitative And Quantitative Disclosures About Market Risks” and “Part II, Item 8, Note 3 — Investments” in our consolidated financial statements).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or legal proceedings could expose us to significant liabilities and thus negatively affect our financial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from time to time, to various litigation claims and legal proceedings, including, but not limited to, intellectual property, fraud, unfair business practices and false advertising, breach of contract claims, securities actions and shareholder derivative actions. Material legal proceedings are described more fully in “Part I, Item 3 — Legal Proceedings” and in Part II, Item 8, Note 11 to our consolidated financial statements contained in this Form 10-K.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Defending these proceedings will result in significant ongoing expenditures and the continued diversion of our management’s time and attention from the operation of our business, which could have a negative effect on our business operations. Our failure to successfully defend or settle any of these litigations or legal proceedings could result in liability that, to the extent not covered by our insurance, could have a material adverse effect on our financial conditions, revenue and profitability, and could cause the market value of our common stock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outside the United States expose us to uncertain conditions and other risks in international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gross sales to customers outside of the United States were approximately 8.2% of consolidated gross sales for the year ended December 31, 2008 and our growth strategy includes expanding our international business. We face and will continue to face substantial risks associated with having foreign operations, including: economic or political instability in our international markets; restrictions on or costs relating to the repatriation of foreign profits to the United States,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possible taxes or withholding obligations on any repatriations; and the imposition of tariffs 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potentially higher incidence of fraud or corruption, credit risk of local customers and distributors and potentially adverse tax consequences. We are also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w:t>
      </w:r>
    </w:p>
    <w:p>
      <w:pPr>
        <w:sectPr>
          <w:pgSz w:w="11900" w:h="16838" w:orient="portrait"/>
          <w:cols w:equalWidth="0" w:num="1">
            <w:col w:w="11420"/>
          </w:cols>
          <w:pgMar w:left="240" w:top="125" w:right="239" w:bottom="0" w:gutter="0" w:footer="0" w:header="0"/>
        </w:sectPr>
      </w:pPr>
    </w:p>
    <w:bookmarkStart w:id="15" w:name="page16"/>
    <w:bookmarkEnd w:id="15"/>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exchange rates. Moreover, any favorable impacts to profit margins or financial results from fluctuations in foreign currency exchange rates are likely to be unsustainable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must successfully maintain and/or upgrade our information technology systems.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various information technology systems to manage our operations. During the fourth quarter of 2008, we resolved to commence the implementation of the SAP enterprise resource planning system to replace our legacy systems. The implementation is scheduled to be completed in the first quarter of 2010. This implementation subjects us to take on inherent costs and risks associated with replacing and changing these systems, including impairment of our ability to fulfill customer orders, potential disruption of the internal control structure, substantial capital expenditures, demands on management time and other risks of delays or difficulties in transitioning to a new system. The implementation of this system may not result in productivity improvements at a level that outweighs the costs of implementation, or at all. Any information technology system disruptions, if not anticipated and appropriately mitigated, could have an adverse effect on our business and operations.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2007, we relocated our corporate offices to newly leased offices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which is currently in escrow. In August 2008, we completed the purchase of an additional 1.09 acres of adjacent land for a purchase price of $1.4 million. These properties are located adjacent to the newly leased warehouse and distribution space. We are reviewing the feasibility of constructing a new office building and parking lot on these combined parcels of land to replace our existing office space.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sublet a small portion of our previous office, warehouse and distribution space on a month to month basis. In addition, we continue to utilize the remaining portion of this space as overflow for our main warehouse. This lease expires in October 2010.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rent additional warehouse space on a short-term basis from time to time in public warehouses situated throughout the United States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2006, HBC filed a lawsuit against National Beverage Company, Shasta Beverages, Inc., Newbevco Inc. and Freek’N Beverage Corp. (collectively “National”) seeking an injunction and damages for trademark infringement, trademark dilution, unfair competition and deceptive trade practices based on National’s unauthorized use of HBC’s valuable and distinctive Monster Energy® trade dress in connection with a line of energy drinks it launched under the “Freek” brand name. In June 2007, the parties entered into a confidential settlement agreement resolving the parties’ disputes in the litigation. National subsequently repudiated the settlement agreement and HBC responded by filing a motion in the United States District Court for the Central District of California to enforce the terms of the confidential settlement agreement. On August 14, 2007, the United States District Court entered an Order enforcing the settlement agreement and permanently enjoining National from manufacturing, distributing, shipping, marketing, selling and offering to sell “Freek” energy drinks in containers using the original “Freek” trade dress that was subject to the District Court’s preliminary injunction. National appealed the District Court’s decision to the Ninth Circuit Court of Appeals, which heard oral arguments on December 11, 2008. No decision has been issued on the appeal.</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2006, HBC filed a civil action in the Federal Court of Australia, Victoria District Registry, against Bickford’s Australia (Pty) Limited and Meak (Pty) Ltd. (collectively “Bickfords”), in which HBC sought an injunction restraining Bickfords from selling or offering for sale or promoting in Australia any energy drink or beverage under the MONSTER ENERGY™ or MONSTER™ marks or any similar marks, and further sought damages and costs. Bickfords cross-claimed seeking an order to restrain HBC from selling, offering for sale or promoting in Australia any drink product under the Monster Energy or Monster trademarks or any similar trademarks, and for costs. In December 2008, the parties entered into a confidential settlement agreement resolving the parties’ disputes in the litigation. Pursuant to the terms of the settlement agreement, Bickfords will cease all use of the Monster and Monster Energy marks in Australia (after depletion of its existing inventory) and will assign to HBC all trademark applications and registrations which consist of or include the MONSTER ENERGY™ and MONSTER™ marks it has lodged throughout the world, including those lodged in Australia, New Zealand, Singapore, Malaysia, Hong Kong and Indonesia.</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2006, Christopher Chavez purporting to act on behalf of himself and a class of consumers yet to be defined filed an action in the Superior Court, of the State of California, City and County of San Francisco,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Defendants removed this Superior Court action to the United States Court for the Northern District of California under the Class Action Fairness Act, and filed motions for dismissal or transfer. On June 11, 2007, the United States District Court, Northern District of California granted the Company’s motion to dismiss Chavez’s complaint with prejudice. On June 21, 2007, Chavez filed an appeal with the U.S. Court of Appeals for the Ninth Circuit, and the Court heard oral arguments on January 14, 2009. No decision has been issued on the appeal.</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2007, the Company’s distributor for the Riverside County and San Bernardino County, California territories, Gate City Beverage Company (“Gate City”), notified the Company of its intention to sell its business and requested the Company consent to the assignment of the distribution agreement with the Company. The Company declined its consent and exercised its contractual right to terminate the Gate City distribution agreement upon thirty days prior written notice. Gate City threatened to take “appropriate action” against the Company and third parties for what it contended was</w:t>
      </w:r>
    </w:p>
    <w:p>
      <w:pPr>
        <w:sectPr>
          <w:pgSz w:w="11900" w:h="16877" w:orient="portrait"/>
          <w:cols w:equalWidth="0" w:num="1">
            <w:col w:w="11420"/>
          </w:cols>
          <w:pgMar w:left="240" w:top="125" w:right="239" w:bottom="0" w:gutter="0" w:footer="0" w:header="0"/>
        </w:sectPr>
      </w:pPr>
    </w:p>
    <w:bookmarkStart w:id="16" w:name="page17"/>
    <w:bookmarkEnd w:id="16"/>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improper termination of the distribution agreement. The Company denied Gate City’s assertion regarding improper termination of the applicable distribution agreement. On February 6, 2008, Gate City filed a demand for arbitration with the American Arbitration Association to be held in Orange County, California, claiming damages in an amount exceeding $5.0 million, plus attorneys’ fees and costs. The Company disputes liability and is defending the claim. The arbitration hearing has been set for May 2009.</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3, 2008, the Company filed a lawsuit in the Superior Court for the State of California for Los Angeles County against St. Paul Mercury Insurance Company (“St. Paul”) due to St. Paul’s failure to reimburse the Company for certain costs and expenses incurred and paid by the Company for and in connection with the investigation and defense of various proceedings relating to certain stock option grants made by the Company, including Special Committee investigation costs (the “St. Paul Complaint”). The Company purchased from St. Paul a directors and officers insurance policy that the Company contends covered such expenses during the pertinent time period. St. Paul has reimbursed the Company for certain of the costs and expenses associated with the Company’s successful defense against the subject proceedings, but has refused to pay the remainder of the limits of its policy. The St. Paul Complaint alleges that St. Paul is liable to the Company for the difference. The Company seeks damages arising from St. Paul’s breach of the policy, punitive damages, and reimbursement of the attorneys’ fees expended in the investigation and litigation. On August 1, 2008, St. Paul removed the lawsuit to the United States District Court for the Central District of California. On August 8, 2008, St. Paul answered the St. Paul Complaint and denied that it has any further responsibility to the Company beyond the amount for which it had previously reimbursed the Company. Motions for summary judgment on certain major issues in the litigation have been filed by the parties. The Court has scheduled a hearing on those motions for March 2009. A trial has been preliminarily scheduled in this litigation for November 2009.</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11, 2008, the Company initiated an action against Citigroup Inc., Citigroup Global Markets, Inc. and Citi Smith Barney, in the United States District Court, Central District of California, for violations of federal securities laws and the Investment Advisors Act, arising out of the Company’s purchase of auction rate securities. The Court granted defendants’ motion to compel arbitration before the Financial Industry Regulatory Authority (“FINRA”). The matter is now proceeding before FINRA.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28, 2008, the Company initiated an action against Oppenheimer Holdings Inc., Oppenheimer &amp; Co. Inc., and Oppenheimer Asset Management Inc. in the United States District Court, Central District of California, for violations of federal securities laws and the Investment Advisors Act, arising out of the Company’s purchase of auction rate securities. The defendants answered the complaint on October 14, 2008 denying the allegations set forth therein. The Oppenheimer action was deemed a related case to the Company’s action against Citigroup Inc. (described above). After the Court granted defendants’ motion to compel arbitration in the Citigroup Inc. case, the Company stipulated to arbitration before FINRA and the matter is now proceeding before FINRA.</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Cunha v. Hansen Natural Corp., et 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filed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Both actions, filed by single individual shareholders purportedly on behalf of a class of purchasers of the Company’s stock during the period May 23, 2007 through November 8, 2007 (the “Class Period”), name as defendants the Company, Rodney C. Sacks, and Hilton H. Schlosberg. The allegations of both complaints are substantially similar. Plaintiffs allege violations of Sections 10(b) and 20(a) of the Securities Exchange Act of 1934 and Rule 10b-5 promulgated thereunder. Plaintiffs allege, among other things, that during the Class Period, the defendants issued materially false and misleading statements that failed to disclose that: (i) the Company’s second quarter sales results were “materially impacted by inventory loading as customers were induced to purchase more product before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raised its prices in its Monster Energy® drink line and its Java Monster™ drink line”; (ii) the Company was “experiencing declining sales in its non-core drink lines”; (iii) the Company was “experiencing production shortfalls with its Java Monster drink line”; and (iv) as a result of the foregoing, defendants “lacked a reasonable basis for their positive statements about the Company and its prospects.” The complaints seek an unspecified amount of damages.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New Jersey Carpenters Pension Fund and the Structural Ironworkers Local Union #1 Pension Fund filed motions on November 10, 2008 for consolidation of the actions and for appointment of Lead Plaintiff and Lead Counsel. A hearing on the motions is expected in March 2009. If a motion for consolidation is granted, defendants must respond within forty-five days from the date of service of any consolidated complaint or the designation of one complaint as the operative complaint in the consolidated class actions. If a motion for consolidation is denied, then defendants must respond to the complaints within forty-five days from the date on which the denial of such motion is entered on the Court’s docket.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Derivative Litigation </w:t>
      </w:r>
      <w:r>
        <w:rPr>
          <w:rFonts w:ascii="Arial" w:cs="Arial" w:eastAsia="Arial" w:hAnsi="Arial"/>
          <w:sz w:val="18"/>
          <w:szCs w:val="18"/>
          <w:color w:val="auto"/>
        </w:rPr>
        <w:t>- On September 15, 2008, a derivative complaint was filed in the Superior Court of the State of California, County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Riverside, styled </w:t>
      </w:r>
      <w:r>
        <w:rPr>
          <w:rFonts w:ascii="Arial" w:cs="Arial" w:eastAsia="Arial" w:hAnsi="Arial"/>
          <w:sz w:val="18"/>
          <w:szCs w:val="18"/>
          <w:i w:val="1"/>
          <w:iCs w:val="1"/>
          <w:color w:val="auto"/>
        </w:rPr>
        <w:t>Stueve v. Sacks, et al.</w:t>
      </w:r>
      <w:r>
        <w:rPr>
          <w:rFonts w:ascii="Arial" w:cs="Arial" w:eastAsia="Arial" w:hAnsi="Arial"/>
          <w:sz w:val="18"/>
          <w:szCs w:val="18"/>
          <w:color w:val="auto"/>
        </w:rPr>
        <w:t xml:space="preserve"> On October 15, 2008, a second derivative complaint was filed in the United States District Court for the Central District of California, styled </w:t>
      </w:r>
      <w:r>
        <w:rPr>
          <w:rFonts w:ascii="Arial" w:cs="Arial" w:eastAsia="Arial" w:hAnsi="Arial"/>
          <w:sz w:val="18"/>
          <w:szCs w:val="18"/>
          <w:i w:val="1"/>
          <w:iCs w:val="1"/>
          <w:color w:val="auto"/>
        </w:rPr>
        <w:t>Merckel v. Sacks, et al.</w:t>
      </w:r>
      <w:r>
        <w:rPr>
          <w:rFonts w:ascii="Arial" w:cs="Arial" w:eastAsia="Arial" w:hAnsi="Arial"/>
          <w:sz w:val="18"/>
          <w:szCs w:val="18"/>
          <w:color w:val="auto"/>
        </w:rPr>
        <w:t xml:space="preserve"> The derivative suits were each brought, purportedly on behalf of the Company, by a shareholder of the Company who made no prior demand on the Company’s Board of Directors.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a stipulation among the parties that was so ordered by the Court on November 2, 2008, the </w:t>
      </w:r>
      <w:r>
        <w:rPr>
          <w:rFonts w:ascii="Arial" w:cs="Arial" w:eastAsia="Arial" w:hAnsi="Arial"/>
          <w:sz w:val="18"/>
          <w:szCs w:val="18"/>
          <w:i w:val="1"/>
          <w:iCs w:val="1"/>
          <w:color w:val="auto"/>
        </w:rPr>
        <w:t>Stueve</w:t>
      </w:r>
      <w:r>
        <w:rPr>
          <w:rFonts w:ascii="Arial" w:cs="Arial" w:eastAsia="Arial" w:hAnsi="Arial"/>
          <w:sz w:val="18"/>
          <w:szCs w:val="18"/>
          <w:color w:val="auto"/>
        </w:rPr>
        <w:t xml:space="preserve"> action was voluntarily dismissed in its entirety and without prejudice.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complaint names as defendants certain current and former officers, directors, and employees of the Company and HBC, including Rodney C. Sacks, Hilton H. Schlosberg, Harold C. Taber, Jr., Benjamin M. Polk, Norman C. Epstein, Mark S. Vidergauz, Sydney Selati, Thomas J. Kelly, Mark J. Hall, and Kirk S. Blower, as well as the administrator of the Estate of Michael B. Schott and Hilrod Holdings, L.P. The Company is named as a nominal defendant. The factual allegations of the complaint are substantially similar to those set forth in the two securities class action complaints described above. The complaint also alleges, among other things, that between May 2007 and the date of the filing of the complaint, the defendants directed the Company to issue a series of improper statements concerning its business prospects. The complaint further alleges that while the Company’s shares were purportedly artificially inflated because of those improper statements, certain defendants sold Company stock while in possession of material non-public information regarding the Company’s “true” business prospects. The complaint asserts various causes of action, including breach of fiduciary duty, aiding and</w:t>
      </w:r>
    </w:p>
    <w:p>
      <w:pPr>
        <w:sectPr>
          <w:pgSz w:w="11900" w:h="16933" w:orient="portrait"/>
          <w:cols w:equalWidth="0" w:num="1">
            <w:col w:w="11420"/>
          </w:cols>
          <w:pgMar w:left="240" w:top="341" w:right="239" w:bottom="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abetting breach of fiduciary duty, violation of Cal. Corp. Code §§ 25402 and 25403 for insider selling, and unjust enrichment. The suit seeks an unspecified amount of damages to be paid to the Company, adoption of corporate governance reforms, and equitable and injunctive relief.</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4, 2008, Plaintiff in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action filed a motion to consolidate that action with another lawsuit involving similar allegations filed in the Central District of California, styled </w:t>
      </w:r>
      <w:r>
        <w:rPr>
          <w:rFonts w:ascii="Arial" w:cs="Arial" w:eastAsia="Arial" w:hAnsi="Arial"/>
          <w:sz w:val="16"/>
          <w:szCs w:val="16"/>
          <w:i w:val="1"/>
          <w:iCs w:val="1"/>
          <w:color w:val="auto"/>
        </w:rPr>
        <w:t>Dislevy v. Sacks,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Dislevy</w:t>
      </w:r>
      <w:r>
        <w:rPr>
          <w:rFonts w:ascii="Arial" w:cs="Arial" w:eastAsia="Arial" w:hAnsi="Arial"/>
          <w:sz w:val="16"/>
          <w:szCs w:val="16"/>
          <w:color w:val="auto"/>
        </w:rPr>
        <w:t xml:space="preserve"> complaint, which names some but not all of the defendants in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action has not been served. A hearing on the motion to consolidate is expected for March 2009. If the motion to consolidate is granted, defendants must respond within 45 days after the filing and service of a consolidated amended complaint. If the motion to consolidate is denied, defendants must respond to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complaint within 45 days from entry of the order denying the motion or from the filing of any amended complaint, whichever is later.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On February 17, 2009 Plaintiff in the </w:t>
      </w:r>
      <w:r>
        <w:rPr>
          <w:rFonts w:ascii="Arial" w:cs="Arial" w:eastAsia="Arial" w:hAnsi="Arial"/>
          <w:sz w:val="18"/>
          <w:szCs w:val="18"/>
          <w:i w:val="1"/>
          <w:iCs w:val="1"/>
          <w:color w:val="auto"/>
        </w:rPr>
        <w:t>Merckel</w:t>
      </w:r>
      <w:r>
        <w:rPr>
          <w:rFonts w:ascii="Arial" w:cs="Arial" w:eastAsia="Arial" w:hAnsi="Arial"/>
          <w:sz w:val="18"/>
          <w:szCs w:val="18"/>
          <w:color w:val="auto"/>
        </w:rPr>
        <w:t xml:space="preserve"> action voluntarily dismissed The Estate of Michael B. Schott from the action without prejudice.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the ultimate outcome of these matters cannot be determined with certainty, the Company believes that the complaints are without merit.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vigorously defend against these lawsuits.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8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As of February 6, 2009, there were 90,401,966 shares of the Company’s common stock outstanding held by approximately 391 holders of record.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and Dividend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high and low bid closing quotations of our common stock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 2008</w:t>
            </w: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High</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Low</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39.77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27.90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34.79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20.52</w:t>
            </w:r>
          </w:p>
        </w:tc>
      </w:tr>
      <w:tr>
        <w:trPr>
          <w:trHeight w:val="418"/>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 2007</w:t>
            </w:r>
          </w:p>
        </w:tc>
        <w:tc>
          <w:tcPr>
            <w:tcW w:w="1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High</w:t>
            </w: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Low</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46.44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36.04</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68.40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38.25</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quotations for the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We have not paid cash dividends to our stockholders since our inception and do not anticipate paying cash dividends in the foreseeable future.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terminated the common stock repurchase program authorized in November 2005 under which we had purchased $27.7 million of the Company’s common stock. On April 25, 2008, our Board of Directors authorized the repurchase of up to $200.0 million of the Company’s common stock. During the year ended December 31, 2008, we purchased 3.9 million shares of the Company’s common stock at an average purchase price of $26.77 per share, which the Company holds in treasury.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tabular summary reflects our repurchase activity during the quarter ended 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Period</w:t>
            </w:r>
          </w:p>
        </w:tc>
        <w:tc>
          <w:tcPr>
            <w:tcW w:w="3180" w:type="dxa"/>
            <w:vAlign w:val="bottom"/>
          </w:tcPr>
          <w:p>
            <w:pPr>
              <w:jc w:val="center"/>
              <w:ind w:left="1210"/>
              <w:spacing w:after="0"/>
              <w:rPr>
                <w:sz w:val="20"/>
                <w:szCs w:val="20"/>
                <w:color w:val="auto"/>
              </w:rPr>
            </w:pPr>
            <w:r>
              <w:rPr>
                <w:rFonts w:ascii="Arial" w:cs="Arial" w:eastAsia="Arial" w:hAnsi="Arial"/>
                <w:sz w:val="18"/>
                <w:szCs w:val="18"/>
                <w:color w:val="auto"/>
                <w:w w:val="91"/>
              </w:rPr>
              <w:t>Total Number</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Average Price</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960" w:type="dxa"/>
            <w:vAlign w:val="bottom"/>
          </w:tcPr>
          <w:p>
            <w:pPr>
              <w:jc w:val="center"/>
              <w:ind w:left="230"/>
              <w:spacing w:after="0"/>
              <w:rPr>
                <w:sz w:val="20"/>
                <w:szCs w:val="20"/>
                <w:color w:val="auto"/>
              </w:rPr>
            </w:pPr>
            <w:r>
              <w:rPr>
                <w:rFonts w:ascii="Arial" w:cs="Arial" w:eastAsia="Arial" w:hAnsi="Arial"/>
                <w:sz w:val="18"/>
                <w:szCs w:val="18"/>
                <w:color w:val="auto"/>
                <w:w w:val="94"/>
              </w:rPr>
              <w:t>Maximum Number (or</w:t>
            </w:r>
          </w:p>
        </w:tc>
      </w:tr>
      <w:tr>
        <w:trPr>
          <w:trHeight w:val="216"/>
        </w:trPr>
        <w:tc>
          <w:tcPr>
            <w:tcW w:w="2200" w:type="dxa"/>
            <w:vAlign w:val="bottom"/>
          </w:tcPr>
          <w:p>
            <w:pPr>
              <w:spacing w:after="0"/>
              <w:rPr>
                <w:sz w:val="18"/>
                <w:szCs w:val="18"/>
                <w:color w:val="auto"/>
              </w:rPr>
            </w:pPr>
          </w:p>
        </w:tc>
        <w:tc>
          <w:tcPr>
            <w:tcW w:w="3180" w:type="dxa"/>
            <w:vAlign w:val="bottom"/>
          </w:tcPr>
          <w:p>
            <w:pPr>
              <w:jc w:val="center"/>
              <w:ind w:left="1190"/>
              <w:spacing w:after="0"/>
              <w:rPr>
                <w:sz w:val="20"/>
                <w:szCs w:val="20"/>
                <w:color w:val="auto"/>
              </w:rPr>
            </w:pPr>
            <w:r>
              <w:rPr>
                <w:rFonts w:ascii="Arial" w:cs="Arial" w:eastAsia="Arial" w:hAnsi="Arial"/>
                <w:sz w:val="18"/>
                <w:szCs w:val="18"/>
                <w:color w:val="auto"/>
                <w:w w:val="85"/>
              </w:rPr>
              <w:t>of Shares</w:t>
            </w: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per Share</w:t>
            </w:r>
          </w:p>
        </w:tc>
        <w:tc>
          <w:tcPr>
            <w:tcW w:w="19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95"/>
              </w:rPr>
              <w:t>Approximate Dollar</w:t>
            </w:r>
          </w:p>
        </w:tc>
      </w:tr>
      <w:tr>
        <w:trPr>
          <w:trHeight w:val="230"/>
        </w:trPr>
        <w:tc>
          <w:tcPr>
            <w:tcW w:w="2200" w:type="dxa"/>
            <w:vAlign w:val="bottom"/>
          </w:tcPr>
          <w:p>
            <w:pPr>
              <w:spacing w:after="0"/>
              <w:rPr>
                <w:sz w:val="20"/>
                <w:szCs w:val="20"/>
                <w:color w:val="auto"/>
              </w:rPr>
            </w:pPr>
          </w:p>
        </w:tc>
        <w:tc>
          <w:tcPr>
            <w:tcW w:w="3180" w:type="dxa"/>
            <w:vAlign w:val="bottom"/>
          </w:tcPr>
          <w:p>
            <w:pPr>
              <w:jc w:val="center"/>
              <w:ind w:left="1190"/>
              <w:spacing w:after="0"/>
              <w:rPr>
                <w:sz w:val="20"/>
                <w:szCs w:val="20"/>
                <w:color w:val="auto"/>
              </w:rPr>
            </w:pPr>
            <w:r>
              <w:rPr>
                <w:rFonts w:ascii="Arial" w:cs="Arial" w:eastAsia="Arial" w:hAnsi="Arial"/>
                <w:sz w:val="18"/>
                <w:szCs w:val="18"/>
                <w:color w:val="auto"/>
                <w:w w:val="85"/>
              </w:rPr>
              <w:t>Purchased</w:t>
            </w:r>
          </w:p>
        </w:tc>
        <w:tc>
          <w:tcPr>
            <w:tcW w:w="18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as Part of Publicly</w:t>
            </w:r>
          </w:p>
        </w:tc>
        <w:tc>
          <w:tcPr>
            <w:tcW w:w="1960" w:type="dxa"/>
            <w:vAlign w:val="bottom"/>
          </w:tcPr>
          <w:p>
            <w:pPr>
              <w:jc w:val="center"/>
              <w:ind w:left="210"/>
              <w:spacing w:after="0"/>
              <w:rPr>
                <w:sz w:val="20"/>
                <w:szCs w:val="20"/>
                <w:color w:val="auto"/>
              </w:rPr>
            </w:pPr>
            <w:r>
              <w:rPr>
                <w:rFonts w:ascii="Arial" w:cs="Arial" w:eastAsia="Arial" w:hAnsi="Arial"/>
                <w:sz w:val="18"/>
                <w:szCs w:val="18"/>
                <w:color w:val="auto"/>
                <w:w w:val="88"/>
              </w:rPr>
              <w:t>Value) of Shares that</w:t>
            </w:r>
          </w:p>
        </w:tc>
      </w:tr>
    </w:tbl>
    <w:p>
      <w:pPr>
        <w:sectPr>
          <w:pgSz w:w="11900" w:h="16838"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99"/>
              </w:rPr>
              <w:t>Announced Plans</w:t>
            </w:r>
          </w:p>
        </w:tc>
        <w:tc>
          <w:tcPr>
            <w:tcW w:w="30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or Programs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Under the Plans or</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Programs (In</w:t>
            </w:r>
          </w:p>
        </w:tc>
      </w:t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thousands)</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 1 - Oct 31</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Nov 1 - Nov 30</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2,169,102</w:t>
            </w:r>
          </w:p>
        </w:tc>
        <w:tc>
          <w:tcPr>
            <w:tcW w:w="300" w:type="dxa"/>
            <w:vAlign w:val="bottom"/>
          </w:tcPr>
          <w:p>
            <w:pPr>
              <w:spacing w:after="0"/>
              <w:rPr>
                <w:sz w:val="18"/>
                <w:szCs w:val="18"/>
                <w:color w:val="auto"/>
              </w:rPr>
            </w:pP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2,169,102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96,534</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 1 - Dec 31</w:t>
            </w:r>
          </w:p>
        </w:tc>
        <w:tc>
          <w:tcPr>
            <w:tcW w:w="1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362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2,169,102</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2,169,102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table sets forth information as of December 31, 2008 with respect to shares of our common stock that may be issued under our equity compensation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Number of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90"/>
              </w:rPr>
              <w:t>Number of securities</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88"/>
              </w:rPr>
              <w:t>to be issued upon</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exercise price of</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88"/>
              </w:rPr>
              <w:t>future issuance under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89"/>
              </w:rPr>
              <w:t>exercise of</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equity compensation plans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90"/>
              </w:rPr>
              <w:t>outstanding options,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options, warrants</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1"/>
              </w:rPr>
              <w:t>(excluding securities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jc w:val="center"/>
              <w:ind w:right="90"/>
              <w:spacing w:after="0"/>
              <w:rPr>
                <w:sz w:val="20"/>
                <w:szCs w:val="20"/>
                <w:color w:val="auto"/>
              </w:rPr>
            </w:pPr>
            <w:r>
              <w:rPr>
                <w:rFonts w:ascii="Arial" w:cs="Arial" w:eastAsia="Arial" w:hAnsi="Arial"/>
                <w:sz w:val="18"/>
                <w:szCs w:val="18"/>
                <w:color w:val="auto"/>
                <w:w w:val="90"/>
              </w:rPr>
              <w:t>warrants and rights</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and rights</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2"/>
              </w:rPr>
              <w:t>reflected in column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gridSpan w:val="3"/>
          </w:tcPr>
          <w:p>
            <w:pPr>
              <w:spacing w:after="0" w:line="190" w:lineRule="exact"/>
              <w:rPr>
                <w:sz w:val="20"/>
                <w:szCs w:val="20"/>
                <w:color w:val="auto"/>
              </w:rPr>
            </w:pPr>
            <w:r>
              <w:rPr>
                <w:rFonts w:ascii="Arial" w:cs="Arial" w:eastAsia="Arial" w:hAnsi="Arial"/>
                <w:sz w:val="18"/>
                <w:szCs w:val="18"/>
                <w:color w:val="auto"/>
              </w:rPr>
              <w:t>Plan category</w:t>
            </w:r>
          </w:p>
        </w:tc>
        <w:tc>
          <w:tcPr>
            <w:tcW w:w="2240" w:type="dxa"/>
            <w:vAlign w:val="bottom"/>
          </w:tcPr>
          <w:p>
            <w:pPr>
              <w:jc w:val="center"/>
              <w:ind w:right="110"/>
              <w:spacing w:after="0" w:line="190" w:lineRule="exact"/>
              <w:rPr>
                <w:sz w:val="20"/>
                <w:szCs w:val="20"/>
                <w:color w:val="auto"/>
              </w:rPr>
            </w:pPr>
            <w:r>
              <w:rPr>
                <w:rFonts w:ascii="Arial" w:cs="Arial" w:eastAsia="Arial" w:hAnsi="Arial"/>
                <w:sz w:val="18"/>
                <w:szCs w:val="18"/>
                <w:color w:val="auto"/>
                <w:w w:val="90"/>
              </w:rPr>
              <w:t>(a)</w:t>
            </w:r>
          </w:p>
        </w:tc>
        <w:tc>
          <w:tcPr>
            <w:tcW w:w="2240" w:type="dxa"/>
            <w:vAlign w:val="bottom"/>
          </w:tcPr>
          <w:p>
            <w:pPr>
              <w:jc w:val="center"/>
              <w:spacing w:after="0" w:line="190" w:lineRule="exact"/>
              <w:rPr>
                <w:sz w:val="20"/>
                <w:szCs w:val="20"/>
                <w:color w:val="auto"/>
              </w:rPr>
            </w:pPr>
            <w:r>
              <w:rPr>
                <w:rFonts w:ascii="Arial" w:cs="Arial" w:eastAsia="Arial" w:hAnsi="Arial"/>
                <w:sz w:val="18"/>
                <w:szCs w:val="18"/>
                <w:color w:val="auto"/>
                <w:w w:val="90"/>
              </w:rPr>
              <w:t>(b)</w:t>
            </w:r>
          </w:p>
        </w:tc>
        <w:tc>
          <w:tcPr>
            <w:tcW w:w="2800" w:type="dxa"/>
            <w:vAlign w:val="bottom"/>
          </w:tcPr>
          <w:p>
            <w:pPr>
              <w:jc w:val="center"/>
              <w:spacing w:after="0" w:line="190" w:lineRule="exact"/>
              <w:rPr>
                <w:sz w:val="20"/>
                <w:szCs w:val="20"/>
                <w:color w:val="auto"/>
              </w:rPr>
            </w:pPr>
            <w:r>
              <w:rPr>
                <w:rFonts w:ascii="Arial" w:cs="Arial" w:eastAsia="Arial" w:hAnsi="Arial"/>
                <w:sz w:val="18"/>
                <w:szCs w:val="18"/>
                <w:color w:val="auto"/>
                <w:w w:val="95"/>
              </w:rPr>
              <w:t>(c)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2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2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10,029,942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$12.39</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5,245,000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2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2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10,029,942</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$12.39</w:t>
            </w:r>
          </w:p>
        </w:tc>
        <w:tc>
          <w:tcPr>
            <w:tcW w:w="2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5,245,000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graph shows a five-year comparison of cumulative total returns: </w:t>
      </w:r>
      <w:r>
        <w:rPr>
          <w:rFonts w:ascii="Arial" w:cs="Arial" w:eastAsia="Arial" w:hAnsi="Arial"/>
          <w:sz w:val="36"/>
          <w:szCs w:val="3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5111115" cy="2889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1111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60" w:firstLine="8"/>
        <w:spacing w:after="0" w:line="234" w:lineRule="auto"/>
        <w:tabs>
          <w:tab w:leader="none" w:pos="102"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Annual return assumes reinvestment of dividends. Cumulative total return assumes an initial investment of $100 on December 31, 2003. The Company’s new self-selected peer group is comprised of National Beverage Corporation, Clearly Canadian Beverage Company, Leading Brands, Inc., Jones Soda Company and Cott Corporation.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consolidated statements of operations data set forth below with respect to each of the years ended December 31, 2004 through 2008 and the balance sheet data as of December 31, for the years indicated, are derived from our audited consolidated financial statements and should be read in conjunction with those financial statements and notes thereto, and with the Management’s Discussion and Analysis of Financial Condition and Results of Operations included as Part II, Item 7 of this Annual Report on Form 10-K.</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56" w:gutter="0" w:footer="0" w:header="0"/>
        </w:sectPr>
      </w:pPr>
    </w:p>
    <w:bookmarkStart w:id="19" w:name="page20"/>
    <w:bookmarkEnd w:id="19"/>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(in thousands, except</w:t>
            </w:r>
          </w:p>
        </w:tc>
        <w:tc>
          <w:tcPr>
            <w:tcW w:w="520" w:type="dxa"/>
            <w:vAlign w:val="bottom"/>
          </w:tcPr>
          <w:p>
            <w:pPr>
              <w:spacing w:after="0"/>
              <w:rPr>
                <w:sz w:val="18"/>
                <w:szCs w:val="18"/>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2004</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per share</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w:t>
            </w: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sales*¹</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1,182,876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1,025,795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696,322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415,417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224,098</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sales¹</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1,033,780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904,465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605,774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348,886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180,341</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profit¹</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538,794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468,013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316,594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182,543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83,466</w:t>
            </w:r>
          </w:p>
        </w:tc>
      </w:tr>
      <w:tr>
        <w:trPr>
          <w:trHeight w:val="216"/>
        </w:trPr>
        <w:tc>
          <w:tcPr>
            <w:tcW w:w="3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Gross profit as a percentage to net sales</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16"/>
        </w:trPr>
        <w:tc>
          <w:tcPr>
            <w:tcW w:w="3100" w:type="dxa"/>
            <w:vAlign w:val="bottom"/>
          </w:tcPr>
          <w:p>
            <w:pPr>
              <w:ind w:left="40"/>
              <w:spacing w:after="0"/>
              <w:rPr>
                <w:sz w:val="20"/>
                <w:szCs w:val="20"/>
                <w:color w:val="auto"/>
              </w:rPr>
            </w:pPr>
            <w:r>
              <w:rPr>
                <w:rFonts w:ascii="Arial" w:cs="Arial" w:eastAsia="Arial" w:hAnsi="Arial"/>
                <w:sz w:val="18"/>
                <w:szCs w:val="18"/>
                <w:color w:val="auto"/>
              </w:rPr>
              <w:t>Operating income¹ ² ³</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163,591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230,986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158,579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103,443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33,886</w:t>
            </w:r>
          </w:p>
        </w:tc>
      </w:tr>
      <w:tr>
        <w:trPr>
          <w:trHeight w:val="216"/>
        </w:trPr>
        <w:tc>
          <w:tcPr>
            <w:tcW w:w="3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108,032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149,406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97,949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62,775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20,387</w:t>
            </w:r>
          </w:p>
        </w:tc>
      </w:tr>
      <w:tr>
        <w:trPr>
          <w:trHeight w:val="216"/>
        </w:trPr>
        <w:tc>
          <w:tcPr>
            <w:tcW w:w="3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16"/>
        </w:trPr>
        <w:tc>
          <w:tcPr>
            <w:tcW w:w="3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0.99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0.65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16"/>
        </w:trPr>
        <w:tc>
          <w:tcPr>
            <w:tcW w:w="3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761,837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544,603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308,372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163,890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82,022</w:t>
            </w:r>
          </w:p>
        </w:tc>
      </w:tr>
      <w:tr>
        <w:trPr>
          <w:trHeight w:val="216"/>
        </w:trPr>
        <w:tc>
          <w:tcPr>
            <w:tcW w:w="3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100" w:type="dxa"/>
            <w:vAlign w:val="bottom"/>
          </w:tcPr>
          <w:p>
            <w:pPr>
              <w:ind w:left="40"/>
              <w:spacing w:after="0"/>
              <w:rPr>
                <w:sz w:val="20"/>
                <w:szCs w:val="20"/>
                <w:color w:val="auto"/>
              </w:rPr>
            </w:pPr>
            <w:r>
              <w:rPr>
                <w:rFonts w:ascii="Arial" w:cs="Arial" w:eastAsia="Arial" w:hAnsi="Arial"/>
                <w:sz w:val="18"/>
                <w:szCs w:val="18"/>
                <w:color w:val="auto"/>
              </w:rPr>
              <w:t>Debt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959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663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525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16"/>
        </w:trPr>
        <w:tc>
          <w:tcPr>
            <w:tcW w:w="3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436,316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422,167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225,084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125,509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58,571</w:t>
            </w:r>
          </w:p>
        </w:tc>
      </w:tr>
    </w:tbl>
    <w:p>
      <w:pPr>
        <w:spacing w:after="0" w:line="1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¹Includes $14.3 million, $1.9 million and $0.4 million for the years ended December 31, 2008, 2007 and 2006, respectively, related to the recognition of deferred revenue attributable to new and/or amended distribution agreements entered into with certain distributors.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²Includes $118.1 million, $15.3 million and $12.7 million for the years ended December 31, 2008, 2007 and 2006, respectively, related to expenditures attributable to the costs associated with terminating existing distributors.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³Includes ($0.2) million, $9.8 million and $3.8 million for the years ended December 31, 2008, 2007 and 2006, respectively, related to professional service fees, net of insurance proceeds, in connection with our special investigation of stock option grants and granting practices, related litigation and other related matters.</w:t>
      </w:r>
    </w:p>
    <w:p>
      <w:pPr>
        <w:spacing w:after="0" w:line="18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*Gross sales, although used internally by management as an indicator of operating performance, should not be considered as an alternative to net sales, which is determined in accordance with generally accepted accounting principals in the United States of America (“GAAP”), and should not be used alone as an indicator of operating performance in place of net sales. Additionally, gross sales may not be 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 “Part II, Item 7 —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Management’s Discussion and Analysis of Financial Condition and Results of Operations (“MD&amp;A”) is provided as a supplement to</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overview provides our perspective on the individual sections of MD&amp;A. MD&amp;A includes the following sections:</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Our Business </w:t>
      </w:r>
      <w:r>
        <w:rPr>
          <w:rFonts w:ascii="Arial" w:cs="Arial" w:eastAsia="Arial" w:hAnsi="Arial"/>
          <w:sz w:val="17"/>
          <w:szCs w:val="17"/>
          <w:color w:val="auto"/>
        </w:rPr>
        <w:t>— a general description of our business; the value drivers of our business; and opportunities and risks facing our Company;</w:t>
      </w:r>
    </w:p>
    <w:p>
      <w:pPr>
        <w:spacing w:after="0" w:line="34"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 an analysis of our consolidated results of operations for the three years presented in our financial statements;</w:t>
      </w:r>
    </w:p>
    <w:p>
      <w:pPr>
        <w:spacing w:after="0" w:line="20"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our cash flows, sources and uses of cash and contractual obligations;</w:t>
      </w:r>
    </w:p>
    <w:p>
      <w:pPr>
        <w:spacing w:after="0" w:line="9" w:lineRule="exact"/>
        <w:rPr>
          <w:rFonts w:ascii="Arial" w:cs="Arial" w:eastAsia="Arial" w:hAnsi="Arial"/>
          <w:sz w:val="18"/>
          <w:szCs w:val="18"/>
          <w:color w:val="auto"/>
        </w:rPr>
      </w:pPr>
    </w:p>
    <w:p>
      <w:pPr>
        <w:ind w:left="980" w:hanging="324"/>
        <w:spacing w:after="0" w:line="250" w:lineRule="auto"/>
        <w:tabs>
          <w:tab w:leader="none" w:pos="106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Accounting Policies and Pronouncements </w:t>
      </w:r>
      <w:r>
        <w:rPr>
          <w:rFonts w:ascii="Arial" w:cs="Arial" w:eastAsia="Arial" w:hAnsi="Arial"/>
          <w:sz w:val="18"/>
          <w:szCs w:val="18"/>
          <w:color w:val="auto"/>
        </w:rPr>
        <w:t>— a discussion of accounting policies that require critical judgments and estimates including newly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pronouncements;</w:t>
      </w: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Sales </w:t>
      </w:r>
      <w:r>
        <w:rPr>
          <w:rFonts w:ascii="Arial" w:cs="Arial" w:eastAsia="Arial" w:hAnsi="Arial"/>
          <w:sz w:val="18"/>
          <w:szCs w:val="18"/>
          <w:color w:val="auto"/>
        </w:rPr>
        <w:t>— details of our sales measured on a quarterly basis in both dollars and cases;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 information about the impact that inflation may or may not have on our results;</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44"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Forward Looking Statements </w:t>
      </w:r>
      <w:r>
        <w:rPr>
          <w:rFonts w:ascii="Arial" w:cs="Arial" w:eastAsia="Arial" w:hAnsi="Arial"/>
          <w:sz w:val="16"/>
          <w:szCs w:val="16"/>
          <w:color w:val="auto"/>
        </w:rPr>
        <w:t>— cautionary information about forward looking statements and a description of certain risks and uncertainties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cause our actual results to differ materially from the company’s historical results or our current expectations or projections; and</w:t>
      </w:r>
    </w:p>
    <w:p>
      <w:pPr>
        <w:spacing w:after="0" w:line="1" w:lineRule="exact"/>
        <w:rPr>
          <w:rFonts w:ascii="Arial" w:cs="Arial" w:eastAsia="Arial" w:hAnsi="Arial"/>
          <w:sz w:val="16"/>
          <w:szCs w:val="16"/>
          <w:color w:val="auto"/>
        </w:rPr>
      </w:pPr>
    </w:p>
    <w:p>
      <w:pPr>
        <w:ind w:left="980" w:hanging="324"/>
        <w:spacing w:after="0" w:line="261" w:lineRule="auto"/>
        <w:tabs>
          <w:tab w:leader="none" w:pos="95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Market Risks </w:t>
      </w:r>
      <w:r>
        <w:rPr>
          <w:rFonts w:ascii="Arial" w:cs="Arial" w:eastAsia="Arial" w:hAnsi="Arial"/>
          <w:sz w:val="18"/>
          <w:szCs w:val="18"/>
          <w:color w:val="auto"/>
        </w:rPr>
        <w:t>— Information about market risks and risk management. (See “</w:t>
      </w:r>
      <w:r>
        <w:rPr>
          <w:rFonts w:ascii="Arial" w:cs="Arial" w:eastAsia="Arial" w:hAnsi="Arial"/>
          <w:sz w:val="18"/>
          <w:szCs w:val="18"/>
          <w:i w:val="1"/>
          <w:iCs w:val="1"/>
          <w:color w:val="auto"/>
        </w:rPr>
        <w:t>Forward Looking Statements</w:t>
      </w:r>
      <w:r>
        <w:rPr>
          <w:rFonts w:ascii="Arial" w:cs="Arial" w:eastAsia="Arial" w:hAnsi="Arial"/>
          <w:sz w:val="18"/>
          <w:szCs w:val="18"/>
          <w:color w:val="auto"/>
        </w:rPr>
        <w:t>” and “Part II, Item 7A — Qualitative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Quantitative Disclosures About Market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develop, market, sell and distribute “alternative” beverage category natural sodas, fruit juices and juice drinks, energy drinks and energy sports drinks, fruit juice smoothies and “functional” drinks, non-carbonated ready-to-drink iced teas, children’s multi-vitamin juice drinks, Junior Juice® juices, Junior Juice Water and flavored sparkling beverages under the Hansen’s® brand name. We also develop, market, sell and distribute energy drinks under the</w:t>
      </w:r>
    </w:p>
    <w:p>
      <w:pPr>
        <w:sectPr>
          <w:pgSz w:w="11900" w:h="16898" w:orient="portrait"/>
          <w:cols w:equalWidth="0" w:num="1">
            <w:col w:w="11420"/>
          </w:cols>
          <w:pgMar w:left="240" w:top="121" w:right="239" w:bottom="0" w:gutter="0" w:footer="0" w:header="0"/>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following brand names: Monster Energy®; Monster Hitman Energy Shooter™; Lost® Energy™ and Joker Mad Energy™ brand names as well as Rumba®, Samba and Tango brand energy juices. We also market, sell and distribute the Java Monster™ line of non-carbonated dairy based coffee drinks. Additionally, we market, sell and distribute natural sodas, premium natural sodas with supplements, organic natural sodas, seltzer waters, sports drinks and energy drinks under the Blue Sky® brand name. In July 2008, we began to market, sell and distribute enhanced water beverages under the Vidration™ brand name.</w:t>
      </w:r>
    </w:p>
    <w:p>
      <w:pPr>
        <w:spacing w:after="0" w:line="15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two reportable segments, namely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Our Monster Energy® brand energy drinks include Monster Energy® drinks (introduced in April 2002), lo-carb Monster Energy® drinks (introduced in August 2003), Monster Energy® Assault® energy drinks (introduced in September 2004),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August 2005), Monster Energy® M-80</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March 2007, named “RIPPER” in certain countries), Monster Energy® Heavy Metal™ energy drinks (introduced in November 2007) and Monster Energy® MIXXD™ energy drinks (introduced in December 2007).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substantial portion of our gross sales are derived from our Monster Energy® brand energy drinks. Any decrease in sales of our Monster Energy® brand energy drinks could significantly adversely affect our future revenues and net income. Our DSD segment represented 90.7%, 89.5% and 84.9% of our net sales for the years ended December 31, 2008, 2007 and 2006, respectively. Competitive pressure in the “energy drink” category could adversely affect our operating results. (See “Part I, Item 1A — Risk Factors”).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sales and marketing strategy for all our beverages is to focus our efforts on developing brand awareness and trial through sampling both in stores and at events. We use our branded vehicles and other promotional vehicles at events where we sample our products to consumers. We utilize “push-pull” methods to achieve maximum shelf and display space exposure in sales outlets and maximum demand from consumers for our products, including advertising, in-store promotions and in-store placement of point-of-sale materials and racks, prize promotions, price promotions, competitions, endorsements from selected public and extreme sports figures, coupons, sampling and sponsorship of selected causes such as cancer research. Our extreme sports team endorsements include teams such as the Pro Circuit — Kawasaki Motocross and Supercross teams, Kawasaki Factory Motocross and Supercross teams, Robby Gordon Racing Team, Ken Block Rally Racing Team and the Tech 3 Moto GP Team (new for 2009). Our individual athlete and/or personality endorsements include extreme sports figures and athletes such as NASCAR Camping World Truck Series racer Ricky Carmichael, Moto GP motorcycle racer Valentino Rossi (new for 2009), television personalities such as Rob Dyrdek as well as many athletes that compete in other sports related activities, particularly, the Winter and Summer X-Games, supercross, motocross, freestyle motocross, surfing, skateboarding, wakeboarding, skiing, snowboarding, BMX, mountain biking, snowmobile freestyle, snowmobile racing, etc. Our event endorsements include a wide range of events such as the Monster Energy® Supercross Series, the AMA Pro Motocross Championship Series and the Vans Warped Tour. In-store posters, outdoor posters, print, radio and television advertising, together with price promotions and coupons, may also be used to promote our brands.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one of the keys to success in the beverage industry is differentiation, such as making Hansen’s®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2008, we continued to expand our existing product lines and further develop our markets. In particular, we continued to focus on developing and marketing beverages that fall within the category generally described as the “alternative” beverage category, with particular emphasis on energy type drinks.</w:t>
      </w:r>
    </w:p>
    <w:p>
      <w:pPr>
        <w:spacing w:after="0" w:line="18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During the second quarter of 2006, we entered into the Off-Premise Agreements with AB. Under the Off-Premise Agreements, select AB Distributors distribute and sell, in markets designated by HBC, HBC’s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brands non-alcoholic energy drinks and Rumba®, Samba and Tango brand energy juice, as well as additional products that may be agreed between the parties.</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2008, we entered into the Monster Energy Distribution Coordination Agreement (the “TCCC North American Coordination Agreement”) with The Coca-Cola Company (“TCCC”). Pursuant to the TCCC North American Coordination Agreement, we have designated, and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future may designate, territories in which bottlers from TCCC’s network of partially owned and independent bottlers, including Coca-Cola Enterprises, Inc. (“CCE”), Coca-Cola Bottling Company (“CCBC”), CCBCC Operations, LLC (“Consolidated”), United Bottling Contracts Company, LLC (“United”), and other TCCC independent bottlers (collectively, the “TCCC North American Bottlers”) will distribute and sell primarily our Monster Energy® beverages (the “Products”) in the United States and Canada.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2008, we entered into the Monster Energy Distribution Agreement with CCE pursuant to which CCE was appointed to distribute, directly and through certain sub-distributors, the Products in portions of twenty-four U.S. states (the “U.S. Territories”). We may designate additional territories within reasonable proximity to the U.S. Territories and CCE will use reasonable good faith efforts to add the additional territories. During the fourth quarter of 2008, we entered into the Monster Energy Canadian Distribution Agreement with CCBC, pursuant to which CCBC has been appointed to distribute, directly and through certain sub-distributors, the Products in Canada, with performance commencing on January 1, 2009. In addition, during the fourth quarter of 2008, we entered into distribution agreements with Consolidated, United and other TCCC North American Bottlers for the distribution of Products in various territories within the United States.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2008, we entered into the Monster Energy International Coordination Agreement (the “TCCC International Coordination Agreement”) with TCCC. Pursuant to the TCCC International Coordination Agreement, we have designated, and in the future may designate, countries in which we wish to appoint TCCC distributors to distribute and sell the Products.</w:t>
      </w:r>
    </w:p>
    <w:p>
      <w:pPr>
        <w:sectPr>
          <w:pgSz w:w="11900" w:h="16838" w:orient="portrait"/>
          <w:cols w:equalWidth="0" w:num="1">
            <w:col w:w="11420"/>
          </w:cols>
          <w:pgMar w:left="240" w:top="125" w:right="239" w:bottom="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During the fourth quarter of 2008, we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pacing w:after="0" w:line="18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Pursuant to the new and/or amended distribution agreements entered into with certain distributors as discussed above, net amounts of $113.0 million and $21.0 million from such distributors, relating to the cost of terminating certain of our prior distributors, were recorded for the years ended December 31, 2008 and 2007, respectively. Such amounts have been accounted for as deferred revenue and will be recognized as revenue ratably over the anticipated life of the respective distribution agreements, generally 20 years. Distributor receivables related to these new and/or amended distribution agreements totaled $90.7 million and $5.4 million as of December 31, 2008 and 2007, respectively. Revenue recognized was $14.3 million, $1.9 million and $0.4 million for the years ended December 31, 2008, 2007 and 2006, respectively. Included in the $14.3 million of revenue recognized for the year ended December 31, 2008, is $11.6 million related to the acceleration of deferred revenue balances associated with certain of our prior distributors who were terminated in the fourth quarter of 2008.</w:t>
      </w:r>
    </w:p>
    <w:p>
      <w:pPr>
        <w:spacing w:after="0" w:line="19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We incurred termination costs to certain of our prior distributors amounting to $118.1 million, $15.3 million and $12.7 million in aggregate for the years ended December 31, 2008, 2007 and 2006, respectively. Such termination costs have been expensed in full and are included in operating expenses for the years ended December 31, 2008, 2007 and 2006. Accrued distributor terminations in the accompanying consolidated balance sheets as of December 31, 2008 and 2007 (representing termination costs not paid to our prior distributors prior to the end of the fiscal year) were $102.3 million and $4.3 million, respectively. In addition, inventory returned to us by certain of our prior terminated distributors resulted in a reduction of gross sales of approximately $9.7 million for the year ended December 31, 2008.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discussed under Review of Historic Stock Option Granting Practices in Item 7, “Management’s Discussion and Analysis of Financial Condition and Results of Operations”, included in our Form 10-K for the fiscal year ended December 31, 2006, and Item 2 “Management’s Discussion and Analysis of Financial Condition and Results of Operations”, included in our Form 10-Q for the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March 31, 2007, a special committee of our Board of Directors concluded its review of our stock option grants and granting practices. In connection with this review, and with respect to related litigation and other related matters, we incurred professional service fees, net of insurance proceeds, of ($0.2) million, $9.8 million and $3.8 million for the years ended December 31, 2008, 2007 and 2006,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selected items discussed above for the years ended December 31, 2008,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5"/>
          </w:tcPr>
          <w:p>
            <w:pPr>
              <w:spacing w:after="0"/>
              <w:rPr>
                <w:sz w:val="20"/>
                <w:szCs w:val="20"/>
                <w:color w:val="auto"/>
              </w:rPr>
            </w:pPr>
            <w:r>
              <w:rPr>
                <w:rFonts w:ascii="Arial" w:cs="Arial" w:eastAsia="Arial" w:hAnsi="Arial"/>
                <w:sz w:val="18"/>
                <w:szCs w:val="18"/>
                <w:b w:val="1"/>
                <w:bCs w:val="1"/>
                <w:color w:val="auto"/>
              </w:rPr>
              <w:t>Balance Sheet Items (in thousands):</w:t>
            </w:r>
          </w:p>
        </w:tc>
        <w:tc>
          <w:tcPr>
            <w:tcW w:w="460" w:type="dxa"/>
            <w:vAlign w:val="bottom"/>
          </w:tcPr>
          <w:p>
            <w:pPr>
              <w:spacing w:after="0"/>
              <w:rPr>
                <w:sz w:val="18"/>
                <w:szCs w:val="18"/>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Included in Deferred Revenue:</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gridSpan w:val="4"/>
          </w:tcPr>
          <w:p>
            <w:pPr>
              <w:ind w:left="160"/>
              <w:spacing w:after="0"/>
              <w:rPr>
                <w:sz w:val="20"/>
                <w:szCs w:val="20"/>
                <w:color w:val="auto"/>
              </w:rPr>
            </w:pPr>
            <w:r>
              <w:rPr>
                <w:rFonts w:ascii="Arial" w:cs="Arial" w:eastAsia="Arial" w:hAnsi="Arial"/>
                <w:sz w:val="18"/>
                <w:szCs w:val="18"/>
                <w:color w:val="auto"/>
              </w:rPr>
              <w:t>Contributions from, net of reimbursements to certain distributors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112,963</w:t>
            </w:r>
          </w:p>
        </w:tc>
        <w:tc>
          <w:tcPr>
            <w:tcW w:w="320" w:type="dxa"/>
            <w:vAlign w:val="bottom"/>
          </w:tcPr>
          <w:p>
            <w:pPr>
              <w:spacing w:after="0"/>
              <w:rPr>
                <w:sz w:val="20"/>
                <w:szCs w:val="20"/>
                <w:color w:val="auto"/>
              </w:rPr>
            </w:pP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21,029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560" w:type="dxa"/>
            <w:vAlign w:val="bottom"/>
            <w:gridSpan w:val="5"/>
          </w:tcPr>
          <w:p>
            <w:pPr>
              <w:spacing w:after="0"/>
              <w:rPr>
                <w:sz w:val="20"/>
                <w:szCs w:val="20"/>
                <w:color w:val="auto"/>
              </w:rPr>
            </w:pPr>
            <w:r>
              <w:rPr>
                <w:rFonts w:ascii="Arial" w:cs="Arial" w:eastAsia="Arial" w:hAnsi="Arial"/>
                <w:sz w:val="18"/>
                <w:szCs w:val="18"/>
                <w:b w:val="1"/>
                <w:bCs w:val="1"/>
                <w:color w:val="auto"/>
              </w:rPr>
              <w:t>Income Statement Items (in thousands):</w:t>
            </w:r>
          </w:p>
        </w:tc>
        <w:tc>
          <w:tcPr>
            <w:tcW w:w="460" w:type="dxa"/>
            <w:vAlign w:val="bottom"/>
          </w:tcPr>
          <w:p>
            <w:pPr>
              <w:spacing w:after="0"/>
              <w:rPr>
                <w:sz w:val="24"/>
                <w:szCs w:val="24"/>
                <w:color w:val="auto"/>
              </w:rPr>
            </w:pPr>
          </w:p>
        </w:tc>
        <w:tc>
          <w:tcPr>
            <w:tcW w:w="1260" w:type="dxa"/>
            <w:vAlign w:val="bottom"/>
          </w:tcPr>
          <w:p>
            <w:pPr>
              <w:jc w:val="right"/>
              <w:ind w:right="610"/>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Included in Net Sales: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4"/>
          </w:tcPr>
          <w:p>
            <w:pPr>
              <w:ind w:left="160"/>
              <w:spacing w:after="0"/>
              <w:rPr>
                <w:sz w:val="20"/>
                <w:szCs w:val="20"/>
                <w:color w:val="auto"/>
              </w:rPr>
            </w:pPr>
            <w:r>
              <w:rPr>
                <w:rFonts w:ascii="Arial" w:cs="Arial" w:eastAsia="Arial" w:hAnsi="Arial"/>
                <w:sz w:val="18"/>
                <w:szCs w:val="18"/>
                <w:color w:val="auto"/>
              </w:rPr>
              <w:t>Recognition of deferred revenue</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14,331</w:t>
            </w:r>
          </w:p>
        </w:tc>
        <w:tc>
          <w:tcPr>
            <w:tcW w:w="320" w:type="dxa"/>
            <w:vAlign w:val="bottom"/>
          </w:tcPr>
          <w:p>
            <w:pPr>
              <w:spacing w:after="0"/>
              <w:rPr>
                <w:sz w:val="18"/>
                <w:szCs w:val="18"/>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4"/>
          </w:tcPr>
          <w:p>
            <w:pPr>
              <w:spacing w:after="0"/>
              <w:rPr>
                <w:sz w:val="20"/>
                <w:szCs w:val="20"/>
                <w:color w:val="auto"/>
              </w:rPr>
            </w:pPr>
            <w:r>
              <w:rPr>
                <w:rFonts w:ascii="Arial" w:cs="Arial" w:eastAsia="Arial" w:hAnsi="Arial"/>
                <w:sz w:val="18"/>
                <w:szCs w:val="18"/>
                <w:color w:val="auto"/>
              </w:rPr>
              <w:t>Included in Operating Expenses: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4"/>
            <w:shd w:val="clear" w:color="auto" w:fill="CCEEFF"/>
          </w:tcPr>
          <w:p>
            <w:pPr>
              <w:ind w:left="160"/>
              <w:spacing w:after="0" w:line="216" w:lineRule="exact"/>
              <w:rPr>
                <w:sz w:val="20"/>
                <w:szCs w:val="20"/>
                <w:color w:val="auto"/>
              </w:rPr>
            </w:pPr>
            <w:r>
              <w:rPr>
                <w:rFonts w:ascii="Arial" w:cs="Arial" w:eastAsia="Arial" w:hAnsi="Arial"/>
                <w:sz w:val="18"/>
                <w:szCs w:val="18"/>
                <w:color w:val="auto"/>
              </w:rPr>
              <w:t>Termination costs to prior distributors</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118,134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Professional service fees (net of insurance proceeds) associated with</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the review of stock option grants and granting practices, related</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litigation and other related matters</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80" w:hanging="112"/>
        <w:spacing w:after="0"/>
        <w:tabs>
          <w:tab w:leader="none" w:pos="480" w:val="left"/>
        </w:tabs>
        <w:numPr>
          <w:ilvl w:val="0"/>
          <w:numId w:val="1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terminations in Canada and Mexico</w:t>
      </w:r>
    </w:p>
    <w:p>
      <w:pPr>
        <w:spacing w:after="0" w:line="1" w:lineRule="exact"/>
        <w:rPr>
          <w:rFonts w:ascii="Arial" w:cs="Arial" w:eastAsia="Arial" w:hAnsi="Arial"/>
          <w:sz w:val="23"/>
          <w:szCs w:val="23"/>
          <w:i w:val="1"/>
          <w:iCs w:val="1"/>
          <w:color w:val="auto"/>
          <w:vertAlign w:val="superscript"/>
        </w:rPr>
      </w:pPr>
    </w:p>
    <w:p>
      <w:pPr>
        <w:ind w:left="360"/>
        <w:spacing w:after="0"/>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net of $2.5 million insurance reimbursements</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again achieved record gross sales of $1,182.9 million for the year ended December 31, 2008. The increase in gross sales in 2008 was primarily attributable to increased sales of certain of our existing products, particularly our Monster Energy® brand energy drinks and to increased sales by volume of our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line of non-carbonated dairy based coffee drinks. Gross sales for the year ended December 31, 2008 were impacted by a price increase announced during the fourth quarter of 2007 for all of our Monster Energy® brand energy drinks in 16-ounce cans and our Java Monster™ line of non-carbonated dairy based coffee drinks, effective January 1, 2008. We estimate that gross sales for the year ended December 31, 2008 were reduced by approximately 2% as a result of purchases made by our customers in advance of such price increases. We did not limit the amount of purchases our customers could execute at our existing 2007 fourth quarter prices.</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percentage increase in gross sales was 15.3%, 47.3% and 67.6% for the years ended December 31, 2008, 2007 and 2006, respectively. We believe our growth rate decline was attributable to the decline of the overall growth rates in the markets in which we operate, and more recently, to general economic conditions. Consumer spending habits, including spending for the merchandise that we sell, are affected by, among other things, prevailing economic conditions, inflation, levels of employment, salaries and wage rates, prevailing interest rates, housing costs, energy and gas costs, income tax rates and policies, consumer confidence and consumer perception of economic conditions. In addition, consumer purchasing patterns may be influenced by consumers’ disposable income, credit availability and debt levels. A continued or incremental slowdown in the U.S. economy, an uncertain economic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outlook or an expanded credit crisis could continue to adversely affect consumer spending habits resulting in lower net sales and profits than expected on a quarterly or annual basis. During 2008, there was significant deterioration in the global financial markets and economic environment, which we believe</w:t>
      </w:r>
    </w:p>
    <w:p>
      <w:pPr>
        <w:sectPr>
          <w:pgSz w:w="11900" w:h="16838" w:orient="portrait"/>
          <w:cols w:equalWidth="0" w:num="1">
            <w:col w:w="11420"/>
          </w:cols>
          <w:pgMar w:left="240" w:top="125" w:right="239" w:bottom="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negatively impacted consumer spending at many retailers for our products. In response to this, we have taken steps to increase opportunities to profitably drive sales and to operate our business more efficiently. If these adverse economic trends worsen, or if our efforts to counteract the impacts of these trends are not sufficiently effective, there could be a negative impact on our financial performance and position in future fiscal periods. For further discussion of the risks to us regarding general economic conditions (See “Part I, Item 1A — Risk Factors”).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sales shipped outside of California represented 77%, 73% and 69% of our gross sales, for the years ended December 31, 2008, 2007 and 2006, respectively. Gross sales to customers outside the United States amounted to $96.3 million, $55.7 million and $24.8 million for the years ended December 31, 2008, 2007 and 2006, respectively. Such sales were approximately 8.2%, 5.4% and 3.5% of gross sales for the years ended December 31, 2008, 2007 and 2006, respectively. The reclassification of certain military customers from gross sales to customers within the United States to gross sales to customers outside the United States, resulted in an increase in gross sales outside the United States of $14.8 million and $5.5 million for the years ended December 31, 2007 and 2006, respectively, over amounts previously reported.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customers are primarily retail grocery and specialty chains, wholesalers, club stores, drug chains, mass merchandisers, convenience chains, full service beverage distributors, health food distributors and food service customers. Gross sales to our various customer types for 2008, 2007 and 2006 are reflected below. The allocations below reflect changes made by the Company to the categories historically reported.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2008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Retail grocery, specialty chains and wholesalers</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Club stores, drug chains &amp; mass merchandisers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88"/>
              </w:rPr>
              <w:t>14%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Full service distributors</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74%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Health food distributors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92"/>
              </w:rPr>
              <w:t>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include CCE, CCBC, Consolidated, United and other TCCC North American Bottlers, Wal-Mart, Inc. (including Sam’s Club), AB Distributors, Kalil Bottling Group, Trader Joe’s, John Lenore &amp; Company, Pepsi Canada (terminated by us effective December 31, 2008), Swire Coca-Cola, Costco, The Kroger Co., Safeway Inc. and Albertsons. A decision by any large customer to decrease amounts purchased from the Company or to cease carrying our products could have a material negative effect on our financial condition and consolidated results of operations. Dr. Pepper Snapple Group, Inc., a former customer of the DSD division, accounted for approximately 13%, 16% and 19% of our net sales for the years ended December 31, 2008, 2007 and 2006, respectively. Our distribution agreement with the Dr. Pepper Snapple Group, Inc. was terminated by us effective November 9, 2008. The related terminated distributor territories are now serviced by a combination of TCCC North American Bottlers and AB Distributors. Wal-Mart, Inc. (including Sam’s Club), a customer of both the DSD and Warehouse divisions, accounted for approximately 11%, 12% and 12% of our net sales for the years ended December 31, 2008, 2007 and 2006,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incur expenditures in connection with the development and introduction of new products and flavors.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Value Drivers of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key value drivers of our business include the following:</w:t>
      </w:r>
    </w:p>
    <w:p>
      <w:pPr>
        <w:spacing w:after="0" w:line="225" w:lineRule="exact"/>
        <w:rPr>
          <w:sz w:val="20"/>
          <w:szCs w:val="20"/>
          <w:color w:val="auto"/>
        </w:rPr>
      </w:pPr>
    </w:p>
    <w:p>
      <w:pPr>
        <w:jc w:val="both"/>
        <w:ind w:left="980" w:hanging="324"/>
        <w:spacing w:after="0" w:line="25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Profitable Growth </w:t>
      </w:r>
      <w:r>
        <w:rPr>
          <w:rFonts w:ascii="Arial" w:cs="Arial" w:eastAsia="Arial" w:hAnsi="Arial"/>
          <w:sz w:val="18"/>
          <w:szCs w:val="18"/>
          <w:color w:val="auto"/>
        </w:rPr>
        <w:t>— We believe “functional”, “better for you” brands properly supported by marketing and innovation, targeted to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base, drive profitable growth. We continue to broaden our family of brands. In particular, we are expanding our specialty beverages and energy drinks to provide more alternatives to consumers. We are focused on maintaining profit margins. We believe that tailored branding, packaging, pricing and channeling strategies help achieve profitable growth. We are implementing these strategies with a view to accelerating profitable growth.</w:t>
      </w:r>
    </w:p>
    <w:p>
      <w:pPr>
        <w:spacing w:after="0" w:line="188" w:lineRule="exact"/>
        <w:rPr>
          <w:rFonts w:ascii="Arial" w:cs="Arial" w:eastAsia="Arial" w:hAnsi="Arial"/>
          <w:sz w:val="18"/>
          <w:szCs w:val="18"/>
          <w:color w:val="auto"/>
        </w:rPr>
      </w:pPr>
    </w:p>
    <w:p>
      <w:pPr>
        <w:jc w:val="both"/>
        <w:ind w:left="980" w:hanging="324"/>
        <w:spacing w:after="0" w:line="264" w:lineRule="auto"/>
        <w:tabs>
          <w:tab w:leader="none" w:pos="106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Cost Management </w:t>
      </w:r>
      <w:r>
        <w:rPr>
          <w:rFonts w:ascii="Arial" w:cs="Arial" w:eastAsia="Arial" w:hAnsi="Arial"/>
          <w:sz w:val="18"/>
          <w:szCs w:val="18"/>
          <w:color w:val="auto"/>
        </w:rPr>
        <w:t>— The principal focus of cost management will continue to be on supplies and cost reduction. One key area of focus is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raw material costs, co-packing fees and general and administrative costs as a percentage of net operating revenues. Another key area of focus is the reduction of inventory days on hand.</w:t>
      </w:r>
    </w:p>
    <w:p>
      <w:pPr>
        <w:spacing w:after="0" w:line="181" w:lineRule="exact"/>
        <w:rPr>
          <w:rFonts w:ascii="Arial" w:cs="Arial" w:eastAsia="Arial" w:hAnsi="Arial"/>
          <w:sz w:val="18"/>
          <w:szCs w:val="18"/>
          <w:color w:val="auto"/>
        </w:rPr>
      </w:pPr>
    </w:p>
    <w:p>
      <w:pPr>
        <w:ind w:left="980" w:hanging="324"/>
        <w:spacing w:after="0" w:line="277"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Efficient Capital Structure </w:t>
      </w:r>
      <w:r>
        <w:rPr>
          <w:rFonts w:ascii="Arial" w:cs="Arial" w:eastAsia="Arial" w:hAnsi="Arial"/>
          <w:sz w:val="18"/>
          <w:szCs w:val="18"/>
          <w:color w:val="auto"/>
        </w:rPr>
        <w:t>— Our capital structure is intended to optimize our cost of capital. We believe our strong capital position, our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raise funds if necessary at low effective cost and low overall costs of borrowing provide a competitive advantage.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subject to increases in the costs of certain raw materials being contained, these value drivers, when properly implemented, will result in: (1) maintaining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Gross and net sales, gross profits, operating income, and net income and net income per share represent key measurements of the above value drivers. These measurements will continue to be a key management focus in 2009 and beyond. </w:t>
      </w:r>
      <w:r>
        <w:rPr>
          <w:rFonts w:ascii="Arial" w:cs="Arial" w:eastAsia="Arial" w:hAnsi="Arial"/>
          <w:sz w:val="18"/>
          <w:szCs w:val="18"/>
          <w:b w:val="1"/>
          <w:bCs w:val="1"/>
          <w:color w:val="auto"/>
        </w:rPr>
        <w:t>(</w:t>
      </w:r>
      <w:r>
        <w:rPr>
          <w:rFonts w:ascii="Arial" w:cs="Arial" w:eastAsia="Arial" w:hAnsi="Arial"/>
          <w:sz w:val="18"/>
          <w:szCs w:val="18"/>
          <w:color w:val="auto"/>
        </w:rPr>
        <w:t>See “Part II, Item 7 — Results of Operations for the Year Ended December 31, 2008 Compared to the Year Ended December 31, 2007”).</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2008, the Company had working capital of $374.0 million compared to $187.3 million as of December 31, 2007. The overall increase in working capital was primarily attributable to the transfer of our investments from long-term instruments to short-term instruments (See “Part II, Item 8, Note 3 — Investments” in our consolidated financial statements). For the year ended December 31, 2008, our net cash provided by operating activities was approximately $199.5 million as compared to $135.5 million for the year ended December 31, 2007. Principal uses of cash flows are repurchases of our common stock, purchases of inventory, increases in accounts receivable and other assets, acquisition of property and equipment and acquisition of trademarks. Payment of accrued distributor terminations, purchases of our common stock, accounts payable and income taxes payable are expected to be and remain our principal recurring use of cash and working capital funds. (See “Part II, Item 7 — Liquidity and Capital Resources”).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Opportunities, Challenges and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Looking forward, our management has identified certain challenges and risks that demand the attention of the beverage industry and our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Uncertainty and volatility in domestic and international economic markets could negatively affect both the stability of our industry and our Company.</w:t>
      </w:r>
    </w:p>
    <w:p>
      <w:pPr>
        <w:sectPr>
          <w:pgSz w:w="11900" w:h="16838" w:orient="portrait"/>
          <w:cols w:equalWidth="0" w:num="1">
            <w:col w:w="11420"/>
          </w:cols>
          <w:pgMar w:left="240" w:top="125" w:right="239" w:bottom="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color w:val="auto"/>
        </w:rPr>
        <w:t>Decreased consumer discretionary spending represents a challenge to the successful marketing and purchase of our products. Increases in consumer and regulatory awareness of the health problems arising from obesity and inactive lifestyles continues to represent a challenge. We recognize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and shifts in consumer preferences that may adversely affect us if we misjudge such preferences.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25"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slowing economy in the United States and other countries in which we operate;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our brand image and product quality;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10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profitable expansion and growth of our family of brands in the competitive market place (See “Part I, Item 1 — Business - Competition and Sales and Marketing”);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imports and sources of supply; duties or tariffs; changes in government regulations;</w:t>
      </w:r>
    </w:p>
    <w:p>
      <w:pPr>
        <w:spacing w:after="0" w:line="225" w:lineRule="exact"/>
        <w:rPr>
          <w:rFonts w:ascii="Arial" w:cs="Arial" w:eastAsia="Arial" w:hAnsi="Arial"/>
          <w:sz w:val="18"/>
          <w:szCs w:val="18"/>
          <w:color w:val="auto"/>
        </w:rPr>
      </w:pPr>
    </w:p>
    <w:p>
      <w:pPr>
        <w:ind w:left="980" w:hanging="324"/>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 of our existing intellectual property portfolio of trademarks and the continuous pursuit to develop and protect new and innovative trademarks for our expanding product lines;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available quantities of certain package containers such as the 24-ounce cap can, the 32-ounce can, and copacking availability;</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additional restrictions.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“Part I, Item 1A — Risk Factors”) for additional information about risks and uncertainties facing our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opportunities exist for us:</w:t>
      </w:r>
    </w:p>
    <w:p>
      <w:pPr>
        <w:spacing w:after="0" w:line="225" w:lineRule="exact"/>
        <w:rPr>
          <w:sz w:val="20"/>
          <w:szCs w:val="20"/>
          <w:color w:val="auto"/>
        </w:rPr>
      </w:pPr>
    </w:p>
    <w:p>
      <w:pPr>
        <w:ind w:left="980" w:right="20" w:hanging="324"/>
        <w:spacing w:after="0" w:line="277" w:lineRule="auto"/>
        <w:tabs>
          <w:tab w:leader="none" w:pos="9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potential for the “alternative” beverage category including energy drinks, sparkling beverages, carbonated soft drinks and teas, juices and juice drinks and enhanced waters;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product introductions intended to contribute to higher profitability;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premium packages intended to generate strong revenue growth;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package, pricing and channel opportunities to maximize profitable growth;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proper positioning to capture industry growth; and</w:t>
      </w:r>
    </w:p>
    <w:p>
      <w:pPr>
        <w:spacing w:after="0" w:line="225" w:lineRule="exact"/>
        <w:rPr>
          <w:rFonts w:ascii="Arial" w:cs="Arial" w:eastAsia="Arial" w:hAnsi="Arial"/>
          <w:sz w:val="18"/>
          <w:szCs w:val="18"/>
          <w:b w:val="1"/>
          <w:bCs w:val="1"/>
          <w:color w:val="auto"/>
        </w:rPr>
      </w:pPr>
    </w:p>
    <w:p>
      <w:pPr>
        <w:ind w:left="940" w:hanging="284"/>
        <w:spacing w:after="0"/>
        <w:tabs>
          <w:tab w:leader="none" w:pos="9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broadening distribution/expansion opportunities in both domestic and international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gridSpan w:val="2"/>
            <w:vMerge w:val="restart"/>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4"/>
                <w:szCs w:val="24"/>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b w:val="1"/>
                <w:bCs w:val="1"/>
                <w:color w:val="auto"/>
              </w:rPr>
              <w:t>Percentage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08 vs. 07</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07 vs. 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sales, net of discounts &amp; returns*</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   1,182,876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1,025,795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696,322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15.3%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149,096</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90,548</w:t>
            </w:r>
          </w:p>
        </w:tc>
        <w:tc>
          <w:tcPr>
            <w:tcW w:w="280" w:type="dxa"/>
            <w:vAlign w:val="bottom"/>
          </w:tcPr>
          <w:p>
            <w:pPr>
              <w:spacing w:after="0"/>
              <w:rPr>
                <w:sz w:val="18"/>
                <w:szCs w:val="18"/>
                <w:color w:val="auto"/>
              </w:rPr>
            </w:pPr>
          </w:p>
        </w:tc>
        <w:tc>
          <w:tcPr>
            <w:tcW w:w="1140" w:type="dxa"/>
            <w:vAlign w:val="bottom"/>
          </w:tcPr>
          <w:p>
            <w:pPr>
              <w:jc w:val="center"/>
              <w:ind w:left="470"/>
              <w:spacing w:after="0"/>
              <w:rPr>
                <w:sz w:val="20"/>
                <w:szCs w:val="20"/>
                <w:color w:val="auto"/>
              </w:rPr>
            </w:pPr>
            <w:r>
              <w:rPr>
                <w:rFonts w:ascii="Arial" w:cs="Arial" w:eastAsia="Arial" w:hAnsi="Arial"/>
                <w:sz w:val="18"/>
                <w:szCs w:val="18"/>
                <w:color w:val="auto"/>
                <w:w w:val="90"/>
              </w:rPr>
              <w:t>22.9%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sales¹</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1,033,780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904,465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605,774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14.3%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494,986</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436,452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289,180</w:t>
            </w:r>
          </w:p>
        </w:tc>
        <w:tc>
          <w:tcPr>
            <w:tcW w:w="280" w:type="dxa"/>
            <w:vAlign w:val="bottom"/>
          </w:tcPr>
          <w:p>
            <w:pPr>
              <w:spacing w:after="0"/>
              <w:rPr>
                <w:sz w:val="18"/>
                <w:szCs w:val="18"/>
                <w:color w:val="auto"/>
              </w:rPr>
            </w:pPr>
          </w:p>
        </w:tc>
        <w:tc>
          <w:tcPr>
            <w:tcW w:w="1140" w:type="dxa"/>
            <w:vAlign w:val="bottom"/>
          </w:tcPr>
          <w:p>
            <w:pPr>
              <w:jc w:val="center"/>
              <w:ind w:left="470"/>
              <w:spacing w:after="0"/>
              <w:rPr>
                <w:sz w:val="20"/>
                <w:szCs w:val="20"/>
                <w:color w:val="auto"/>
              </w:rPr>
            </w:pPr>
            <w:r>
              <w:rPr>
                <w:rFonts w:ascii="Arial" w:cs="Arial" w:eastAsia="Arial" w:hAnsi="Arial"/>
                <w:sz w:val="18"/>
                <w:szCs w:val="18"/>
                <w:color w:val="auto"/>
                <w:w w:val="90"/>
              </w:rPr>
              <w:t>13.4%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profit¹</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538,794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316,594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15.1%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Gross profit margin as a percentage of net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line="216" w:lineRule="exact"/>
              <w:rPr>
                <w:sz w:val="20"/>
                <w:szCs w:val="20"/>
                <w:color w:val="auto"/>
              </w:rPr>
            </w:pPr>
            <w:r>
              <w:rPr>
                <w:rFonts w:ascii="Arial" w:cs="Arial" w:eastAsia="Arial" w:hAnsi="Arial"/>
                <w:sz w:val="18"/>
                <w:szCs w:val="18"/>
                <w:color w:val="auto"/>
              </w:rPr>
              <w:t>Operating expenses ²</w:t>
            </w:r>
            <w:r>
              <w:rPr>
                <w:rFonts w:ascii="Arial" w:cs="Arial" w:eastAsia="Arial" w:hAnsi="Arial"/>
                <w:sz w:val="23"/>
                <w:szCs w:val="23"/>
                <w:color w:val="auto"/>
                <w:vertAlign w:val="superscript"/>
              </w:rPr>
              <w:t>,</w:t>
            </w:r>
            <w:r>
              <w:rPr>
                <w:rFonts w:ascii="Arial" w:cs="Arial" w:eastAsia="Arial" w:hAnsi="Arial"/>
                <w:sz w:val="18"/>
                <w:szCs w:val="18"/>
                <w:color w:val="auto"/>
              </w:rPr>
              <w:t>³</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375,203</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237,027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158,015</w:t>
            </w:r>
          </w:p>
        </w:tc>
        <w:tc>
          <w:tcPr>
            <w:tcW w:w="280" w:type="dxa"/>
            <w:vAlign w:val="bottom"/>
          </w:tcPr>
          <w:p>
            <w:pPr>
              <w:spacing w:after="0"/>
              <w:rPr>
                <w:sz w:val="18"/>
                <w:szCs w:val="18"/>
                <w:color w:val="auto"/>
              </w:rPr>
            </w:pPr>
          </w:p>
        </w:tc>
        <w:tc>
          <w:tcPr>
            <w:tcW w:w="1140" w:type="dxa"/>
            <w:vAlign w:val="bottom"/>
          </w:tcPr>
          <w:p>
            <w:pPr>
              <w:jc w:val="center"/>
              <w:ind w:left="470"/>
              <w:spacing w:after="0"/>
              <w:rPr>
                <w:sz w:val="20"/>
                <w:szCs w:val="20"/>
                <w:color w:val="auto"/>
              </w:rPr>
            </w:pPr>
            <w:r>
              <w:rPr>
                <w:rFonts w:ascii="Arial" w:cs="Arial" w:eastAsia="Arial" w:hAnsi="Arial"/>
                <w:sz w:val="18"/>
                <w:szCs w:val="18"/>
                <w:color w:val="auto"/>
                <w:w w:val="90"/>
              </w:rPr>
              <w:t>58.3%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Operating expenses as a percentage of net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line="216" w:lineRule="exact"/>
              <w:rPr>
                <w:sz w:val="20"/>
                <w:szCs w:val="20"/>
                <w:color w:val="auto"/>
              </w:rPr>
            </w:pPr>
            <w:r>
              <w:rPr>
                <w:rFonts w:ascii="Arial" w:cs="Arial" w:eastAsia="Arial" w:hAnsi="Arial"/>
                <w:sz w:val="18"/>
                <w:szCs w:val="18"/>
                <w:color w:val="auto"/>
              </w:rPr>
              <w:t>Operating income¹</w:t>
            </w:r>
            <w:r>
              <w:rPr>
                <w:rFonts w:ascii="Arial" w:cs="Arial" w:eastAsia="Arial" w:hAnsi="Arial"/>
                <w:sz w:val="23"/>
                <w:szCs w:val="23"/>
                <w:color w:val="auto"/>
                <w:vertAlign w:val="superscript"/>
              </w:rPr>
              <w:t>,</w:t>
            </w:r>
            <w:r>
              <w:rPr>
                <w:rFonts w:ascii="Arial" w:cs="Arial" w:eastAsia="Arial" w:hAnsi="Arial"/>
                <w:sz w:val="18"/>
                <w:szCs w:val="18"/>
                <w:color w:val="auto"/>
              </w:rPr>
              <w:t>²</w:t>
            </w:r>
            <w:r>
              <w:rPr>
                <w:rFonts w:ascii="Arial" w:cs="Arial" w:eastAsia="Arial" w:hAnsi="Arial"/>
                <w:sz w:val="23"/>
                <w:szCs w:val="23"/>
                <w:color w:val="auto"/>
                <w:vertAlign w:val="superscript"/>
              </w:rPr>
              <w:t>,</w:t>
            </w:r>
            <w:r>
              <w:rPr>
                <w:rFonts w:ascii="Arial" w:cs="Arial" w:eastAsia="Arial" w:hAnsi="Arial"/>
                <w:sz w:val="18"/>
                <w:szCs w:val="18"/>
                <w:color w:val="auto"/>
              </w:rPr>
              <w:t>³</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163,591</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230,986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158,579</w:t>
            </w:r>
          </w:p>
        </w:tc>
        <w:tc>
          <w:tcPr>
            <w:tcW w:w="280" w:type="dxa"/>
            <w:vAlign w:val="bottom"/>
          </w:tcPr>
          <w:p>
            <w:pPr>
              <w:spacing w:after="0"/>
              <w:rPr>
                <w:sz w:val="18"/>
                <w:szCs w:val="18"/>
                <w:color w:val="auto"/>
              </w:rPr>
            </w:pPr>
          </w:p>
        </w:tc>
        <w:tc>
          <w:tcPr>
            <w:tcW w:w="14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(29.2%)</w:t>
            </w: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percentage of net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5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9,886</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12.7%</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173,477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239,756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162,239</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65,445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90,350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87"/>
              </w:rPr>
              <w:t>64,290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108,032</w:t>
            </w:r>
          </w:p>
        </w:tc>
        <w:tc>
          <w:tcPr>
            <w:tcW w:w="2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149,406</w:t>
            </w:r>
          </w:p>
        </w:tc>
        <w:tc>
          <w:tcPr>
            <w:tcW w:w="2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87"/>
              </w:rPr>
              <w:t>97,949</w:t>
            </w:r>
          </w:p>
        </w:tc>
        <w:tc>
          <w:tcPr>
            <w:tcW w:w="28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as a percentage of net sales</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88"/>
              </w:rPr>
              <w:t>$1.09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$0.99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1"/>
              </w:rPr>
              <w:t>Case sales (in thousands) (in 192-ounce case equivalents)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102,659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98,453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72,740</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¹Includes $14.3 million, $1.9 million and $0.4 million for the years ended December 31, 2008, 2007 and 2006, respectively, related to the recognition of deferred revenue attributable to new and/or amended distribution agreements entered into with certain distributors.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²Includes $118.1 million, $15.3 million and $12.7 million for the years ended December 31, 2008, 2007 and 2006, respectively, related to expenditures attributable to the costs associated with terminating existing distributors.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³Includes ($0.2) million, $9.8 million and $3.8 million for the years ended December 31, 2008, 2007 and 2006, respectively, related to professional service fees, net of insurance proceeds in connection with our special investigation of stock option grants and granting practices, related litigation and other related matters.</w:t>
      </w:r>
    </w:p>
    <w:p>
      <w:pPr>
        <w:spacing w:after="0" w:line="181" w:lineRule="exact"/>
        <w:rPr>
          <w:sz w:val="20"/>
          <w:szCs w:val="20"/>
          <w:color w:val="auto"/>
        </w:rPr>
      </w:pPr>
    </w:p>
    <w:p>
      <w:pPr>
        <w:jc w:val="both"/>
        <w:ind w:firstLine="8"/>
        <w:spacing w:after="0" w:line="264" w:lineRule="auto"/>
        <w:tabs>
          <w:tab w:leader="none" w:pos="148" w:val="left"/>
        </w:tabs>
        <w:numPr>
          <w:ilvl w:val="0"/>
          <w:numId w:val="19"/>
        </w:numPr>
        <w:rPr>
          <w:rFonts w:ascii="Arial" w:cs="Arial" w:eastAsia="Arial" w:hAnsi="Arial"/>
          <w:sz w:val="18"/>
          <w:szCs w:val="18"/>
          <w:b w:val="1"/>
          <w:bCs w:val="1"/>
          <w:color w:val="auto"/>
        </w:rPr>
      </w:pPr>
      <w:r>
        <w:rPr>
          <w:rFonts w:ascii="Arial" w:cs="Arial" w:eastAsia="Arial" w:hAnsi="Arial"/>
          <w:sz w:val="18"/>
          <w:szCs w:val="18"/>
          <w:i w:val="1"/>
          <w:iCs w:val="1"/>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comparable to similarly titled measures used by other companies as gross sales has been defined by our internal reporting requirements. However, gross sales is used by management to monitor operating performance including sales performance of particular products, salesperson performance, product growth or declines and our overall performance. The use of gross sales allows evaluation of sales performance before the effect of any promotional items, which can mask certain performance issues. Management believes the presentation of gross sales allows a more comprehensive presentation of our operating performance. Gross sales may not be realized in the form of cash receipts as promotional payments and allowances may be deducted from payments received from customers. (See”Part II, Item 6 — Selected Financial Data”).</w:t>
      </w:r>
    </w:p>
    <w:p>
      <w:pPr>
        <w:spacing w:after="0" w:line="178" w:lineRule="exact"/>
        <w:rPr>
          <w:sz w:val="20"/>
          <w:szCs w:val="20"/>
          <w:color w:val="auto"/>
        </w:rPr>
      </w:pPr>
    </w:p>
    <w:p>
      <w:pPr>
        <w:jc w:val="both"/>
        <w:ind w:firstLine="8"/>
        <w:spacing w:after="0" w:line="257" w:lineRule="auto"/>
        <w:tabs>
          <w:tab w:leader="none" w:pos="225" w:val="left"/>
        </w:tabs>
        <w:numPr>
          <w:ilvl w:val="0"/>
          <w:numId w:val="20"/>
        </w:numPr>
        <w:rPr>
          <w:rFonts w:ascii="Arial" w:cs="Arial" w:eastAsia="Arial" w:hAnsi="Arial"/>
          <w:sz w:val="18"/>
          <w:szCs w:val="18"/>
          <w:b w:val="1"/>
          <w:bCs w:val="1"/>
          <w:color w:val="auto"/>
        </w:rPr>
      </w:pPr>
      <w:r>
        <w:rPr>
          <w:rFonts w:ascii="Arial" w:cs="Arial" w:eastAsia="Arial" w:hAnsi="Arial"/>
          <w:sz w:val="18"/>
          <w:szCs w:val="18"/>
          <w:i w:val="1"/>
          <w:iCs w:val="1"/>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our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2008 Compared to the Year Ended December 31, 2007</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$1,182.9 million for the year ended December 31, 2008, an increase of approximately $157.1 million, or 15.3%</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gross sales of $1,025.8 million for the year ended December 31, 2007. The increase in gross sales was primarily attributable to increased sales by volume and increased sales price per case for certain of our Monster Energy® brand energy drinks and our Java Monster™ line of non-carbonated dairy based coffee drinks (introduced in April 2007), as well as sales of certain new products such as Monster Hitman Energy Shooter™ (introduced in September 2008), Monster Energy® MIXXD™ energy drinks (introduced in December 2007) and Monster Energy® Heavy Metal™ energy drinks (introduced in November 2007). To a lesser extent, the increase in gross sales was attributable to increased sales by volume of apple juice, aseptic juices and sales of Vidration® vitamin enhanced water (introduced in July 2008). In addition, the increase in gross sales was partially attributable to the recognition of $11.6 million of revenue related to the acceleration of the deferred revenue balance associated with certain of our prior distributors terminated in the fourth quarter of 2008. The increase in gross sales was partially offset by inventory returned to us by certain of our terminated distributors of approximately $9.7 million in the fourth quarter of 2008, decreased sales by volume of juice blends, Lost Energy® brand energy drinks (introduced in January 2004), iced teas, Unbound Energy® brand energy drinks (introduced in October 2006), Rumba® brand energy juice (introduced in December 2004), Hansen’s® energy drinks and smoothies in cans. Gross sales for the year ended December 31, 2008 were impacted by a price increase announced during the fourth quarter of 2007 for all of our Monster Energy® brand energy drinks in 16-ounce cans and our Java Monster™ line of non-carbonated dairy based coffee drinks, effective January 1, 2008. We estimate that gross sales for the year ended December 31, 2008 were reduced by approximately 2% as a result of purchases made by our customers in advance of such price increases. Promotional and other allowances were $149.1 million for the year ended December 31, 2008, an increase of $27.8 million, or 22.9% higher than promotional and other allowances of $121.3 million for the year ended December 31, 2007. Promotional and other allowances as a percentage of gross sales increased to 12.6% from 11.8% for the years ended December 31, 2008 and 2007, respectively. As a result, the percentage increase in gross sales for the year ended December 31, 2008 was higher than the percentage increase in net sales.</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sales — see definition above.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$1,033.8 million for the year ended December 31, 2008, an increase of approximately $129.3 million, or 14.3% higher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of $904.5 million for the year ended December 31, 2007. The increase in net sales was primarily attributable to increased sales by volume and increased sales price per case for certain of our Monster Energy® brand energy drinks and our Java Monster™ line of non-carbonated dairy based coffee drinks, as well as sales of certain new products such as Monster Hitman Energy Shooter™, Monster Energy® MIXXD™ energy drinks and Monster Energy® Heavy Metal™ energy drinks. To a lesser extent, the increase in</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was attributable to increased sales by volume of apple juice, aseptic juices and sales of Vidration® vitamin enhanced water. In addition, the increase in net sales was partially attributable to the recognition of $11.6 million of revenue related to the acceleration of the deferred revenue balance associated with certain of our prior distributors terminated in the fourth quarter of 2008. The increase in net sales was partially offset by decreased sales by volume of Lost Energy® brand energy drinks, juice blends, iced teas, Unbound Energy® brand energy drinks, Hansen’s® energy drinks and Rumba® brand energy juice. Net sales for the year ended December 31, 2008 were impacted by a price increase announced during the fourth quarter of 2007 for our Monster Energy® brand energy drinks in 16-ounce cans and our Java Monster™ line of non-carbonated dairy based coffee drinks, effective January 1, 2008. We estimate that net sales for the year ended December 31, 2008 were reduced by approximately 2% as a result of purchases made by our customers in advance of such price increases.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Case sales, in 192-ounce case equivalents, were 102.7 million cases for the year ended December 31, 2008, an increase of 4.2 million cases or 4.3% higher than case sales of 98.5 million cases for the year ended December 31, 2007. The overall average net sales price per case increased to $10.07 for the year ended December 31, 2008 or 9.6% higher than the average net sales price per case of $9.19 for the year ended December 31, 2007. The increase in the average net sales prices per case was attributable to an increase in the proportion of case sales derived from higher priced products as well as the price increases for our Monster Energy® brand energy drinks in 16-ounce cans effective January 1, 2008, price increases for our Monster Energy® brand energy drinks in 24-ounce cans effective July 1, 2007 and price increases in our Java Monster™ line of non-carbonated dairy based coffee drinks, effective January 1, 2008. In addition, the increase in the average net sales price per case was partially attributable to the recognition of $11.6 million of revenue related to the acceleration of the deferred revenue balance associated with certain of our prior distributors who were terminated in the fourth quarter of 2008.</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sales for the DSD segment were $937.9 million for the year ended December 31, 2008, an increase of approximately $128.1 million, or 15.8% higher than net sales of $809.8 million for the year ended December 31, 2007. The increase in net sales was primarily attributable to increased sales by volume and increased sales price per case for certain of our Monster Energy® brand energy drinks and our Java Monster™ line of non-carbonated dairy based coffee drinks, as well as sales of certain new products such as Monster Hitman Energy Shooter™, Monster Energy® MIXXD™ energy drinks, Monster Energy® Heavy Metal™ energy drinks and Vidration® vitamin enhanced water. In addition, the increase in net sales for the DSD segment was partially attributable to the recognition of $11.6 million of revenue related to the acceleration of the deferred revenue balance associated with certain of our prior distributors terminated in the fourth quarter of 2008. The increase in net sales was partially offset by decreased sales by volume of Lost Energy® brand energy drinks, Unbound Energy® brand energy drinks and Rumba® brand energy juice.</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sales for the Warehouse segment were $95.9 million for the year ended December 31, 2008, an increase of approximately $1.2 million, or 1.3% higher than net sales of $94.7 million for the year ended December 31, 2007. The increase in net sales was primarily attributable to increased sales by volume of apple juice and aseptic juices. The increase in net sales was partially offset by decreased sales by volume of juice blends, iced teas and Hansen’s® energy drinks. Changes in pricing within the Warehouse segment did not have a material impact on net sales for the year ended December 31, 2008.</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was $538.8 million for the year ended December 31, 2008, an increase of approximately $70.8 million, or 15.1%</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the gross profit of $468.0 million for the year ended December 31, 2007. Gross profit as a percentage of net sales increased slightly to 52.1% for the year ended December 31, 2008 from 51.7% for the year ended December 31, 2007. The increase in net sales contributed to the increase in gross profit dollars. The increase in gross profit as a percentage of net sales was partially attributable to the recognition of $11.6 million of revenue related to the acceleration of the deferred revenue balance associated with certain of our prior distributors terminated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fourth quarter of 2008. The increase in gross profit as a percentage of net sales was also attributable to increased sales of DSD segment products which have higher gross profit margins than those in the Warehouse segment. Such increase in gross profit as a percentage of net sales was partially offset by an increase in the percentage of sales within the DSD segment of the Java Monster™ line of non-carbonated dairy based coffee drinks that have lower gross profit margins than our Monster Energy® brand energy drinks and to an increase in the cost of certain raw materials including certain sweeteners, certain containers and packaging materials and certain juice concentrates, particularly apple juice concentrate as well as increased trade marketing agreement costs.</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w:t>
      </w:r>
    </w:p>
    <w:p>
      <w:pPr>
        <w:spacing w:after="0" w:line="1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$375.2 million for the year ended December 31, 2008, an increase of approximately $138.2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58.3% higher than total operating expenses of $237.0 million for the year ended December 31, 2007. Total operating expenses as a percentage of net sales was 36.3% for the year ended December 31, 2008, compared to 26.2% for year ended December 31, 2007. The increase in operating expenses in dollars was primarily due to increased expenditures of $102.9 million relating to the costs associated with terminating existing distributors. To a lesser extent, the increase in operating expenses was attributable to increased out-bound freight and warehouse costs of $5.9 million primarily due to increased volume of shipments and increased freight rates, increased expenditures of $17.9 million for sponsorships and endorsements, increased expenditures of $4.1 million for sampling programs, increased expenditures of $3.1 million for commissions and royalties, increased expenditures of $1.5 million for in-store demos and increased payroll expenses of $7.3 million (including a $3.7 million increase in stock-based compensation). The increase in operating expenses in dollars was partially offset by decreased expenditures of $6.3 million for professional services costs, including legal and accounting fees and decreased expenditures of $3.8 million for merchandise displays. The individual increases above include costs of $10.7 million, or 1.0% of net sales, relating to the launch of the Monster Energy® brand in Europe for the year ended December 31, 2008. Included in legal and accounting fees are professional service fees, net of insurance proceeds, of ($0.2) million and $9.8 million, for the years ended December 31, 2008 and 2007, respectively, in connection with our special investigation of stock option grants and granting practices, related litigation and other related matters. Total operating expenses, exclusive of expenditures of:</w:t>
      </w:r>
    </w:p>
    <w:p>
      <w:pPr>
        <w:spacing w:after="0" w:line="3" w:lineRule="exact"/>
        <w:rPr>
          <w:sz w:val="20"/>
          <w:szCs w:val="20"/>
          <w:color w:val="auto"/>
        </w:rPr>
      </w:pPr>
    </w:p>
    <w:p>
      <w:pPr>
        <w:jc w:val="both"/>
        <w:ind w:firstLine="8"/>
        <w:spacing w:after="0" w:line="273" w:lineRule="auto"/>
        <w:tabs>
          <w:tab w:leader="none" w:pos="237" w:val="left"/>
        </w:tabs>
        <w:numPr>
          <w:ilvl w:val="0"/>
          <w:numId w:val="21"/>
        </w:numPr>
        <w:rPr>
          <w:rFonts w:ascii="Arial" w:cs="Arial" w:eastAsia="Arial" w:hAnsi="Arial"/>
          <w:sz w:val="17"/>
          <w:szCs w:val="17"/>
          <w:color w:val="auto"/>
        </w:rPr>
      </w:pPr>
      <w:r>
        <w:rPr>
          <w:rFonts w:ascii="Arial" w:cs="Arial" w:eastAsia="Arial" w:hAnsi="Arial"/>
          <w:sz w:val="17"/>
          <w:szCs w:val="17"/>
          <w:color w:val="auto"/>
        </w:rPr>
        <w:t>$118.1 million and $15.3 million for the years ended December 31, 2008 and 2007, respectively, attributable to the costs associated with terminating existing distributors; and (ii) exclusive of professional service fees, net of insurance proceeds, of ($0.2) million and $9.8 million, for the years ended December 31, 2008 and 2007, respectively in connection with our special investigation of stock option grants and granting practices, related litigation and other related matters, as a percentage of net sales, were 24.9% and 23.4% for the years ended December 31, 2008 and 2007, respectively.</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Contribution margin for the DSD segment was $216.1 million for the year ended December 31, 2008,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$65.5 million, or 23.3% lower than contribution margin of $281.6 million for the year ended December 31, 2007. The decrease in the contribution margin for the DSD segment was primarily due to increased expenditures of $102.9 million relating to the costs associated with terminating existing distributors. The decrease in the contribution margin for the DSD segment was offset by increased sales of our Java Monster™ line of non-carbonated dairy based coffee drinks, the increase in net sales of Monster Energy® brand energy drinks as well as sales of certain new products such as the</w:t>
      </w:r>
    </w:p>
    <w:p>
      <w:pPr>
        <w:sectPr>
          <w:pgSz w:w="11900" w:h="16901" w:orient="portrait"/>
          <w:cols w:equalWidth="0" w:num="1">
            <w:col w:w="11420"/>
          </w:cols>
          <w:pgMar w:left="240" w:top="584" w:right="239" w:bottom="0" w:gutter="0" w:footer="0" w:header="0"/>
        </w:sectPr>
      </w:pPr>
    </w:p>
    <w:bookmarkStart w:id="26" w:name="page27"/>
    <w:bookmarkEnd w:id="26"/>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Monster Hitman Energy Shooter™, Monster MIXXD™ energy drinks and Monster Heavy Metal™ energy drinks. Contribution margin for the Warehouse segment was $0.5 million for the year ended December 31, 2008, approximately $3.4 million lower than contribution margin of $3.9 million for the year ended December 31, 2007. The decrease in the contribution margin for the Warehouse segment was primarily attributable to a reduction in gross margin as a result of increases in the costs of certain raw materials, particularly apple juice concentrate, as well as a change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high fructose corn syrup to higher priced sugar, which additionally increased in price, for our soda lines. The decrease in the contribution margin for the Warehouse segment was partially offset by a reduction in sales rebates within our juice product line as a result of the termination of our exclusive contracts with the State of California Department of Health Services, Women, Infant and Children (“WIC”) Supplemental Nutrition Branch in April 2008. The WIC program continues on a non-exclusive basis in which we participate with our apple, grape, white grape and pineapple 64-ounce juice products. Juice blends are not eligible under the new program.</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$163.6 million for the year ended December 31, 2008, a decrease of approximately $67.4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29.2% lower than operating income of $231.0 million for the year ended December 31, 2007. Operating income as a percentage of net sales decreased to</w:t>
      </w:r>
    </w:p>
    <w:p>
      <w:pPr>
        <w:jc w:val="both"/>
        <w:spacing w:after="0" w:line="268" w:lineRule="auto"/>
        <w:rPr>
          <w:sz w:val="20"/>
          <w:szCs w:val="20"/>
          <w:color w:val="auto"/>
        </w:rPr>
      </w:pPr>
      <w:r>
        <w:rPr>
          <w:rFonts w:ascii="Arial" w:cs="Arial" w:eastAsia="Arial" w:hAnsi="Arial"/>
          <w:sz w:val="17"/>
          <w:szCs w:val="17"/>
          <w:color w:val="auto"/>
        </w:rPr>
        <w:t>15.8% for the year ended December 31, 2008 from 25.5% for the year ended December 31, 2007. The decrease in operating income and operating income as a percentage of net sales was primarily due to an increase in operating expenses of $138.2 million. Operating income exclusive of: (i) recognition of deferred revenue of $14.3 million and $1.9 million for the years ended December 31, 2008 and 2007, respectively, attributable to new and/or amended distribution agreements entered into with certain distributors; (ii) exclusive of expenditures of $118.1 million and $15.3 million for the years ended December 31, 2008 and 2007, respectively, attributable to the costs associated with terminating existing distributors; and (iii) exclusive of professional service fees, net of insurance proceeds, in connection with our special investigation of stock option grants and granting practices, related litigation and other related matters, of ($0.2) million and $9.8 million, for the years ended December 31, 2008 and 2007, respectively, as a percentage of net sales, was 25.8% and 28.1% for the years ended December 31, 2008 and 2007,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Net interest and other income was $9.9 million for the year ended December 31, 2008, an increase of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$8.8 million for the year ended December 31, 2007. This increase was primarily attributable to increased interest revenue earned on our cash balances and short- and long-term investments, which have increased significantly over the prior year. This increase was partially offset by foreign currency transaction losses.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for the year ended December 31, 2008 was $65.4 million, as compared to $90.3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2007. The effective combined federal and state tax rate was 37.7% for both the years ended December 31, 2008 and 2007.</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$108.0 million for the year ended December 31, 2008, a decrease of $41.4 million or 27.7% lower than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$149.4 million for the year ended December 31, 2007. The decrease in net income was primarily attributable to an increase in operating expenses of $138.2 million due to the items identified above. This was partially offset by an increase in gross profit of $70.8 million and a decrease in provision for income taxes of $24.9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2007 Compared to the Year Ended December 31, 2006</w:t>
      </w:r>
    </w:p>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$1,025.8 million for the year ended December 31, 2007, an increase of approximately $329.5 million or 47.3%</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gross sales of $696.3 million for the year ended December 31, 2006. The increase in gross sales was primarily attributable to increased sales by volume of our Monster Energy® brand energy drinks, which include Monster Energy® drinks (introduced in April 2002), lo-carb Monster Energy® drinks (introduced in August 2003), Monster Energy® Assault® energy drinks (introduced in September 2004) and Monster Energy® Khaos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August 2005), as well as sales of certain new products such as the Java Monster™ line of non-carbonated dairy based coffee drinks (introduced in April 2007), Monster Energy® M-80</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energy drinks (introduced in March 2007), Monster Energy® MIXXD™ energy drinks (introduced in December 2007) and Monster Energy® Heavy Metal™ energy drinks (introduced in November 2007).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a lesser extent, the increase in gross sales was attributable to increased sales by volume of apple juice and juice blends, aseptic juices, Unbound Energy</w:t>
      </w:r>
      <w:r>
        <w:rPr>
          <w:rFonts w:ascii="Arial" w:cs="Arial" w:eastAsia="Arial" w:hAnsi="Arial"/>
          <w:sz w:val="16"/>
          <w:szCs w:val="16"/>
          <w:i w:val="1"/>
          <w:iCs w:val="1"/>
          <w:color w:val="auto"/>
        </w:rPr>
        <w:t>®</w:t>
      </w:r>
      <w:r>
        <w:rPr>
          <w:rFonts w:ascii="Arial" w:cs="Arial" w:eastAsia="Arial" w:hAnsi="Arial"/>
          <w:sz w:val="16"/>
          <w:szCs w:val="16"/>
          <w:color w:val="auto"/>
        </w:rPr>
        <w:t xml:space="preserve"> energy drinks (introduced in October 2006) and Junior Juice® aseptic juices. The increase in gross sales was partially offset by decreased sales by volume of Lost Energy® drinks (introduced in January 2004), iced teas, Joker Mad Energy™ drinks (introduced in January 2005) and Hansen’s® fruit juice smoothies. Changes in pricing did not have a material impact on the increase in gross sales for the year ended December 31, 2007. However, during the fourth quarter of 2007, we announced a price increase for our Monster Energy® brand energy drinks and our Java Monster™ line of non-carbonated dairy based coffee drinks, effective January 1, 2008. We estimate that approximately 7% to 8% of our gross sales for the fourth quarter of 2007 were attributable to purchases made by our customers in advance of such price increases. Promotional and other allowances were $121.3 million for 2007, an increase of $30.8 million or 34.0% higher than promotional and other allowances of $90.5 million for 2006. Promotional and other allowances as a percentage of gross sales decreased to 11.8% in 2007 from 13.0% in 2006. As a result, the percentage increase in gross sales in 2007 was lower than the percentage increase in net sales.</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*Gross sales — see definition above.</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$904.5 million for the year ended December 31, 2007, an increase of approximately $298.7 million or 49.3% higher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net sales of $605.8 million for the year ended December 31, 2006. The increase in net sales was primarily attributable to increased sales by volume of our Monster Energy® brand energy drinks, which include Monster Energy® drinks, lo-carb Monster Energy® drinks, Monster Energy® Assault® energy drinks and Monster Energy® Khaos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as well as sales of certain new products such as the Java Monster™ line of non-carbonated dairy based coffee drinks, Monster Energy® M-80</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Monster Energy® MIXXD™ energy drinks and Monster Energy® Heavy Metal™ energy drinks. To a lesser extent, the increase in net sales was attributable to increased sales by volume of apple juice and juice blends, aseptic juices, sodas and Junior Juice® aseptic juices. The increase in net sales was partially offset by decreased sales by volume of Lost Energy® drinks, iced teas, Joker Mad Energy™ drinks, smoothies in cans and Hansen’s® energy drinks. Changes in pricing did not have a material impact on the increase in net sales for the year ended December 31, 2007. However, during the fourth quarter of 2007, we announced a price increase to our Monster Energy® brand energy drinks and our Java Monster™ line of non-carbonated dairy based coffee drinks, effective January 1, 2008. We estimate that approximately 7% to 8% of our net sales for the fourth quarter of 2007 were attributable to purchases made by our customers in advance of such price increases.</w:t>
      </w:r>
    </w:p>
    <w:p>
      <w:pPr>
        <w:sectPr>
          <w:pgSz w:w="11900" w:h="16922" w:orient="portrait"/>
          <w:cols w:equalWidth="0" w:num="1">
            <w:col w:w="11420"/>
          </w:cols>
          <w:pgMar w:left="240" w:top="125" w:right="239" w:bottom="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Case sales, in 192-ounce case equivalents, were 98.5 million cases for the year ended December 31, 2007, an increase of 25.7 million cases or 35.3% higher than case sales of 72.7 million cases for the year ended December 31, 2006. The overall average net sales price per case increased to $9.19 for 2007 or 10.3% higher than the average net sales price per case of $8.33 for 2006. The increase in the average net sales prices per case was attributable to an increase in the proportion of case sales derived from higher priced products.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Net sales for the DSD segment were $809.8 million for year ended December 31, 2007, an increase of approximately $295.5 million or 57.5% higher than net sales of $514.3 million for the year ended December 31, 2006. The increase in net sales was primarily attributable to increased sales by volume of our Monster Energy® brand energy drinks, which include Monster Energy® drinks, lo-carb Monster Energy® drinks, Monster Energy® Assault® energy drinks and Monster Energy® Khaos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as well as sales of certain new products such as the Java Monster™ line of non-carbonated dairy based coffee drinks and Monster Energy® M-80</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energy drinks. The increase in net sales was partially offset by decreased sales by volume of Lost Energy® drinks and Joker Mad Energy™ drinks. Changes in pricing within the DSD segment did not have a material impact on the increase in net sales for the year ended December 31, 2007. However, during the fourth quarter of 2007, we announced a price increase to our Monster Energy® brand energy drinks and our Java Monster™ line of non-carbonated dairy based coffee drinks, effective January 1, 2008. We estimate that approximately 7%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8% of our net sales for the fourth quarter of 2007 were attributable to purchases made by our customers in advance of such price increases.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for the Warehouse segment were $94.7 million for the year ended December 31, 2007, an increase of approximately $3.2 million or 3.5% higher than net sales of $91.5 million for the year ended December 31, 2006. The increase in net sales was primarily attributable to increased sales by volume of apple juice and juice blends, aseptic juices, sodas and Junior Juice® aseptic juices. The increase in net sales was partially offset by decreased sales by volume primarily of iced teas, smoothies in cans and Hansen’s® energy drinks. Changes in pricing within the Warehouse segment did not have a material impact on the increase in net sales for the year ended December 31, 2007.</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$468.0 million for the year ended December 31, 2007, an increase of approximately $151.4 million or 47.8%</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the gross profit of $316.6 million for the year ended December 31, 2006. Gross profit as a percentage of net sales was 51.7% for 2007 as compared to 52.3% for 2006. Increases in sales volumes contributed to the increase in gross profit dollars. The decrease in gross profit as a percentage of net sales was primarily due to an increase in the percentage of sales within the DSD segment of certain packages that have lower gross profit margins. To a lesser extent, the decrease in gross profit as a percentage of net sales was also attributable to an increase in the cost of certain raw materials including certain sweeteners, certain containers and packaging materials and certain juice concentrates and increased reserves for slow moving and obsolete inventory. Such decrease in gross profit as a percentage of net sales was partially offset by increased sales of DSD segment products which have higher gross profit margins than those in the Warehouse segment, a decrease in promotional and other allowances as a percentage of gross sales.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$237.0 million for the year ended December 31, 2007, an increase of approximately $79.0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50.0% higher than total operating expenses of $158.0 million for the year ended December 31, 2006. Total operating expenses as a percentage of net sales was 26.2% for 2007, slightly higher than 26.1% for 2006. The increase in operating expenses in dollars was partially attributable to increased out-bound freight and warehouse costs of $8.7 million primarily due to increased volume of shipments, increased expenditures of $18.4 million for sponsorships and endorsements, increased expenditures of $10.3 million for commissions and royalties, increased expenditures of $4.9 million for sampling programs, increased payroll expenses of $12.1 million, increased expenditures of $8.6 million for professional services costs, including legal and accounting fees, and increased expenditures of $2.5 million relating to the costs associated with terminating existing distributors. Included in legal and accounting fees are costs of $9.8 million (net of $2.5 million insurance reimbursements) in connection with our special investigation of stock option grants and granting practices, related litigation and other related matters. Total operating expenses, exclusive of expenditures of $15.3 million and $12.7 million for 2007 and 2006, respectively, attributable to the costs associated with terminating existing distributors and exclusive of expenditures of $9.8 million (net of $2.5 million in insurance reimbursements) and $3.8 million for 2007 and 2006, respectively in connection with our special investigation of stock option grants and granting practices, related litigation and other related matters, as a percentage of net sales, were 23.4% for both 2007 and 2006.</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$281.6 million for the year ended December 31, 2007,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$93.8 million or 49.9% higher than contribution margin of $187.9 million for the year ended December 31, 2006. The increase in contribution margin for the DSD segment was primarily attributable to the increase in net sales of Monster Energy® brand energy drinks as well as sales of certain new products such as the Java Monster™ line of non-carbonated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dairy based coffee drinks and Monster M-80</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Contribution margin for the Warehouse segment was $3.9 million for the year ended December 31, 2007, a decrease of approximately $2.2 million or 36.3% lower than contribution margin of $6.1 million for year ended December 31, 2006. The decrease in the contribution margin for the Warehouse segment was primarily attributable to a reduction in gross margin as a result of increased costs of raw materials and production.</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$231.0 million for the year ended December 31, 2007, an increase of approximately $72.4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45.7% higher than operating income of $158.6 million for the year ended December 31, 2006. Operating income as a percentage of net sales decreased to</w:t>
      </w:r>
    </w:p>
    <w:p>
      <w:pPr>
        <w:jc w:val="both"/>
        <w:spacing w:after="0" w:line="269" w:lineRule="auto"/>
        <w:rPr>
          <w:sz w:val="20"/>
          <w:szCs w:val="20"/>
          <w:color w:val="auto"/>
        </w:rPr>
      </w:pPr>
      <w:r>
        <w:rPr>
          <w:rFonts w:ascii="Arial" w:cs="Arial" w:eastAsia="Arial" w:hAnsi="Arial"/>
          <w:sz w:val="17"/>
          <w:szCs w:val="17"/>
          <w:color w:val="auto"/>
        </w:rPr>
        <w:t>25.5% for 2007 from 26.2% for 2006. The increase in operating income was primarily due to an increase in gross profit of $151.4 million. The decrease in operating income as a percentage of net sales was primarily attributable to increased cost of sales as a percentage of net sales. Operating income, exclusive of recognition of deferred revenue of $1.9 million and $0.4 million for 2007 and 2006, respectively, attributable to the AB Distribution agreements entered into with newly appointed AB Distributors, exclusive of expenditures of $15.3 million and $12.7 million for 2007 and 2006, respectively, attributable to the costs associated with terminating existing distributors and exclusive of expenditures of $9.8 million (net of $2.5 million insurance reimbursements) and $3.8 for 2007 and 2006, respectively, in connection with our special investigation of stock option grants and granting practices, related litigation and other related matters, as a percentage of net sales, was 28.2% for 2007 as compared to 28.9% for 2006.</w:t>
      </w:r>
    </w:p>
    <w:p>
      <w:pPr>
        <w:sectPr>
          <w:pgSz w:w="11900" w:h="16838" w:orient="portrait"/>
          <w:cols w:equalWidth="0" w:num="1">
            <w:col w:w="11420"/>
          </w:cols>
          <w:pgMar w:left="240" w:top="341" w:right="239" w:bottom="0" w:gutter="0" w:footer="0" w:header="0"/>
        </w:sectPr>
      </w:pPr>
    </w:p>
    <w:bookmarkStart w:id="28" w:name="page29"/>
    <w:bookmarkEnd w:id="28"/>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Net interest and other income was $8.8 million for the year ended December 31, 2007, an increase of $5.1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net interest and other income of $3.7 million for the year ended December 31, 2006. The increase in net interest and other income was primarily attributable to increased interest revenue earned on our cash balances and short- and long-term investments, which have increased significantly over the prior year.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Provision for income taxes for the year ended December 31, 2007 was $90.3 million, as compared to provision for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of $64.3 million for the year ended December 31, 2006. The effective combined federal and state tax rate for 2007 was 37.7%, which was lower than the effective tax rate of 39.6% for 2006. The decrease in the effective tax rate was primarily attributable to certain interest income earned on securities that is exempt from federal income taxes and a reduction in federal taxes attributable to the domestic production tax deduction. This decrease was partially offset by stock-based compensation relating to incentive stock options that is not deducted for federal or state income tax purposes.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$149.4 million for the year ended December 31, 2007, an increase of $51.5 million or 52.5% higher than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$97.9 million for the year ended December 31, 2006. The increase in net income was primarily attributable to an increase in gross profit of $151.4 million and, to a lesser extent, an increase in net interest and other income of approximately $5.1 million. This was partially offset by an increase in operating expenses of $79.0 million and an increase in provision for income taxes of $26.1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Cash flows provided by operating activities — </w:t>
      </w:r>
      <w:r>
        <w:rPr>
          <w:rFonts w:ascii="Arial" w:cs="Arial" w:eastAsia="Arial" w:hAnsi="Arial"/>
          <w:sz w:val="18"/>
          <w:szCs w:val="18"/>
          <w:color w:val="auto"/>
        </w:rPr>
        <w:t>Net cash provided by operating activities was $199.5 million for the year ended December 31, 2008,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$135.5 million in the comparable period in 2007. For the year ended December 31, 2008, cash provided by operating activities was primarily attributable to net income earned of $108.0 million and adjustments for certain non-cash expenses consisting of $13.9 million of stock-based compensation and $3.4 million of depreciation and other amortization. For the year ended December 31, 2008, cash provided by operations also increased due to a $98.6 million increase in deferred revenue, a $98.1 million increase in accrued distributor terminations, a $30.6 million decrease in trade accounts receivable, a $7.5 million increase in accounts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payable, a $3.3 million increase in accrued liabilities and a $1.0 million increase in accrued compensation. For the year ended December 31, 2008, cash provided by operating activities was reduced due to an $85.3 million increase in distributor receivables, a $19.7 million increase in inventories, a $4.7 million increase in prepaid expenses and other current assets and a $4.3 million increase in tax benefit from exercise of stock options. The increase in accounts payable is primarily due to increased inventory levels.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Cash flows provided by (used in) investing activities — </w:t>
      </w:r>
      <w:r>
        <w:rPr>
          <w:rFonts w:ascii="Arial" w:cs="Arial" w:eastAsia="Arial" w:hAnsi="Arial"/>
          <w:sz w:val="16"/>
          <w:szCs w:val="16"/>
          <w:color w:val="auto"/>
        </w:rPr>
        <w:t>Net cash provided by investing activities was $144.0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2008, as compared to $194.7 million used in investing activities in the comparable period in 2007. For the years ended December 31, 2008 and 2007, respectively, cash used in investing activities was primarily attributable to purchases of short- and long-term investments, particularly available-for-sale investments. Cash provided by investing activities was primarily attributable to sales and maturities of available-for-sale investments. For both periods, cash used in investing activities included the acquisitions of fixed assets consisting of vans and promotional vehicles and other equipment to support our marketing and promotional activities, production equipment, computer and office furniture and equipment used for sales and administrative activities, as well as certain leasehold improvements. Management expects that the Company will continue to use a portion of its cash in excess of its requirements for operations, for purchasing short- and long-term investments and for other corporate purposes. From time to time, management considers the acquisition of capital equipment, specifically items of production equipment required to produce certain of our products, storage racks, vans, trucks and promotional vehicles, coolers and other promotional equipment as well as the introduction of new product lines and businesses compatible with the image of our brands.</w:t>
      </w:r>
    </w:p>
    <w:p>
      <w:pPr>
        <w:spacing w:after="0" w:line="16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At December 31, 2008, we had $256.8 million in cash and cash equivalents and $118.7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 These market risks associated with our investment portfolio may have a negative adverse effect on our future results of operations, liquidity and financial condition. (See Part I, Item IA – “Risk Factors – Our investments in marketable securities are subject to risks which may cause losses and affect the liquidity of these investments”).</w:t>
      </w:r>
    </w:p>
    <w:p>
      <w:pPr>
        <w:spacing w:after="0" w:line="18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Certain of our short-term investments and all of our long-term investments are comprised of auction rate securities. The majority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During the year ended December 31, 2008, a large portion of the auctions for these auction rate securities failed and there is no assurance that auctions on the remaining auction rate securities in our investment portfolio will succeed. The auction failures appear to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default rates and be auctioned every 7 to 35 days until their respective auction succeeds, the issuer calls the securities, they mature or we are able to sell the securities to third parties. As a result, our ability to liquidate and fully recover the carrying value of our auction rate securities in the near term may be limited. Consequently, certain of these securities have been classified as long-term investments in our consolidated financial statements. We anticipate that due to the default interest rates now payable on certain of these securities and for other reasons, certain issuers are likely to take steps to refinance their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to enable them to call and repay the securities and therefore avoid the default interest rates now payable on such securities.</w:t>
      </w:r>
    </w:p>
    <w:p>
      <w:pPr>
        <w:spacing w:after="0" w:line="225"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At December 31, 2008, we held auction rate securities with a face value of $112.5 million. Subsequent to December 31, 2008, $8.1 million of our auction rate securities were redeemed at par, which are included in short-term investments in our consolidated financial statements. A Level 3 valuation was performed on the remaining $104.5 million of our auction rate securities as of December 31, 2008, which indicated an impairment of $14.9 million, resulting in a fair value of $89.6 million which is included in long-term investments in our consolidated financial statements. This valuation utilized a mark to model</w:t>
      </w:r>
    </w:p>
    <w:p>
      <w:pPr>
        <w:sectPr>
          <w:pgSz w:w="11900" w:h="16945" w:orient="portrait"/>
          <w:cols w:equalWidth="0" w:num="1">
            <w:col w:w="11420"/>
          </w:cols>
          <w:pgMar w:left="240" w:top="125" w:right="239" w:bottom="0" w:gutter="0" w:footer="0" w:header="0"/>
        </w:sectPr>
      </w:pPr>
    </w:p>
    <w:bookmarkStart w:id="29" w:name="page30"/>
    <w:bookmarkEnd w:id="29"/>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147"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addition to our Level 3 valuation performed as of December 31, 2008, we also reviewed various factors in determining whether to record a temporary or other than temporary impairment charge related to the decline in fair value on our available-for sale securities, including length of time and extent to which the investment’s fair value has been less than the cost basis, the financial condition and near-term prospects of the issuer and any guarantors if applicable, any specific events which may influence the operations of the issuer, and our intent and ability to retain the investment for a period of time sufficient to allow for any anticipated recovery of fair value. Based on this analysis, we determined that of the $14.9 million impairment on our auction rate securities, $14.4 million was deemed temporary. This amount has been recorded, net of a tax benefit of $5.7 million, as a component of accumulated other comprehensive loss for the year ended December 31, 2008. In addition, we determined that $0.5 million of impairment was other-than-temporary and recorded a charge to interest and other income, net, in our consolidated financial statements for the year ended December 31, 2008.</w:t>
      </w:r>
    </w:p>
    <w:p>
      <w:pPr>
        <w:spacing w:after="0" w:line="166"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Based on our ability to access cash and other short-term investments and based on our expected operating cash flows, we do not anticipate that the current lack of liquidity of these investments will have a material effect on our liquidity or working capital. If uncertainties in the credit and capital markets continue or there are ratings downgrades on the auction rate securities held by us, we may be required to recognize additional impairments on these investments.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Cash flows (used in) provided by financing activities — </w:t>
      </w:r>
      <w:r>
        <w:rPr>
          <w:rFonts w:ascii="Arial" w:cs="Arial" w:eastAsia="Arial" w:hAnsi="Arial"/>
          <w:sz w:val="17"/>
          <w:szCs w:val="17"/>
          <w:color w:val="auto"/>
        </w:rPr>
        <w:t>Net cash used in financing activities was $98.0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2008, as compared to net cash provided by financing activities of $36.6 million for the comparable period in 2007. For the year ended December 31, 2008 cash used in financing activities was primarily due to the purchase by us of $103.5 million of our common stock. For the year ended December 31, 2008, cash provided by financing activities was primarily attributable to a $4.3 million tax benefit in connection with the exercise of certain stock options and proceeds of $2.3 million received from the issuance of common stock in connection with the exercise of certain stock options.</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Purchases of inventories, increases in accounts receivable and other assets, acquisition of property and equipment, acquisition of trademarks, payments of accounts payable, income taxes payable and purchases of our common stock are expected to remain our principal recurring use of cash.</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25, 2008, our Board of Directors authorized the repurchase of up to $200 million of our common stock. The Board of Directors also terminated the common stock repurchase program authorized in November 2005, under which we had purchased $27.7 million of common stock. During the year ended December 31, 2008, we purchased 3.9 million shares of common stock at an average purchase price of $26.77 per share, which we hold in treasury.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Debt and other obligations — </w:t>
      </w:r>
      <w:r>
        <w:rPr>
          <w:rFonts w:ascii="Arial" w:cs="Arial" w:eastAsia="Arial" w:hAnsi="Arial"/>
          <w:sz w:val="17"/>
          <w:szCs w:val="17"/>
          <w:color w:val="auto"/>
        </w:rPr>
        <w:t>We entered into a credit facility with Comerica Bank (“Comerica”) consisting of a revolving line of credit,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in May 2007. In accordance with the amended provisions of the credit facility, we increased our available borrowings under the revolving line of credit to $10.0 million of non-collateralized debt. The revolving line of credit is effective through June 1, 2010. Interest on borrowings under the line of credit is based on Comerica’s base (prime) rate minus up to 1.5%, or varying London Interbank Offered Rates (“LIBOR”) up to 180 days, plus an additional percentage of up to 1.75%, depending upon certain financial ratios maintained by us. We had no outstanding borrowings on this line of credit at December 31, 2008. Letters of credit issued on our behalf totaling $0.3 million under this credit facility were outstanding as of December 31, 2008.</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of our line of credit contain certain financial covenants, including certain financial ratios, with which we were in compliance at December 31, 2008.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cash available from operations, including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or equipment, through at least the next twelve months. Based on our current plans, at this time we estimate that capital expenditures are likely to be less than $20.0 million through December 2009. However, future business opportunities may cause a change in this estimate.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a summary of the Company’s contractual obligations and related scheduled maturities as of December 31, 2008: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8"/>
                <w:szCs w:val="18"/>
                <w:color w:val="auto"/>
                <w:w w:val="90"/>
              </w:rPr>
              <w:t>Payments due by period (in thousands)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80"/>
              <w:spacing w:after="0" w:line="195" w:lineRule="exact"/>
              <w:rPr>
                <w:sz w:val="20"/>
                <w:szCs w:val="20"/>
                <w:color w:val="auto"/>
              </w:rPr>
            </w:pPr>
            <w:r>
              <w:rPr>
                <w:rFonts w:ascii="Arial" w:cs="Arial" w:eastAsia="Arial" w:hAnsi="Arial"/>
                <w:sz w:val="18"/>
                <w:szCs w:val="18"/>
                <w:color w:val="auto"/>
                <w:w w:val="89"/>
              </w:rPr>
              <w:t>Less than</w:t>
            </w:r>
          </w:p>
        </w:tc>
        <w:tc>
          <w:tcPr>
            <w:tcW w:w="280" w:type="dxa"/>
            <w:vAlign w:val="bottom"/>
          </w:tcPr>
          <w:p>
            <w:pPr>
              <w:spacing w:after="0"/>
              <w:rPr>
                <w:sz w:val="16"/>
                <w:szCs w:val="16"/>
                <w:color w:val="auto"/>
              </w:rPr>
            </w:pPr>
          </w:p>
        </w:tc>
        <w:tc>
          <w:tcPr>
            <w:tcW w:w="84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2"/>
              </w:rPr>
              <w:t>1-3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290"/>
              <w:spacing w:after="0" w:line="195" w:lineRule="exact"/>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Obligations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1"/>
              </w:rPr>
              <w:t>1 year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6"/>
              </w:rPr>
              <w:t>years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Noncancelable Contracts</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Capital Leases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3"/>
              </w:rPr>
              <w:t>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Commitments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44,498</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118,837</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85,772</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5,259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Noncancelable contractual obligations include our obligations related to sponsorships and other commitments. (See “Part II, Item 8 — Note 11— Commitments &amp; Contingencies”).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 commitments include obligations made by us and our subsidiaries to various suppliers for raw materials used in the manufacturing and packaging of our products. These obligations vary in terms.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obligations, pursuant to a can supply agreement between the Company and Rexam Beverage Can Company (“Rexam”), dated as of January 1, 2006, we have undertaken to purchase a minimum volume of 24-ounce resealable aluminum beverage cans over the four-year period commencing from January 1, 2006 through December 31, 2009. Should we fail to purchase the minimum volume, we will be obligated to reimburse Rexam for certain capital reimbursements on a pro-</w:t>
      </w:r>
    </w:p>
    <w:p>
      <w:pPr>
        <w:sectPr>
          <w:pgSz w:w="11900" w:h="16926" w:orient="portrait"/>
          <w:cols w:equalWidth="0" w:num="1">
            <w:col w:w="11420"/>
          </w:cols>
          <w:pgMar w:left="240" w:top="125" w:right="239" w:bottom="0" w:gutter="0" w:footer="0" w:header="0"/>
        </w:sectPr>
      </w:pPr>
    </w:p>
    <w:bookmarkStart w:id="30" w:name="page31"/>
    <w:bookmarkEnd w:id="30"/>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rated basis. Our maximum liability under this agreement as of December 31, 2008 is $4.0 million, subject to compliance by Rexam with a number of conditions under this agreement.</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fourth quarter of 2008, we finalized licensing agreements with SAP America, Inc. for our global enterprise resource planning (“ERP”) software initiative which will replace existing legacy software. Our decision to replace our legacy software solutions and move to SAP technologies was based upon our current domestic needs, global expansion, systems scalability, improved integration with trading partners and customers, improved reporting, and business process efficiency and productivity. We estimate the cost for both licensing and implementation of the initiative to be approximately $5.5 million. The project is scheduled to commence in the first quarter of 2009 with a targeted production live date in the first quarter of 2010.</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2007, we relocated our corporate offices to newly leased offices in Corona, California. In October 2006, we also entered into a lease agreement pursuant to which we leased 346,495 square feet of warehouse and 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which is currently in escrow. In August 2008, we completed the purchase of an additional 1.09 acres of adjacent land for a purchase price of $1.4 million. The properties are located adjacent to the newly leased warehouse and distribution space. We are reviewing the feasibility of constructing a new office building and parking lot on these combined parcels of land to replace our existing office space.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sublet a small portion of our previous office, warehouse and distribution space on a month to month basis. In addition, we continue to utilize the remaining portion of this space as overflow for our main warehouse. This lease expires in October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consolidated financial statements are prepared in accordance with GAAP. GAAP requires us to make estimates and assumptions that affect the reported amounts in our consolidated financial statements, including various allowances and reserves for accounts receivable and inventories, the estimated lives of long-lived assets and trademarks, as well as claims and contingencies arising out of litigation or other transactions that occur in the normal course of business. The following summarizes our most significant accounting and reporting policies and practices:</w:t>
      </w:r>
    </w:p>
    <w:p>
      <w:pPr>
        <w:spacing w:after="0" w:line="17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Our investments in debt securities are classified in one of two categories, held-to-maturity or available-for-sale,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Financial Accounting Standard (“SFAS”) No. 115, “Accounting for Certain Investments in Debt and Equity Securities” (“SFAS No. 115”). Held-to-maturity securities are those securities that the Company has the positive intent and ability to hold until maturity. All other securities not included in the held-to-maturity category are classified as available-for-sale. No securities are held for speculative or trading purposes. Held-to-maturity securities are recorded at amortized cost which approximates fair market value. Available-for-sale securities are carried at fair value with unrealized gains and losses recorded within accumulated other comprehensive income (loss) as a separate component of stockholders’ equity. A decline in the market value of any investment security below cost that is deemed other-than-temporary, results in a reduction in its carrying amount to fair value.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impairment is charged to earnings and a new cost basis for the security is established. Premiums and discounts are amortized or accreted over the life of the related held-to-maturity security as an adjustment to yield using the effective-interest method. We evaluate whether the decline in fair value of our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 and information on the guarantors’ financial condition. Factors considered in determining whether a loss is temporary include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7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We evaluate the collectability of our trade accounts receivable based on a number of factors. In circumstances where we</w:t>
      </w:r>
      <w:r>
        <w:rPr>
          <w:rFonts w:ascii="Arial" w:cs="Arial" w:eastAsia="Arial" w:hAnsi="Arial"/>
          <w:sz w:val="18"/>
          <w:szCs w:val="18"/>
          <w:i w:val="1"/>
          <w:iCs w:val="1"/>
          <w:color w:val="auto"/>
        </w:rPr>
        <w:t xml:space="preserve"> </w:t>
      </w:r>
      <w:r>
        <w:rPr>
          <w:rFonts w:ascii="Arial" w:cs="Arial" w:eastAsia="Arial" w:hAnsi="Arial"/>
          <w:sz w:val="18"/>
          <w:szCs w:val="18"/>
          <w:color w:val="auto"/>
        </w:rPr>
        <w:t>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stated at the lower of cost to purchase and/or manufacture the inventory or the current estimated market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7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Management regularly reviews property and equipment and other long-lived assets, including certain identifiable intangibles,</w:t>
      </w:r>
      <w:r>
        <w:rPr>
          <w:rFonts w:ascii="Arial" w:cs="Arial" w:eastAsia="Arial" w:hAnsi="Arial"/>
          <w:sz w:val="16"/>
          <w:szCs w:val="16"/>
          <w:i w:val="1"/>
          <w:iCs w:val="1"/>
          <w:color w:val="auto"/>
        </w:rPr>
        <w:t xml:space="preserve"> </w:t>
      </w:r>
      <w:r>
        <w:rPr>
          <w:rFonts w:ascii="Arial" w:cs="Arial" w:eastAsia="Arial" w:hAnsi="Arial"/>
          <w:sz w:val="16"/>
          <w:szCs w:val="16"/>
          <w:color w:val="auto"/>
        </w:rPr>
        <w:t>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w:t>
      </w:r>
    </w:p>
    <w:p>
      <w:pPr>
        <w:sectPr>
          <w:pgSz w:w="11900" w:h="16952" w:orient="portrait"/>
          <w:cols w:equalWidth="0" w:num="1">
            <w:col w:w="11420"/>
          </w:cols>
          <w:pgMar w:left="240" w:top="341" w:right="239" w:bottom="0" w:gutter="0" w:footer="0" w:header="0"/>
        </w:sectPr>
      </w:pPr>
    </w:p>
    <w:bookmarkStart w:id="31" w:name="page32"/>
    <w:bookmarkEnd w:id="31"/>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impairments were identified as of December 31, 2008.</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believes that the accounting estimate related to impairment of its long lived assets, including its trademarks,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Intangibles </w:t>
      </w:r>
      <w:r>
        <w:rPr>
          <w:rFonts w:ascii="Arial" w:cs="Arial" w:eastAsia="Arial" w:hAnsi="Arial"/>
          <w:sz w:val="17"/>
          <w:szCs w:val="17"/>
          <w:color w:val="auto"/>
        </w:rPr>
        <w:t>– Intangibles are comprised primarily of trademarks that represent our exclusive ownership of the Hansen’s® trademark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manufacture, sale and distribution of beverages, water, non-beverage products and the Monster Energy® trademark in connection with the manufacture, sale and distribution of supplements and beverages. We also own in our own right, a number of other trademarks in the United States, as well as in a number of countries around the world. We also own the Blue Sky® trademark, which was acquired in September 2000, and the Junior Juice® trademark, which was acquired in May 2001. During 2002, we adopted Statement of Financial Accounting Standard (“SFAS”) No. 142, “Goodwill and Other Intangible Assets”. Under the provisions on SFAS No. 142, we discontinued amortization on indefinite-lived trademarks while continuing to amortize remaining trademarks over one to 25 years.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SFAS No. 142,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2008, the estimated fair values of trademarks exceeded the carrying value.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Foreign Currency Translation and Transactions </w:t>
      </w:r>
      <w:r>
        <w:rPr>
          <w:rFonts w:ascii="Arial" w:cs="Arial" w:eastAsia="Arial" w:hAnsi="Arial"/>
          <w:sz w:val="16"/>
          <w:szCs w:val="16"/>
          <w:color w:val="auto"/>
        </w:rPr>
        <w:t>– The accounts of our foreign subsidiaries are translated in accordance with SFAS No. 52,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Translation”.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long-term-investment nature (i.e., settlement is not planned or anticipated in the foreseeable future) are also recorded in accumulated other comprehensive income (loss) in stockholders’ equity.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We recognize revenue when persuasive evidence of an arrangement exists, delivery has occurred, the sales price is fixed 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have been determined after deduction of promotional and other allowances in accordance with Emerging Issues Task Force Issue (“EITF”) No. 01-09, “Accounting for Consideration Given by a Vendor to a Customer (Including a Reseller of the Vendor’s Products)”.</w:t>
      </w:r>
    </w:p>
    <w:p>
      <w:pPr>
        <w:spacing w:after="0" w:line="178"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Management believes that adequate provision has been made for cash discounts, returns and spoilage based on our historical experience.</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raw materials utilized in the manufacture of products, co-packing fees, repacking fees, in-bound</w:t>
      </w:r>
      <w:r>
        <w:rPr>
          <w:rFonts w:ascii="Arial" w:cs="Arial" w:eastAsia="Arial" w:hAnsi="Arial"/>
          <w:sz w:val="18"/>
          <w:szCs w:val="18"/>
          <w:i w:val="1"/>
          <w:iCs w:val="1"/>
          <w:color w:val="auto"/>
        </w:rPr>
        <w:t xml:space="preserve"> </w:t>
      </w:r>
      <w:r>
        <w:rPr>
          <w:rFonts w:ascii="Arial" w:cs="Arial" w:eastAsia="Arial" w:hAnsi="Arial"/>
          <w:sz w:val="18"/>
          <w:szCs w:val="18"/>
          <w:color w:val="auto"/>
        </w:rPr>
        <w:t>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ingredients and packaging materials.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 Operating expenses include selling expenses such as distribution expenses to transport products to customers and warehousing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insurance, postage, depreciation and other general and administrative costs.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We account for share-based compensation arrangements in accordance with the provisions of SFAS No. 123R, “Share-Based Payment” which requires the measurement and recognition of compensation expense for all share-based payment awards to employees and directors based on estimated fair values. We use the Black-Scholes-Merton option pricing formula to estimate the fair value of our stock options at the date of grant. The Black-Scholes-Merton option pricing formula was developed for use in estimating the fair value of traded options that have no vesting restrictions and are fully transferable. Our employee stock options, however, have characteristics significantly different from those of traded options. For example, employee stock options are generally subject to vesting restrictions and are generally not transferable. In addition, option valuation models require the input of highly subjective assumptions, including the expected stock price volatility, the expected life of an option and the number of awards ultimately expected to vest. Changes in subjective input assumptions can materially affect the fair value estimates of an option. Furthermore, the estimated fair value of an option does not necessarily represent the value that will ultimately be realized by an employee. We use historical data to estimate the expected price volatility, the expected option life and the expected forfeiture rate. The risk-free rate is based on the U.S. Treasury yield curve in effect at the time of grant for the estimated life of the option. If actual results are not consistent with our assumptions</w:t>
      </w:r>
    </w:p>
    <w:p>
      <w:pPr>
        <w:sectPr>
          <w:pgSz w:w="11900" w:h="16926" w:orient="portrait"/>
          <w:cols w:equalWidth="0" w:num="1">
            <w:col w:w="10760"/>
          </w:cols>
          <w:pgMar w:left="900" w:top="125" w:right="239" w:bottom="0" w:gutter="0" w:footer="0" w:header="0"/>
        </w:sectPr>
      </w:pPr>
    </w:p>
    <w:bookmarkStart w:id="32" w:name="page33"/>
    <w:bookmarkEnd w:id="32"/>
    <w:p>
      <w:pPr>
        <w:jc w:val="both"/>
        <w:ind w:left="660" w:right="20"/>
        <w:spacing w:after="0" w:line="277" w:lineRule="auto"/>
        <w:rPr>
          <w:sz w:val="20"/>
          <w:szCs w:val="20"/>
          <w:color w:val="auto"/>
        </w:rPr>
      </w:pPr>
      <w:r>
        <w:rPr>
          <w:rFonts w:ascii="Arial" w:cs="Arial" w:eastAsia="Arial" w:hAnsi="Arial"/>
          <w:sz w:val="18"/>
          <w:szCs w:val="18"/>
          <w:color w:val="auto"/>
        </w:rPr>
        <w:t>and judgments used in estimating the key assumptions, we may be required to increase or decrease compensation expense or income tax expense, which could be material to our results of operations.</w:t>
      </w:r>
    </w:p>
    <w:p>
      <w:pPr>
        <w:spacing w:after="0" w:line="170"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Current income tax expense is the amount of income taxes expected to be payable for the current year. A deferred income tax asset</w:t>
      </w:r>
      <w:r>
        <w:rPr>
          <w:rFonts w:ascii="Arial" w:cs="Arial" w:eastAsia="Arial" w:hAnsi="Arial"/>
          <w:sz w:val="17"/>
          <w:szCs w:val="17"/>
          <w:i w:val="1"/>
          <w:iCs w:val="1"/>
          <w:color w:val="auto"/>
        </w:rPr>
        <w:t xml:space="preserve"> </w:t>
      </w:r>
      <w:r>
        <w:rPr>
          <w:rFonts w:ascii="Arial" w:cs="Arial" w:eastAsia="Arial" w:hAnsi="Arial"/>
          <w:sz w:val="17"/>
          <w:szCs w:val="17"/>
          <w:color w:val="auto"/>
        </w:rPr>
        <w:t>or liability is established for the expected future consequences of temporary differences in the financial reporting and tax bases of assets and liabilities. We consider future taxable income and ongoing, prudent and feasible tax planning strategies in assessing the value of our deferred tax assets. If we determine that it is more likely than not that these assets will not be realized, we will reduce the value of these assets to their expected realizable value, thereby decreasing net income. Evaluating the value of these assets is necessarily based on our judgment. If we subsequently determine that the deferred tax assets, which had been written down, would be realized in the future, the value of the deferred tax assets would be increased, thereby increasing net income in the period when that determination was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January 1, 2008, we adopted SFAS No. 157 for our financial assets and liabilities. Our adoption of SFAS No. 157 did not have a material impact on our financial position, results of operations or liquidity. In accordance with FASB Staff Position (“FSP”) No. FAS 157-2, “Effective Date of FASB</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Statement No. 157” (“FSP 157-2”), we elected to defer until January 1, 2009 the adoption of SFAS No. 157 for all nonfinancial assets and liabilities that are not recognized or disclosed at fair value in the financial statements on a recurring basis. The adoption of SFAS No. 157 for those assets and liabilities within the scope of FSP 157-2 is not expected to have a material impact on our financial position, results of operations or liquidity.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2008, the FASB issued FSP FAS No. 157-3, “Determining the Fair Value of a Financial Asset When the Market for that Asset is Not Active” (“FSP 157-3”), that clarifies the application of SFAS No. 157 in a market that is not active and provides an example to illustrate key considerations in determining the fair value of a financial asset when the market for that financial asset is not active. FSP 157-3 is effective upon issuance, including prior periods for which the financial statements have not been issued. The adoption of FSP 157-3 did not have a material impact on our financial position, results of operations or liquidity.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SFAS No. 157 provides a framework for measuring fair value and requires expanded disclosures regarding fair value measurements. SFAS No. 157 defines fair value as the price that would be received for an asset or the exit price that would be paid to transfer a liability in the principal or most advantageous market in an orderly transaction between market participants on the measurement date. SFAS No. 157 also establishes a fair value hierarchy which requires an entity to maximize the use of observable inputs, where available. The following summarizes the three levels of inputs required by the standard that we use to measure fair value.</w:t>
      </w:r>
    </w:p>
    <w:p>
      <w:pPr>
        <w:spacing w:after="0" w:line="184"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82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 observable market data for substantially the full term of the related assets or liabilities.</w:t>
      </w:r>
    </w:p>
    <w:p>
      <w:pPr>
        <w:spacing w:after="0" w:line="176"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SFAS No. 157 requires the use of observable market inputs (quoted market prices) when measuring fair value and requires a Level 1 quoted price to be used to measure fair value whenever possible.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2008, we adopted SFAS No. 159, “The Fair Value Option for Financial Assets and Financial Liabilities Including an Amendment of FASB Statement No. 115” (“SFAS No. 159”), which permits entities to choose to measure many financial instruments and certain other items at fair value. We already record marketable securities at fair value in accordance with SFAS No. 115, “Accounting for Certain Investments in Debt and Equity Securities.” The adoption of SFAS No. 159 did not have an impact on our consolidated financial statements as management did not elect the fair value option for any other financial instruments.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2008, the FASB issued SFAS No. 162, “The Hierarchy of Generally Accepted Accounting Principles” (“SFAS No. 162”). This standard is intended to improve financial reporting by identifying a consistent framework, or hierarchy, for selecting accounting principles to be used in preparing financial statements that are presented in conformity with accounting principles generally accepted in the United States of America (“GAAP”) for non-governmental entities. SFAS No. 162 is effective 60 days following the SEC’s approval of the Public Company Accounting Oversight Board’s (“PCAOB”) amendments to Interim Auditing Standards Section 411, “The Meaning of Present Fairly in Conformity with Generally Accepted Accounting Principles.” We do not expect the adoption of SFAS No. 162 to have a material impact on of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April 2008, the FASB issued FASB Staff Position No. FAS 142-3, “Determination of Useful Life of Intangible Assets” (“FSP 142-3”). FSP 142-3 amends the factors that should be considered in developing the renewal or extension assumptions used to determine the useful life of a recognized intangible asset under SFAS No.142, “Goodwill and Other Intangible Assets.” FSP 142-3 also requires expanded disclosure related to the determination of intangible asset useful lives. FSP 142-3 is effective for fiscal years beginning after December 15, 2008. Earlier adoption is not permitted. We do not expect the adoption of FSP 142-3 to have a material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set forth below discloses selected quarterly data regarding sales for the past five years. Data from any one or more quarters is not necessarily indicative of annual results or continuing trends.</w:t>
      </w:r>
    </w:p>
    <w:p>
      <w:pPr>
        <w:sectPr>
          <w:pgSz w:w="11900" w:h="16838" w:orient="portrait"/>
          <w:cols w:equalWidth="0" w:num="1">
            <w:col w:w="11420"/>
          </w:cols>
          <w:pgMar w:left="240" w:top="125" w:right="239" w:bottom="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or concentrate sold that will yield 192 U.S. fluid ounces of finished beverage. The Company defines unit case volume as the number of unit cases (or unit case equivalents) of beverages directly or indirectly sold by us. Sales of food bars, which have been discontinued and are not material, are expressed in actual cases.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 fluctuations on quarterly results may have been mitigated; however, such fluctuations may be more pronounced as the distribution of our products expands outside of California. Our experience with our energy drink products suggests they are less seasonal than traditional beverages. As the percentage of our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its finished products and changes in and/or increased advertising and promotional expenses. (See “Part I, Item 1 – Business – Seasonality”).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60" w:type="dxa"/>
            <w:vAlign w:val="bottom"/>
            <w:tcBorders>
              <w:bottom w:val="single" w:sz="8" w:color="CCEEFF"/>
            </w:tcBorders>
          </w:tcPr>
          <w:p>
            <w:pPr>
              <w:spacing w:after="0"/>
              <w:rPr>
                <w:sz w:val="20"/>
                <w:szCs w:val="20"/>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88"/>
              </w:rPr>
              <w:t>Unit Case Volume</w:t>
            </w:r>
          </w:p>
        </w:tc>
        <w:tc>
          <w:tcPr>
            <w:tcW w:w="2180" w:type="dxa"/>
            <w:vAlign w:val="bottom"/>
            <w:gridSpan w:val="3"/>
            <w:shd w:val="clear" w:color="auto" w:fill="CCEEFF"/>
          </w:tcPr>
          <w:p>
            <w:pPr>
              <w:ind w:left="60"/>
              <w:spacing w:after="0" w:line="156" w:lineRule="exact"/>
              <w:rPr>
                <w:sz w:val="20"/>
                <w:szCs w:val="20"/>
                <w:color w:val="auto"/>
              </w:rPr>
            </w:pPr>
            <w:r>
              <w:rPr>
                <w:rFonts w:ascii="Arial" w:cs="Arial" w:eastAsia="Arial" w:hAnsi="Arial"/>
                <w:sz w:val="18"/>
                <w:szCs w:val="18"/>
                <w:color w:val="auto"/>
                <w:w w:val="92"/>
              </w:rPr>
              <w:t>/ Case Sales (in Thousands)</w:t>
            </w:r>
          </w:p>
        </w:tc>
        <w:tc>
          <w:tcPr>
            <w:tcW w:w="1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1</w:t>
            </w:r>
          </w:p>
        </w:tc>
        <w:tc>
          <w:tcPr>
            <w:tcW w:w="20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22,274</w:t>
            </w:r>
          </w:p>
        </w:tc>
        <w:tc>
          <w:tcPr>
            <w:tcW w:w="12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gridSpan w:val="3"/>
          </w:tcPr>
          <w:p>
            <w:pPr>
              <w:jc w:val="right"/>
              <w:ind w:right="640"/>
              <w:spacing w:after="0"/>
              <w:rPr>
                <w:sz w:val="20"/>
                <w:szCs w:val="20"/>
                <w:color w:val="auto"/>
              </w:rPr>
            </w:pPr>
            <w:r>
              <w:rPr>
                <w:rFonts w:ascii="Arial" w:cs="Arial" w:eastAsia="Arial" w:hAnsi="Arial"/>
                <w:sz w:val="18"/>
                <w:szCs w:val="18"/>
                <w:color w:val="auto"/>
              </w:rPr>
              <w:t>19,396</w:t>
            </w:r>
          </w:p>
        </w:tc>
        <w:tc>
          <w:tcPr>
            <w:tcW w:w="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gridSpan w:val="3"/>
          </w:tcPr>
          <w:p>
            <w:pPr>
              <w:jc w:val="right"/>
              <w:ind w:right="660"/>
              <w:spacing w:after="0"/>
              <w:rPr>
                <w:sz w:val="20"/>
                <w:szCs w:val="20"/>
                <w:color w:val="auto"/>
              </w:rPr>
            </w:pPr>
            <w:r>
              <w:rPr>
                <w:rFonts w:ascii="Arial" w:cs="Arial" w:eastAsia="Arial" w:hAnsi="Arial"/>
                <w:sz w:val="18"/>
                <w:szCs w:val="18"/>
                <w:color w:val="auto"/>
              </w:rPr>
              <w:t>14,974</w:t>
            </w:r>
          </w:p>
        </w:tc>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9,295</w:t>
            </w: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5,368</w:t>
            </w:r>
          </w:p>
        </w:tc>
        <w:tc>
          <w:tcPr>
            <w:tcW w:w="60" w:type="dxa"/>
            <w:vAlign w:val="bottom"/>
            <w:tcBorders>
              <w:top w:val="single" w:sz="8" w:color="CCEEFF"/>
            </w:tcBorders>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2</w:t>
            </w: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28,726</w:t>
            </w:r>
          </w:p>
        </w:tc>
        <w:tc>
          <w:tcPr>
            <w:tcW w:w="1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26,950</w:t>
            </w:r>
          </w:p>
        </w:tc>
        <w:tc>
          <w:tcPr>
            <w:tcW w:w="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19,136</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6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Quarter 3</w:t>
            </w:r>
          </w:p>
        </w:tc>
        <w:tc>
          <w:tcPr>
            <w:tcW w:w="2060" w:type="dxa"/>
            <w:vAlign w:val="bottom"/>
            <w:gridSpan w:val="2"/>
          </w:tcPr>
          <w:p>
            <w:pPr>
              <w:jc w:val="right"/>
              <w:ind w:right="580"/>
              <w:spacing w:after="0"/>
              <w:rPr>
                <w:sz w:val="20"/>
                <w:szCs w:val="20"/>
                <w:color w:val="auto"/>
              </w:rPr>
            </w:pPr>
            <w:r>
              <w:rPr>
                <w:rFonts w:ascii="Arial" w:cs="Arial" w:eastAsia="Arial" w:hAnsi="Arial"/>
                <w:sz w:val="18"/>
                <w:szCs w:val="18"/>
                <w:color w:val="auto"/>
              </w:rPr>
              <w:t>28,009</w:t>
            </w:r>
          </w:p>
        </w:tc>
        <w:tc>
          <w:tcPr>
            <w:tcW w:w="120" w:type="dxa"/>
            <w:vAlign w:val="bottom"/>
          </w:tcPr>
          <w:p>
            <w:pPr>
              <w:spacing w:after="0"/>
              <w:rPr>
                <w:sz w:val="18"/>
                <w:szCs w:val="18"/>
                <w:color w:val="auto"/>
              </w:rPr>
            </w:pPr>
          </w:p>
        </w:tc>
        <w:tc>
          <w:tcPr>
            <w:tcW w:w="2560" w:type="dxa"/>
            <w:vAlign w:val="bottom"/>
            <w:gridSpan w:val="3"/>
          </w:tcPr>
          <w:p>
            <w:pPr>
              <w:jc w:val="right"/>
              <w:ind w:right="640"/>
              <w:spacing w:after="0"/>
              <w:rPr>
                <w:sz w:val="20"/>
                <w:szCs w:val="20"/>
                <w:color w:val="auto"/>
              </w:rPr>
            </w:pPr>
            <w:r>
              <w:rPr>
                <w:rFonts w:ascii="Arial" w:cs="Arial" w:eastAsia="Arial" w:hAnsi="Arial"/>
                <w:sz w:val="18"/>
                <w:szCs w:val="18"/>
                <w:color w:val="auto"/>
              </w:rPr>
              <w:t>26,450</w:t>
            </w:r>
          </w:p>
        </w:tc>
        <w:tc>
          <w:tcPr>
            <w:tcW w:w="20" w:type="dxa"/>
            <w:vAlign w:val="bottom"/>
          </w:tcPr>
          <w:p>
            <w:pPr>
              <w:spacing w:after="0"/>
              <w:rPr>
                <w:sz w:val="18"/>
                <w:szCs w:val="18"/>
                <w:color w:val="auto"/>
              </w:rPr>
            </w:pPr>
          </w:p>
        </w:tc>
        <w:tc>
          <w:tcPr>
            <w:tcW w:w="2720" w:type="dxa"/>
            <w:vAlign w:val="bottom"/>
            <w:gridSpan w:val="3"/>
          </w:tcPr>
          <w:p>
            <w:pPr>
              <w:jc w:val="right"/>
              <w:ind w:right="660"/>
              <w:spacing w:after="0"/>
              <w:rPr>
                <w:sz w:val="20"/>
                <w:szCs w:val="20"/>
                <w:color w:val="auto"/>
              </w:rPr>
            </w:pPr>
            <w:r>
              <w:rPr>
                <w:rFonts w:ascii="Arial" w:cs="Arial" w:eastAsia="Arial" w:hAnsi="Arial"/>
                <w:sz w:val="18"/>
                <w:szCs w:val="18"/>
                <w:color w:val="auto"/>
              </w:rPr>
              <w:t>21,176</w:t>
            </w:r>
          </w:p>
        </w:tc>
        <w:tc>
          <w:tcPr>
            <w:tcW w:w="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13,983</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8,916</w:t>
            </w:r>
          </w:p>
        </w:tc>
        <w:tc>
          <w:tcPr>
            <w:tcW w:w="6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4</w:t>
            </w: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23,650</w:t>
            </w:r>
          </w:p>
        </w:tc>
        <w:tc>
          <w:tcPr>
            <w:tcW w:w="1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25,657</w:t>
            </w:r>
          </w:p>
        </w:tc>
        <w:tc>
          <w:tcPr>
            <w:tcW w:w="2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17,454</w:t>
            </w: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60" w:type="dxa"/>
            <w:vAlign w:val="bottom"/>
            <w:shd w:val="clear" w:color="auto" w:fill="CCEEFF"/>
          </w:tcPr>
          <w:p>
            <w:pPr>
              <w:spacing w:after="0"/>
              <w:rPr>
                <w:sz w:val="18"/>
                <w:szCs w:val="18"/>
                <w:color w:val="auto"/>
              </w:rPr>
            </w:pPr>
          </w:p>
        </w:tc>
      </w:tr>
      <w:tr>
        <w:trPr>
          <w:trHeight w:val="250"/>
        </w:trPr>
        <w:tc>
          <w:tcPr>
            <w:tcW w:w="1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102,659</w:t>
            </w: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98,453</w:t>
            </w:r>
          </w:p>
        </w:tc>
        <w:tc>
          <w:tcPr>
            <w:tcW w:w="6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72,740</w:t>
            </w:r>
          </w:p>
        </w:tc>
        <w:tc>
          <w:tcPr>
            <w:tcW w:w="6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48,214</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29,760</w:t>
            </w:r>
          </w:p>
        </w:tc>
        <w:tc>
          <w:tcPr>
            <w:tcW w:w="60" w:type="dxa"/>
            <w:vAlign w:val="bottom"/>
            <w:tcBorders>
              <w:bottom w:val="single" w:sz="8" w:color="CCEEFF"/>
            </w:tcBorders>
          </w:tcPr>
          <w:p>
            <w:pPr>
              <w:spacing w:after="0"/>
              <w:rPr>
                <w:sz w:val="21"/>
                <w:szCs w:val="21"/>
                <w:color w:val="auto"/>
              </w:rPr>
            </w:pPr>
          </w:p>
        </w:tc>
      </w:tr>
      <w:tr>
        <w:trPr>
          <w:trHeight w:val="197"/>
        </w:trPr>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212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87"/>
              </w:rPr>
              <w:t>Net Revenues (in Thousands)</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212,178</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165,853</w:t>
            </w:r>
          </w:p>
        </w:tc>
        <w:tc>
          <w:tcPr>
            <w:tcW w:w="1200" w:type="dxa"/>
            <w:vAlign w:val="bottom"/>
            <w:gridSpan w:val="3"/>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119,746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60,014</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31,299</w:t>
            </w:r>
          </w:p>
        </w:tc>
        <w:tc>
          <w:tcPr>
            <w:tcW w:w="4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Quarter 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282,244</w:t>
            </w:r>
          </w:p>
        </w:tc>
        <w:tc>
          <w:tcPr>
            <w:tcW w:w="8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244,763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156,037</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85,441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46,064</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284,986</w:t>
            </w:r>
          </w:p>
        </w:tc>
        <w:tc>
          <w:tcPr>
            <w:tcW w:w="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178,647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52,641</w:t>
            </w:r>
          </w:p>
        </w:tc>
        <w:tc>
          <w:tcPr>
            <w:tcW w:w="4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Quarter 4¹</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254,372</w:t>
            </w:r>
          </w:p>
        </w:tc>
        <w:tc>
          <w:tcPr>
            <w:tcW w:w="8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246,638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151,344</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98,010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50,337</w:t>
            </w:r>
          </w:p>
        </w:tc>
        <w:tc>
          <w:tcPr>
            <w:tcW w:w="40" w:type="dxa"/>
            <w:vAlign w:val="bottom"/>
          </w:tcPr>
          <w:p>
            <w:pPr>
              <w:spacing w:after="0"/>
              <w:rPr>
                <w:sz w:val="18"/>
                <w:szCs w:val="18"/>
                <w:color w:val="auto"/>
              </w:rPr>
            </w:pPr>
          </w:p>
        </w:tc>
      </w:tr>
      <w:tr>
        <w:trPr>
          <w:trHeight w:val="210"/>
        </w:trPr>
        <w:tc>
          <w:tcPr>
            <w:tcW w:w="1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1,033,780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605,774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180,341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1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Average Price per Case</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1</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9.53</w:t>
            </w: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jc w:val="right"/>
              <w:ind w:right="70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8.55</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8.00</w:t>
            </w:r>
          </w:p>
        </w:tc>
        <w:tc>
          <w:tcPr>
            <w:tcW w:w="44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3"/>
          </w:tcPr>
          <w:p>
            <w:pPr>
              <w:ind w:left="660"/>
              <w:spacing w:after="0"/>
              <w:rPr>
                <w:sz w:val="20"/>
                <w:szCs w:val="20"/>
                <w:color w:val="auto"/>
              </w:rPr>
            </w:pPr>
            <w:r>
              <w:rPr>
                <w:rFonts w:ascii="Arial" w:cs="Arial" w:eastAsia="Arial" w:hAnsi="Arial"/>
                <w:sz w:val="18"/>
                <w:szCs w:val="18"/>
                <w:color w:val="auto"/>
                <w:w w:val="91"/>
              </w:rPr>
              <w:t>6.46</w:t>
            </w: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5.83</w:t>
            </w:r>
          </w:p>
        </w:tc>
        <w:tc>
          <w:tcPr>
            <w:tcW w:w="40" w:type="dxa"/>
            <w:vAlign w:val="bottom"/>
            <w:tcBorders>
              <w:top w:val="single" w:sz="8" w:color="CCEEFF"/>
            </w:tcBorders>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2</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8.15</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1"/>
              </w:rPr>
              <w:t>6.91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4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Quarter 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8.44</w:t>
            </w:r>
          </w:p>
        </w:tc>
        <w:tc>
          <w:tcPr>
            <w:tcW w:w="440" w:type="dxa"/>
            <w:vAlign w:val="bottom"/>
          </w:tcPr>
          <w:p>
            <w:pPr>
              <w:spacing w:after="0"/>
              <w:rPr>
                <w:sz w:val="18"/>
                <w:szCs w:val="18"/>
                <w:color w:val="auto"/>
              </w:rPr>
            </w:pPr>
          </w:p>
        </w:tc>
        <w:tc>
          <w:tcPr>
            <w:tcW w:w="1000" w:type="dxa"/>
            <w:vAlign w:val="bottom"/>
            <w:gridSpan w:val="3"/>
          </w:tcPr>
          <w:p>
            <w:pPr>
              <w:ind w:left="660"/>
              <w:spacing w:after="0"/>
              <w:rPr>
                <w:sz w:val="20"/>
                <w:szCs w:val="20"/>
                <w:color w:val="auto"/>
              </w:rPr>
            </w:pPr>
            <w:r>
              <w:rPr>
                <w:rFonts w:ascii="Arial" w:cs="Arial" w:eastAsia="Arial" w:hAnsi="Arial"/>
                <w:sz w:val="18"/>
                <w:szCs w:val="18"/>
                <w:color w:val="auto"/>
                <w:w w:val="91"/>
              </w:rPr>
              <w:t>7.54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Quarter 4</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1"/>
              </w:rPr>
              <w:t>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w:t>
            </w:r>
          </w:p>
        </w:tc>
        <w:tc>
          <w:tcPr>
            <w:tcW w:w="40" w:type="dxa"/>
            <w:vAlign w:val="bottom"/>
            <w:shd w:val="clear" w:color="auto" w:fill="CCEEFF"/>
          </w:tcPr>
          <w:p>
            <w:pPr>
              <w:spacing w:after="0"/>
              <w:rPr>
                <w:sz w:val="18"/>
                <w:szCs w:val="18"/>
                <w:color w:val="auto"/>
              </w:rPr>
            </w:pPr>
          </w:p>
        </w:tc>
      </w:tr>
      <w:tr>
        <w:trPr>
          <w:trHeight w:val="210"/>
        </w:trPr>
        <w:tc>
          <w:tcPr>
            <w:tcW w:w="13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8"/>
                <w:szCs w:val="18"/>
                <w:color w:val="auto"/>
                <w:w w:val="79"/>
              </w:rPr>
              <w:t>7.24</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06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¹Net revenues for the fourth quarter of 2008 included the recognition of $11.6 million of revenue related to the acceleration of the deferred revenue balance associated with certain of our prior distributors terminated in the fourth quarter of 2008. Average price per case exclusive of this recognition was $10.26 and $9.96 for the three-months and year ended December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inflation had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1933, as amended, and Section 21.E of the Securities Exchange Act of 1934, as amended)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 looking statements within the meaning of the Act. Without limiting the foregoing, the words “believes,” “thinks,” “anticipates,” “plans,” “expects,” and similar expressions are intended to identify forward-looking statements.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involve a number of risks, uncertainties and other factors,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could cause actual results and events to differ materially from the statements made including, but not limited to, the following:</w:t>
      </w:r>
    </w:p>
    <w:p>
      <w:pPr>
        <w:spacing w:after="0" w:line="225"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uncertainty and volatility in the national and global economy;</w:t>
      </w:r>
    </w:p>
    <w:p>
      <w:pPr>
        <w:spacing w:after="0" w:line="23" w:lineRule="exact"/>
        <w:rPr>
          <w:rFonts w:ascii="Arial" w:cs="Arial" w:eastAsia="Arial" w:hAnsi="Arial"/>
          <w:sz w:val="18"/>
          <w:szCs w:val="18"/>
          <w:color w:val="auto"/>
        </w:rPr>
      </w:pPr>
    </w:p>
    <w:p>
      <w:pPr>
        <w:ind w:left="340" w:hanging="332"/>
        <w:spacing w:after="0" w:line="265" w:lineRule="auto"/>
        <w:tabs>
          <w:tab w:leader="none" w:pos="3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Disruption in distribution or sales and/or decline in sales due to the termination of distribution agreements with certain of our existing distributors and the appointment of select Coca-Cola Bottlers and/or AB wholesalers as distributors for the territories of such terminated distributors.</w:t>
      </w: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acquisition of AB by InBev;</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anticipated demand for our products in international markets;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international regulations, including taxation requirements, tariffs or trade restrictions;</w:t>
      </w:r>
    </w:p>
    <w:p>
      <w:pPr>
        <w:sectPr>
          <w:pgSz w:w="11900" w:h="16838" w:orient="portrait"/>
          <w:cols w:equalWidth="0" w:num="1">
            <w:col w:w="11420"/>
          </w:cols>
          <w:pgMar w:left="240" w:top="125" w:right="239" w:bottom="0" w:gutter="0" w:footer="0" w:header="0"/>
        </w:sectPr>
      </w:pPr>
    </w:p>
    <w:bookmarkStart w:id="34" w:name="page35"/>
    <w:bookmarkEnd w:id="34"/>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 or other governmental agencies;</w:t>
      </w:r>
    </w:p>
    <w:p>
      <w:pPr>
        <w:spacing w:after="0" w:line="23" w:lineRule="exact"/>
        <w:rPr>
          <w:rFonts w:ascii="Arial" w:cs="Arial" w:eastAsia="Arial" w:hAnsi="Arial"/>
          <w:sz w:val="18"/>
          <w:szCs w:val="18"/>
          <w:color w:val="auto"/>
        </w:rPr>
      </w:pPr>
    </w:p>
    <w:p>
      <w:pPr>
        <w:ind w:left="340" w:hanging="332"/>
        <w:spacing w:after="0" w:line="250" w:lineRule="auto"/>
        <w:tabs>
          <w:tab w:leader="none" w:pos="4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the shareholder derivative actions and shareholders securities litigation filed against us and/or certain of our officers and directors, and the possibility of other private litigation;</w:t>
      </w: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future auctions of auction rate securities and/or our ability to recover payment thereunder;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address any significant deficiencies or material weakness in our internal control over financial reporting;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support capital expansion plans and general operating activities;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our products resulting from changes in consumer preferences or from decreased consumer discretionary spending power;</w:t>
      </w:r>
    </w:p>
    <w:p>
      <w:pPr>
        <w:spacing w:after="0" w:line="20" w:lineRule="exact"/>
        <w:rPr>
          <w:rFonts w:ascii="Arial" w:cs="Arial" w:eastAsia="Arial" w:hAnsi="Arial"/>
          <w:sz w:val="17"/>
          <w:szCs w:val="17"/>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that are weather related, particularly in areas outside of California;</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Competitive products and pricing pressures and our ability to gain or maintain our share of sales in the marketplace as a result of actions by competitors;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340" w:hanging="332"/>
        <w:spacing w:after="0" w:line="250" w:lineRule="auto"/>
        <w:tabs>
          <w:tab w:leader="none" w:pos="3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of our Monster Energy® brand energy drinks and our Java Monster™ line of non-carbonated dairy based coffee drinks;</w:t>
      </w:r>
    </w:p>
    <w:p>
      <w:pPr>
        <w:jc w:val="both"/>
        <w:ind w:left="340" w:hanging="332"/>
        <w:spacing w:after="0" w:line="281" w:lineRule="auto"/>
        <w:tabs>
          <w:tab w:leader="none" w:pos="3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 laws, especially those that may affect the way in which our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 and/or any other countries in which we decide to sell our products;</w:t>
      </w:r>
    </w:p>
    <w:p>
      <w:pPr>
        <w:spacing w:after="0" w:line="4" w:lineRule="exact"/>
        <w:rPr>
          <w:rFonts w:ascii="Arial" w:cs="Arial" w:eastAsia="Arial" w:hAnsi="Arial"/>
          <w:sz w:val="16"/>
          <w:szCs w:val="16"/>
          <w:color w:val="auto"/>
        </w:rPr>
      </w:pPr>
    </w:p>
    <w:p>
      <w:pPr>
        <w:ind w:left="340" w:right="20" w:hanging="332"/>
        <w:spacing w:after="0" w:line="250" w:lineRule="auto"/>
        <w:tabs>
          <w:tab w:leader="none" w:pos="3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cost and availability of containers, packaging materials, raw materials and juice concentrates, and the ability to maintain favorable supply arrangements and relationships and procure timely and/or adequate production of all or any of our products;</w:t>
      </w:r>
    </w:p>
    <w:p>
      <w:pPr>
        <w:ind w:left="340" w:hanging="332"/>
        <w:spacing w:after="0" w:line="265" w:lineRule="auto"/>
        <w:tabs>
          <w:tab w:leader="none" w:pos="479"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achieve earnings forecasts, which may be based on projected volumes and sales of many product types and/or new products, certain of which are more profitable than others; there can be no assurance that we will achieve projected levels or mixes of product sales;</w:t>
      </w: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penetrate new markets;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marketing efforts of distributors of our products, most of which distribute products that are competitive with our products;</w:t>
      </w:r>
    </w:p>
    <w:p>
      <w:pPr>
        <w:spacing w:after="0" w:line="9" w:lineRule="exact"/>
        <w:rPr>
          <w:rFonts w:ascii="Arial" w:cs="Arial" w:eastAsia="Arial" w:hAnsi="Arial"/>
          <w:sz w:val="18"/>
          <w:szCs w:val="18"/>
          <w:color w:val="auto"/>
        </w:rPr>
      </w:pPr>
    </w:p>
    <w:p>
      <w:pPr>
        <w:ind w:left="340" w:hanging="332"/>
        <w:spacing w:after="0" w:line="250" w:lineRule="auto"/>
        <w:tabs>
          <w:tab w:leader="none" w:pos="3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Unilateral decisions by distributors, convenience chains, grocery chains, specialty chain stores, club stores and other customers to discontinue carrying all or any of our products that they are carrying at any time;</w:t>
      </w: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and/or availability of our credit facility and the actions of our creditors;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advertising, marketing and promotional programs;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economic and political changes;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recalls of our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protect and/or the loss of our intellectual property rights;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retain the full-time services of our senior management and inability to immediately find suitable replacements;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or other opportunities;</w:t>
      </w:r>
    </w:p>
    <w:p>
      <w:pPr>
        <w:spacing w:after="0" w:line="9" w:lineRule="exact"/>
        <w:rPr>
          <w:rFonts w:ascii="Arial" w:cs="Arial" w:eastAsia="Arial" w:hAnsi="Arial"/>
          <w:sz w:val="18"/>
          <w:szCs w:val="18"/>
          <w:color w:val="auto"/>
        </w:rPr>
      </w:pPr>
    </w:p>
    <w:p>
      <w:pPr>
        <w:ind w:left="340" w:hanging="332"/>
        <w:spacing w:after="0" w:line="250" w:lineRule="auto"/>
        <w:tabs>
          <w:tab w:leader="none" w:pos="3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bottlers and contract packers to manufacture our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or legal proceedings;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expected implementation costs of the SAP system; conversion problems related to the SAP system that could disrupt the Company’s business and negatively impact customer relationships; the Company’s inability to complete the SAP implementation in the expected timeframe, which could negatively impact the Company’s operations and abilities to operate efficiently and measure performance.</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6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glucose, sucrose and milk and cream, which are used in many of our products) and limited availability of certain raw materials. We are also subject to market risks with respect to the cost of commodities because our ability to recover increased costs through higher pricing is limited by the competitive environment in which we operate. In addition, we are subject to other risks associated with the business environment in which we operate, including the collectability of accounts receivable.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use derivative financial instruments to protect ourselves from fluctuations in interest rates and do not hedge against fluctuations in commodity prices. We do not use hedging agreements or alternative instruments to manage the risks associated with securing sufficient ingredients or raw materials, including, but not limited to, cans, PET plastic bottles, glass, labels, sucrose, glucose, sucralose, flavors, supplements, certain sweeteners or packaging arrangements, or protecting against shortages of such ingredients or raw materials.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5" w:name="page36"/>
    <w:bookmarkEnd w:id="35"/>
    <w:p>
      <w:pPr>
        <w:jc w:val="both"/>
        <w:ind w:firstLine="648"/>
        <w:spacing w:after="0" w:line="276" w:lineRule="auto"/>
        <w:rPr>
          <w:sz w:val="20"/>
          <w:szCs w:val="20"/>
          <w:color w:val="auto"/>
        </w:rPr>
      </w:pPr>
      <w:r>
        <w:rPr>
          <w:rFonts w:ascii="Arial" w:cs="Arial" w:eastAsia="Arial" w:hAnsi="Arial"/>
          <w:sz w:val="17"/>
          <w:szCs w:val="17"/>
          <w:color w:val="auto"/>
        </w:rPr>
        <w:t>Our gross sales to customers outside of the United States were approximately 8.2% of consolidated gross sales for the year ended December 31, 2008. Our growth strategy includes expanding our international business. As a result, we are subject to risk from changes in foreign exchange rates. These changes result in cumulative translation adjustments, which are included in accumulated other comprehensive income (loss). We do not consider the potential loss resulting from a hypothetical 10% adverse change in quoted foreign currency exchange rates, as of December 31, 2008, to be significant. For the year ended December 31, 2008 we did not use derivative financial instruments to reduce our net exposure to currency fluctuations.</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primarily exposed to market risks from fluctuations in interest rates and the effects of those fluctuations on the market values of our short term investments. Certain of our short term investments are subject to interest rate risk because these investments generally include a fixed interest rate. As a result, the market values of these investments are affected by changes in prevailing interest rates.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2008, we had $256.8 million in cash and cash equivalents and $118.7 million in short- and long-term investments. We have historically invested these amounts in U.S. government agencies, municipal securities or notes (which may have an auction reset feature), corporate notes and bonds, commercial paper and money market funds meeting certain criteria. Certain of these investments are subject to general credit, liquidity, market and interest rate risks, which may be exacerbated by U.S. sub-prime mortgage defaults that have affected various sectors of the financial markets and caused credit and liquidity issues.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applicable interest rate on auction rate securities is reset at pre-determined intervals, usually every 7 to 35 days. Liquidity for auction rate securities was typically provided by an auction process which allowed holders to sell their notes. During the year ended December 31, 2008, a large portion of the auctions for these auction rate securities failed. Based on an assessment of fair value as of December 31, 2008, we determined that there was a decline in fair value of our auction rate securities of $14.9 million. We determined that of the $14.9 million decline in fair value of our auction rate securities, $14.4 million was deemed temporary. This amount has been recorded, net of a tax benefit of $5.7 million, as a component of other comprehensive loss for the year ended December 31, 2008. In addition, we determined that the remaining $0.5 million was other than temporary and recorded a charge in other income and expense, net, for the year ended December 31, 2008. There is no assurance that auctions on the remaining auction rate securities in our investment portfolio will succeed. These market risks associated with our investment portfolio may have a negative adverse effect on our future results of operations, liquidity and financial condition. (See “Part I, Item 1A Risk Factors — </w:t>
      </w:r>
      <w:r>
        <w:rPr>
          <w:rFonts w:ascii="Arial" w:cs="Arial" w:eastAsia="Arial" w:hAnsi="Arial"/>
          <w:sz w:val="17"/>
          <w:szCs w:val="17"/>
          <w:i w:val="1"/>
          <w:iCs w:val="1"/>
          <w:color w:val="auto"/>
        </w:rPr>
        <w:t>Our investments in marketable debt securities are subject to risks which may cause losses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affect the liquidity of these investments” </w:t>
      </w:r>
      <w:r>
        <w:rPr>
          <w:rFonts w:ascii="Arial" w:cs="Arial" w:eastAsia="Arial" w:hAnsi="Arial"/>
          <w:sz w:val="17"/>
          <w:szCs w:val="17"/>
          <w:color w:val="auto"/>
        </w:rPr>
        <w:t>and “Part I, Item 7 — Management’s Discussion and Analysis of Financial Condition and Results of Operations —</w:t>
      </w:r>
      <w:r>
        <w:rPr>
          <w:rFonts w:ascii="Arial" w:cs="Arial" w:eastAsia="Arial" w:hAnsi="Arial"/>
          <w:sz w:val="17"/>
          <w:szCs w:val="17"/>
          <w:i w:val="1"/>
          <w:iCs w:val="1"/>
          <w:color w:val="auto"/>
        </w:rPr>
        <w:t xml:space="preserve"> </w:t>
      </w:r>
      <w:r>
        <w:rPr>
          <w:rFonts w:ascii="Arial" w:cs="Arial" w:eastAsia="Arial" w:hAnsi="Arial"/>
          <w:sz w:val="17"/>
          <w:szCs w:val="17"/>
          <w:color w:val="auto"/>
        </w:rPr>
        <w:t>Liquidity and Capital Resources”).</w:t>
      </w:r>
    </w:p>
    <w:p>
      <w:pPr>
        <w:spacing w:after="0" w:line="17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to be furnished in response to this ITEM 8 follows the signature page hereto at pages 74 through 109.</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 Company’s management,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SEC rules and forms and (2) is accumulated and communicated to our management, including 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and principal financial officers as appropriate to allow timely decisions regarding required disclosures.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 There were no changes in internal control over financial reporting that occurred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period covered by this report that have materially affected, or are reasonably likely to materially affect, our internal control over financial reporting.</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 Our management is responsible for establishing and maintaining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2008,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management’s evaluation under the framework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 December 31, 2008.</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internal control over financial reporting as of December 31, 2008, has been audited by Deloitte &amp; Touche LLP, an independent registered public accounting firm, as stated in their report which is included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ectPr>
          <w:pgSz w:w="11900" w:h="16838" w:orient="portrait"/>
          <w:cols w:equalWidth="0" w:num="1">
            <w:col w:w="11420"/>
          </w:cols>
          <w:pgMar w:left="240" w:top="584" w:right="239" w:bottom="0" w:gutter="0" w:footer="0" w:header="0"/>
        </w:sectPr>
      </w:pPr>
    </w:p>
    <w:bookmarkStart w:id="36" w:name="page37"/>
    <w:bookmarkEnd w:id="36"/>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Hansen Natural Corporation and subsidiaries (the “Company”) as of December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2008 of the Company and our report dated February 27, 2009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regarding our directors is included under the caption “Proposal One — Election of Directors” in our Proxy Statement for our 2009 Annual Meeting of Stockholders to be filed with the SEC within 120 days after the end of the fiscal year ended December 31, 2008 (the “2009 Proxy Statement”) and is incorporated herein by reference.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concerning compliance with Section 16(a) of the Securities Exchange Act of 1934 is included under the caption “Section 16(a) Beneficial Ownership Reporting Compliance” in our 2009 Proxy Statement and is incorporated herein by reference.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2009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Code of Business Conduct and Ethics that applies to all our directors, officers (including its principal executive officer, principal financial officer and controllers) and employees and is available at http://www.hansens.com. The Code of Business Conduct and Ethics and any amendment to the Code of Business Conduct and Ethics, as well as any waivers that are required to be disclosed by the rules of the SEC or NASDAQ may be obtained at no cost to you by writing or telephoning us at the following address or telephone number: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Hansen Natural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Monica Circle, Suite 201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Corona, CA 92880</w:t>
      </w:r>
    </w:p>
    <w:p>
      <w:pPr>
        <w:spacing w:after="0" w:line="9" w:lineRule="exact"/>
        <w:rPr>
          <w:sz w:val="20"/>
          <w:szCs w:val="20"/>
          <w:color w:val="auto"/>
        </w:rPr>
      </w:pPr>
    </w:p>
    <w:p>
      <w:pPr>
        <w:ind w:left="5580" w:hanging="428"/>
        <w:spacing w:after="0"/>
        <w:tabs>
          <w:tab w:leader="none" w:pos="5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739-6200</w:t>
      </w:r>
    </w:p>
    <w:p>
      <w:pPr>
        <w:spacing w:after="0" w:line="9" w:lineRule="exact"/>
        <w:rPr>
          <w:rFonts w:ascii="Arial" w:cs="Arial" w:eastAsia="Arial" w:hAnsi="Arial"/>
          <w:sz w:val="18"/>
          <w:szCs w:val="18"/>
          <w:color w:val="auto"/>
        </w:rPr>
      </w:pPr>
    </w:p>
    <w:p>
      <w:pPr>
        <w:ind w:left="5520" w:hanging="438"/>
        <w:spacing w:after="0"/>
        <w:tabs>
          <w:tab w:leader="none" w:pos="5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HANSENS</w:t>
      </w:r>
    </w:p>
    <w:p>
      <w:pPr>
        <w:spacing w:after="0" w:line="9" w:lineRule="exact"/>
        <w:rPr>
          <w:rFonts w:ascii="Arial" w:cs="Arial" w:eastAsia="Arial" w:hAnsi="Arial"/>
          <w:sz w:val="18"/>
          <w:szCs w:val="18"/>
          <w:color w:val="auto"/>
        </w:rPr>
      </w:pPr>
    </w:p>
    <w:p>
      <w:pPr>
        <w:ind w:left="5580" w:hanging="428"/>
        <w:spacing w:after="0"/>
        <w:tabs>
          <w:tab w:leader="none" w:pos="5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426-7367</w:t>
      </w:r>
    </w:p>
    <w:p>
      <w:pPr>
        <w:sectPr>
          <w:pgSz w:w="11900" w:h="16838" w:orient="portrait"/>
          <w:cols w:equalWidth="0" w:num="1">
            <w:col w:w="11420"/>
          </w:cols>
          <w:pgMar w:left="240" w:top="341" w:right="239" w:bottom="0" w:gutter="0" w:footer="0" w:header="0"/>
        </w:sectPr>
      </w:pPr>
    </w:p>
    <w:bookmarkStart w:id="37" w:name="page38"/>
    <w:bookmarkEnd w:id="37"/>
    <w:p>
      <w:pPr>
        <w:spacing w:after="0" w:line="1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concerning the compensation of our directors and executive officers and Compensation Committee Interlocks and Insider Participation is reported under “Compensation Discussion and Analysis,” and “Compensation Committee,” respectively, in our 2009 Proxy Statement and is incorporated herein by reference.</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 set forth in Item 5, “Market for the Registrant’s Common Equity, Related Stockholder Matters and Issuer Repurchases of Equity Securities”, of this report is incorporated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“Principal Stockholders and Security Ownership of Management” in our 2009 Proxy Statement and is incorporated herein by reference.</w:t>
      </w:r>
    </w:p>
    <w:p>
      <w:pPr>
        <w:spacing w:after="0" w:line="18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concerning certain relationships and related transactions is reported under “Certain Relationships and Related Transactions and Director Independence” in our 2009 Proxy Statement and is incorporated herein by reference.</w:t>
      </w:r>
    </w:p>
    <w:p>
      <w:pPr>
        <w:spacing w:after="0" w:line="16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concerning our accounting fees and our Audit Committee’s pre-approval of audit and permissible non-audit services of independent auditors is reported under “Principal Accounting Firm Fees” and “Pre-Approval of Audit and Non-Audit Services,” respectively, in our 2009 Proxy Statement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7480" w:type="dxa"/>
            <w:vAlign w:val="bottom"/>
            <w:gridSpan w:val="2"/>
          </w:tcPr>
          <w:p>
            <w:pPr>
              <w:spacing w:after="0"/>
              <w:rPr>
                <w:sz w:val="20"/>
                <w:szCs w:val="20"/>
                <w:color w:val="auto"/>
              </w:rPr>
            </w:pPr>
            <w:r>
              <w:rPr>
                <w:rFonts w:ascii="Arial" w:cs="Arial" w:eastAsia="Arial" w:hAnsi="Arial"/>
                <w:sz w:val="18"/>
                <w:szCs w:val="18"/>
                <w:color w:val="auto"/>
              </w:rPr>
              <w:t>The following documents are filed as a part of this Form 10-K:</w:t>
            </w:r>
          </w:p>
        </w:tc>
        <w:tc>
          <w:tcPr>
            <w:tcW w:w="3120" w:type="dxa"/>
            <w:vAlign w:val="bottom"/>
          </w:tcPr>
          <w:p>
            <w:pPr>
              <w:spacing w:after="0"/>
              <w:rPr>
                <w:sz w:val="20"/>
                <w:szCs w:val="20"/>
                <w:color w:val="auto"/>
              </w:rPr>
            </w:pPr>
          </w:p>
        </w:tc>
      </w:tr>
      <w:tr>
        <w:trPr>
          <w:trHeight w:val="392"/>
        </w:trPr>
        <w:tc>
          <w:tcPr>
            <w:tcW w:w="620" w:type="dxa"/>
            <w:vAlign w:val="bottom"/>
          </w:tcPr>
          <w:p>
            <w:pPr>
              <w:spacing w:after="0"/>
              <w:rPr>
                <w:sz w:val="24"/>
                <w:szCs w:val="24"/>
                <w:color w:val="auto"/>
              </w:rPr>
            </w:pPr>
          </w:p>
        </w:tc>
        <w:tc>
          <w:tcPr>
            <w:tcW w:w="748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53"/>
        </w:trPr>
        <w:tc>
          <w:tcPr>
            <w:tcW w:w="620" w:type="dxa"/>
            <w:vAlign w:val="bottom"/>
          </w:tcPr>
          <w:p>
            <w:pPr>
              <w:spacing w:after="0"/>
              <w:rPr>
                <w:sz w:val="24"/>
                <w:szCs w:val="24"/>
                <w:color w:val="auto"/>
              </w:rPr>
            </w:pPr>
          </w:p>
        </w:tc>
        <w:tc>
          <w:tcPr>
            <w:tcW w:w="42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Statements:</w:t>
            </w:r>
          </w:p>
        </w:tc>
        <w:tc>
          <w:tcPr>
            <w:tcW w:w="328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4640" w:type="dxa"/>
            <w:vAlign w:val="bottom"/>
            <w:tcBorders>
              <w:bottom w:val="single" w:sz="8" w:color="0000EE"/>
            </w:tcBorders>
            <w:gridSpan w:val="2"/>
          </w:tcPr>
          <w:p>
            <w:pPr>
              <w:spacing w:after="0" w:line="17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December 31, 2008 and 2007</w:t>
              </w:r>
            </w:hyperlink>
          </w:p>
        </w:tc>
        <w:tc>
          <w:tcPr>
            <w:tcW w:w="4320" w:type="dxa"/>
            <w:vAlign w:val="bottom"/>
            <w:gridSpan w:val="6"/>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74</w:t>
            </w:r>
          </w:p>
        </w:tc>
      </w:tr>
      <w:tr>
        <w:trPr>
          <w:trHeight w:val="196"/>
        </w:trPr>
        <w:tc>
          <w:tcPr>
            <w:tcW w:w="180" w:type="dxa"/>
            <w:vAlign w:val="bottom"/>
          </w:tcPr>
          <w:p>
            <w:pPr>
              <w:spacing w:after="0"/>
              <w:rPr>
                <w:sz w:val="17"/>
                <w:szCs w:val="17"/>
                <w:color w:val="auto"/>
              </w:rPr>
            </w:pPr>
          </w:p>
        </w:tc>
        <w:tc>
          <w:tcPr>
            <w:tcW w:w="8960" w:type="dxa"/>
            <w:vAlign w:val="bottom"/>
            <w:gridSpan w:val="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Income for the years ended December 31, 2008,2007 and 2006</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1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Stockholders’ Equity for the years ended December 31, 2008, 2007 and 2006</w:t>
              </w:r>
            </w:hyperlink>
          </w:p>
        </w:tc>
        <w:tc>
          <w:tcPr>
            <w:tcW w:w="1380" w:type="dxa"/>
            <w:vAlign w:val="bottom"/>
            <w:gridSpan w:val="2"/>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 w:type="dxa"/>
            <w:vAlign w:val="bottom"/>
          </w:tcPr>
          <w:p>
            <w:pPr>
              <w:spacing w:after="0"/>
              <w:rPr>
                <w:sz w:val="17"/>
                <w:szCs w:val="17"/>
                <w:color w:val="auto"/>
              </w:rPr>
            </w:pPr>
          </w:p>
        </w:tc>
        <w:tc>
          <w:tcPr>
            <w:tcW w:w="8960" w:type="dxa"/>
            <w:vAlign w:val="bottom"/>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Income for the years ended December 31, 2008, 2007 and 2006</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8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Statements of Cash Flows for the years ended December 31, 2008, 2007 and 2006</w:t>
              </w:r>
            </w:hyperlink>
          </w:p>
        </w:tc>
        <w:tc>
          <w:tcPr>
            <w:tcW w:w="860" w:type="dxa"/>
            <w:vAlign w:val="bottom"/>
            <w:tcBorders>
              <w:top w:val="single" w:sz="8" w:color="0000EE"/>
            </w:tcBorders>
            <w:gridSpan w:val="2"/>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5820" w:type="dxa"/>
            <w:vAlign w:val="bottom"/>
            <w:gridSpan w:val="7"/>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438"/>
        </w:trPr>
        <w:tc>
          <w:tcPr>
            <w:tcW w:w="9140" w:type="dxa"/>
            <w:vAlign w:val="bottom"/>
            <w:gridSpan w:val="9"/>
          </w:tcPr>
          <w:p>
            <w:pPr>
              <w:spacing w:after="0"/>
              <w:rPr>
                <w:sz w:val="20"/>
                <w:szCs w:val="20"/>
                <w:color w:val="auto"/>
              </w:rPr>
            </w:pPr>
            <w:r>
              <w:rPr>
                <w:rFonts w:ascii="Arial" w:cs="Arial" w:eastAsia="Arial" w:hAnsi="Arial"/>
                <w:sz w:val="18"/>
                <w:szCs w:val="18"/>
                <w:color w:val="auto"/>
              </w:rPr>
              <w:t>Financial Statement Schedule:</w:t>
            </w:r>
          </w:p>
        </w:tc>
        <w:tc>
          <w:tcPr>
            <w:tcW w:w="146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6580" w:type="dxa"/>
            <w:vAlign w:val="bottom"/>
            <w:tcBorders>
              <w:bottom w:val="single" w:sz="8" w:color="0000EE"/>
            </w:tcBorders>
            <w:gridSpan w:val="4"/>
          </w:tcPr>
          <w:p>
            <w:pPr>
              <w:spacing w:after="0" w:line="190"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Valuation and Qualifying Accounts for the years ended December 31, 2008, 2007 and 2006</w:t>
              </w:r>
            </w:hyperlink>
          </w:p>
        </w:tc>
        <w:tc>
          <w:tcPr>
            <w:tcW w:w="2380" w:type="dxa"/>
            <w:vAlign w:val="bottom"/>
            <w:gridSpan w:val="4"/>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8"/>
                <w:szCs w:val="18"/>
                <w:color w:val="auto"/>
              </w:rPr>
              <w:t>108</w:t>
            </w: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Exhibits:</w:t>
      </w:r>
    </w:p>
    <w:p>
      <w:pPr>
        <w:spacing w:after="0" w:line="23" w:lineRule="exact"/>
        <w:rPr>
          <w:sz w:val="20"/>
          <w:szCs w:val="20"/>
          <w:color w:val="auto"/>
        </w:rPr>
      </w:pPr>
    </w:p>
    <w:p>
      <w:pPr>
        <w:ind w:left="980" w:right="1040"/>
        <w:spacing w:after="0" w:line="261" w:lineRule="auto"/>
        <w:rPr>
          <w:sz w:val="20"/>
          <w:szCs w:val="20"/>
          <w:color w:val="auto"/>
        </w:rPr>
      </w:pPr>
      <w:r>
        <w:rPr>
          <w:rFonts w:ascii="Arial" w:cs="Arial" w:eastAsia="Arial" w:hAnsi="Arial"/>
          <w:sz w:val="18"/>
          <w:szCs w:val="18"/>
          <w:color w:val="auto"/>
        </w:rPr>
        <w:t>The Exhibits listed in the Index of Exhibits, which appears immediately following the signature page and is incorporated herein by reference, as filed as part of this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HANSEN NATURAL CORPORATION</w:t>
            </w:r>
          </w:p>
        </w:tc>
        <w:tc>
          <w:tcPr>
            <w:tcW w:w="37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92"/>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/s/ RODNEY C. SACKS</w:t>
            </w:r>
          </w:p>
        </w:tc>
        <w:tc>
          <w:tcPr>
            <w:tcW w:w="3720" w:type="dxa"/>
            <w:vAlign w:val="bottom"/>
          </w:tcPr>
          <w:p>
            <w:pPr>
              <w:ind w:left="480"/>
              <w:spacing w:after="0"/>
              <w:rPr>
                <w:sz w:val="20"/>
                <w:szCs w:val="20"/>
                <w:color w:val="auto"/>
              </w:rPr>
            </w:pPr>
            <w:r>
              <w:rPr>
                <w:rFonts w:ascii="Arial" w:cs="Arial" w:eastAsia="Arial" w:hAnsi="Arial"/>
                <w:sz w:val="18"/>
                <w:szCs w:val="18"/>
                <w:color w:val="auto"/>
              </w:rPr>
              <w:t>Rodney C. Sacks</w:t>
            </w:r>
          </w:p>
        </w:tc>
        <w:tc>
          <w:tcPr>
            <w:tcW w:w="3160" w:type="dxa"/>
            <w:vAlign w:val="bottom"/>
          </w:tcPr>
          <w:p>
            <w:pPr>
              <w:ind w:left="1580"/>
              <w:spacing w:after="0"/>
              <w:rPr>
                <w:sz w:val="20"/>
                <w:szCs w:val="20"/>
                <w:color w:val="auto"/>
              </w:rPr>
            </w:pPr>
            <w:r>
              <w:rPr>
                <w:rFonts w:ascii="Arial" w:cs="Arial" w:eastAsia="Arial" w:hAnsi="Arial"/>
                <w:sz w:val="18"/>
                <w:szCs w:val="18"/>
                <w:color w:val="auto"/>
                <w:w w:val="92"/>
              </w:rPr>
              <w:t>Date:  March 2, 2009</w:t>
            </w:r>
          </w:p>
        </w:tc>
      </w:tr>
      <w:tr>
        <w:trPr>
          <w:trHeight w:val="237"/>
        </w:trPr>
        <w:tc>
          <w:tcPr>
            <w:tcW w:w="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720" w:type="dxa"/>
            <w:vAlign w:val="bottom"/>
          </w:tcPr>
          <w:p>
            <w:pPr>
              <w:ind w:left="480"/>
              <w:spacing w:after="0"/>
              <w:rPr>
                <w:sz w:val="20"/>
                <w:szCs w:val="20"/>
                <w:color w:val="auto"/>
              </w:rPr>
            </w:pPr>
            <w:r>
              <w:rPr>
                <w:rFonts w:ascii="Arial" w:cs="Arial" w:eastAsia="Arial" w:hAnsi="Arial"/>
                <w:sz w:val="18"/>
                <w:szCs w:val="18"/>
                <w:color w:val="auto"/>
              </w:rPr>
              <w:t>Chairman of the Board</w:t>
            </w:r>
          </w:p>
        </w:tc>
        <w:tc>
          <w:tcPr>
            <w:tcW w:w="316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080" w:type="dxa"/>
            <w:vAlign w:val="bottom"/>
          </w:tcPr>
          <w:p>
            <w:pPr>
              <w:spacing w:after="0"/>
              <w:rPr>
                <w:sz w:val="17"/>
                <w:szCs w:val="17"/>
                <w:color w:val="auto"/>
              </w:rPr>
            </w:pP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Title</w:t>
            </w:r>
          </w:p>
        </w:tc>
        <w:tc>
          <w:tcPr>
            <w:tcW w:w="16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RODNEY C. SACKS</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Chairman of the Board of</w:t>
            </w:r>
          </w:p>
        </w:tc>
        <w:tc>
          <w:tcPr>
            <w:tcW w:w="34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Arial" w:cs="Arial" w:eastAsia="Arial" w:hAnsi="Arial"/>
                <w:sz w:val="18"/>
                <w:szCs w:val="18"/>
                <w:color w:val="auto"/>
                <w:w w:val="90"/>
              </w:rPr>
              <w:t>March 2, 2009</w:t>
            </w:r>
          </w:p>
        </w:tc>
      </w:tr>
      <w:tr>
        <w:trPr>
          <w:trHeight w:val="224"/>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Rodney C. Sacks</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rPr>
              <w:t>Directors and Chief Executive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ectPr>
          <w:pgSz w:w="11900" w:h="16858" w:orient="portrait"/>
          <w:cols w:equalWidth="0" w:num="1">
            <w:col w:w="11420"/>
          </w:cols>
          <w:pgMar w:left="240" w:top="121" w:right="239" w:bottom="0" w:gutter="0" w:footer="0" w:header="0"/>
        </w:sectPr>
      </w:pPr>
    </w:p>
    <w:bookmarkStart w:id="38" w:name="page39"/>
    <w:bookmarkEnd w:id="38"/>
    <w:p>
      <w:pPr>
        <w:ind w:left="4100"/>
        <w:spacing w:after="0"/>
        <w:rPr>
          <w:sz w:val="20"/>
          <w:szCs w:val="20"/>
          <w:color w:val="auto"/>
        </w:rPr>
      </w:pPr>
      <w:r>
        <w:rPr>
          <w:rFonts w:ascii="Arial" w:cs="Arial" w:eastAsia="Arial" w:hAnsi="Arial"/>
          <w:sz w:val="18"/>
          <w:szCs w:val="18"/>
          <w:color w:val="auto"/>
        </w:rPr>
        <w:t>Officer (principal executive</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HILTON H. SCHLOSBERG</w:t>
            </w:r>
          </w:p>
        </w:tc>
        <w:tc>
          <w:tcPr>
            <w:tcW w:w="4100" w:type="dxa"/>
            <w:vAlign w:val="bottom"/>
          </w:tcPr>
          <w:p>
            <w:pPr>
              <w:ind w:left="300"/>
              <w:spacing w:after="0"/>
              <w:rPr>
                <w:sz w:val="20"/>
                <w:szCs w:val="20"/>
                <w:color w:val="auto"/>
              </w:rPr>
            </w:pPr>
            <w:r>
              <w:rPr>
                <w:rFonts w:ascii="Arial" w:cs="Arial" w:eastAsia="Arial" w:hAnsi="Arial"/>
                <w:sz w:val="18"/>
                <w:szCs w:val="18"/>
                <w:color w:val="auto"/>
              </w:rPr>
              <w:t>Vice Chairman of the Board of</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182"/>
        </w:trPr>
        <w:tc>
          <w:tcPr>
            <w:tcW w:w="3800" w:type="dxa"/>
            <w:vAlign w:val="bottom"/>
          </w:tcPr>
          <w:p>
            <w:pPr>
              <w:ind w:left="20"/>
              <w:spacing w:after="0" w:line="182" w:lineRule="exact"/>
              <w:rPr>
                <w:sz w:val="20"/>
                <w:szCs w:val="20"/>
                <w:color w:val="auto"/>
              </w:rPr>
            </w:pPr>
            <w:r>
              <w:rPr>
                <w:rFonts w:ascii="Arial" w:cs="Arial" w:eastAsia="Arial" w:hAnsi="Arial"/>
                <w:sz w:val="18"/>
                <w:szCs w:val="18"/>
                <w:color w:val="auto"/>
              </w:rPr>
              <w:t>Hilton H. Schlosberg</w:t>
            </w:r>
          </w:p>
        </w:tc>
        <w:tc>
          <w:tcPr>
            <w:tcW w:w="4100" w:type="dxa"/>
            <w:vAlign w:val="bottom"/>
          </w:tcPr>
          <w:p>
            <w:pPr>
              <w:ind w:left="300"/>
              <w:spacing w:after="0" w:line="182" w:lineRule="exact"/>
              <w:rPr>
                <w:sz w:val="20"/>
                <w:szCs w:val="20"/>
                <w:color w:val="auto"/>
              </w:rPr>
            </w:pPr>
            <w:r>
              <w:rPr>
                <w:rFonts w:ascii="Arial" w:cs="Arial" w:eastAsia="Arial" w:hAnsi="Arial"/>
                <w:sz w:val="18"/>
                <w:szCs w:val="18"/>
                <w:color w:val="auto"/>
              </w:rPr>
              <w:t>Directors, President, Chief</w:t>
            </w:r>
          </w:p>
        </w:tc>
        <w:tc>
          <w:tcPr>
            <w:tcW w:w="3560" w:type="dxa"/>
            <w:vAlign w:val="bottom"/>
          </w:tcPr>
          <w:p>
            <w:pPr>
              <w:spacing w:after="0"/>
              <w:rPr>
                <w:sz w:val="15"/>
                <w:szCs w:val="15"/>
                <w:color w:val="auto"/>
              </w:rPr>
            </w:pPr>
          </w:p>
        </w:tc>
      </w:tr>
      <w:tr>
        <w:trPr>
          <w:trHeight w:val="216"/>
        </w:trPr>
        <w:tc>
          <w:tcPr>
            <w:tcW w:w="380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Operating Officer, Chief</w:t>
            </w:r>
          </w:p>
        </w:tc>
        <w:tc>
          <w:tcPr>
            <w:tcW w:w="35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Financial Officer and Secretary</w:t>
            </w:r>
          </w:p>
        </w:tc>
        <w:tc>
          <w:tcPr>
            <w:tcW w:w="35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c>
          <w:tcPr>
            <w:tcW w:w="35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controller and principal</w:t>
            </w:r>
          </w:p>
        </w:tc>
        <w:tc>
          <w:tcPr>
            <w:tcW w:w="356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3560" w:type="dxa"/>
            <w:vAlign w:val="bottom"/>
          </w:tcPr>
          <w:p>
            <w:pPr>
              <w:spacing w:after="0"/>
              <w:rPr>
                <w:sz w:val="20"/>
                <w:szCs w:val="20"/>
                <w:color w:val="auto"/>
              </w:rPr>
            </w:pPr>
          </w:p>
        </w:tc>
      </w:tr>
      <w:tr>
        <w:trPr>
          <w:trHeight w:val="432"/>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NORMAN C. EPSTEIN</w:t>
            </w:r>
          </w:p>
        </w:tc>
        <w:tc>
          <w:tcPr>
            <w:tcW w:w="41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Norman C. Epstein</w:t>
            </w:r>
          </w:p>
        </w:tc>
        <w:tc>
          <w:tcPr>
            <w:tcW w:w="4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M. POLK</w:t>
            </w:r>
          </w:p>
        </w:tc>
        <w:tc>
          <w:tcPr>
            <w:tcW w:w="41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Benjamin M. Polk</w:t>
            </w:r>
          </w:p>
        </w:tc>
        <w:tc>
          <w:tcPr>
            <w:tcW w:w="4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SYDNEY SELATI</w:t>
            </w:r>
          </w:p>
        </w:tc>
        <w:tc>
          <w:tcPr>
            <w:tcW w:w="41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Sydney Selati</w:t>
            </w:r>
          </w:p>
        </w:tc>
        <w:tc>
          <w:tcPr>
            <w:tcW w:w="4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TABER, JR.</w:t>
            </w:r>
          </w:p>
        </w:tc>
        <w:tc>
          <w:tcPr>
            <w:tcW w:w="41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Harold C. Taber, Jr.</w:t>
            </w:r>
          </w:p>
        </w:tc>
        <w:tc>
          <w:tcPr>
            <w:tcW w:w="4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S. VIDERGAUZ</w:t>
            </w:r>
          </w:p>
        </w:tc>
        <w:tc>
          <w:tcPr>
            <w:tcW w:w="41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1540"/>
              <w:spacing w:after="0"/>
              <w:rPr>
                <w:sz w:val="20"/>
                <w:szCs w:val="20"/>
                <w:color w:val="auto"/>
              </w:rPr>
            </w:pPr>
            <w:r>
              <w:rPr>
                <w:rFonts w:ascii="Arial" w:cs="Arial" w:eastAsia="Arial" w:hAnsi="Arial"/>
                <w:sz w:val="18"/>
                <w:szCs w:val="18"/>
                <w:color w:val="auto"/>
              </w:rPr>
              <w:t>March 2, 2009</w:t>
            </w: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Mark S. Vidergauz</w:t>
            </w:r>
          </w:p>
        </w:tc>
        <w:tc>
          <w:tcPr>
            <w:tcW w:w="4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800" w:type="dxa"/>
            <w:vAlign w:val="bottom"/>
          </w:tcPr>
          <w:p>
            <w:pPr>
              <w:spacing w:after="0"/>
              <w:rPr>
                <w:sz w:val="24"/>
                <w:szCs w:val="24"/>
                <w:color w:val="auto"/>
              </w:rPr>
            </w:pPr>
          </w:p>
        </w:tc>
        <w:tc>
          <w:tcPr>
            <w:tcW w:w="4100" w:type="dxa"/>
            <w:vAlign w:val="bottom"/>
          </w:tcPr>
          <w:p>
            <w:pPr>
              <w:ind w:left="1820"/>
              <w:spacing w:after="0"/>
              <w:rPr>
                <w:sz w:val="20"/>
                <w:szCs w:val="20"/>
                <w:color w:val="auto"/>
              </w:rPr>
            </w:pPr>
            <w:r>
              <w:rPr>
                <w:rFonts w:ascii="Arial" w:cs="Arial" w:eastAsia="Arial" w:hAnsi="Arial"/>
                <w:sz w:val="18"/>
                <w:szCs w:val="18"/>
                <w:color w:val="auto"/>
              </w:rPr>
              <w:t>66</w:t>
            </w:r>
          </w:p>
        </w:tc>
        <w:tc>
          <w:tcPr>
            <w:tcW w:w="3560" w:type="dxa"/>
            <w:vAlign w:val="bottom"/>
          </w:tcPr>
          <w:p>
            <w:pPr>
              <w:spacing w:after="0"/>
              <w:rPr>
                <w:sz w:val="24"/>
                <w:szCs w:val="24"/>
                <w:color w:val="auto"/>
              </w:rPr>
            </w:pPr>
          </w:p>
        </w:tc>
      </w:tr>
      <w:tr>
        <w:trPr>
          <w:trHeight w:val="132"/>
        </w:trPr>
        <w:tc>
          <w:tcPr>
            <w:tcW w:w="380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right="40" w:firstLine="648"/>
        <w:spacing w:after="0" w:line="304" w:lineRule="auto"/>
        <w:rPr>
          <w:sz w:val="20"/>
          <w:szCs w:val="20"/>
          <w:color w:val="auto"/>
        </w:rPr>
      </w:pPr>
      <w:r>
        <w:rPr>
          <w:rFonts w:ascii="Arial" w:cs="Arial" w:eastAsia="Arial" w:hAnsi="Arial"/>
          <w:sz w:val="16"/>
          <w:szCs w:val="16"/>
          <w:color w:val="auto"/>
        </w:rPr>
        <w:t>The following designated exhibits, as indicated below, are either filed or furnished, as applicable herewith or have heretofore been filed or furnished with the Securities and Exchange Commission under the Securities Act of 1933 or the Securities Exchange Act of 1934 as indicated by footnote.</w:t>
      </w:r>
    </w:p>
    <w:tbl>
      <w:tblPr>
        <w:tblLayout w:type="fixed"/>
        <w:tblInd w:w="10" w:type="dxa"/>
        <w:tblCellMar>
          <w:top w:w="0" w:type="dxa"/>
          <w:left w:w="0" w:type="dxa"/>
          <w:bottom w:w="0" w:type="dxa"/>
          <w:right w:w="0" w:type="dxa"/>
        </w:tblCellMar>
      </w:tblPr>
      <w:tr>
        <w:trPr>
          <w:trHeight w:val="190"/>
        </w:trPr>
        <w:tc>
          <w:tcPr>
            <w:tcW w:w="11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10320" w:type="dxa"/>
            <w:vAlign w:val="bottom"/>
            <w:tcBorders>
              <w:top w:val="single" w:sz="8" w:color="auto"/>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2.1</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Asset purchase agreement among Blue Sky Natural Beverage Co., a Delaware corporation, as Purchaser and Blue Sky Natural Beverage</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Co., a New Mexico corporation, as seller and Robert Black (incorporated by reference to Exhibit 2.1 to our Form 8-K dated October 4,</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3.1</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4"/>
              </w:rPr>
              <w:t>Certificate of Incorporation of Unipac Corporation (previously filed as an exhibit to our Registration Statement on Form S-3, File No. 33-</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35796)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3.2</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Certificate of Amendment of Certificate of Incorporation of Unipac Corporation (previously filed as an exhibit to our Proxy Statement dated</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October 21, 1992)</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3.3</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Certificate of Amendment of Certificate of Incorporation of Hansen Natural Corporation (incorporated by reference to Exhibit A to our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Proxy Statement dated April 19,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3.4</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Amended and Restated Bylaws of Hansen Natural Corporation (incorporated by reference to Exhibit 3.1 to our Form 10-Q dated</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November 9,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Amended and Restated Monster Beverages Off-Premise Distribution Coordination Agreement between Hansen Beverage Company and</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Anheuser-Busch, Incorporated (incorporated by reference to Exhibit 10.01 to our Form 8-K dated August 11,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On-Premise Distribution Coordination Agreement between Hansen Beverage Company and Anheuser-Busch, Incorporated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reference to Exhibit 10.1 to our Form 8-K dated February 12,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Form of Amendment to Stock Option Agreement (relating to the amendment of certain stock option agreements between Hansen Natural</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Corporation and its executive officers and directors) (incorporated by reference to Exhibit 10.1 to our Form 8-K dated January 8,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Form of Indemnification Agreement (to be provided by Hansen Natural Corporation to its directors)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Exhibit 10.1 to our Form 8-K dated November 11,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Amended and Restated Allied Products Distribution Coordination Agreement between Hansen Beverage Company and Anheuser-Busch,</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Incorporated (incorporated by reference to Exhibit 10.2 to our Form 8-K dated August 11,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88"/>
              </w:rPr>
              <w:t>Asset Purchase Agreement among Hansen Junior Juice Company, as purchaser, Pasco Juices, Inc., as seller, and Hansen Beverage Company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(incorporated by reference to Exhibit 10.2 to our Form 10-K dated March 29, 2002).</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10.7</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Packaging Agreement between Hansen Beverage Company and U.S. Continental Marketing, Inc. (incorporated by reference to Exhibit 10.4</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 our form 10-K dated March 31, 2003).</w:t>
            </w:r>
          </w:p>
        </w:tc>
        <w:tc>
          <w:tcPr>
            <w:tcW w:w="40" w:type="dxa"/>
            <w:vAlign w:val="bottom"/>
          </w:tcPr>
          <w:p>
            <w:pPr>
              <w:spacing w:after="0"/>
              <w:rPr>
                <w:sz w:val="20"/>
                <w:szCs w:val="20"/>
                <w:color w:val="auto"/>
              </w:rPr>
            </w:pPr>
          </w:p>
        </w:tc>
      </w:tr>
      <w:tr>
        <w:trPr>
          <w:trHeight w:val="21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10.8</w:t>
            </w: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Proposal for Additional Storage from U.S. Continental (incorporated by reference to Exhibit 10.8 to our form 10-K dated March 31, 2003).</w:t>
            </w:r>
          </w:p>
        </w:tc>
        <w:tc>
          <w:tcPr>
            <w:tcW w:w="40" w:type="dxa"/>
            <w:vAlign w:val="bottom"/>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10.9</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Advertising Display Agreement between Hansen Beverage Company and Las Vegas Monorail Company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Exhibit 10.9 to our form 10-K dated March 31,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10.10+</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Stock Option Agreement between Hansen Natural Corporation and Kirk S. Blower (incorporated by reference to Exhibit 10.13 to our form</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10-K dated March 31,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10.11+</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1"/>
              </w:rPr>
              <w:t>Stock Option Agreement between Hansen Natural Corporation and Rodney C. Sacks (incorporated by reference to Exhibit 10.14 to our form</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10-K dated March 31,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10.12+</w:t>
            </w:r>
          </w:p>
        </w:tc>
        <w:tc>
          <w:tcPr>
            <w:tcW w:w="103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2"/>
              </w:rPr>
              <w:t>Stock Option Agreement between Hansen Natural Corporation and Hilton H. Schlosberg (incorporated by reference to Exhibit 10.15 to our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 10-K dated March 31, 2003).</w:t>
            </w:r>
          </w:p>
        </w:tc>
        <w:tc>
          <w:tcPr>
            <w:tcW w:w="40" w:type="dxa"/>
            <w:vAlign w:val="bottom"/>
          </w:tcPr>
          <w:p>
            <w:pPr>
              <w:spacing w:after="0"/>
              <w:rPr>
                <w:sz w:val="20"/>
                <w:szCs w:val="20"/>
                <w:color w:val="auto"/>
              </w:rPr>
            </w:pPr>
          </w:p>
        </w:tc>
      </w:tr>
      <w:tr>
        <w:trPr>
          <w:trHeight w:val="426"/>
        </w:trPr>
        <w:tc>
          <w:tcPr>
            <w:tcW w:w="110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10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70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60"/>
          </w:cols>
          <w:pgMar w:left="240" w:top="125" w:right="199" w:bottom="249" w:gutter="0" w:footer="0" w:header="0"/>
        </w:sectPr>
      </w:pPr>
    </w:p>
    <w:bookmarkStart w:id="39" w:name="page40"/>
    <w:bookmarkEnd w:id="3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10.13+</w:t>
            </w: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Stock Option Agreement between Hansen Natural Corporation and Mark J. Hall (incorporated by reference to Exhibit 10.16 to our form 10-</w:t>
            </w:r>
          </w:p>
        </w:tc>
        <w:tc>
          <w:tcPr>
            <w:tcW w:w="40" w:type="dxa"/>
            <w:vAlign w:val="bottom"/>
          </w:tcPr>
          <w:p>
            <w:pPr>
              <w:spacing w:after="0"/>
              <w:rPr>
                <w:sz w:val="17"/>
                <w:szCs w:val="17"/>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 dated March 31,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Stock Option Agreement between Hansen Natural Corporation and Kirk S. Blower (incorporated by reference to Exhibit 10.17 to our form</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10-K dated March 31,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Employment Agreement between Hansen Natural Corporation and Rodney C. Sacks (incorporated by reference to Exhibit 10.18 to our form</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8-K dated September 17,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Employment Agreement between Hansen Natural Corporation and Hilton H. Schlosberg (incorporated by reference to Exhibit 10.19 to our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 8-K dated September 17, 2003).</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10.17+</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Stock Option Agreement between Hansen Natural Corporation and Rodney C. Sacks (made as of May 28, 2003) (incorporated by reference</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Exhibit 10.21 to our form 10-K dated March 30, 2004).</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Stock Option Agreement between Hansen Natural Corporation and Hilton H. Schlosberg (made as of May 28, 2003)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10.22 to our form 10-K dated March 30, 2004).</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10.19+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Stock Option Agreement between Hansen Natural Corporation and Mark J. Hall (made as of January 15, 2004)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Exhibit 10.23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10.20+</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Stock Option Agreement between Hansen Natural Corporation and Michael B. Schott (made as of January 15, 2004)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10.24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Stock Option Agreement between Hansen Natural Corporation and Kirk Blower (made as of January 15, 2004)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Exhibit 10.25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Stock Option Agreement between Hansen Natural Corporation and Thomas J. Kelly (made as of January 15, 2004)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10.26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10.23</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Contract Packaging Agreement between Hansen Beverage Company and Southwest Canning &amp; Packaging, Inc. (incorporated by reference</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Exhibit 10.27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Contract Manufacturing and Packaging Agreement between Hansen Beverage Company and Nor-Cal Beverage Co., Inc.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10.28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Product Manufacture and Supply Agreement between Hansen Beverage Company and Seven-Up/RC Bottling Company of Southern</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 Inc. (incorporated by reference to Exhibit 10.29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0"/>
              </w:rPr>
              <w:t>Contract Packer Agreement between Hansen Beverage Company and Southeast Atlantic Beverage Corporation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Exhibit 10.30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10.27</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Beverage Production and Packaging Agreement between Hansen Beverage Company and City Brewing Company, LLC d/b/a Midwest</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Beverage Packers (incorporated by reference to Exhibit 10.31 to our form 10-K 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Manufacturing Contract between Hansen Beverage Company and Pri-Pak, Inc. (incorporated by reference to Exhibit 10.32 to our form 10-K</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dated March 16, 2005).</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10.29+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0"/>
              </w:rPr>
              <w:t>Stock Option Agreement between Hansen Natural Corporation and Sydney Selati (made as of November 5, 2004) (incorporated by reference</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Exhibit 10.35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10.30+</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Stock Option Agreement between Hansen Natural Corporation and Rodney C. Sacks (made as of March 23,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10.36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Stock Option Agreement between Hansen Natural Corporation and Hilton H. Schlosberg (made as of March 23,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10.37 to our form 10-K dated March 15, 2006).</w:t>
            </w:r>
          </w:p>
        </w:tc>
        <w:tc>
          <w:tcPr>
            <w:tcW w:w="40" w:type="dxa"/>
            <w:vAlign w:val="bottom"/>
          </w:tcPr>
          <w:p>
            <w:pPr>
              <w:spacing w:after="0"/>
              <w:rPr>
                <w:sz w:val="20"/>
                <w:szCs w:val="20"/>
                <w:color w:val="auto"/>
              </w:rPr>
            </w:pPr>
          </w:p>
        </w:tc>
      </w:tr>
      <w:tr>
        <w:trPr>
          <w:trHeight w:val="426"/>
        </w:trPr>
        <w:tc>
          <w:tcPr>
            <w:tcW w:w="110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10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Stock Option Agreement between Hansen Natural Corporation and Mark J. Hall (made as of March 23, 2005)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Exhibit 10.38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10.33+</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Stock Option Agreement between Hansen Natural Corporation and Michael B. Schott (made as of March 23,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10.39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Stock Option Agreement between Hansen Natural Corporation and Mark J. Hall (made as of September 28,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10.40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Stock Option Agreement between Hansen Natural Corporation and Kirk Blower (made as of November 1, 2005) (incorporated by reference</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Exhibit 10.41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Stock Option Agreement between Hansen Natural Corporation and Harold Taber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10.42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10.37+</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Stock Option Agreement between Hansen Natural Corporation and Norman Epstein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10.43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Stock Option Agreement between Hansen Natural Corporation and Mark Vidergauz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10.44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10.39+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Stock Option Agreement between Hansen Natural Corporation and Benjamin Polk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10.45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10.40+</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Stock Option Agreement between Hansen Natural Corporation and Hilton H. Schlosberg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10.46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Stock Option Agreement between Hansen Natural Corporation and Rodney C. Sacks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10.47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Stock Option Agreement between Hansen Natural Corporation and Mark J. Hall (made as of November 11, 2005) (incorporated by reference</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Exhibit 10.48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10.43+</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Stock Option Agreement between Hansen Natural Corporation and Michael B. Schott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10.49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Stock Option Agreement between Hansen Natural Corporation and Thomas J. Kelly (made as of November 11, 2005)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10.50 to our form 10-K dated March 15,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Packaging Agreement between Hansen Beverage Company  and  U.S.  Continental  Packaging,  Inc.  (incorporated  by  reference  to</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Exhibit 10(WW) to our form 10-Q dated November 12, 1997).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Severance and Consulting Agreement by and among Hansen Beverage Company, Hansen Natural Corporation, and Harold C. Taber, Jr.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(incorporated by reference to Exhibit 10(YY) to our form 10-Q dated November 12, 1997).</w:t>
            </w:r>
          </w:p>
        </w:tc>
        <w:tc>
          <w:tcPr>
            <w:tcW w:w="40" w:type="dxa"/>
            <w:vAlign w:val="bottom"/>
          </w:tcPr>
          <w:p>
            <w:pPr>
              <w:spacing w:after="0"/>
              <w:rPr>
                <w:sz w:val="20"/>
                <w:szCs w:val="20"/>
                <w:color w:val="auto"/>
              </w:rPr>
            </w:pPr>
          </w:p>
        </w:tc>
      </w:tr>
      <w:tr>
        <w:trPr>
          <w:trHeight w:val="239"/>
        </w:trPr>
        <w:tc>
          <w:tcPr>
            <w:tcW w:w="1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10.47+</w:t>
            </w: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Stock Option Agreement between Hansen Natural Corporation and Harold C. Taber, Jr. (made as of June 20, 1997) (incorporated by</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-4796790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-4796790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34" w:right="199" w:bottom="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16"/>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10(ZZ) to our form 10-Q dated November 12, 1997).</w:t>
            </w:r>
          </w:p>
        </w:tc>
        <w:tc>
          <w:tcPr>
            <w:tcW w:w="40" w:type="dxa"/>
            <w:vAlign w:val="bottom"/>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Stock Option Agreement between Hansen Natural Corporation and Rodney C. Sacks (made as of January 30, 1998)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10(BBB) to our form 10-Q dated May 13, 1998).</w:t>
            </w:r>
          </w:p>
        </w:tc>
        <w:tc>
          <w:tcPr>
            <w:tcW w:w="40" w:type="dxa"/>
            <w:vAlign w:val="bottom"/>
          </w:tcPr>
          <w:p>
            <w:pPr>
              <w:spacing w:after="0"/>
              <w:rPr>
                <w:sz w:val="20"/>
                <w:szCs w:val="20"/>
                <w:color w:val="auto"/>
              </w:rPr>
            </w:pPr>
          </w:p>
        </w:tc>
      </w:tr>
      <w:tr>
        <w:trPr>
          <w:trHeight w:val="426"/>
        </w:trPr>
        <w:tc>
          <w:tcPr>
            <w:tcW w:w="110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10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10.49+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Stock Option Agreement between Hansen Natural Corporation and Hilton H. Schlosberg (made as of January 30, 1998)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10(CCC) to our form 10-Q dated May 13, 1998).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10.50+</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Stock Option Agreement between Hansen Natural Corporation and Rodney C. Sacks (dated as of February 2, 1999)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10(HHH) to our form 10-K dated March 31,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Stock Option Agreement between Hansen Natural Corporation and Hilton H. Schlosberg (dated as of February 2, 1999)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10(III) to our form 10-K dated March 31,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Stock Repurchase Agreement between Hansen Natural Corporation and Rodney C. Sacks (dated as of August 3, 1998)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10(JJJ) to our form 10-Q dated August 16,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10.53+</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Stock Repurchase Agreement between Hansen Natural Corporation and Hilton H. Schlosberg (dated as of August 3, 1998) (incorporated by</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reference to Exhibit 10(KKK) to our form 10-Q dated August 16,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Assignment and Agreement dated September 22, 1999 between Hansen Beverage Company and The Fresh Juice Company of</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California, Inc. (incorporated by reference to Exhibit 10 to our form 10-Q dated November 15,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Settlement Agreement dated as of September 1999 between Hansen Beverage Company and Rodney C. Sacks as sole Trustee of the</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Hansen’s Trust and Hansen Beverage Company, The Fresh Juice Company of California, Inc. (incorporated by reference to Exhibit 10 to our</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 10-Q dated November 15,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Settlement Agreement September 3, 1999 by and between The Fresh Juice Company of California, Inc., The Fresh Smoothie Company,</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LLC, Barry Lublin, Hansen’s Juice Creations, LLC, Harvey Laderman and Hansen Beverage Company and Rodney C. Sacks, as Trustee of</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Hansen’s Trust (incorporated by reference to Exhibit 10 to our form 10-Q dated November 15,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10.57</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Trademark Assignment September 24, 1999 by and between The Fresh Juice Company of California, Inc. (Assignor) and Rodney C. Sacks</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as sole Trustee of The Hansen’s Trust (Assignee) (incorporated by reference to Exhibit 10(nnn) to our form 10-Q dated November 15, 1999).</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Single Tenant Industrial Lease, made and entered into as of October 13, 2006 by and between Watson Land Company, a California</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Corporation, and Hansen Beverage Company, a Delaware Corporation (incorporated by reference to Exhibit 10 to our Form 10-K dated</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June 6,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10.59+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Hansen Natural Corporation 2001 Amended and Restated Stock Option Plan (incorporated by reference to Exhibit A to our Proxy Statement</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dated September 25,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10.60+</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2005 Hansen Natural Corporation Stock Option Plan For Non-Employee Directors (incorporated by reference to Exhibit 4.1 to our Form S-8</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dated January 31, 2006).</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Business Loan Agreement between Hansen Beverage Company and Comerica Bank (incorporated by reference to Exhibit 10.1 to our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 10-Q dated August 9, 2007).</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Letter Agreement between Anheuser-Busch, Inc. and Hansen Beverage Company, dated March 6, 2007, amending and clarifying certain</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terms of the Amended and Restated Allied Products Distribution Coordination Agreement between Hansen Beverage Company and</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Anheuser-Busch (incorporated by reference to exhibit 10.62 to our form 10-K dated February 29,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10.63</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3"/>
              </w:rPr>
              <w:t>Letter Agreement between Anheuser-Busch, Inc. and Hansen Beverage Company, dated March 6, 2007, amending and clarifying certain</w:t>
            </w:r>
          </w:p>
        </w:tc>
        <w:tc>
          <w:tcPr>
            <w:tcW w:w="40" w:type="dxa"/>
            <w:vAlign w:val="bottom"/>
          </w:tcPr>
          <w:p>
            <w:pPr>
              <w:spacing w:after="0"/>
              <w:rPr>
                <w:sz w:val="16"/>
                <w:szCs w:val="16"/>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terms of the Amended and Restated Monster Beverages Off-Premise Distribution Coordination Agreement between Hansen Beverage</w:t>
            </w:r>
          </w:p>
        </w:tc>
        <w:tc>
          <w:tcPr>
            <w:tcW w:w="40" w:type="dxa"/>
            <w:vAlign w:val="bottom"/>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and Anheuser-Busch (incorporated by reference to exhibit 10.63 to our form 10-K dated February 29, 2008).</w:t>
            </w:r>
          </w:p>
        </w:tc>
        <w:tc>
          <w:tcPr>
            <w:tcW w:w="40" w:type="dxa"/>
            <w:vAlign w:val="bottom"/>
          </w:tcPr>
          <w:p>
            <w:pPr>
              <w:spacing w:after="0"/>
              <w:rPr>
                <w:sz w:val="20"/>
                <w:szCs w:val="20"/>
                <w:color w:val="auto"/>
              </w:rPr>
            </w:pPr>
          </w:p>
        </w:tc>
      </w:tr>
      <w:tr>
        <w:trPr>
          <w:trHeight w:val="426"/>
        </w:trPr>
        <w:tc>
          <w:tcPr>
            <w:tcW w:w="110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r>
      <w:tr>
        <w:trPr>
          <w:trHeight w:val="132"/>
        </w:trPr>
        <w:tc>
          <w:tcPr>
            <w:tcW w:w="1100" w:type="dxa"/>
            <w:vAlign w:val="bottom"/>
            <w:tcBorders>
              <w:bottom w:val="single" w:sz="8" w:color="010101"/>
            </w:tcBorders>
          </w:tcPr>
          <w:p>
            <w:pPr>
              <w:spacing w:after="0"/>
              <w:rPr>
                <w:sz w:val="11"/>
                <w:szCs w:val="11"/>
                <w:color w:val="auto"/>
              </w:rPr>
            </w:pPr>
          </w:p>
        </w:tc>
        <w:tc>
          <w:tcPr>
            <w:tcW w:w="10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64"/>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10.64</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Monster Energy Distribution Coordination Agreement, dated October 3, 2008, between Hansen Beverage Company and The Coca Cola</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(incorporated by reference to exhibit 10.1 to our form 10-Q dated November 10,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10.65</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Monster Energy International Distribution Coordination Agreement, dated October 3, 2008, between Tauranga Ltd, trading as Monster</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Energy, and Coca-Cola Enterprises Inc. (incorporated by reference to exhibit 10.2 to our form 10-Q dated November 10,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10.66</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5"/>
              </w:rPr>
              <w:t>Monster Energy Distribution Agreement, dated October 3, 2008, between Hansen Beverage Company and Coca-Cola Enterprises, Inc.</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(incorporated by reference to exhibit 10.3 to our form 10-Q dated November 10,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10.67</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Monster Energy Canadian Distribution Agreement, dated October 3, 2008, between Hansen Beverage Company and Coca-Cola Bottling</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(incorporated by reference to exhibit 10.4 to our form 10-Q dated November 10,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10.68</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Monster Energy International Distribution Agreement, dated October 3, 2008, between Tauranga Ltd, trading as Monster Energy, and Coca-</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Cola Enterprises Inc. (incorporated by reference to exhibit 10.5 to our form 10-Q dated November 10, 2008).</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10.69</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1"/>
              </w:rPr>
              <w:t>Monster Energy Belgium Distribution Agreement, dated October 3, 2008, between Tauranga Ltd, trading as Monster Energy, and Coca-Cola</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Enterprises Inc. (incorporated by reference to exhibit 10.6 to our form 10-Q dated November 10, 2008).</w:t>
            </w:r>
          </w:p>
        </w:tc>
        <w:tc>
          <w:tcPr>
            <w:tcW w:w="40" w:type="dxa"/>
            <w:vAlign w:val="bottom"/>
          </w:tcPr>
          <w:p>
            <w:pPr>
              <w:spacing w:after="0"/>
              <w:rPr>
                <w:sz w:val="20"/>
                <w:szCs w:val="20"/>
                <w:color w:val="auto"/>
              </w:rPr>
            </w:pPr>
          </w:p>
        </w:tc>
      </w:tr>
      <w:tr>
        <w:trPr>
          <w:trHeight w:val="21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w:t>
            </w: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Subsidiaries</w:t>
            </w:r>
          </w:p>
        </w:tc>
        <w:tc>
          <w:tcPr>
            <w:tcW w:w="40" w:type="dxa"/>
            <w:vAlign w:val="bottom"/>
          </w:tcPr>
          <w:p>
            <w:pPr>
              <w:spacing w:after="0"/>
              <w:rPr>
                <w:sz w:val="18"/>
                <w:szCs w:val="18"/>
                <w:color w:val="auto"/>
              </w:rPr>
            </w:pPr>
          </w:p>
        </w:tc>
      </w:tr>
      <w:tr>
        <w:trPr>
          <w:trHeight w:val="21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23*</w:t>
            </w: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8"/>
                <w:szCs w:val="18"/>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31.1*</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Certification by CEO pursuant to Rule 13A-14(a) or 15D-14(a) of the Securities Exchange Act of 1934, as adopted pursuant to Section 302</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 the Sarbanes-Oxley Act of 2002 *</w:t>
            </w:r>
          </w:p>
        </w:tc>
        <w:tc>
          <w:tcPr>
            <w:tcW w:w="40" w:type="dxa"/>
            <w:vAlign w:val="bottom"/>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31.2*</w:t>
            </w:r>
          </w:p>
        </w:tc>
        <w:tc>
          <w:tcPr>
            <w:tcW w:w="103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Certification by CFO pursuant to Rule 13A-14(a) or 15D-14(a) of the Securities Exchange Act of 1934, as adopted pursuant to Section 302</w:t>
            </w:r>
          </w:p>
        </w:tc>
        <w:tc>
          <w:tcPr>
            <w:tcW w:w="40" w:type="dxa"/>
            <w:vAlign w:val="bottom"/>
          </w:tcPr>
          <w:p>
            <w:pPr>
              <w:spacing w:after="0"/>
              <w:rPr>
                <w:sz w:val="16"/>
                <w:szCs w:val="16"/>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 the Sarbanes-Oxley Act of 2002 *</w:t>
            </w:r>
          </w:p>
        </w:tc>
        <w:tc>
          <w:tcPr>
            <w:tcW w:w="40" w:type="dxa"/>
            <w:vAlign w:val="bottom"/>
          </w:tcPr>
          <w:p>
            <w:pPr>
              <w:spacing w:after="0"/>
              <w:rPr>
                <w:sz w:val="20"/>
                <w:szCs w:val="20"/>
                <w:color w:val="auto"/>
              </w:rPr>
            </w:pPr>
          </w:p>
        </w:tc>
      </w:tr>
      <w:tr>
        <w:trPr>
          <w:trHeight w:val="21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32.1*</w:t>
            </w: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Certification by CEO pursuant to 18 U.S.C. Section 1350, as adopted pursuant to Section 906 of the Sarbanes-Oxley Act of 2002 *</w:t>
            </w:r>
          </w:p>
        </w:tc>
        <w:tc>
          <w:tcPr>
            <w:tcW w:w="40" w:type="dxa"/>
            <w:vAlign w:val="bottom"/>
          </w:tcPr>
          <w:p>
            <w:pPr>
              <w:spacing w:after="0"/>
              <w:rPr>
                <w:sz w:val="18"/>
                <w:szCs w:val="18"/>
                <w:color w:val="auto"/>
              </w:rPr>
            </w:pPr>
          </w:p>
        </w:tc>
      </w:tr>
      <w:tr>
        <w:trPr>
          <w:trHeight w:val="21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32.2*</w:t>
            </w:r>
          </w:p>
        </w:tc>
        <w:tc>
          <w:tcPr>
            <w:tcW w:w="10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Certification by CFO pursuant to 18 U.S.C. Section 1350, as adopted pursuant to Section 906 of the Sarbanes-Oxley Act of 2002 *</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-8911590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-8911590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-3242945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-3242945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69" w:gutter="0" w:footer="0" w:header="0"/>
        </w:sectPr>
      </w:pPr>
    </w:p>
    <w:p>
      <w:pPr>
        <w:ind w:left="200"/>
        <w:spacing w:after="0"/>
        <w:rPr>
          <w:sz w:val="20"/>
          <w:szCs w:val="20"/>
          <w:color w:val="auto"/>
        </w:rPr>
      </w:pPr>
      <w:r>
        <w:rPr>
          <w:rFonts w:ascii="Arial" w:cs="Arial" w:eastAsia="Arial" w:hAnsi="Arial"/>
          <w:sz w:val="12"/>
          <w:szCs w:val="12"/>
          <w:color w:val="auto"/>
        </w:rPr>
        <w:t>*</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Management contract or compensatory plans or arrangements.</w:t>
      </w:r>
    </w:p>
    <w:p>
      <w:pPr>
        <w:spacing w:after="0" w:line="200" w:lineRule="exact"/>
        <w:rPr>
          <w:sz w:val="20"/>
          <w:szCs w:val="20"/>
          <w:color w:val="auto"/>
        </w:rPr>
      </w:pPr>
    </w:p>
    <w:p>
      <w:pPr>
        <w:sectPr>
          <w:pgSz w:w="11900" w:h="16838" w:orient="portrait"/>
          <w:cols w:equalWidth="0" w:num="2">
            <w:col w:w="260" w:space="220"/>
            <w:col w:w="10980"/>
          </w:cols>
          <w:pgMar w:left="240" w:top="140" w:right="199" w:bottom="69" w:gutter="0" w:footer="0" w:header="0"/>
          <w:type w:val="continuous"/>
        </w:sectPr>
      </w:pP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69" w:gutter="0" w:footer="0" w:header="0"/>
          <w:type w:val="continuous"/>
        </w:sectPr>
      </w:pPr>
    </w:p>
    <w:bookmarkStart w:id="41" w:name="page42"/>
    <w:bookmarkEnd w:id="4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0" w:type="dxa"/>
            <w:vAlign w:val="bottom"/>
            <w:gridSpan w:val="9"/>
            <w:vMerge w:val="restart"/>
          </w:tcPr>
          <w:p>
            <w:pPr>
              <w:spacing w:after="0"/>
              <w:rPr>
                <w:sz w:val="20"/>
                <w:szCs w:val="20"/>
                <w:color w:val="auto"/>
              </w:rPr>
            </w:pPr>
            <w:r>
              <w:rPr>
                <w:rFonts w:ascii="Arial" w:cs="Arial" w:eastAsia="Arial" w:hAnsi="Arial"/>
                <w:sz w:val="18"/>
                <w:szCs w:val="18"/>
                <w:color w:val="auto"/>
              </w:rPr>
              <w:t>HANSEN NATURAL CORPORATION AND SUBSIDIARIES</w:t>
            </w:r>
          </w:p>
        </w:tc>
        <w:tc>
          <w:tcPr>
            <w:tcW w:w="18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0" w:type="dxa"/>
            <w:vAlign w:val="bottom"/>
            <w:gridSpan w:val="9"/>
            <w:vMerge w:val="continue"/>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960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December 31, 2008 and 2007</w:t>
              </w:r>
            </w:hyperlink>
          </w:p>
        </w:tc>
        <w:tc>
          <w:tcPr>
            <w:tcW w:w="4940" w:type="dxa"/>
            <w:vAlign w:val="bottom"/>
            <w:gridSpan w:val="6"/>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Income for the years ended December 31, 2008, 2007 and 2006</w:t>
              </w:r>
            </w:hyperlink>
          </w:p>
        </w:tc>
        <w:tc>
          <w:tcPr>
            <w:tcW w:w="2980" w:type="dxa"/>
            <w:vAlign w:val="bottom"/>
            <w:gridSpan w:val="5"/>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Stockholders’ Equity for the years ended December 31, 2008, 2007 and 2006</w:t>
              </w:r>
            </w:hyperlink>
          </w:p>
        </w:tc>
        <w:tc>
          <w:tcPr>
            <w:tcW w:w="2000" w:type="dxa"/>
            <w:vAlign w:val="bottom"/>
            <w:gridSpan w:val="3"/>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Income for the years ended December 31, 2008, 2007 and 2006</w:t>
              </w:r>
            </w:hyperlink>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years ended December 31, 2008, 2007 and 2006</w:t>
              </w:r>
            </w:hyperlink>
          </w:p>
        </w:tc>
        <w:tc>
          <w:tcPr>
            <w:tcW w:w="860" w:type="dxa"/>
            <w:vAlign w:val="bottom"/>
            <w:tcBorders>
              <w:top w:val="single" w:sz="8" w:color="0000EE"/>
            </w:tcBorders>
            <w:gridSpan w:val="2"/>
          </w:tcPr>
          <w:p>
            <w:pPr>
              <w:spacing w:after="0"/>
              <w:rPr>
                <w:sz w:val="24"/>
                <w:szCs w:val="24"/>
                <w:color w:val="auto"/>
              </w:rPr>
            </w:pPr>
          </w:p>
        </w:tc>
        <w:tc>
          <w:tcPr>
            <w:tcW w:w="1820" w:type="dxa"/>
            <w:vAlign w:val="bottom"/>
            <w:gridSpan w:val="2"/>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6440" w:type="dxa"/>
            <w:vAlign w:val="bottom"/>
            <w:gridSpan w:val="8"/>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0" w:type="dxa"/>
            <w:vAlign w:val="bottom"/>
            <w:gridSpan w:val="9"/>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Financial Statement Schedule – Valuation and Qualifying Accounts for the years ended December 31, 2008, 2007 and 2006</w:t>
              </w:r>
            </w:hyperlink>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20" w:type="dxa"/>
            <w:vAlign w:val="bottom"/>
            <w:tcBorders>
              <w:top w:val="single" w:sz="8" w:color="0000EE"/>
            </w:tcBorders>
            <w:gridSpan w:val="4"/>
          </w:tcPr>
          <w:p>
            <w:pPr>
              <w:ind w:left="5620"/>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Hansen Natural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Corona, California</w:t>
      </w:r>
    </w:p>
    <w:p>
      <w:pPr>
        <w:spacing w:after="0" w:line="21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Hansen Natural Corporation and subsidiaries (the “Company”) as of December 31, 2008 and 2007, and the related consolidated statements of income, stockholders’ equity, comprehensive income and cash flows for each of the three years in the period ended December 31, 2008. Our audits also included the financial statement schedule listed in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88"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the Company as of December 31, 2008 and 2007, and the results of its operations and its cash flows for each of the three years in the period ended December 31, 2008,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27, 2009,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2008 AND 2007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637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176"/>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5360" w:type="dxa"/>
            <w:vAlign w:val="bottom"/>
            <w:gridSpan w:val="3"/>
            <w:shd w:val="clear" w:color="auto" w:fill="CCEEFF"/>
          </w:tcPr>
          <w:p>
            <w:pPr>
              <w:ind w:left="740"/>
              <w:spacing w:after="0" w:line="15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ASSETS:</w:t>
            </w: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256,801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12,440</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29,145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63,125</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45,233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76,123</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Distributor receivables</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90,722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5,374</w:t>
            </w:r>
          </w:p>
        </w:tc>
      </w:tr>
      <w:tr>
        <w:trPr>
          <w:trHeight w:val="124"/>
        </w:trPr>
        <w:tc>
          <w:tcPr>
            <w:tcW w:w="20" w:type="dxa"/>
            <w:vAlign w:val="bottom"/>
          </w:tcPr>
          <w:p>
            <w:pPr>
              <w:spacing w:after="0"/>
              <w:rPr>
                <w:sz w:val="10"/>
                <w:szCs w:val="10"/>
                <w:color w:val="auto"/>
              </w:rPr>
            </w:pPr>
          </w:p>
        </w:tc>
        <w:tc>
          <w:tcPr>
            <w:tcW w:w="29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9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580" w:right="19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270,149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227,085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761,837</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544,603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4"/>
          </w:tcPr>
          <w:p>
            <w:pPr>
              <w:ind w:left="2020"/>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64,787</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56,766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Accrued distributor terminations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82,881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138,187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$0.005 par value; 120,000 shares authorized; 96,851 shares issued and 90,328 outstanding as</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9"/>
              </w:rPr>
              <w:t>of December 31, 2008; 95,849 shares issued and 93,191 outstanding as of December 31, 2007</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117,106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461,680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353,648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(10,825)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89"/>
              </w:rPr>
              <w:t>Common stock in treasury, at cost; 6,523 and 2,658 shares as of December 31, 2008 and 2007, respectively</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(132,129)</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436,316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422,167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761,837</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544,603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520" w:type="dxa"/>
            <w:vAlign w:val="bottom"/>
            <w:gridSpan w:val="8"/>
          </w:tcPr>
          <w:p>
            <w:pPr>
              <w:jc w:val="right"/>
              <w:ind w:right="530"/>
              <w:spacing w:after="0"/>
              <w:rPr>
                <w:sz w:val="20"/>
                <w:szCs w:val="20"/>
                <w:color w:val="auto"/>
              </w:rPr>
            </w:pPr>
            <w:r>
              <w:rPr>
                <w:rFonts w:ascii="Arial" w:cs="Arial" w:eastAsia="Arial" w:hAnsi="Arial"/>
                <w:sz w:val="18"/>
                <w:szCs w:val="18"/>
                <w:color w:val="auto"/>
              </w:rPr>
              <w:t>See accompanying notes to consolidated financial statements.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74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40" w:type="dxa"/>
            <w:vAlign w:val="bottom"/>
            <w:tcBorders>
              <w:bottom w:val="single" w:sz="8" w:color="010101"/>
            </w:tcBorders>
            <w:gridSpan w:val="2"/>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HANSEN NATURAL CORPORATION AND SUBSIDIARIES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2008, 2007 AND 2006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w w:val="99"/>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1,033,780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904,465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605,774</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494,986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436,452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289,180</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538,794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468,013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316,594</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375,203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237,027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158,015</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163,591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230,986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158,579</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9,886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8,770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3,660</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173,477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239,756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162,239</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65,445</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90,350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64,290</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108,032</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149,406</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97,949</w:t>
            </w: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bottom w:val="single" w:sz="8" w:color="CCEEFF"/>
            </w:tcBorders>
            <w:gridSpan w:val="2"/>
            <w:shd w:val="clear" w:color="auto" w:fill="CCEEFF"/>
          </w:tcPr>
          <w:p>
            <w:pPr>
              <w:ind w:left="200"/>
              <w:spacing w:after="0" w:line="190"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1.11</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1.51</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0.99</w:t>
            </w:r>
          </w:p>
        </w:tc>
        <w:tc>
          <w:tcPr>
            <w:tcW w:w="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1233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27432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AND COMMON STOCK EQUIVALENTS:</w:t>
      </w:r>
    </w:p>
    <w:p>
      <w:pPr>
        <w:sectPr>
          <w:pgSz w:w="11900" w:h="16838" w:orient="portrait"/>
          <w:cols w:equalWidth="0" w:num="1">
            <w:col w:w="11460"/>
          </w:cols>
          <w:pgMar w:left="240" w:top="140" w:right="19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70"/>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92,515</w:t>
            </w:r>
          </w:p>
        </w:tc>
        <w:tc>
          <w:tcPr>
            <w:tcW w:w="2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91,178</w:t>
            </w:r>
          </w:p>
        </w:tc>
        <w:tc>
          <w:tcPr>
            <w:tcW w:w="28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89,936</w:t>
            </w:r>
          </w:p>
        </w:tc>
      </w:tr>
      <w:tr>
        <w:trPr>
          <w:trHeight w:val="197"/>
        </w:trPr>
        <w:tc>
          <w:tcPr>
            <w:tcW w:w="5600" w:type="dxa"/>
            <w:vAlign w:val="bottom"/>
            <w:tcBorders>
              <w:bottom w:val="single" w:sz="8" w:color="CCEEFF"/>
            </w:tcBorders>
            <w:shd w:val="clear" w:color="auto" w:fill="CCEEFF"/>
          </w:tcPr>
          <w:p>
            <w:pPr>
              <w:ind w:left="220"/>
              <w:spacing w:after="0" w:line="190" w:lineRule="exact"/>
              <w:rPr>
                <w:sz w:val="20"/>
                <w:szCs w:val="20"/>
                <w:color w:val="auto"/>
              </w:rPr>
            </w:pPr>
            <w:r>
              <w:rPr>
                <w:rFonts w:ascii="Arial" w:cs="Arial" w:eastAsia="Arial" w:hAnsi="Arial"/>
                <w:sz w:val="18"/>
                <w:szCs w:val="18"/>
                <w:color w:val="auto"/>
              </w:rPr>
              <w:t>Diluted</w:t>
            </w:r>
          </w:p>
        </w:tc>
        <w:tc>
          <w:tcPr>
            <w:tcW w:w="17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97,530</w:t>
            </w:r>
          </w:p>
        </w:tc>
        <w:tc>
          <w:tcPr>
            <w:tcW w:w="2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98,874</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98,586</w:t>
            </w:r>
          </w:p>
        </w:tc>
      </w:tr>
      <w:tr>
        <w:trPr>
          <w:trHeight w:val="20"/>
        </w:trPr>
        <w:tc>
          <w:tcPr>
            <w:tcW w:w="5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2008, 2007 AND 2006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890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236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2360" w:type="dxa"/>
            <w:vAlign w:val="bottom"/>
            <w:gridSpan w:val="5"/>
            <w:vMerge w:val="continue"/>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Captial</w:t>
            </w:r>
          </w:p>
        </w:tc>
        <w:tc>
          <w:tcPr>
            <w:tcW w:w="20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2"/>
                <w:szCs w:val="12"/>
                <w:color w:val="auto"/>
              </w:rPr>
            </w:pPr>
          </w:p>
        </w:tc>
        <w:tc>
          <w:tcPr>
            <w:tcW w:w="12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90,429</w:t>
            </w:r>
          </w:p>
        </w:tc>
        <w:tc>
          <w:tcPr>
            <w:tcW w:w="2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452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19,579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106,293</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(1,654)</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(815)</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125,509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8,346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2,285</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Excess tax benefits from</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based payment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arrangements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17,096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(27,699)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(27,699)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97,949</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97,949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2006</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92,714</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464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48,892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204,242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(2,654)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225,084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10,227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3,135</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Excess tax benefits from</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based payment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arrangements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29,454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149,406</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149,406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2007</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95,849</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96,749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353,648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(2,658)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422,167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13,771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1,002</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2,252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Excess tax benefits from</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based payment</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arrangements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(3,865)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(103,467)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(103,467)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(2,118)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unrealized loss on</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available-for-sale sercurites,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net of tax</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108,032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108,032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2008</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96,851</w:t>
            </w: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484</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117,106</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461,680</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(10,825)</w:t>
            </w: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(6,523)</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(132,129)</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436,316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 THE YEARS ENDED DECEMBER 31, 2008, 2007 AND 2006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49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108,032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149,406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97,949</w:t>
            </w:r>
          </w:p>
        </w:tc>
        <w:tc>
          <w:tcPr>
            <w:tcW w:w="12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Change in unrealized loss on available-for-sale</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net of tax</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r>
      <w:tr>
        <w:trPr>
          <w:trHeight w:val="216"/>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97,254</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149,359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97,949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80"/>
          </w:cols>
          <w:pgMar w:left="240" w:top="125" w:right="279" w:bottom="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2008, 2007 AND 2006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2008</w:t>
            </w:r>
          </w:p>
        </w:tc>
        <w:tc>
          <w:tcPr>
            <w:tcW w:w="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2007</w:t>
            </w:r>
          </w:p>
        </w:tc>
        <w:tc>
          <w:tcPr>
            <w:tcW w:w="2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2006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108,032</w:t>
            </w:r>
          </w:p>
        </w:tc>
        <w:tc>
          <w:tcPr>
            <w:tcW w:w="280" w:type="dxa"/>
            <w:vAlign w:val="bottom"/>
          </w:tcPr>
          <w:p>
            <w:pPr>
              <w:spacing w:after="0"/>
              <w:rPr>
                <w:sz w:val="17"/>
                <w:szCs w:val="17"/>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149,406</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97,949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20"/>
              <w:spacing w:after="0"/>
              <w:rPr>
                <w:sz w:val="20"/>
                <w:szCs w:val="20"/>
                <w:color w:val="auto"/>
              </w:rPr>
            </w:pPr>
            <w:r>
              <w:rPr>
                <w:rFonts w:ascii="Arial" w:cs="Arial" w:eastAsia="Arial" w:hAnsi="Arial"/>
                <w:sz w:val="16"/>
                <w:szCs w:val="16"/>
                <w:color w:val="auto"/>
              </w:rPr>
              <w:t>Amortization of trademark</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other amortization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3,417</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2,128</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20"/>
              <w:spacing w:after="0"/>
              <w:rPr>
                <w:sz w:val="20"/>
                <w:szCs w:val="20"/>
                <w:color w:val="auto"/>
              </w:rPr>
            </w:pPr>
            <w:r>
              <w:rPr>
                <w:rFonts w:ascii="Arial" w:cs="Arial" w:eastAsia="Arial" w:hAnsi="Arial"/>
                <w:sz w:val="16"/>
                <w:szCs w:val="16"/>
                <w:color w:val="auto"/>
              </w:rPr>
              <w:t>Loss on disposal of property and equipment</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13,899</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10,246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20"/>
              <w:spacing w:after="0"/>
              <w:rPr>
                <w:sz w:val="20"/>
                <w:szCs w:val="20"/>
                <w:color w:val="auto"/>
              </w:rPr>
            </w:pPr>
            <w:r>
              <w:rPr>
                <w:rFonts w:ascii="Arial" w:cs="Arial" w:eastAsia="Arial" w:hAnsi="Arial"/>
                <w:sz w:val="16"/>
                <w:szCs w:val="16"/>
                <w:color w:val="auto"/>
              </w:rPr>
              <w:t>Impairment of investments</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(44,594)</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20"/>
              <w:spacing w:after="0"/>
              <w:rPr>
                <w:sz w:val="20"/>
                <w:szCs w:val="20"/>
                <w:color w:val="auto"/>
              </w:rPr>
            </w:pPr>
            <w:r>
              <w:rPr>
                <w:rFonts w:ascii="Arial" w:cs="Arial" w:eastAsia="Arial" w:hAnsi="Arial"/>
                <w:sz w:val="16"/>
                <w:szCs w:val="16"/>
                <w:color w:val="auto"/>
              </w:rPr>
              <w:t>Tax benefit from exercise of stock options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(4,334)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(29,454)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(17,284)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(Reversal of) provision for doubtful accounts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220"/>
              <w:spacing w:after="0"/>
              <w:rPr>
                <w:sz w:val="20"/>
                <w:szCs w:val="20"/>
                <w:color w:val="auto"/>
              </w:rPr>
            </w:pPr>
            <w:r>
              <w:rPr>
                <w:rFonts w:ascii="Arial" w:cs="Arial" w:eastAsia="Arial" w:hAnsi="Arial"/>
                <w:sz w:val="16"/>
                <w:szCs w:val="16"/>
                <w:color w:val="auto"/>
              </w:rPr>
              <w:t>Effect on cash of changes in operating assets and liabilities: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30,609</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6"/>
                <w:szCs w:val="16"/>
                <w:color w:val="auto"/>
              </w:rPr>
              <w:t>Distributor receivables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(85,348)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(21,127)</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Prepaid income taxes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7,517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22,404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Accrued liabilities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6"/>
                <w:szCs w:val="16"/>
                <w:color w:val="auto"/>
              </w:rPr>
              <w:t>Accrued distributor terminations</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98,082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31,757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21,087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98,632</w:t>
            </w:r>
          </w:p>
        </w:tc>
        <w:tc>
          <w:tcPr>
            <w:tcW w:w="2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19,114</w:t>
            </w: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199,496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135,451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76,414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Sales and maturities of held-to-maturity investments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4,997</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3,528</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26,489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(24,938)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(24,857)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Sales of available-for-sale investments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283,241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169,529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132,719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(106,685)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(361,600)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(224,157)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(6,718)</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(4,108)</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261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Additions to trademarks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decrease in other assets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583</w:t>
            </w: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143,982</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(194,727)</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Principal payments on long-term debt</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Tax benefit from exercise of stock options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4,334</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29,454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2,257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8,191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Purchases of common stock held in treasury</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(103,467)</w:t>
            </w:r>
          </w:p>
        </w:tc>
        <w:tc>
          <w:tcPr>
            <w:tcW w:w="2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(98,046)</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36,587</w:t>
            </w: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(7,708)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244,361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(22,689)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(26,525)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12,440</w:t>
            </w:r>
          </w:p>
        </w:tc>
        <w:tc>
          <w:tcPr>
            <w:tcW w:w="2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35,129</w:t>
            </w: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year</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256,801</w:t>
            </w:r>
          </w:p>
        </w:tc>
        <w:tc>
          <w:tcPr>
            <w:tcW w:w="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12,440</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35,129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SUPPLEMENTAL INFORMATION:</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year for:</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tcBorders>
              <w:bottom w:val="single" w:sz="8" w:color="CCEEFF"/>
            </w:tcBorders>
            <w:shd w:val="clear" w:color="auto" w:fill="CCEEFF"/>
          </w:tcPr>
          <w:p>
            <w:pPr>
              <w:ind w:left="220"/>
              <w:spacing w:after="0" w:line="167" w:lineRule="exact"/>
              <w:rPr>
                <w:sz w:val="20"/>
                <w:szCs w:val="20"/>
                <w:color w:val="auto"/>
              </w:rPr>
            </w:pPr>
            <w:r>
              <w:rPr>
                <w:rFonts w:ascii="Arial" w:cs="Arial" w:eastAsia="Arial" w:hAnsi="Arial"/>
                <w:sz w:val="16"/>
                <w:szCs w:val="16"/>
                <w:color w:val="auto"/>
              </w:rPr>
              <w:t>Income taxes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118,338</w:t>
            </w: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73,048</w:t>
            </w: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53,614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ectPr>
          <w:pgSz w:w="11900" w:h="16838" w:orient="portrait"/>
          <w:cols w:equalWidth="0" w:num="1">
            <w:col w:w="11420"/>
          </w:cols>
          <w:pgMar w:left="240" w:top="341" w:right="239" w:bottom="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During 2008, 2007 and 2006, the Company entered into capital leases of $1.4 million, $1.3 million and $1.0 million, respectively, for the acquisition of promotional vehicles.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payable was equipment purchased of $1.5 million and $0.1 million as of December 31, 2008 and 2007,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ORGANIZATION AND SUMMARY OF SIGNIFICANT ACCOUNTING POLICIES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Organization </w:t>
      </w:r>
      <w:r>
        <w:rPr>
          <w:rFonts w:ascii="Arial" w:cs="Arial" w:eastAsia="Arial" w:hAnsi="Arial"/>
          <w:sz w:val="17"/>
          <w:szCs w:val="17"/>
          <w:color w:val="auto"/>
        </w:rPr>
        <w:t>– Hansen Natural Corporation (the “Company” or “Hansen”) was incorporated in Delaware on April 25, 1990. The Company is a</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company and has no operating business except through its wholly-owned subsidiaries: Hansen Beverage Company (“HBC”) which was incorporated in Delaware on June 8, 1992, Monster LDA Company (“MLDA”) formally known as Hard e Beverage Company, and previously known as Hard Energy Company and CVI Ventures, Inc., which was incorporated in Delaware on April 30, 1990, Monster Energy UK Limited (“MUK”), a direct wholly owned subsidiary of HBC, which was incorporated in the United Kingdom on October 9, 2007, Monster Energy AU Pty, Ltd. (“MEAU”), a direct wholly owned subsidiary of HBC, which was incorporated in Australia on August 5, 2008 and Monster Energy Limited (“MEL”), a direct wholly owned subsidiary of HBC, which was incorporated in Ireland on September 24, 2008. HBC conducts the vast majority of the Company’s operating business and generates substantially all of the Company’s operating revenues. References herein to “Hansen” or the “Company” when used to describe the operating business of the Company are references to the business of HBC unless otherwise indicated.</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HBC, through its wholly-owned subsidiaries, Blue Sky Natural Beverage Co. (“Blue Sky”) and Hansen Junior Juice Company (“Junior Juice”) owns and operates the natural soda business under the Blue Sky® trademark and the Junior Juice beverage business under the Junior Juice® trademark, respectively.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The Company develops, markets, sells and distributes “alternative” beverage category natural sodas, fruit juices and juice</w:t>
      </w:r>
      <w:r>
        <w:rPr>
          <w:rFonts w:ascii="Arial" w:cs="Arial" w:eastAsia="Arial" w:hAnsi="Arial"/>
          <w:sz w:val="17"/>
          <w:szCs w:val="17"/>
          <w:i w:val="1"/>
          <w:iCs w:val="1"/>
          <w:color w:val="auto"/>
        </w:rPr>
        <w:t xml:space="preserve"> </w:t>
      </w:r>
      <w:r>
        <w:rPr>
          <w:rFonts w:ascii="Arial" w:cs="Arial" w:eastAsia="Arial" w:hAnsi="Arial"/>
          <w:sz w:val="17"/>
          <w:szCs w:val="17"/>
          <w:color w:val="auto"/>
        </w:rPr>
        <w:t>drinks, energy drinks and energy sports drinks, fruit juice smoothies and “functional” drinks, non-carbonated ready-to-drink iced teas, children’s multi-vitamin juice drinks, Junior Juice® juices, Junior Juice Water and flavored sparkling beverages under the Hansen’s® brand name. The Company also develops, markets, sells and distributes energy drinks under the following brand names; Monster Energy®, Monster Hitman Energy Shooter™, Lost® Energy™, and Joker Mad Energy™ brand names as well as Rumba®, Samba and Tango brand energy juices. The Company markets, sells and distributes the Java Monster™ line of non-carbonated dairy based coffee drinks. The Company also markets, sells and distributes natural sodas, premium natural sodas with supplements, organic natural sodas, seltzer waters, sports drinks and energy drinks under the Blue Sky® brand name and markets, sells and distributes enhanced water beverages under the Vidration™ brand name.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have been prepared in accordance with accounting principles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in the United States of America (“GAAP”).</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 The Company has reclassified $0.1 million of customer deposit liabilities to accrued liabilities on the consolidated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2007 in order to conform to the current year presentation. The Company also reclassified $5.4 million of trade accounts receivable, net to distributor receivables on the consolidated balance sheet as of December 31, 2007 in order to conform to the current year presentation.</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include the accounts of the Company and its wholly 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since their respective dates of incorporation. All intercompany balances and transactions have been eliminated in consolidation.</w:t>
      </w:r>
    </w:p>
    <w:p>
      <w:pPr>
        <w:spacing w:after="0" w:line="14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The Company considers all highly liquid investments with an original maturity of three months or less from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to be cash equivalents. Throughout the year, the Company has had amounts on deposit at financial institutions that exceed the federally insured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limits. The Company has not experienced any loss as a result of these deposits and does not expect to incur any losses in the future.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The Company’s investments in debt securities are classified in one of two categories, held-to-maturity or available-for-sale,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Statement of Financial Accounting Standard (“SFAS”) No. 115, “Accounting for Certain Investments in Debt and Equity Securities” (“SFAS No. 115”). Held-to-maturity securities are those securities that the Company has the positive intent and ability to hold until maturity. All other securities not included in the held-to-maturity category are classified as available-for-sale. No securities are held for speculative or trading purposes. Held-to-maturity securities are recorded at amortized cost which approximates fair market value. Available-for-sale securities are carried at fair value with unrealized gains and losses recorded within accumulated other comprehensive loss as a separate component of stockholders’ equity. A decline in the market value of any investment security below cost that is deemed other-than-temporary, results in a reduction in its carrying amount to fair value. The impairment is charged to earnings and a new cost basis for the security is established. Premiums and discounts are amortized or accreted over the life of the related held-to-maturity security as an adjustment to yield using the effective-interest method. The Company evaluates whether the decline in fair value of its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 and, if applicable, information on</w:t>
      </w:r>
    </w:p>
    <w:p>
      <w:pPr>
        <w:sectPr>
          <w:pgSz w:w="11900" w:h="16838" w:orient="portrait"/>
          <w:cols w:equalWidth="0" w:num="1">
            <w:col w:w="11420"/>
          </w:cols>
          <w:pgMar w:left="240" w:top="125" w:right="239" w:bottom="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the guarantors’ financial condition. Factors considered in determining whether a loss is temporary include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first-in, first-out (FIFO) cost or market value (net realizable value).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stated at cost. Depreciation of furniture, office equipment, equipment and vehicles is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their estimated useful lives (three to ten years) and is calculated using the straight-line method. Amortization of leasehold improvements is based on the lesser of their estimated useful lives or the terms of the related leases and is calculated using the straight-line method.</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Intangibles </w:t>
      </w:r>
      <w:r>
        <w:rPr>
          <w:rFonts w:ascii="Arial" w:cs="Arial" w:eastAsia="Arial" w:hAnsi="Arial"/>
          <w:sz w:val="17"/>
          <w:szCs w:val="17"/>
          <w:color w:val="auto"/>
        </w:rPr>
        <w:t>– Intangibles are comprised of trademarks representing the Company’s exclusive ownership of the Hansen’s® trademark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manufacture, sale and distribution of beverages, water, non-beverage products and the Monster Energy® trademark in connection with the manufacture, sale and distribution of supplements and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SFAS No. 142 “Goodwill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Intangible Assets,” intangible assets with indefinite lives are not amortized but instead are measured for impairment at least annually, or when events indicate that an impairment exits.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 Management regularly reviews property and equipment and other long-lived assets, including certain intangibles, for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2008, 2007 and 2006, there were no impairment losses recorded.</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Foreign Currency Translation and Transactions </w:t>
      </w:r>
      <w:r>
        <w:rPr>
          <w:rFonts w:ascii="Arial" w:cs="Arial" w:eastAsia="Arial" w:hAnsi="Arial"/>
          <w:sz w:val="17"/>
          <w:szCs w:val="17"/>
          <w:color w:val="auto"/>
        </w:rPr>
        <w:t>– The accounts of the Company’s foreign subsidiaries are translated in accordance with SFAS</w:t>
      </w:r>
      <w:r>
        <w:rPr>
          <w:rFonts w:ascii="Arial" w:cs="Arial" w:eastAsia="Arial" w:hAnsi="Arial"/>
          <w:sz w:val="17"/>
          <w:szCs w:val="17"/>
          <w:i w:val="1"/>
          <w:iCs w:val="1"/>
          <w:color w:val="auto"/>
        </w:rPr>
        <w:t xml:space="preserve"> </w:t>
      </w:r>
      <w:r>
        <w:rPr>
          <w:rFonts w:ascii="Arial" w:cs="Arial" w:eastAsia="Arial" w:hAnsi="Arial"/>
          <w:sz w:val="17"/>
          <w:szCs w:val="17"/>
          <w:color w:val="auto"/>
        </w:rPr>
        <w:t>No. 52, “Foreign Currency Translation”.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long-term-investment nature (i.e., settlement is not planned or anticipated in the foreseeable future) are also recorded in accumulated other comprehensive loss in stockholders’ equity.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when persuasive evidence of an arrangement exists, delivery has occurred, the sales price</w:t>
      </w:r>
      <w:r>
        <w:rPr>
          <w:rFonts w:ascii="Arial" w:cs="Arial" w:eastAsia="Arial" w:hAnsi="Arial"/>
          <w:sz w:val="16"/>
          <w:szCs w:val="16"/>
          <w:i w:val="1"/>
          <w:iCs w:val="1"/>
          <w:color w:val="auto"/>
        </w:rPr>
        <w:t xml:space="preserve"> </w:t>
      </w:r>
      <w:r>
        <w:rPr>
          <w:rFonts w:ascii="Arial" w:cs="Arial" w:eastAsia="Arial" w:hAnsi="Arial"/>
          <w:sz w:val="16"/>
          <w:szCs w:val="16"/>
          <w:color w:val="auto"/>
        </w:rPr>
        <w:t>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Emerging Issues Task Force Issue (“EITF”) No. 01-9, “Accounting for Consideration Given by a Vendor to a Customer (Including a Reseller of the Vendor’s Products)”</w:t>
      </w:r>
      <w:r>
        <w:rPr>
          <w:rFonts w:ascii="Arial" w:cs="Arial" w:eastAsia="Arial" w:hAnsi="Arial"/>
          <w:sz w:val="16"/>
          <w:szCs w:val="16"/>
          <w:i w:val="1"/>
          <w:iCs w:val="1"/>
          <w:color w:val="auto"/>
        </w:rPr>
        <w: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believes that adequate provision has been made for cash discounts, returns and spoilage based on the Company’s historical experience.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raw materials utilized in the manufacture of products, co-packing fees, repacking fees, in-bound</w:t>
      </w:r>
      <w:r>
        <w:rPr>
          <w:rFonts w:ascii="Arial" w:cs="Arial" w:eastAsia="Arial" w:hAnsi="Arial"/>
          <w:sz w:val="18"/>
          <w:szCs w:val="18"/>
          <w:i w:val="1"/>
          <w:iCs w:val="1"/>
          <w:color w:val="auto"/>
        </w:rPr>
        <w:t xml:space="preserve"> </w:t>
      </w:r>
      <w:r>
        <w:rPr>
          <w:rFonts w:ascii="Arial" w:cs="Arial" w:eastAsia="Arial" w:hAnsi="Arial"/>
          <w:sz w:val="18"/>
          <w:szCs w:val="18"/>
          <w:color w:val="auto"/>
        </w:rPr>
        <w:t>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7" w:name="page48"/>
    <w:bookmarkEnd w:id="47"/>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 warehousing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Freight Costs </w:t>
      </w:r>
      <w:r>
        <w:rPr>
          <w:rFonts w:ascii="Arial" w:cs="Arial" w:eastAsia="Arial" w:hAnsi="Arial"/>
          <w:sz w:val="18"/>
          <w:szCs w:val="18"/>
          <w:color w:val="auto"/>
        </w:rPr>
        <w:t>– For the years ended December 31, 2008, 2007 and 2006, freight-out costs amounted to $45.1 million, $40.8 million and $36.2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have been recorded in operating expenses in the accompanying consolidated statements of income.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 The Company accounts for advertising production costs by expensing such production costs the first time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takes place. Advertising expenses, including but not limited to production costs, amounted to $84.6 million, $66.6 million and $35.7 million for the years ended December 31, 2008, 2007 and 2006, respectively. Advertising expenses are included in operating expenses in the accompanying consolidated statements of income.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accounts for income taxes under the provisions of SFAS No. 109, “Accounting for Income Taxes”. This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recognition of deferred tax assets and liabilities for the future consequences of events that have been recognized in the Company’s financial statements or tax returns. Measurement of the deferred items is based on enacted tax laws. In the event the future consequences of differences between financial reporting bases and tax bases of the Company’s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accounts for stock-based compensation under the provisions of SFAS No. 123 (revised 2004), “Share-Based Payment” (“SFAS No. 123R”). SFAS No. 123R requires the fair value of all stock option awards issued to employees to be recorded as an expense over the related vesting period. Generally, the Company recognizes these compensation costs net of an estimated forfeiture rate on a straight-line basis over the requisite service period of the reward, which is typically the vesting term of five years. The Company estimated the forfeiture rate for fiscal 2008 based on historical experience with actual forfeitures during the preceding five fiscal years.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Net Income Per Common Share </w:t>
      </w:r>
      <w:r>
        <w:rPr>
          <w:rFonts w:ascii="Arial" w:cs="Arial" w:eastAsia="Arial" w:hAnsi="Arial"/>
          <w:sz w:val="18"/>
          <w:szCs w:val="18"/>
          <w:color w:val="auto"/>
        </w:rPr>
        <w:t>– In accordance with SFAS No. 128, “Earnings per Share”, net income per common share, on a basic and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Concentration of Risk – </w:t>
      </w:r>
      <w:r>
        <w:rPr>
          <w:rFonts w:ascii="Arial" w:cs="Arial" w:eastAsia="Arial" w:hAnsi="Arial"/>
          <w:sz w:val="16"/>
          <w:szCs w:val="16"/>
          <w:color w:val="auto"/>
        </w:rPr>
        <w:t>Certain of the Company’s products utilize components (raw materials and/or co-packing services) from a limited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Dr. Pepper Snapple Group, Inc., a former customer of the DSD division, accounted for approximately 13%, 16% and 19% of our net sales for the years ended December 31, 2008, 2007 and 2006, respectively. Wal-Mart, Inc. (including Sam’s Club), a customer of both the DSD and Warehouse divisions, accounted for approximately 11%, 12% and 12% of our net sales for the years ended December 31, 2008, 2007 and 2006, respectively. Our distribution agreement with the Dr. Pepper Snapple Group, Inc. was terminated by us effective November 9, 2008. The related terminated distributor territories are now serviced by a combination of Coca-Cola Enterprises, Inc. (“CCE”), Coca-Cola Bottling Company (“CCBC”), CCBCC Operations, LLC (“Consolidated”), United Bottling Contracts Company, LLC (“United”), and other Coca-Cola Company (“TCCC”) independent bottlers (collectively, the “TCCC North American Bottlers”) and Anheuser-Busch Distributors (the “AB Distributors”) (See Note 17). If the TCCC North American Bottlers and/or AB Distributors are generally not as successful in selling our products as the Dr. Pepper Snapple Group, Inc. was, this could have a material adverse effect on our financial condition and consolidated results of operations.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retailers and beverage distributors. The Company performs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credit evaluations of its customers and generally does not require collateral. The Company maintains reserves for estimated credit losses, and historically, such losses have been within management’s expectations.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carrying value of the Company’s financial instruments, including cash and cash equivalents,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accounts payable and accrued liabilities, approximate fair value due to the relatively short maturity of the respective instruments.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 The preparation of the consolidated financial statements in conformity with GAAP requires management to make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Recently Issued Accounting Pronouncements </w:t>
      </w:r>
      <w:r>
        <w:rPr>
          <w:rFonts w:ascii="Arial" w:cs="Arial" w:eastAsia="Arial" w:hAnsi="Arial"/>
          <w:sz w:val="17"/>
          <w:szCs w:val="17"/>
          <w:color w:val="auto"/>
        </w:rPr>
        <w:t>– On January 1, 2008, the Company adopted SFAS” No. 157, “Fair Value Measurements”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liabilities. The Company’s adoption of SFAS No. 157 did not have a material impact on its financial position, results of operations or liquidity. In accordance with Financial Accounting Standards Board (“FASB”) Staff Position (“FSP”) No. FAS 157-2, “Effective Date of FASB Statement No. 157” (“FSP 157-2”), the Company elected to defer until January 1, 2009 the adoption of SFAS No. 157 for all nonfinancial assets and liabilities that are not recognized or disclosed at fair value in the financial statements on a recurring basis. The adoption of SFAS No. 157 for those assets and liabilities within the scope of FSP 157-2 is not expected to have a material impact on the Company’s consolidated financial statements.</w:t>
      </w:r>
    </w:p>
    <w:p>
      <w:pPr>
        <w:sectPr>
          <w:pgSz w:w="11900" w:h="16838" w:orient="portrait"/>
          <w:cols w:equalWidth="0" w:num="1">
            <w:col w:w="11420"/>
          </w:cols>
          <w:pgMar w:left="240" w:top="125" w:right="239" w:bottom="12" w:gutter="0" w:footer="0" w:header="0"/>
        </w:sectPr>
      </w:pPr>
    </w:p>
    <w:bookmarkStart w:id="48" w:name="page49"/>
    <w:bookmarkEnd w:id="48"/>
    <w:p>
      <w:pPr>
        <w:spacing w:after="0" w:line="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2008, the FASB issued FSP FAS No. 157-3, “Determining the Fair Value of a Financial Asset When the Market for that Asset is Not Active” (“FSP 157-3”), that clarifies the application of SFAS No. 157 in a market that is not active and provides an example to illustrate key considerations in determining the fair value of a financial asset when the market for that financial asset is not active. FSP 157-3 is effective upon issuance, including prior periods for which the financial statements have not been issued. The adoption of FSP 157-3 did not have a material impact on the Company’s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SFAS No. 157 provides a framework for measuring fair value and requires expanded disclosures regarding fair value measurements. SFAS No. 157 defines fair value as the price that would be received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an asset or the exit price that would be paid to transfer a liability in the principal or most advantageous market in an orderly transaction between market participants on the measurement date. SFAS No. 157 also establishes a fair value hierarchy which requires an entity to maximize the use of observable inputs, where available. The following summarizes the three levels of inputs required by the standard that the Company uses to measure fair value.</w:t>
      </w:r>
    </w:p>
    <w:p>
      <w:pPr>
        <w:spacing w:after="0" w:line="143"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6" w:lineRule="auto"/>
        <w:tabs>
          <w:tab w:leader="none" w:pos="827"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 observable market data for substantially the full term of the related assets or liabilities.</w:t>
      </w:r>
    </w:p>
    <w:p>
      <w:pPr>
        <w:spacing w:after="0" w:line="176"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SFAS No. 157 requires the use of observable market inputs (quoted market prices) when measuring fair value and requires a Level 1 quoted price to be used to measure fair value whenever possible.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 2008, the Company adopted SFAS No. 159, “The Fair Value Option for Financial Assets and Financial Liabilities Including an Amendment of FASB Statement No. 115” (“SFAS No. 159”), which permits entities to choose to measure many financial instruments and certain other items at fair value. The adoption of SFAS No. 159 did not have an impact on the Company’s consolidated financial statements as management did not elect the fair value option for any other financial instruments.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No. 162”). This standard is intended to improve financial reporting by identifying a consistent framework, or hierarchy, for selecting accounting principles to be used in preparing financial statements that are presented in conformity with GAAP for non-governmental entities. SFAS No. 162 is effective 60 days following the SEC’s approval of the Public Company Accounting Oversight Board’s amendments to Interim Auditing Standards Section 411, “The Meaning of Present Fairly in Conformity with GAAP.” The Company does not expect the adoption of SFAS No. 162 to have a material impact on its consolidated financial statements.</w:t>
      </w:r>
    </w:p>
    <w:p>
      <w:pPr>
        <w:spacing w:after="0" w:line="15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April 2008, the FASB issued FSP No. FAS 142-3, “Determination of Useful Life of Intangible Assets” (“FSP 142-3”). FSP 142-3 amends the factors that should be considered in developing the renewal or extension assumptions used to determine the useful life of a recognized intangible asset under SFAS No.142, “Goodwill and Other Intangible Assets.” FSP 142-3 also requires expanded disclosure related to the determination of intangible asset useful lives. FSP 142-3 is effective for fiscal years beginning after December 15, 2008. Earlier adoption is not permitted. The Company does not expect the adoption of FSP 142-3 to have a material impact on its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SFAS No. 157, the following represents the Company’s fair value hierarchy for its financial assets (cash equivalents and investments) measured at fair value on a recurring basis as of December 31, 2008:</w:t>
      </w:r>
    </w:p>
    <w:p>
      <w:pPr>
        <w:sectPr>
          <w:pgSz w:w="11900" w:h="16870" w:orient="portrait"/>
          <w:cols w:equalWidth="0" w:num="1">
            <w:col w:w="11420"/>
          </w:cols>
          <w:pgMar w:left="240" w:top="125" w:right="239" w:bottom="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Money market funds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Treasuries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Municipal securities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Auction rate securities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5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Amounts included in: Cash and cash equivalents Short-term investments Long-term investments 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Level 1</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7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Total</w:t>
            </w:r>
          </w:p>
        </w:tc>
      </w:tr>
      <w:tr>
        <w:trPr>
          <w:trHeight w:val="195"/>
        </w:trPr>
        <w:tc>
          <w:tcPr>
            <w:tcW w:w="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23,944</w:t>
            </w:r>
          </w:p>
        </w:tc>
        <w:tc>
          <w:tcPr>
            <w:tcW w:w="1500" w:type="dxa"/>
            <w:vAlign w:val="bottom"/>
          </w:tcPr>
          <w:p>
            <w:pPr>
              <w:jc w:val="right"/>
              <w:ind w:right="1110"/>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99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23,944</w:t>
            </w:r>
          </w:p>
        </w:tc>
      </w:tr>
      <w:tr>
        <w:trPr>
          <w:trHeight w:val="216"/>
        </w:trPr>
        <w:tc>
          <w:tcPr>
            <w:tcW w:w="4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172,558</w:t>
            </w:r>
          </w:p>
        </w:tc>
        <w:tc>
          <w:tcPr>
            <w:tcW w:w="150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172,558</w:t>
            </w:r>
          </w:p>
        </w:tc>
      </w:tr>
      <w:tr>
        <w:trPr>
          <w:trHeight w:val="216"/>
        </w:trPr>
        <w:tc>
          <w:tcPr>
            <w:tcW w:w="4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80,240</w:t>
            </w:r>
          </w:p>
        </w:tc>
        <w:tc>
          <w:tcPr>
            <w:tcW w:w="150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80,240</w:t>
            </w:r>
          </w:p>
        </w:tc>
      </w:tr>
      <w:tr>
        <w:trPr>
          <w:trHeight w:val="216"/>
        </w:trPr>
        <w:tc>
          <w:tcPr>
            <w:tcW w:w="4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1,154</w:t>
            </w:r>
          </w:p>
        </w:tc>
        <w:tc>
          <w:tcPr>
            <w:tcW w:w="150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1,154</w:t>
            </w:r>
          </w:p>
        </w:tc>
      </w:tr>
      <w:tr>
        <w:trPr>
          <w:trHeight w:val="230"/>
        </w:trPr>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97,617</w:t>
            </w:r>
          </w:p>
        </w:tc>
        <w:tc>
          <w:tcPr>
            <w:tcW w:w="5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97,617</w:t>
            </w:r>
          </w:p>
        </w:tc>
      </w:tr>
      <w:tr>
        <w:trPr>
          <w:trHeight w:val="217"/>
        </w:trPr>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277,896</w:t>
            </w:r>
          </w:p>
        </w:tc>
        <w:tc>
          <w:tcPr>
            <w:tcW w:w="15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97,617</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375,513</w:t>
            </w:r>
          </w:p>
        </w:tc>
      </w:tr>
      <w:tr>
        <w:trPr>
          <w:trHeight w:val="634"/>
        </w:trPr>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256,801</w:t>
            </w:r>
          </w:p>
        </w:tc>
        <w:tc>
          <w:tcPr>
            <w:tcW w:w="150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256,801</w:t>
            </w:r>
          </w:p>
        </w:tc>
      </w:tr>
      <w:tr>
        <w:trPr>
          <w:trHeight w:val="216"/>
        </w:trPr>
        <w:tc>
          <w:tcPr>
            <w:tcW w:w="4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21,095</w:t>
            </w:r>
          </w:p>
        </w:tc>
        <w:tc>
          <w:tcPr>
            <w:tcW w:w="150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8,050</w:t>
            </w:r>
          </w:p>
        </w:tc>
        <w:tc>
          <w:tcPr>
            <w:tcW w:w="5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29,145</w:t>
            </w:r>
          </w:p>
        </w:tc>
      </w:tr>
      <w:tr>
        <w:trPr>
          <w:trHeight w:val="230"/>
        </w:trPr>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89,567</w:t>
            </w:r>
          </w:p>
        </w:tc>
        <w:tc>
          <w:tcPr>
            <w:tcW w:w="5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89,567</w:t>
            </w:r>
          </w:p>
        </w:tc>
      </w:tr>
      <w:tr>
        <w:trPr>
          <w:trHeight w:val="217"/>
        </w:trPr>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277,896</w:t>
            </w:r>
          </w:p>
        </w:tc>
        <w:tc>
          <w:tcPr>
            <w:tcW w:w="15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97,617</w:t>
            </w: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375,513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-1706245</wp:posOffset>
            </wp:positionV>
            <wp:extent cx="675767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5767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-1423035</wp:posOffset>
            </wp:positionV>
            <wp:extent cx="675767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-1148715</wp:posOffset>
            </wp:positionV>
            <wp:extent cx="675767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-857250</wp:posOffset>
            </wp:positionV>
            <wp:extent cx="675767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5767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-574040</wp:posOffset>
            </wp:positionV>
            <wp:extent cx="675767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-299720</wp:posOffset>
            </wp:positionV>
            <wp:extent cx="675767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ectPr>
          <w:pgSz w:w="11900" w:h="16870" w:orient="portrait"/>
          <w:cols w:equalWidth="0" w:num="2">
            <w:col w:w="2660" w:space="720"/>
            <w:col w:w="8040"/>
          </w:cols>
          <w:pgMar w:left="240" w:top="125" w:right="239" w:bottom="0" w:gutter="0" w:footer="0" w:header="0"/>
          <w:type w:val="continuous"/>
        </w:sectPr>
      </w:pPr>
    </w:p>
    <w:bookmarkStart w:id="49" w:name="page50"/>
    <w:bookmarkEnd w:id="49"/>
    <w:p>
      <w:pPr>
        <w:jc w:val="both"/>
        <w:ind w:firstLine="441"/>
        <w:spacing w:after="0" w:line="269" w:lineRule="auto"/>
        <w:rPr>
          <w:sz w:val="20"/>
          <w:szCs w:val="20"/>
          <w:color w:val="auto"/>
        </w:rPr>
      </w:pPr>
      <w:r>
        <w:rPr>
          <w:rFonts w:ascii="Arial" w:cs="Arial" w:eastAsia="Arial" w:hAnsi="Arial"/>
          <w:sz w:val="17"/>
          <w:szCs w:val="17"/>
          <w:color w:val="auto"/>
        </w:rPr>
        <w:t>The Company’s Level 3 assets are comprised of municipal or educational related or other public body notes with an auction reset feature (“auction rate securities”). The majority of these notes carry an investment grade or better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During the year ended December 31, 2008, a large portion of the auctions for these auction rate securities failed and there is no assurance that auctions on the remaining auction rate securities in the Company’s investment portfolio will succeed. The auction failures appear to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rates and be auctioned every 7 to 35 days until their respective auction succeeds, the issuer calls the securities, they mature or the Company is able to sell the securities to third parties. As a result, the Company’s ability to liquidate and fully recover the carrying value of its auction rate securities in the near term may be limited. Consequently, certain of these securities are classified as long-term investments in the accompanying consolidated balance sheets.</w:t>
      </w:r>
    </w:p>
    <w:p>
      <w:pPr>
        <w:spacing w:after="0" w:line="180"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At December 31, 2008, the Company held auction rate securities with a face value of $112.5 million. Subsequent to December 31, 2008, the Company redeemed $8.1 million of auction rate securities at par, which are included in short-term investments. A Level 3 valuation was performed on the remaining $104.5 million of the Company’s auction rate securities as of December 31, 2008, which indicated an impairment of $14.9 million, resulting in a fair value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$89.6 million which is included in long-term investments. This valuation utilized a mark to model approach which included estimates for interest rates, timing and amount of cash flows, credit and liquidity premiums, and expected holding periods for the auction rate securities. These assumptions are typically volatile and subject to change as the underlying data sources and market conditions evolve.</w:t>
      </w:r>
    </w:p>
    <w:p>
      <w:pPr>
        <w:spacing w:after="0" w:line="181"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addition to the Company’s Level 3 valuation performed as of December 31, 2008, the Company also reviewed various factors in determining whether to record a temporary or other than temporary impairment charge related to the decline in fair value on our available-for sale securities, including length of time and extent to which the investments fair value has been less than the cost basis, the financial condition and near-term prospects of the issuer and any guarantors if applicable, any specific events which may influence the operations of the issuer, and our intent and ability to retain the investment for a period of time sufficient to allow for any anticipated recovery of fair value. Based on this analysis, the Company determined that of the $14.9 million impairment of its auction rate securities, $14.4 million was deemed temporary. This amount has been recorded, net of a tax benefit of $5.7 million, as a component of accumulated other comprehensive loss for the year ended December 31, 2008. In addition, the Company determined that $0.5 million of impairment was other than temporary and recorded a charge to interest and other income, net, for the year ended December 31, 2008.</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Based on the Company’s ability to access cash and other short-term investments and based on the Company’s expected operating cash flows, the Company does not anticipate that the current lack of liquidity of these investments will have a material effect on its liquidity or working capital. If uncertainties in the credit and capital markets continue or there are ratings downgrades on the auction rate securities held by the Company, the Company may be required to recognize additional impairments on these investments.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summary of changes in fair value of the Company’s Level 3 financial assets as of December 31, 2008:</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2"/>
              </w:rPr>
              <w:t>Level 3</w:t>
            </w:r>
          </w:p>
        </w:tc>
      </w:tr>
      <w:tr>
        <w:trPr>
          <w:trHeight w:val="216"/>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Auction Rate</w:t>
            </w:r>
          </w:p>
        </w:tc>
      </w:tr>
      <w:tr>
        <w:trPr>
          <w:trHeight w:val="230"/>
        </w:trPr>
        <w:tc>
          <w:tcPr>
            <w:tcW w:w="4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Securities</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Transfers to Level 3</w:t>
            </w:r>
          </w:p>
        </w:tc>
        <w:tc>
          <w:tcPr>
            <w:tcW w:w="1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227,089</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loss included in income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02"/>
        </w:trPr>
        <w:tc>
          <w:tcPr>
            <w:tcW w:w="4500" w:type="dxa"/>
            <w:vAlign w:val="bottom"/>
          </w:tcPr>
          <w:p>
            <w:pPr>
              <w:ind w:left="180"/>
              <w:spacing w:after="0" w:line="201" w:lineRule="exact"/>
              <w:rPr>
                <w:sz w:val="20"/>
                <w:szCs w:val="20"/>
                <w:color w:val="auto"/>
              </w:rPr>
            </w:pPr>
            <w:r>
              <w:rPr>
                <w:rFonts w:ascii="Arial" w:cs="Arial" w:eastAsia="Arial" w:hAnsi="Arial"/>
                <w:sz w:val="18"/>
                <w:szCs w:val="18"/>
                <w:color w:val="auto"/>
              </w:rPr>
              <w:t>Unrealized loss included in other comprehensive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(14,356)</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settlements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(114,589)</w:t>
            </w: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97,617</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 December 31, 2008 and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Continuous</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Unrealized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20" w:type="dxa"/>
            <w:vAlign w:val="bottom"/>
          </w:tcPr>
          <w:p>
            <w:pPr>
              <w:jc w:val="center"/>
              <w:ind w:left="430"/>
              <w:spacing w:after="0"/>
              <w:rPr>
                <w:sz w:val="20"/>
                <w:szCs w:val="20"/>
                <w:color w:val="auto"/>
              </w:rPr>
            </w:pPr>
            <w:r>
              <w:rPr>
                <w:rFonts w:ascii="Arial" w:cs="Arial" w:eastAsia="Arial" w:hAnsi="Arial"/>
                <w:sz w:val="18"/>
                <w:szCs w:val="18"/>
                <w:color w:val="auto"/>
                <w:w w:val="93"/>
              </w:rPr>
              <w:t>Amortized</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Holding</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Holding</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less than 12</w:t>
            </w: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2120" w:type="dxa"/>
            <w:vAlign w:val="bottom"/>
          </w:tcPr>
          <w:p>
            <w:pPr>
              <w:jc w:val="center"/>
              <w:ind w:left="430"/>
              <w:spacing w:after="0"/>
              <w:rPr>
                <w:sz w:val="20"/>
                <w:szCs w:val="20"/>
                <w:color w:val="auto"/>
              </w:rPr>
            </w:pPr>
            <w:r>
              <w:rPr>
                <w:rFonts w:ascii="Arial" w:cs="Arial" w:eastAsia="Arial" w:hAnsi="Arial"/>
                <w:sz w:val="18"/>
                <w:szCs w:val="18"/>
                <w:color w:val="auto"/>
                <w:w w:val="86"/>
              </w:rPr>
              <w:t>Cost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Gains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Losses</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Months</w:t>
            </w:r>
          </w:p>
        </w:tc>
      </w:tr>
      <w:tr>
        <w:trPr>
          <w:trHeight w:val="210"/>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bl>
    <w:p>
      <w:pPr>
        <w:sectPr>
          <w:pgSz w:w="11900" w:h="16838" w:orient="portrait"/>
          <w:cols w:equalWidth="0" w:num="1">
            <w:col w:w="11420"/>
          </w:cols>
          <w:pgMar w:left="240" w:top="341" w:right="239" w:bottom="0" w:gutter="0" w:footer="0" w:header="0"/>
        </w:sectPr>
      </w:pPr>
    </w:p>
    <w:bookmarkStart w:id="50" w:name="page51"/>
    <w:bookmarkEnd w:id="50"/>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Auction rate securities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103,923</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14,356</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89,567</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133,068</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118,712</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2"/>
              </w:rPr>
              <w:t>Continuous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Gross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2"/>
              </w:rPr>
              <w:t>Unrealized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Unrealized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Holding</w:t>
            </w:r>
          </w:p>
        </w:tc>
        <w:tc>
          <w:tcPr>
            <w:tcW w:w="20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Holding</w:t>
            </w:r>
          </w:p>
        </w:tc>
        <w:tc>
          <w:tcPr>
            <w:tcW w:w="300" w:type="dxa"/>
            <w:vAlign w:val="bottom"/>
          </w:tcPr>
          <w:p>
            <w:pPr>
              <w:spacing w:after="0"/>
              <w:rPr>
                <w:sz w:val="18"/>
                <w:szCs w:val="18"/>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86"/>
              </w:rPr>
              <w:t>less than 12</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December 31, 2007</w:t>
            </w:r>
          </w:p>
        </w:tc>
        <w:tc>
          <w:tcPr>
            <w:tcW w:w="200" w:type="dxa"/>
            <w:vAlign w:val="bottom"/>
          </w:tcPr>
          <w:p>
            <w:pPr>
              <w:spacing w:after="0"/>
              <w:rPr>
                <w:sz w:val="20"/>
                <w:szCs w:val="20"/>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Losses</w:t>
            </w:r>
          </w:p>
        </w:tc>
        <w:tc>
          <w:tcPr>
            <w:tcW w:w="300" w:type="dxa"/>
            <w:vAlign w:val="bottom"/>
          </w:tcPr>
          <w:p>
            <w:pPr>
              <w:spacing w:after="0"/>
              <w:rPr>
                <w:sz w:val="20"/>
                <w:szCs w:val="2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Auction rate securities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227,085</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227,089</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290,210</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290,214</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Company’s short-term investments as of December 31, 2007 included variable rate demand notes of $60.6 million. Although the underlying maturities of these securities are long-term in nature, the investments are classified as short-term because they contain a ‘put’ feature which allows the holder to tender the securities at par value on seven days notice. The ‘put’ feature is supported by a letter of credit or standby purchase agreement provided by a highly-rated commercial bank. The notes are issued by municipalities and other tax-exempt entities and the interest rate payable on these investments resets on a weekly basis. Subsequent to December 31, 2007, the Company redeemed all its holdings of variable rate demand notes at par value. Subsequent to December 31, 2008, the Company redeemed $8.1 million of auction rate securities at par.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maturities of the Company’s investments at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Amortized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Cost</w:t>
            </w:r>
          </w:p>
        </w:tc>
        <w:tc>
          <w:tcPr>
            <w:tcW w:w="26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w w:val="99"/>
              </w:rPr>
              <w:t>Fair Value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Due 1 - 10 years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Due 11 - 20 years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Due 21 - 30 years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55,881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Due 31 - 40 years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31,898</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65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at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91,872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65,847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and equipment consist of the following at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2008</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Equipment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13,218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14,389</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6.</w:t>
            </w:r>
          </w:p>
        </w:tc>
        <w:tc>
          <w:tcPr>
            <w:tcW w:w="26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INTANGIBLES, Net</w:t>
            </w: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following provides additional information concerning the Company’s intangibles as of December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9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Amortizing trademarks</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1,169</w:t>
            </w: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10"/>
        </w:trPr>
        <w:tc>
          <w:tcPr>
            <w:tcW w:w="6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trademarks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27,652</w:t>
            </w:r>
          </w:p>
        </w:tc>
        <w:tc>
          <w:tcPr>
            <w:tcW w:w="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23,298</w:t>
            </w:r>
          </w:p>
        </w:tc>
      </w:tr>
      <w:tr>
        <w:trPr>
          <w:trHeight w:val="210"/>
        </w:trPr>
        <w:tc>
          <w:tcPr>
            <w:tcW w:w="6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28,365</w:t>
            </w:r>
          </w:p>
        </w:tc>
        <w:tc>
          <w:tcPr>
            <w:tcW w:w="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24,066</w:t>
            </w: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amortizing trademarks have been assigned an estimated finite useful life and such trademarks are amortized on a straight-line basis over the number of years that approximate their respective useful lives ranging from one to 25 years (weighted-average life of 19 years). Total amortization expense recorded was $0.06 million for the years ended December 31, 2008, 2007 and 2006, respectively. As of December 31, 2008, future estimated amortization expense related to amortizing trademarks through the year ended December 31, 2013 is approximately $0.06 million per year.</w:t>
      </w:r>
    </w:p>
    <w:p>
      <w:pPr>
        <w:spacing w:after="0" w:line="17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HBC has a credit facility with Comerica Bank (“Comerica”) consisting of a revolving line of credit which was amended in May 2007. In accordance with the amended provisions of the credit facility, HBC increased its available borrowings under the revolving line of credit to $10.0 million of non-collateralized debt. The revolving line of credit is effective through June 1, 2010. Interest on borrowings under the line of credit is based on Comerica’s base (prime) rate minus up to 1.5%, or varying London Interbank Offered Rates (“LIBOR”) up to 180 days, plus an additional percentage of up to 1.75%, depending upon certain financial ratios maintained by HBC. The Company had no outstanding borrowings on this line of credit at December 31, 2008 and 2007. Letters of credit issued on behalf of the Company totaling $0.3 million under this credit facility were outstanding as of December 31, 2008 and 2007, respectively.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of the Company’s line of credit contain certain financial covenants, including certain financial ratios. The Company was in compliance with these covenants at December 31, 2008.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at December 31:</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4"/>
              </w:rPr>
              <w:t>2008</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2007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Capital leases, collateralized by vehicles, payable over 12 months in monthly installments at</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5"/>
              </w:rPr>
              <w:t>various effective interest rates ranging from 3.1% to 12.8%, with final payments ending on or</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before December 31, 2009.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62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(959)</w:t>
            </w: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December 31, 2008 and 2007, the assets acquired under capital leases had a net book value of $2.7 million and $2.3 million, net of accumulated depreciation of $1.3 million and $1.1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expense, including amounts for capital lease obligations, amounted to $0.04 million, $0.05 million and $0.05 million for the years ended December 31, 2008, 2007 and 2006, respectively.</w:t>
      </w:r>
    </w:p>
    <w:p>
      <w:pPr>
        <w:spacing w:after="0" w:line="17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components of accumulated other comprehensive loss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20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2007</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Accumulated net unrealized loss on available-for-sale securities, net of tax</w:t>
            </w:r>
          </w:p>
        </w:tc>
        <w:tc>
          <w:tcPr>
            <w:tcW w:w="18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of $5,696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9.</w:t>
            </w:r>
          </w:p>
        </w:tc>
        <w:tc>
          <w:tcPr>
            <w:tcW w:w="26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Arial" w:cs="Arial" w:eastAsia="Arial" w:hAnsi="Arial"/>
                <w:sz w:val="18"/>
                <w:szCs w:val="18"/>
                <w:color w:val="auto"/>
              </w:rPr>
              <w:t>TREASURY STOCK PURCHASE</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2" w:name="page53"/>
    <w:bookmarkEnd w:id="52"/>
    <w:p>
      <w:pPr>
        <w:jc w:val="both"/>
        <w:ind w:firstLine="648"/>
        <w:spacing w:after="0" w:line="312" w:lineRule="auto"/>
        <w:rPr>
          <w:sz w:val="20"/>
          <w:szCs w:val="20"/>
          <w:color w:val="auto"/>
        </w:rPr>
      </w:pPr>
      <w:r>
        <w:rPr>
          <w:rFonts w:ascii="Arial" w:cs="Arial" w:eastAsia="Arial" w:hAnsi="Arial"/>
          <w:sz w:val="16"/>
          <w:szCs w:val="16"/>
          <w:color w:val="auto"/>
        </w:rPr>
        <w:t>During the year ended December 31, 2008 the Company purchased 3.9 million shares of common stock at an average purchase price of $26.77 per share which the Company holds in treasury. No shares were purchased during the year ended December 31, 2007. During the year ended December 31, 2006 the Company purchased 1.0 million shares of common stock at an average purchase price of $27.70 per share which the Company holds in treasury.</w:t>
      </w:r>
    </w:p>
    <w:p>
      <w:pPr>
        <w:spacing w:after="0" w:line="147"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weighted average shares used in the basic and diluted earnings per common share computations for the three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2007 and 2006 is presented below:</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8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7"/>
                <w:szCs w:val="17"/>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7"/>
                <w:szCs w:val="17"/>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2006</w:t>
            </w: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outstanding:</w:t>
            </w: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20"/>
              <w:spacing w:after="0"/>
              <w:rPr>
                <w:sz w:val="20"/>
                <w:szCs w:val="20"/>
                <w:color w:val="auto"/>
              </w:rPr>
            </w:pPr>
            <w:r>
              <w:rPr>
                <w:rFonts w:ascii="Arial" w:cs="Arial" w:eastAsia="Arial" w:hAnsi="Arial"/>
                <w:sz w:val="18"/>
                <w:szCs w:val="18"/>
                <w:color w:val="auto"/>
              </w:rPr>
              <w:t>Basic</w:t>
            </w:r>
          </w:p>
        </w:tc>
        <w:tc>
          <w:tcPr>
            <w:tcW w:w="1340" w:type="dxa"/>
            <w:vAlign w:val="bottom"/>
          </w:tcPr>
          <w:p>
            <w:pPr>
              <w:jc w:val="right"/>
              <w:spacing w:after="0"/>
              <w:rPr>
                <w:sz w:val="20"/>
                <w:szCs w:val="20"/>
                <w:color w:val="auto"/>
              </w:rPr>
            </w:pPr>
            <w:r>
              <w:rPr>
                <w:rFonts w:ascii="Arial" w:cs="Arial" w:eastAsia="Arial" w:hAnsi="Arial"/>
                <w:sz w:val="18"/>
                <w:szCs w:val="18"/>
                <w:color w:val="auto"/>
              </w:rPr>
              <w:t>92,515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91,178</w:t>
            </w:r>
          </w:p>
        </w:tc>
        <w:tc>
          <w:tcPr>
            <w:tcW w:w="3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89,936</w:t>
            </w: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Dilutive securities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3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3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8,650</w:t>
            </w:r>
          </w:p>
        </w:tc>
      </w:tr>
      <w:tr>
        <w:trPr>
          <w:trHeight w:val="210"/>
        </w:trPr>
        <w:tc>
          <w:tcPr>
            <w:tcW w:w="20" w:type="dxa"/>
            <w:vAlign w:val="bottom"/>
          </w:tcPr>
          <w:p>
            <w:pPr>
              <w:spacing w:after="0"/>
              <w:rPr>
                <w:sz w:val="18"/>
                <w:szCs w:val="18"/>
                <w:color w:val="auto"/>
              </w:rPr>
            </w:pPr>
          </w:p>
        </w:tc>
        <w:tc>
          <w:tcPr>
            <w:tcW w:w="5780" w:type="dxa"/>
            <w:vAlign w:val="bottom"/>
            <w:gridSpan w:val="2"/>
          </w:tcPr>
          <w:p>
            <w:pPr>
              <w:ind w:left="82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97,530</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98,874</w:t>
            </w:r>
          </w:p>
        </w:tc>
        <w:tc>
          <w:tcPr>
            <w:tcW w:w="300" w:type="dxa"/>
            <w:vAlign w:val="bottom"/>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98,586</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years ended December 31, 2008, 2007 and 2006, options outstanding totaling 1.4 million shares, 0.2 million shares and 0.03 million shares respectively, were excluded from the calculations as their effect would have been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In October 2006, we also entered into a lease agreement pursuant to which we leased 346,495 square feet of warehouse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space located in Corona, California. This lease commitment provides for minimum rental payments for 120 months, commencing March 2007, excluding renewal options. The monthly rental payments are $167,586 at the commencement of the lease and increase over the lease term by 7.5% at the end of each 30 month period. The new warehouse and distribution space replaced our previous warehouse and distribution space also located in Corona, California.</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2006, we entered into an agreement to acquire 1.8 acres of vacant land for a purchase price of $1.4 million, which is currently in escrow. In August 2008, we completed the purchase of an additional 1.09 acres of adjacent land for a purchase price of $1.4 million. The properties are located adjacent to the newly leased warehouse and distribution space. We are reviewing the feasibility of constructing a new office building and parking lot on these combined parcels of land to replace our existing office space.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2007, we relocated our corporate offices to newly leased offices in Corona, California. The Company has sublet a small portion of our previous office, warehouse and distribution space on a month to month basis. In addition, we continue to utilize the remaining portion of this space as overflow for our main warehouse. This lease expires in October 2010.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rents additional warehouse space on a short-tem basis from time to time in public warehouses located throughout the United States and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$3.5 million, $3.3 million and $1.3 million for the years ended December 31, 2008, 2007 and 2006,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rental payments at December 31, 2008 under the operating leases referred to above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2010</w:t>
            </w:r>
          </w:p>
        </w:tc>
        <w:tc>
          <w:tcPr>
            <w:tcW w:w="5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 and thereafter</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aggregating approximately $44.6 million, which represent commitments made</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and its subsidiaries to various suppliers of raw materials for the manufacturing and packaging of its products. These obligations vary in terms.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above obligations, pursuant to a can supply agreement between the Company and Rexam Beverage Can Company (“Rexam”), dated as of January 1, 2006, we have undertaken to purchase a minimum volume of 24-ounce resealable aluminum beverage cans over the four-year period commencing from January 1, 2006 through December 31, 2009. Should we fail to purchase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3" w:name="page54"/>
    <w:bookmarkEnd w:id="53"/>
    <w:p>
      <w:pPr>
        <w:jc w:val="both"/>
        <w:spacing w:after="0" w:line="308" w:lineRule="auto"/>
        <w:rPr>
          <w:sz w:val="20"/>
          <w:szCs w:val="20"/>
          <w:color w:val="auto"/>
        </w:rPr>
      </w:pPr>
      <w:r>
        <w:rPr>
          <w:rFonts w:ascii="Arial" w:cs="Arial" w:eastAsia="Arial" w:hAnsi="Arial"/>
          <w:sz w:val="17"/>
          <w:szCs w:val="17"/>
          <w:color w:val="auto"/>
        </w:rPr>
        <w:t>minimum volume, we will be obligated to reimburse Rexam for certain capital reimbursements on a pro-rated basis. Our maximum liability under this agreement as of December 31, 2008 is $4.0 million, subject to compliance by Rexam with a number of conditions under this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purchases various raw material items, including, but not limited to, flavors, ingredients, containers, milk and cream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 ended December 31, 2008 was $116.2 million.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Noncancelable contractual obligations </w:t>
      </w:r>
      <w:r>
        <w:rPr>
          <w:rFonts w:ascii="Arial" w:cs="Arial" w:eastAsia="Arial" w:hAnsi="Arial"/>
          <w:sz w:val="18"/>
          <w:szCs w:val="18"/>
          <w:color w:val="auto"/>
        </w:rPr>
        <w:t>– The Company has noncancelable contractual obligations aggregating approximately $53.0 million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sponsorships and other commitments, payable over four years.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Licensing Agreements </w:t>
      </w:r>
      <w:r>
        <w:rPr>
          <w:rFonts w:ascii="Arial" w:cs="Arial" w:eastAsia="Arial" w:hAnsi="Arial"/>
          <w:sz w:val="17"/>
          <w:szCs w:val="17"/>
          <w:color w:val="auto"/>
        </w:rPr>
        <w:t>– The Company produces, sells and distributes Lost® Energy™ drinks under an exclusive license with Lost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LLC. The license agreement requires certain royalty payments to be made related to the sale of Lost® brand products. Royalty expense under this agreement for the years ended December 31, 2008, 2007 and 2006 was $0.3 million, $0.5 million, and $0.7 million, respectively.</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In August 2006, HBC filed a lawsuit against National Beverage Company, Shasta Beverages, Inc., Newbevco Inc. and Freek’N</w:t>
      </w:r>
      <w:r>
        <w:rPr>
          <w:rFonts w:ascii="Arial" w:cs="Arial" w:eastAsia="Arial" w:hAnsi="Arial"/>
          <w:sz w:val="17"/>
          <w:szCs w:val="17"/>
          <w:i w:val="1"/>
          <w:iCs w:val="1"/>
          <w:color w:val="auto"/>
        </w:rPr>
        <w:t xml:space="preserve"> </w:t>
      </w:r>
      <w:r>
        <w:rPr>
          <w:rFonts w:ascii="Arial" w:cs="Arial" w:eastAsia="Arial" w:hAnsi="Arial"/>
          <w:sz w:val="17"/>
          <w:szCs w:val="17"/>
          <w:color w:val="auto"/>
        </w:rPr>
        <w:t>Beverage Corp. (collectively “National”) seeking an injunction and damages for trademark infringement, trademark dilution, unfair competition and deceptive trade practices based on National’s unauthorized use of HBC’s valuable and distinctive Monster Energy® trade dress in connection with a line of energy drinks it launched under the “Freek” brand name. In June 2007, the parties entered into a confidential settlement agreement resolving the parties’ disputes in the litigation. National subsequently repudiated the settlement agreement and HBC responded by filing a motion in the United States District Court for the Central District of California to enforce the terms of the confidential settlement agreement. On August 14, 2007, the United States District Court entered an Order enforcing the settlement agreement and permanently enjoining National from manufacturing, distributing, shipping, marketing, selling and offering to sell “Freek” energy drinks in containers using the original “Freek” trade dress that was subject to the District Court’s preliminary injunction. National appealed the District Court’s decision to the Ninth Circuit Court of Appeals, which heard oral arguments on December 11, 2008. No decision has been issued on the appeal.</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2006, HBC filed a civil action in the Federal Court of Australia, Victoria District Registry, against Bickford’s Australia (Pty) Limited and Meak (Pty) Ltd. (collectively “Bickfords”), in which HBC sought an injunction restraining Bickfords from selling or offering for sale or promoting in Australia any energy drink or beverage under the MONSTER ENERGY™ or MONSTER™ marks or any similar marks, and further sought damages and costs. Bickfords cross-claimed seeking an order to restrain HBC from selling, offering for sale or promoting in Australia any drink product under the Monster Energy or Monster trademarks or any similar trademarks, and for costs. In December 2008, the parties entered into a confidential settlement agreement resolving the parties’ disputes in the litigation. Pursuant to the terms of the settlement agreement, Bickfords will cease all use of the Monster and Monster Energy marks in Australia (after depletion of its existing inventory) and will assign to HBC all trademark applications and registrations which consist of or include the MONSTER ENERGY™ and MONSTER™ marks it has lodged throughout the world, including those lodged in Australia, New Zealand, Singapore, Malaysia, Hong Kong and Indonesia.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2006, Christopher Chavez purporting to act on behalf of himself and a class of consumers yet to be defined filed an action in the Superior Court, of the State of California, City and County of San Francisco, against the Company and its subsidiaries for unfair business practices, false advertising, violation of California Consumers Legal Remedies Act, fraud, deceit and/or misrepresentation alleging that the Company misleadingly labels its Blue Sky beverages as originating in and/or being canned under the authority of a company located in Santa Fe, New Mexico. Defendants removed this Superior Court action to the United States Court for the Northern District of California under the Class Action Fairness Act, and filed motions for dismissal or transfer. On June 11, 2007, the United States District Court, Northern District of California granted the Company’s motion to dismiss Chavez’s complaint with prejudice. On June 21, 2007, Chavez filed an appeal with the U.S. Court of Appeals for the Ninth Circuit, and the Court heard oral arguments on January 14, 2009. No decision has been issued on the appeal.</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2007, the Company’s distributor for the Riverside County and San Bernardino County, California territories, Gate City Beverage Company (“Gate City”), notified the Company of its intention to sell its business and requested the Company consent to the assignment of the distribution agreement with the Company. The Company declined its consent and exercised its contractual right to terminate the Gate City distribution agreement upon thirty days prior written notice. Gate City threatened to take “appropriate action” against the Company and third parties for what it contended was an improper termination of the distribution agreement. The Company denied Gate City’s assertion regarding improper termination of the applicable distribution agreement. On February 6, 2008, Gate City filed a demand for arbitration with the American Arbitration Association to be held in Orange County, California, claiming damages in an amount exceeding $5.0 million, plus attorneys’ fees and costs. The Company disputes liability and is defending the claim. The arbitration hearing has been set for May 2009.</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3, 2008, the Company filed a lawsuit in the Superior Court for the State of California for Los Angeles County against St. Paul Mercury Insurance Company (“St. Paul”) due to St. Paul’s failure to reimburse the Company for certain costs and expenses incurred and paid by the Company for and in connection with the investigation and defense of various proceedings relating to certain stock option grants made by the Company, including Special Committee (see “Other Matters” within this Note 11) investigation costs (the “St. Paul Complaint”). The Company purchased from St. Paul a directors and officers insurance policy that the Company contends covered such expenses during the pertinent time period. St. Paul has reimbursed the Company for certain of the costs and expenses associated with the Company’s successful defense against the subject proceedings, but has refused to pay the remainder of the limits of its policy. The St. Paul Complaint alleges that St. Paul is liable to the Company for the difference. The Company seeks damages arising from St. Paul’s breach of the policy, punitive damages, and reimbursement of the attorneys’ fees expended in the investigation and litigation. On August 1, 2008, St. Paul removed the lawsuit to the United States District Court for the Central District of California. On August 8, 2008, St. Paul answered the St. Paul Complaint and denied that it has any further responsibility to the Company beyond the amount for which it had previously reimbursed the Company. Motions for summary judgment on certain major issues in the litigation have been filed by the parties. The Court has scheduled a hearing on those motions for March 2009. A trial has been preliminarily scheduled in this litigation for November 2009.</w:t>
      </w:r>
    </w:p>
    <w:p>
      <w:pPr>
        <w:sectPr>
          <w:pgSz w:w="11900" w:h="16838" w:orient="portrait"/>
          <w:cols w:equalWidth="0" w:num="1">
            <w:col w:w="11420"/>
          </w:cols>
          <w:pgMar w:left="240" w:top="125" w:right="239" w:bottom="14" w:gutter="0" w:footer="0" w:header="0"/>
        </w:sectPr>
      </w:pPr>
    </w:p>
    <w:bookmarkStart w:id="54" w:name="page55"/>
    <w:bookmarkEnd w:id="54"/>
    <w:p>
      <w:pPr>
        <w:jc w:val="both"/>
        <w:ind w:firstLine="648"/>
        <w:spacing w:after="0" w:line="259" w:lineRule="auto"/>
        <w:rPr>
          <w:sz w:val="20"/>
          <w:szCs w:val="20"/>
          <w:color w:val="auto"/>
        </w:rPr>
      </w:pPr>
      <w:r>
        <w:rPr>
          <w:rFonts w:ascii="Arial" w:cs="Arial" w:eastAsia="Arial" w:hAnsi="Arial"/>
          <w:sz w:val="18"/>
          <w:szCs w:val="18"/>
          <w:color w:val="auto"/>
        </w:rPr>
        <w:t>On July 11, 2008, the Company initiated an action against Citigroup Inc., Citigroup Global Markets, Inc. and Citi Smith Barney, in the United States District Court, Central District of California, for violations of federal securities laws and the Investment Advisors Act, arising out of the Company’s purchase of auction rate securities. The Court granted defendants’ motion to compel arbitration before the Financial Industry Regulatory Authority (“FINRA”). The matter is now proceeding before FINRA.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28, 2008, the Company initiated an action against Oppenheimer Holdings Inc., Oppenheimer &amp; Co. Inc., and Oppenheimer Asset Management Inc., in the United States District Court, Central District of California, for violations of federal securities laws and the Investment Advisors Act, arising out of the Company’s purchase of auction rate securities. The defendants answered the complaint on October 14, 2008 denying the allegations set forth therein. The Oppenheimer action was deemed a related case to the Company’s action against Citigroup Inc. (described above). After the Court granted defendants’ motion to compel arbitration in the Citigroup Inc. case, the Company stipulated to arbitration before FINRA and the matter is now proceeding before FINRA.</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Cunha v. Hansen Natural Corp., et 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filed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 .</w:t>
      </w:r>
      <w:r>
        <w:rPr>
          <w:rFonts w:ascii="Arial" w:cs="Arial" w:eastAsia="Arial" w:hAnsi="Arial"/>
          <w:sz w:val="18"/>
          <w:szCs w:val="18"/>
          <w:color w:val="auto"/>
        </w:rPr>
        <w:t xml:space="preserve"> was also filed in the District Court.</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Both actions, filed by single individual shareholders purportedly on behalf of a class of purchasers of the Company’s stock during the period May 23, 2007 through November 8, 2007 (the “Class Period”), name as defendants the Company, Rodney C. Sacks, and Hilton H. Schlosberg. The allegations of both complaints are substantially similar. Plaintiffs allege violations of Sections 10(b) and 20(a) of the Securities Exchange Act of 1934 and Rule 10b-5 promulgated thereunder. Plaintiffs allege, among other things, that during the Class Period, the defendants issued materially false and misleading statements that failed to disclose that: (i) the Company’s second quarter sales results were “materially impacted by inventory loading as customers were induced to purchase more product before the Company raised its prices in its Monster Energy drink line and its Java Monster drink line”; (ii) the Company was “experiencing declining sales in its non-core drink lines”; (iii) the Company was “experiencing production shortfalls with its Java Monster drink line”; and</w:t>
      </w:r>
    </w:p>
    <w:p>
      <w:pPr>
        <w:spacing w:after="0" w:line="3" w:lineRule="exact"/>
        <w:rPr>
          <w:sz w:val="20"/>
          <w:szCs w:val="20"/>
          <w:color w:val="auto"/>
        </w:rPr>
      </w:pPr>
    </w:p>
    <w:p>
      <w:pPr>
        <w:ind w:firstLine="8"/>
        <w:spacing w:after="0" w:line="261"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a result of the foregoing, defendants “lacked a reasonable basis for their positive statements about the Company and its prospects.” The complaints seek an unspecified amount of damages.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New Jersey Carpenters Pension Fund and the Structural Ironworkers Local Union #1 Pension Fund filed motions on November 10, 2008 for consolidation of the actions and for appointment of Lead Plaintiff and Lead Counsel. A hearing on the motions is expected in March 2009. If a motion for consolidation is granted, defendants must respond within forty-five days from the date of service of any consolidated complaint or the designation of one complaint as the operative complaint in the consolidated class actions. If a motion for consolidation is denied, then defendants must respond to the complaints within forty-five days from the date on which the denial of such motion is entered on the Court’s docket.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Derivative Litigation </w:t>
      </w:r>
      <w:r>
        <w:rPr>
          <w:rFonts w:ascii="Arial" w:cs="Arial" w:eastAsia="Arial" w:hAnsi="Arial"/>
          <w:sz w:val="18"/>
          <w:szCs w:val="18"/>
          <w:color w:val="auto"/>
        </w:rPr>
        <w:t>- On September 15, 2008, a derivative complaint was filed in the Superior Court of the State of California, County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Riverside, styled </w:t>
      </w:r>
      <w:r>
        <w:rPr>
          <w:rFonts w:ascii="Arial" w:cs="Arial" w:eastAsia="Arial" w:hAnsi="Arial"/>
          <w:sz w:val="18"/>
          <w:szCs w:val="18"/>
          <w:i w:val="1"/>
          <w:iCs w:val="1"/>
          <w:color w:val="auto"/>
        </w:rPr>
        <w:t>Stueve v. Sacks, et al.</w:t>
      </w:r>
      <w:r>
        <w:rPr>
          <w:rFonts w:ascii="Arial" w:cs="Arial" w:eastAsia="Arial" w:hAnsi="Arial"/>
          <w:sz w:val="18"/>
          <w:szCs w:val="18"/>
          <w:color w:val="auto"/>
        </w:rPr>
        <w:t xml:space="preserve"> On October 15, 2008, a second derivative complaint was filed in the United States District Court for the Central District of California, styled </w:t>
      </w:r>
      <w:r>
        <w:rPr>
          <w:rFonts w:ascii="Arial" w:cs="Arial" w:eastAsia="Arial" w:hAnsi="Arial"/>
          <w:sz w:val="18"/>
          <w:szCs w:val="18"/>
          <w:i w:val="1"/>
          <w:iCs w:val="1"/>
          <w:color w:val="auto"/>
        </w:rPr>
        <w:t>Merckel v. Sacks, et al.</w:t>
      </w:r>
      <w:r>
        <w:rPr>
          <w:rFonts w:ascii="Arial" w:cs="Arial" w:eastAsia="Arial" w:hAnsi="Arial"/>
          <w:sz w:val="18"/>
          <w:szCs w:val="18"/>
          <w:color w:val="auto"/>
        </w:rPr>
        <w:t xml:space="preserve"> The derivative suits were each brought, purportedly on behalf of the Company, by a shareholder of the Company who made no prior demand on the Company’s Board of Directors.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Pursuant to a stipulation among the parties that was so ordered by the Court on November 2, 2008, the </w:t>
      </w:r>
      <w:r>
        <w:rPr>
          <w:rFonts w:ascii="Arial" w:cs="Arial" w:eastAsia="Arial" w:hAnsi="Arial"/>
          <w:sz w:val="18"/>
          <w:szCs w:val="18"/>
          <w:i w:val="1"/>
          <w:iCs w:val="1"/>
          <w:color w:val="auto"/>
        </w:rPr>
        <w:t>Stueve</w:t>
      </w:r>
      <w:r>
        <w:rPr>
          <w:rFonts w:ascii="Arial" w:cs="Arial" w:eastAsia="Arial" w:hAnsi="Arial"/>
          <w:sz w:val="18"/>
          <w:szCs w:val="18"/>
          <w:color w:val="auto"/>
        </w:rPr>
        <w:t xml:space="preserve"> action was voluntarily dismissed in its entirety and without prejudice.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Merckel</w:t>
      </w:r>
      <w:r>
        <w:rPr>
          <w:rFonts w:ascii="Arial" w:cs="Arial" w:eastAsia="Arial" w:hAnsi="Arial"/>
          <w:sz w:val="18"/>
          <w:szCs w:val="18"/>
          <w:color w:val="auto"/>
        </w:rPr>
        <w:t xml:space="preserve"> complaint names as defendants certain current and former officers, directors, and employees of the Company and HBC, including Rodney C. Sacks, Hilton H. Schlosberg, Harold 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Taber, Jr., Benjamin M. Polk, Norman C. Epstein, Mark S. Vidergauz, Sydney Selati, Thomas J. Kelly, Mark J. Hall, and Kirk S. Blower, as well as the administrator of the Estate of Michael B. Schott and Hilrod Holdings, L.P. The Company is named as a nominal defendant. The factual allegations of the complaint are substantially similar to those set forth in the two securities class action complaints described above. The complaint also alleges, among other things, that between May 2007 and the date of the filing of the complaint, the defendants directed the Company to issue a series of improper statements concerning its business prospects. The complaint further alleges that while the Company’s shares were purportedly artificially inflated because of those improper statements, certain defendants sold Company stock while in possession of material non-public information regarding the Company’s “true” business prospects. The complaint asserts various causes of action, including breach of fiduciary duty, aiding and abetting breach of fiduciary duty, violation of Cal. Corp. Code §§ 25402 and 25403 for insider selling, and unjust enrichment. The suit seeks an unspecified amount of damages to be paid to the Company, adoption of corporate governance reforms, and equitable and injunctive relief.</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4, 2008, Plaintiff in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action filed a motion to consolidate that action with another lawsuit involving similar allegations filed in the Central District of California, styled </w:t>
      </w:r>
      <w:r>
        <w:rPr>
          <w:rFonts w:ascii="Arial" w:cs="Arial" w:eastAsia="Arial" w:hAnsi="Arial"/>
          <w:sz w:val="16"/>
          <w:szCs w:val="16"/>
          <w:i w:val="1"/>
          <w:iCs w:val="1"/>
          <w:color w:val="auto"/>
        </w:rPr>
        <w:t>Dislevy v. Sacks, et al.</w:t>
      </w:r>
      <w:r>
        <w:rPr>
          <w:rFonts w:ascii="Arial" w:cs="Arial" w:eastAsia="Arial" w:hAnsi="Arial"/>
          <w:sz w:val="16"/>
          <w:szCs w:val="16"/>
          <w:color w:val="auto"/>
        </w:rPr>
        <w:t xml:space="preserve"> The </w:t>
      </w:r>
      <w:r>
        <w:rPr>
          <w:rFonts w:ascii="Arial" w:cs="Arial" w:eastAsia="Arial" w:hAnsi="Arial"/>
          <w:sz w:val="16"/>
          <w:szCs w:val="16"/>
          <w:i w:val="1"/>
          <w:iCs w:val="1"/>
          <w:color w:val="auto"/>
        </w:rPr>
        <w:t>Dislevy</w:t>
      </w:r>
      <w:r>
        <w:rPr>
          <w:rFonts w:ascii="Arial" w:cs="Arial" w:eastAsia="Arial" w:hAnsi="Arial"/>
          <w:sz w:val="16"/>
          <w:szCs w:val="16"/>
          <w:color w:val="auto"/>
        </w:rPr>
        <w:t xml:space="preserve"> complaint, which names some but not all of the defendants in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action, has not been served. A hearing on the motion to consolidate is expected for March 2009. If the motion to consolidate is granted, defendants must respond within 45 days after the filing and service of a consolidated amended complaint. If the motion to consolidate is denied, defendants must respond to the </w:t>
      </w:r>
      <w:r>
        <w:rPr>
          <w:rFonts w:ascii="Arial" w:cs="Arial" w:eastAsia="Arial" w:hAnsi="Arial"/>
          <w:sz w:val="16"/>
          <w:szCs w:val="16"/>
          <w:i w:val="1"/>
          <w:iCs w:val="1"/>
          <w:color w:val="auto"/>
        </w:rPr>
        <w:t>Merckel</w:t>
      </w:r>
      <w:r>
        <w:rPr>
          <w:rFonts w:ascii="Arial" w:cs="Arial" w:eastAsia="Arial" w:hAnsi="Arial"/>
          <w:sz w:val="16"/>
          <w:szCs w:val="16"/>
          <w:color w:val="auto"/>
        </w:rPr>
        <w:t xml:space="preserve"> complaint within 45 days from entry of the order denying the motion or from the filing of any amended complaint, whichever is later.</w:t>
      </w:r>
    </w:p>
    <w:p>
      <w:pPr>
        <w:sectPr>
          <w:pgSz w:w="11900" w:h="16838" w:orient="portrait"/>
          <w:cols w:equalWidth="0" w:num="1">
            <w:col w:w="11420"/>
          </w:cols>
          <w:pgMar w:left="240" w:top="125" w:right="239" w:bottom="0" w:gutter="0" w:footer="0" w:header="0"/>
        </w:sectPr>
      </w:pPr>
    </w:p>
    <w:bookmarkStart w:id="55" w:name="page56"/>
    <w:bookmarkEnd w:id="55"/>
    <w:p>
      <w:pPr>
        <w:ind w:left="660"/>
        <w:spacing w:after="0"/>
        <w:rPr>
          <w:sz w:val="20"/>
          <w:szCs w:val="20"/>
          <w:color w:val="auto"/>
        </w:rPr>
      </w:pPr>
      <w:r>
        <w:rPr>
          <w:rFonts w:ascii="Arial" w:cs="Arial" w:eastAsia="Arial" w:hAnsi="Arial"/>
          <w:sz w:val="17"/>
          <w:szCs w:val="17"/>
          <w:color w:val="auto"/>
        </w:rPr>
        <w:t xml:space="preserve">On February 17, 2009, Plaintiff in the </w:t>
      </w:r>
      <w:r>
        <w:rPr>
          <w:rFonts w:ascii="Arial" w:cs="Arial" w:eastAsia="Arial" w:hAnsi="Arial"/>
          <w:sz w:val="17"/>
          <w:szCs w:val="17"/>
          <w:i w:val="1"/>
          <w:iCs w:val="1"/>
          <w:color w:val="auto"/>
        </w:rPr>
        <w:t>Merckel</w:t>
      </w:r>
      <w:r>
        <w:rPr>
          <w:rFonts w:ascii="Arial" w:cs="Arial" w:eastAsia="Arial" w:hAnsi="Arial"/>
          <w:sz w:val="17"/>
          <w:szCs w:val="17"/>
          <w:color w:val="auto"/>
        </w:rPr>
        <w:t xml:space="preserve"> action voluntarily dismissed The Estate of Michael B. Schott from the action without prejudice.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the ultimate outcome of these matters cannot be determined with certainty, the Company believes that the complaints are without merit.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vigorously defend against these lawsuits.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Guarantees </w:t>
      </w:r>
      <w:r>
        <w:rPr>
          <w:rFonts w:ascii="Arial" w:cs="Arial" w:eastAsia="Arial" w:hAnsi="Arial"/>
          <w:sz w:val="17"/>
          <w:szCs w:val="17"/>
          <w:color w:val="auto"/>
        </w:rPr>
        <w:t>– The Company from time to time enters into certain types of contracts that contingently require the Company to indemnify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liabilities or claims arising out of such instances. Consequently, the Company does not believe the fair value of these guarantees is material to the Company’s consolidated financial statements.</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Other Matters – </w:t>
      </w:r>
      <w:r>
        <w:rPr>
          <w:rFonts w:ascii="Arial" w:cs="Arial" w:eastAsia="Arial" w:hAnsi="Arial"/>
          <w:sz w:val="16"/>
          <w:szCs w:val="16"/>
          <w:color w:val="auto"/>
        </w:rPr>
        <w:t>Commencing in fiscal 2006, a special committee (the “Special Committee”) of the Board of Directors of the Company, assisted by</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legal counsel and accounting advisors retained by the Special Committee, conducted an independent investigation of the Company’s stock option grants and stock option granting practices during the period January 1, 2001 through November 13, 2006, which resulted in a pre-tax compensation charge of approximately $1.3 million related to certain unintentional accounting errors. Such charge was recorded in operating expenses for the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ended December 31, 2006. The Company has elected to compensate employees with outstanding stock options that were affected by such errors for all additional taxes, interest and penalties payable by them pursuant to the Internal Revenue Code. Accordingly, a charge of approximately $2.8 million was recorded in operating expenses for the year ended December 31, 2007 and is included accrued liabilities at December 31, 2008 and 2007, respectively.</w:t>
      </w:r>
    </w:p>
    <w:p>
      <w:pPr>
        <w:spacing w:after="0" w:line="14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two stock option plans under which shares were available for grant at December 31, 2008: the Hansen Natural Corporation Amended and Restated 2001 Stock Option Plan (the “2001 Option Plan”) and the 2005 Hansen Natural Corporation Stock Option Plan for Non-Employee Directors (the “2005 Directors Plan”).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2001 Option Plan permits the granting of options to purchase up to 22,000,000 shares of the common stock of the Company to certain key employees or non-employees of the Company and its subsidiaries. Options granted under the 2001 Option Plan may be incentive stock options under Section 422 of the Internal Revenue Code, as amended, non-qualified stock options or stock appreciation rights. Stock options are exercisable at such time and in such amounts as determined by the Compensation Committee of the Board of Directors of the Company up to a ten-year period after their date of grant. As of December 31, 2008, options to purchase 17,478,200 shares of the Company’s common stock had been granted, net of cancellations, and options to purchase 4,521,800 shares of the Company’s common stock remain available for grant under the 2001 Option Plan.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2005 Directors Plan permits the granting of options to purchase up to an aggregate of 800,000 shares of common stock of the Company to non-employee directors of the Company. On the date of the annual meeting of stockholders at which an eligible director is initially elected, each eligible director is entitled to receive a one-time grant of an option to purchase 24,000 shares of the Company’s common stock exercisable at the closing price for a share of common stock on the date of grant. Additionally, on the fifth anniversary of the election of eligible directors elected or appointed to the Board of Directors, and each fifth anniversary thereafter, each eligible director shall receive an additional grant of an option to purchase 19,200 shares of the Company’s common stock. Options become 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2005 Directors Plan. The 2005 Directors Plan is a “formula plan” so that a non-employee director’s participation in the 2005 Directors Plan does not affect his status as a “disinterested person” (as defined in Rule 16b-3 of the Securities Exchange Act of 1934, as amended (the “Exchange Act”)). As of December 31, 2008, options to purchase 76,800 shares of the Company’s common stock had been granted under the 2005 Directors Plan and options to purchase 723,200 shares of the Company’s common stock remained available for grant.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Company’s stock option plans, all grants are made at prices based on the fair market value of the options on the date of grant. Outstanding options generally vest over five years from the grant date and generally expire up to ten years after the grant date. The Company recorded $13.9 million, $10.2 million and $8.3 million of compensation expense relating to outstanding options during the years ended December 31, 2008, 2007 and 2006,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w:t>
      </w:r>
    </w:p>
    <w:p>
      <w:pPr>
        <w:sectPr>
          <w:pgSz w:w="11900" w:h="16838" w:orient="portrait"/>
          <w:cols w:equalWidth="0" w:num="1">
            <w:col w:w="11420"/>
          </w:cols>
          <w:pgMar w:left="240" w:top="125" w:right="239" w:bottom="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 The following weighted-average assumptions were used to estimate the fair value of options granted during the years ended December 31, 2008, 2007 and 2006:</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3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2008</w:t>
            </w:r>
          </w:p>
        </w:tc>
        <w:tc>
          <w:tcPr>
            <w:tcW w:w="3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3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Expected lives</w:t>
            </w:r>
          </w:p>
        </w:tc>
        <w:tc>
          <w:tcPr>
            <w:tcW w:w="1960" w:type="dxa"/>
            <w:vAlign w:val="bottom"/>
            <w:gridSpan w:val="2"/>
          </w:tcPr>
          <w:p>
            <w:pPr>
              <w:ind w:left="940"/>
              <w:spacing w:after="0"/>
              <w:rPr>
                <w:sz w:val="20"/>
                <w:szCs w:val="20"/>
                <w:color w:val="auto"/>
              </w:rPr>
            </w:pPr>
            <w:r>
              <w:rPr>
                <w:rFonts w:ascii="Arial" w:cs="Arial" w:eastAsia="Arial" w:hAnsi="Arial"/>
                <w:sz w:val="18"/>
                <w:szCs w:val="18"/>
                <w:color w:val="auto"/>
              </w:rPr>
              <w:t>5.7 Years</w:t>
            </w:r>
          </w:p>
        </w:tc>
        <w:tc>
          <w:tcPr>
            <w:tcW w:w="1960" w:type="dxa"/>
            <w:vAlign w:val="bottom"/>
            <w:gridSpan w:val="2"/>
          </w:tcPr>
          <w:p>
            <w:pPr>
              <w:ind w:left="920"/>
              <w:spacing w:after="0"/>
              <w:rPr>
                <w:sz w:val="20"/>
                <w:szCs w:val="20"/>
                <w:color w:val="auto"/>
              </w:rPr>
            </w:pPr>
            <w:r>
              <w:rPr>
                <w:rFonts w:ascii="Arial" w:cs="Arial" w:eastAsia="Arial" w:hAnsi="Arial"/>
                <w:sz w:val="18"/>
                <w:szCs w:val="18"/>
                <w:color w:val="auto"/>
              </w:rPr>
              <w:t>5.5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6.0 Years</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390"/>
              <w:spacing w:after="0"/>
              <w:rPr>
                <w:sz w:val="20"/>
                <w:szCs w:val="20"/>
                <w:color w:val="auto"/>
              </w:rPr>
            </w:pPr>
            <w:r>
              <w:rPr>
                <w:rFonts w:ascii="Arial" w:cs="Arial" w:eastAsia="Arial" w:hAnsi="Arial"/>
                <w:sz w:val="18"/>
                <w:szCs w:val="18"/>
                <w:color w:val="auto"/>
                <w:w w:val="90"/>
              </w:rPr>
              <w:t>Weighted-</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370"/>
              <w:spacing w:after="0"/>
              <w:rPr>
                <w:sz w:val="20"/>
                <w:szCs w:val="20"/>
                <w:color w:val="auto"/>
              </w:rPr>
            </w:pPr>
            <w:r>
              <w:rPr>
                <w:rFonts w:ascii="Arial" w:cs="Arial" w:eastAsia="Arial" w:hAnsi="Arial"/>
                <w:sz w:val="18"/>
                <w:szCs w:val="18"/>
                <w:color w:val="auto"/>
                <w:w w:val="89"/>
              </w:rPr>
              <w:t>Average</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2"/>
              </w:rPr>
              <w:t>Remaining</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Exercise</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1"/>
              </w:rPr>
              <w:t>Contractual</w:t>
            </w:r>
          </w:p>
        </w:tc>
        <w:tc>
          <w:tcPr>
            <w:tcW w:w="34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color w:val="auto"/>
                <w:w w:val="91"/>
              </w:rPr>
              <w:t>Aggregate</w:t>
            </w:r>
          </w:p>
        </w:tc>
      </w:tr>
      <w:tr>
        <w:trPr>
          <w:trHeight w:val="216"/>
        </w:trPr>
        <w:tc>
          <w:tcPr>
            <w:tcW w:w="50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w w:val="86"/>
              </w:rPr>
              <w:t>Shares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Price Per</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4"/>
              </w:rPr>
              <w:t>Term (In</w:t>
            </w:r>
          </w:p>
        </w:tc>
        <w:tc>
          <w:tcPr>
            <w:tcW w:w="34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color w:val="auto"/>
                <w:w w:val="96"/>
              </w:rPr>
              <w:t>Intrinsic</w:t>
            </w:r>
          </w:p>
        </w:tc>
      </w:tr>
      <w:tr>
        <w:trPr>
          <w:trHeight w:val="230"/>
        </w:trPr>
        <w:tc>
          <w:tcPr>
            <w:tcW w:w="500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Options</w:t>
            </w: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83"/>
              </w:rPr>
              <w:t>Share</w:t>
            </w: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Years)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9,462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344,589</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Granted fiscal quarter ended March 31, 2008</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41.08</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fiscal quarter ended June 30, 2008</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31.94</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Granted fiscal quarter ended September 30, 2008</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93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26.93</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fiscal quarter ended December 31, 2008</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27.06</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(1,002)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2.25</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 or forfeited</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18.69</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Outstanding at December 31, 2008</w:t>
            </w:r>
          </w:p>
        </w:tc>
        <w:tc>
          <w:tcPr>
            <w:tcW w:w="15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10,030</w:t>
            </w:r>
          </w:p>
        </w:tc>
        <w:tc>
          <w:tcPr>
            <w:tcW w:w="120" w:type="dxa"/>
            <w:vAlign w:val="bottom"/>
            <w:tcBorders>
              <w:top w:val="single" w:sz="8" w:color="auto"/>
            </w:tcBorders>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12.38</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216,580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7"/>
              </w:rPr>
              <w:t>Vested and expected to vest in the future at December 31, 2008</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9,703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12.01</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212,875</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Exercisable at December 31, 2008</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5,224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6.03</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144,541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Options Outstanding</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gridSpan w:val="4"/>
          </w:tcPr>
          <w:p>
            <w:pPr>
              <w:ind w:left="1000"/>
              <w:spacing w:after="0"/>
              <w:rPr>
                <w:sz w:val="20"/>
                <w:szCs w:val="20"/>
                <w:color w:val="auto"/>
              </w:rPr>
            </w:pPr>
            <w:r>
              <w:rPr>
                <w:rFonts w:ascii="Arial" w:cs="Arial" w:eastAsia="Arial" w:hAnsi="Arial"/>
                <w:sz w:val="18"/>
                <w:szCs w:val="18"/>
                <w:color w:val="auto"/>
              </w:rPr>
              <w:t>Options Exercisable</w:t>
            </w:r>
          </w:p>
        </w:tc>
      </w:tr>
      <w:tr>
        <w:trPr>
          <w:trHeight w:val="195"/>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9"/>
              </w:rPr>
              <w:t>Weighted</w:t>
            </w:r>
          </w:p>
        </w:tc>
        <w:tc>
          <w:tcPr>
            <w:tcW w:w="16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Number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Number</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Remaining</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Exercisable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220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Range of Exercise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 (In</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Contractual</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0"/>
        </w:trPr>
        <w:tc>
          <w:tcPr>
            <w:tcW w:w="220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Prices ($)</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Thousands)</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Term (Years)</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Price ($)</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Thousands)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Price ($)</w:t>
            </w:r>
          </w:p>
        </w:tc>
      </w:tr>
      <w:tr>
        <w:trPr>
          <w:trHeight w:val="210"/>
        </w:trPr>
        <w:tc>
          <w:tcPr>
            <w:tcW w:w="7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$0.45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88"/>
              </w:rPr>
              <w:t>$0.45</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0" w:type="dxa"/>
            <w:vAlign w:val="bottom"/>
          </w:tcPr>
          <w:p>
            <w:pPr>
              <w:jc w:val="center"/>
              <w:ind w:left="30"/>
              <w:spacing w:after="0"/>
              <w:rPr>
                <w:sz w:val="20"/>
                <w:szCs w:val="20"/>
                <w:color w:val="auto"/>
              </w:rPr>
            </w:pPr>
            <w:r>
              <w:rPr>
                <w:rFonts w:ascii="Arial" w:cs="Arial" w:eastAsia="Arial" w:hAnsi="Arial"/>
                <w:sz w:val="18"/>
                <w:szCs w:val="18"/>
                <w:color w:val="auto"/>
                <w:w w:val="88"/>
              </w:rPr>
              <w:t>$0.53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8"/>
              </w:rPr>
              <w:t>$0.53</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1,721</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1,721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r>
      <w:tr>
        <w:trPr>
          <w:trHeight w:val="216"/>
        </w:trPr>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8"/>
              </w:rPr>
              <w:t>$5.41</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760" w:type="dxa"/>
            <w:vAlign w:val="bottom"/>
          </w:tcPr>
          <w:p>
            <w:pPr>
              <w:jc w:val="center"/>
              <w:ind w:left="30"/>
              <w:spacing w:after="0"/>
              <w:rPr>
                <w:sz w:val="20"/>
                <w:szCs w:val="20"/>
                <w:color w:val="auto"/>
              </w:rPr>
            </w:pPr>
            <w:r>
              <w:rPr>
                <w:rFonts w:ascii="Arial" w:cs="Arial" w:eastAsia="Arial" w:hAnsi="Arial"/>
                <w:sz w:val="18"/>
                <w:szCs w:val="18"/>
                <w:color w:val="auto"/>
                <w:w w:val="88"/>
              </w:rPr>
              <w:t>$6.59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8"/>
              </w:rPr>
              <w:t>$6.59</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2,680</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$6.59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7"/>
              </w:rPr>
              <w:t>$12.43</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16"/>
        </w:trPr>
        <w:tc>
          <w:tcPr>
            <w:tcW w:w="760" w:type="dxa"/>
            <w:vAlign w:val="bottom"/>
          </w:tcPr>
          <w:p>
            <w:pPr>
              <w:jc w:val="center"/>
              <w:ind w:left="10"/>
              <w:spacing w:after="0"/>
              <w:rPr>
                <w:sz w:val="20"/>
                <w:szCs w:val="20"/>
                <w:color w:val="auto"/>
              </w:rPr>
            </w:pPr>
            <w:r>
              <w:rPr>
                <w:rFonts w:ascii="Arial" w:cs="Arial" w:eastAsia="Arial" w:hAnsi="Arial"/>
                <w:sz w:val="18"/>
                <w:szCs w:val="18"/>
                <w:color w:val="auto"/>
                <w:w w:val="90"/>
              </w:rPr>
              <w:t>$16.87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7"/>
              </w:rPr>
              <w:t>$16.87</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1,346</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$16.87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r>
      <w:tr>
        <w:trPr>
          <w:trHeight w:val="216"/>
        </w:trPr>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7"/>
              </w:rPr>
              <w:t>$28.96</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r>
      <w:tr>
        <w:trPr>
          <w:trHeight w:val="216"/>
        </w:trPr>
        <w:tc>
          <w:tcPr>
            <w:tcW w:w="760" w:type="dxa"/>
            <w:vAlign w:val="bottom"/>
          </w:tcPr>
          <w:p>
            <w:pPr>
              <w:jc w:val="center"/>
              <w:ind w:left="10"/>
              <w:spacing w:after="0"/>
              <w:rPr>
                <w:sz w:val="20"/>
                <w:szCs w:val="20"/>
                <w:color w:val="auto"/>
              </w:rPr>
            </w:pPr>
            <w:r>
              <w:rPr>
                <w:rFonts w:ascii="Arial" w:cs="Arial" w:eastAsia="Arial" w:hAnsi="Arial"/>
                <w:sz w:val="18"/>
                <w:szCs w:val="18"/>
                <w:color w:val="auto"/>
                <w:w w:val="90"/>
              </w:rPr>
              <w:t>$31.72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7"/>
              </w:rPr>
              <w:t>$31.72</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$31.72</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7"/>
              </w:rPr>
              <w:t>$44.77</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w:t>
            </w:r>
          </w:p>
        </w:tc>
      </w:tr>
      <w:tr>
        <w:trPr>
          <w:trHeight w:val="216"/>
        </w:trPr>
        <w:tc>
          <w:tcPr>
            <w:tcW w:w="760" w:type="dxa"/>
            <w:vAlign w:val="bottom"/>
          </w:tcPr>
          <w:p>
            <w:pPr>
              <w:jc w:val="center"/>
              <w:ind w:left="10"/>
              <w:spacing w:after="0"/>
              <w:rPr>
                <w:sz w:val="20"/>
                <w:szCs w:val="20"/>
                <w:color w:val="auto"/>
              </w:rPr>
            </w:pPr>
            <w:r>
              <w:rPr>
                <w:rFonts w:ascii="Arial" w:cs="Arial" w:eastAsia="Arial" w:hAnsi="Arial"/>
                <w:sz w:val="18"/>
                <w:szCs w:val="18"/>
                <w:color w:val="auto"/>
                <w:w w:val="90"/>
              </w:rPr>
              <w:t>$45.97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7"/>
              </w:rPr>
              <w:t>$45.97</w:t>
            </w:r>
          </w:p>
        </w:tc>
        <w:tc>
          <w:tcPr>
            <w:tcW w:w="30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$45.97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$45.97</w:t>
            </w:r>
          </w:p>
        </w:tc>
      </w:tr>
      <w:tr>
        <w:trPr>
          <w:trHeight w:val="210"/>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8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2008, 2007 and 2006 was $18.42 per share, $24.06 per share and $17.87 per share, respectively. The total intrinsic value of options exercised during the years ended December 31, 2008, 2007 and 2006 was $29.7 million, $133.1 million and $84.0 million,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received from option exercises under all plans for the years ended December 31, 2008, 2007 and 2006 was approximately $2.3 million, $8.0 million and $3.9 million, respectively. The actual tax benefit realized for tax deductions from non-qualified stock option exercises and disqualifying dispositions of incentive stock options for the years ended December 31, 2008, 2007 and 2006 was $4.3 million, $29.4 million and $17.3 million, respectively.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2008, there was $39.2 million of total unrecognized compensation expense related to nonvested shares granted to both employees and non-employees under the Company’s share-based payment plans. That cost is expected to be recognized over a weighted-average period of 2.4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and Non-Employee Share-Based Compensation Expense</w:t>
      </w:r>
    </w:p>
    <w:p>
      <w:pPr>
        <w:sectPr>
          <w:pgSz w:w="11900" w:h="16838" w:orient="portrait"/>
          <w:cols w:equalWidth="0" w:num="1">
            <w:col w:w="11420"/>
          </w:cols>
          <w:pgMar w:left="240" w:top="125" w:right="239" w:bottom="0" w:gutter="0" w:footer="0" w:header="0"/>
        </w:sectPr>
      </w:pPr>
    </w:p>
    <w:bookmarkStart w:id="57" w:name="page58"/>
    <w:bookmarkEnd w:id="57"/>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table below shows the amounts recognized in the consolidated financial statements for the twelve-months ended December 31, 2008, 2007 and 2006 for share-based compensation related to employees and non-employees. Employee and non-employee share-based compensation expense of $13.9 million for the year ended December 31, 2008 is comprised of $4.5 million that relates to incentive stock options and $9.4 million that relates to non-qualified stock options. Employee and non-employee share-based compensation expense of $10.2 million for the year ended December 31, 2007 is comprised of $3.4 million that relates to incentive stock options and $6.8 million that relates to non-qualified stock options. Employee and non-employee share-based compensation expense of $8.3 million for the year ended December 31, 2006 is comprised of $2.5 million that relates to incentive stock options and $5.8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that relates to non-qualified stock options. The portion of share-based compensation expense that relates to incentive stock options has not been considered in the tax benefit computation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25"/>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320" w:type="dxa"/>
            <w:vAlign w:val="bottom"/>
            <w:gridSpan w:val="4"/>
          </w:tcPr>
          <w:p>
            <w:pPr>
              <w:ind w:left="56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60" w:type="dxa"/>
            <w:vAlign w:val="bottom"/>
            <w:gridSpan w:val="4"/>
          </w:tcPr>
          <w:p>
            <w:pPr>
              <w:spacing w:after="0" w:line="182" w:lineRule="exact"/>
              <w:rPr>
                <w:sz w:val="20"/>
                <w:szCs w:val="20"/>
                <w:color w:val="auto"/>
              </w:rPr>
            </w:pPr>
            <w:r>
              <w:rPr>
                <w:rFonts w:ascii="Arial" w:cs="Arial" w:eastAsia="Arial" w:hAnsi="Arial"/>
                <w:sz w:val="18"/>
                <w:szCs w:val="18"/>
                <w:color w:val="auto"/>
                <w:w w:val="97"/>
              </w:rPr>
              <w:t>Total employee and non-employee share-based compensation expense included 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income, before income tax</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13,899</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Amount of income tax benefit recognized in earnings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(3,665)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(2,546)</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 charged against net income</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10,234</w:t>
            </w:r>
          </w:p>
        </w:tc>
        <w:tc>
          <w:tcPr>
            <w:tcW w:w="40" w:type="dxa"/>
            <w:vAlign w:val="bottom"/>
            <w:tcBorders>
              <w:top w:val="single" w:sz="8" w:color="auto"/>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Impact on net income per common share: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w w:val="95"/>
              </w:rPr>
              <w:t>Components of the provision for income taxes are as follows: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gridSpan w:val="11"/>
          </w:tcPr>
          <w:p>
            <w:pPr>
              <w:jc w:val="center"/>
              <w:ind w:right="820"/>
              <w:spacing w:after="0"/>
              <w:rPr>
                <w:sz w:val="20"/>
                <w:szCs w:val="20"/>
                <w:color w:val="auto"/>
              </w:rPr>
            </w:pPr>
            <w:r>
              <w:rPr>
                <w:rFonts w:ascii="Arial" w:cs="Arial" w:eastAsia="Arial" w:hAnsi="Arial"/>
                <w:sz w:val="18"/>
                <w:szCs w:val="18"/>
                <w:color w:val="auto"/>
                <w:w w:val="89"/>
              </w:rPr>
              <w:t>Year Ended December 31,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left="270"/>
              <w:spacing w:after="0"/>
              <w:rPr>
                <w:sz w:val="20"/>
                <w:szCs w:val="20"/>
                <w:color w:val="auto"/>
              </w:rPr>
            </w:pPr>
            <w:r>
              <w:rPr>
                <w:rFonts w:ascii="Arial" w:cs="Arial" w:eastAsia="Arial" w:hAnsi="Arial"/>
                <w:sz w:val="18"/>
                <w:szCs w:val="18"/>
                <w:color w:val="auto"/>
                <w:w w:val="89"/>
              </w:rPr>
              <w:t>2007</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Federal</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90,018</w:t>
            </w:r>
          </w:p>
        </w:tc>
        <w:tc>
          <w:tcPr>
            <w:tcW w:w="40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3"/>
              </w:rPr>
              <w:t>83,990</w:t>
            </w:r>
          </w:p>
        </w:tc>
        <w:tc>
          <w:tcPr>
            <w:tcW w:w="80" w:type="dxa"/>
            <w:vAlign w:val="bottom"/>
          </w:tcPr>
          <w:p>
            <w:pPr>
              <w:spacing w:after="0"/>
              <w:rPr>
                <w:sz w:val="18"/>
                <w:szCs w:val="18"/>
                <w:color w:val="auto"/>
              </w:rPr>
            </w:pPr>
          </w:p>
        </w:tc>
        <w:tc>
          <w:tcPr>
            <w:tcW w:w="84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w w:val="94"/>
              </w:rPr>
              <w:t>61,291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20,604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13,862</w:t>
            </w: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104,594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w w:val="94"/>
              </w:rPr>
              <w:t>75,153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(11,674)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(2,473)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(14,244)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65,445</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90,350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64,290</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color w:val="auto"/>
                <w:w w:val="91"/>
              </w:rPr>
              <w:t>Year Ended December 31,</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expense at statutory rates</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60,717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56,784</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11,790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(1,344)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Domestic production deduction</w:t>
            </w: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(4,733)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(4,435)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65,445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90,350</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64,290</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the Company’s deferred tax assets (liabilities) at December 31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3060" w:type="dxa"/>
            <w:vAlign w:val="bottom"/>
            <w:gridSpan w:val="2"/>
          </w:tcPr>
          <w:p>
            <w:pPr>
              <w:jc w:val="right"/>
              <w:ind w:right="60"/>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Reserve for sales returns</w:t>
            </w:r>
          </w:p>
        </w:tc>
        <w:tc>
          <w:tcPr>
            <w:tcW w:w="30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 for doubtful accounts</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Reserve for inventory obsolescence</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1,281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r>
      <w:tr>
        <w:trPr>
          <w:trHeight w:val="151"/>
        </w:trPr>
        <w:tc>
          <w:tcPr>
            <w:tcW w:w="47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125"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for marketing development fund</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Capitalization of inventory costs</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franchise tax</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other liabilities</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impairment</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net operating loss carryforward</w:t>
            </w:r>
          </w:p>
        </w:tc>
        <w:tc>
          <w:tcPr>
            <w:tcW w:w="18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gross deferred tax assets</w:t>
            </w:r>
          </w:p>
        </w:tc>
        <w:tc>
          <w:tcPr>
            <w:tcW w:w="18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Amortization of graphic design</w:t>
            </w:r>
          </w:p>
        </w:tc>
        <w:tc>
          <w:tcPr>
            <w:tcW w:w="23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trademarks</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gross deferred tax liabilities</w:t>
            </w:r>
          </w:p>
        </w:tc>
        <w:tc>
          <w:tcPr>
            <w:tcW w:w="18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520"/>
              <w:spacing w:after="0"/>
              <w:rPr>
                <w:sz w:val="20"/>
                <w:szCs w:val="20"/>
                <w:color w:val="auto"/>
              </w:rPr>
            </w:pPr>
            <w:r>
              <w:rPr>
                <w:rFonts w:ascii="Arial" w:cs="Arial" w:eastAsia="Arial" w:hAnsi="Arial"/>
                <w:sz w:val="18"/>
                <w:szCs w:val="18"/>
                <w:color w:val="auto"/>
              </w:rPr>
              <w:t>Net deferred tax assets</w:t>
            </w:r>
          </w:p>
        </w:tc>
        <w:tc>
          <w:tcPr>
            <w:tcW w:w="182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valuation allowance is required to be provided to reduce the deferred tax assets to a level which, more likely than not, will be realized. The Company’s net deferred tax assets were not reduced by tax valuation allowances at December 31, 2008 and 2007. Management evaluated the positive and negative evidence in determining the realizability of the net deferred tax assets at December 31, 2008 and 2007 and concluded it is more likely than not that the Company should realize its net deferred tax assets through future operating results and the reversal of taxable temporary differences.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2007, the Company adopted the provisions of FASB Interpretation No. 48, “Accounting for Uncertainty in Income Taxes (“FIN No. 48”). FIN No. 48 clarifies the accounting for uncertainty in income taxes recognized in an enterprise’s financial statements in accordance with SFAS No. 109. FIN No. 48 prescribes a recognition threshold and measurement attribute for the financial statement recognition and measurement of tax positions taken or expected to be taken in a tax return. This pronouncement also provides guidance on derecognition, classification, interest and penalties, accounting in interim periods, disclosure, and transition.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adoption of FIN No. 48 as of January 1, 2007, the Company’s reassessment of its tax positions did not have a material impact on the consolidated financial statements. The following is a rollforward of the Company’s total gross unrecognized tax benefits, not including interest and penalties, for the fiscal years ended December 31, 2008 and 2007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Gross Unrealized Tax</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Additions for tax positions related to the</w:t>
            </w: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line="195" w:lineRule="exact"/>
              <w:rPr>
                <w:sz w:val="20"/>
                <w:szCs w:val="20"/>
                <w:color w:val="auto"/>
              </w:rPr>
            </w:pPr>
            <w:r>
              <w:rPr>
                <w:rFonts w:ascii="Arial" w:cs="Arial" w:eastAsia="Arial" w:hAnsi="Arial"/>
                <w:sz w:val="18"/>
                <w:szCs w:val="18"/>
                <w:color w:val="auto"/>
              </w:rPr>
              <w:t>Additions for tax positions related to the</w:t>
            </w: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Decreases for tax positions related to fiscal</w:t>
            </w:r>
          </w:p>
        </w:tc>
        <w:tc>
          <w:tcPr>
            <w:tcW w:w="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December 31, 2008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gross unrealized tax benefits, if recognized, would result in a reduction of the Company’s provision and effective tax rate. With the adoption of FIN No. 48, the Company has decided to classify interest and penalties as a component of tax expense. Interest and penalties of $0.2 million on unrecognized tax benefits were accrued as a component of tax expense as of December 31, 2008. All of the FIN No. 48 liabilities accrued are attributable to the Domestic Production Deduction. The Company believes that the uncertainty which gives rise to the total amount of unrecognized tax benefit at December 31, 2008, will be resolved within the next 12 months as the Internal Revenue Service concludes its examination of the deduction.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9, 2007, the Internal Revenue Service began its examination of the Company’s U.S. federal income tax return for the period ended December 31, 2005. The examination is expected to be completed within the next twelve months.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subject to U.S. federal income tax as well as to income tax of multiple state jurisdictions. Federal income tax returns of the Company are subject to IRS examination for the 2005 through 2007 tax years. State income tax returns are subject to examination for the 2004 through 2007 tax years.</w:t>
      </w:r>
    </w:p>
    <w:p>
      <w:pPr>
        <w:spacing w:after="0" w:line="18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Employees of the Company may participate in the Hansen Natural Corporation 401(k) Plan, a defined contribution plan, which qualifies under Section 401(k) of the Internal Revenue Code.</w:t>
      </w:r>
    </w:p>
    <w:p>
      <w:pPr>
        <w:sectPr>
          <w:pgSz w:w="11900" w:h="16838" w:orient="portrait"/>
          <w:cols w:equalWidth="0" w:num="1">
            <w:col w:w="11420"/>
          </w:cols>
          <w:pgMar w:left="240" w:top="140" w:right="239" w:bottom="121"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21"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$0.3 million, $0.2 million and $0.2 million for the years ended December 31, 2008, 2007 and 2006, respectively.</w:t>
      </w:r>
    </w:p>
    <w:p>
      <w:pPr>
        <w:spacing w:after="0" w:line="18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RELATED-PARTY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2008, 2007 and 2006 were $2.4 million, $5.5 million and $1.5 million,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2008, 2007 and 2006 were $0.8 million, $0.8 million and $1.0 million, respectively.</w:t>
      </w:r>
    </w:p>
    <w:p>
      <w:pPr>
        <w:spacing w:after="0" w:line="18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 December 31, 2008, 2007 and 2006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Year Ended December 31, 2008</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5"/>
        </w:trPr>
        <w:tc>
          <w:tcPr>
            <w:tcW w:w="5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8"/>
              </w:rPr>
              <w:t>Corporate and</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52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DSD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Warehouse</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Unallocated</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937,901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95,879</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1,033,780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Contribution margin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216,104</w:t>
            </w:r>
          </w:p>
        </w:tc>
        <w:tc>
          <w:tcPr>
            <w:tcW w:w="3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216,625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(53,034)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163,591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9,930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173,477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3,417</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Trademark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418"/>
        </w:trPr>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Year Ended December 31, 2007</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5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Corporate and</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5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DSD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Warehouse</w:t>
            </w:r>
          </w:p>
        </w:tc>
        <w:tc>
          <w:tcPr>
            <w:tcW w:w="16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Unallocated</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809,792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94,673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904,465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Contribution margin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281,635</w:t>
            </w:r>
          </w:p>
        </w:tc>
        <w:tc>
          <w:tcPr>
            <w:tcW w:w="32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3,890</w:t>
            </w:r>
          </w:p>
        </w:tc>
        <w:tc>
          <w:tcPr>
            <w:tcW w:w="28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285,525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(54,539)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230,986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239,756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1,193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Trademark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418"/>
        </w:trPr>
        <w:tc>
          <w:tcPr>
            <w:tcW w:w="5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Year Ended December 31, 2006</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5"/>
        </w:trPr>
        <w:tc>
          <w:tcPr>
            <w:tcW w:w="5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2"/>
          </w:tcPr>
          <w:p>
            <w:pPr>
              <w:jc w:val="center"/>
              <w:ind w:right="70"/>
              <w:spacing w:after="0" w:line="195" w:lineRule="exact"/>
              <w:rPr>
                <w:sz w:val="20"/>
                <w:szCs w:val="20"/>
                <w:color w:val="auto"/>
              </w:rPr>
            </w:pPr>
            <w:r>
              <w:rPr>
                <w:rFonts w:ascii="Arial" w:cs="Arial" w:eastAsia="Arial" w:hAnsi="Arial"/>
                <w:sz w:val="18"/>
                <w:szCs w:val="18"/>
                <w:color w:val="auto"/>
                <w:w w:val="88"/>
              </w:rPr>
              <w:t>Corporate and</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52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DSD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Warehouse</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2"/>
              </w:rPr>
              <w:t>Unallocated</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514,312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91,462</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605,774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Contribution margin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187,851</w:t>
            </w:r>
          </w:p>
        </w:tc>
        <w:tc>
          <w:tcPr>
            <w:tcW w:w="3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6,110</w:t>
            </w:r>
          </w:p>
        </w:tc>
        <w:tc>
          <w:tcPr>
            <w:tcW w:w="28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193,961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unallocated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(35,382)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158,579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Trademark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derived from sales to external customers. Operating expenses that pertain to each segment are allocated to the appropriate segment.</w:t>
      </w:r>
    </w:p>
    <w:p>
      <w:pPr>
        <w:sectPr>
          <w:pgSz w:w="11900" w:h="16838" w:orient="portrait"/>
          <w:cols w:equalWidth="0" w:num="1">
            <w:col w:w="11420"/>
          </w:cols>
          <w:pgMar w:left="240" w:top="337" w:right="239" w:bottom="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Corporate and unallocated expenses were $53.0 million for year ended December 31, 2008 and included $33.5 million of payroll costs, of which $13.9 million was attributable to stock-based compensation expense (see Note 12, “Stock-Based Compensation”), and $10.2 million attributable to professional service expenses, including accounting and legal costs. Corporate and unallocated expenses were $54.5 million for year ended December 31, 2007 and included $29.1 million of payroll costs, of which $10.2 million was attributable to stock-based compensation expense (see Note 12, “Stock-Based Compensation”), and $16.6 million attributable to professional service expenses, including accounting and legal costs. Corporate and unallocated expenses were $35.4 million for the year ended December 31, 2006 and included $20.0 million of payroll costs, of which $8.3 million was attributable to stock-based compensation expense (see Note 12, “Stock-Based Compensation”), and $8.2 million attributable to professional service expenses, including accounting and legal costs.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sales by product line for years ended December 31, 2008, 2007 and 2006, respectively,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Product Line</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Energy drinks</w:t>
            </w:r>
          </w:p>
        </w:tc>
        <w:tc>
          <w:tcPr>
            <w:tcW w:w="9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Non-carbonated (primarily juice based beverages)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60,151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Carbonated (primarily soda beverages)</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26,625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1,033,780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904,465</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605,774</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17.</w:t>
            </w:r>
          </w:p>
        </w:tc>
        <w:tc>
          <w:tcPr>
            <w:tcW w:w="4540" w:type="dxa"/>
            <w:vAlign w:val="bottom"/>
            <w:gridSpan w:val="2"/>
            <w:vMerge w:val="restart"/>
          </w:tcPr>
          <w:p>
            <w:pPr>
              <w:ind w:left="220"/>
              <w:spacing w:after="0"/>
              <w:rPr>
                <w:sz w:val="20"/>
                <w:szCs w:val="20"/>
                <w:color w:val="auto"/>
              </w:rPr>
            </w:pPr>
            <w:r>
              <w:rPr>
                <w:rFonts w:ascii="Arial" w:cs="Arial" w:eastAsia="Arial" w:hAnsi="Arial"/>
                <w:sz w:val="18"/>
                <w:szCs w:val="18"/>
                <w:color w:val="auto"/>
              </w:rPr>
              <w:t>DISTRIBUTION AGREEMENTS</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second quarter of 2006, the Company entered into a distribution agreement with Cadbury Bebidas, S.A. de C.V. (“Cadbury Bebidas”), for exclusive distribution by Cadbury Bebidas throughout Mexico, excluding Baja California, of the Company’s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products. In December 2008, this distributor was notified of the termination of its distribution agreement on January 25, 2009. This agreement was terminated on January 25, 2009.</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During the second quarter of 2006, the Company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in markets designated by the Company, the Company’s Monster Energy® and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brands non-alcoholic energy drinks and Rumba®, Samba and Tango brand energy juice, as well as additional products that may be agreed between the parties.</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2007, the Company entered into the On-Premise Distribution Coordination Agreement (the “On-Premise Agreement”) with AB. Under the On-Premise Agreement, AB manages and coordinates the sale, distribution and merchandising of Monster Energy® energy drinks to on-premise retailers including bars, nightclubs and restaurants in territories approved by the Company.</w:t>
      </w:r>
    </w:p>
    <w:p>
      <w:pPr>
        <w:spacing w:after="0" w:line="18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 xml:space="preserve">During the first quarter of 2007, the Company entered into a distribution agreement with Pepsi-QTG Canada, a division of PepsiCo Canada, ULC (“Pepsi Canada”), for the exclusive distribution by Pepsi Canada throughout Canada of the Company’s </w:t>
      </w:r>
      <w:r>
        <w:rPr>
          <w:rFonts w:ascii="Arial" w:cs="Arial" w:eastAsia="Arial" w:hAnsi="Arial"/>
          <w:sz w:val="17"/>
          <w:szCs w:val="17"/>
          <w:color w:val="auto"/>
        </w:rPr>
        <w:t>Monster Energy®,</w:t>
      </w:r>
      <w:r>
        <w:rPr>
          <w:rFonts w:ascii="Arial" w:cs="Arial" w:eastAsia="Arial" w:hAnsi="Arial"/>
          <w:sz w:val="18"/>
          <w:szCs w:val="18"/>
          <w:color w:val="auto"/>
        </w:rPr>
        <w:t xml:space="preserve"> Lost® Energy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Hansen’s® energy products. This agreement was terminated by the Company effective December 31, 2008.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fourth quarter of 2008, the Company entered into the Monster Energy Distribution Coordination Agreement (the “TCCC North American Coordination Agreement”) with The Coca-Cola Company (“TCCC”). Pursuant to the TCCC North American Coordination Agreement, the Company has designated, and in the future may designate, territories in which bottlers from TCCC’s network of partially owned and independent bottlers, including the TCCC North American Bottlers, will distribute and sell primarily its Monster Energy® beverages (the “Products”) in the United States and Canada.</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fourth quarter of 2008, the Company entered into the Monster Energy Distribution Agreement with CCE pursuant to which CCE was appointed to distribute, directly and through certain sub-distributors, the Products in portions of twenty-four U.S. states (the “U.S. Territories”). The Company may designate additional territories within reasonable proximity to the U.S. Territories and CCE will use reasonable good faith efforts to add the additional territories. During the fourth quarter of 2008, the Company entered into the Monster Energy Canadian Distribution Agreement with the CCBC, pursuant to which CCBC has been appointed to distribute, directly and through certain sub-distributors, the Products in Canada, with performance commencing on January 1, 2009. In addition, during the fourth quarter of 2008, the Company entered into distribution agreements with Consolidated, United and other TCCC North American Bottlers for the distribution of Products in various territories within the 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fourth quarter of 2008, the Company entered into the Monster Energy International Coordination Agreement (the “TCCC International Coordination Agreement”) with TCCC. Pursuant to the TCCC International Coordination Agreement, the Company has designated, and in the future may designate, countries in which the Company wishes to appoint TCCC distributors to distribute and sell the Products.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fourth quarter of 2008, the Company entered into the Monster Energy International Distribution Agreement and the Monster Energy Belgium Distribution Agreement with CCE pursuant to which CCE has been appointed to distribute directly and through certain sub-distributors the Products in Great Britain, France, Belgium, the Netherlands, Luxembourg and Monaco.</w:t>
      </w:r>
    </w:p>
    <w:p>
      <w:pPr>
        <w:sectPr>
          <w:pgSz w:w="11900" w:h="16838" w:orient="portrait"/>
          <w:cols w:equalWidth="0" w:num="1">
            <w:col w:w="11420"/>
          </w:cols>
          <w:pgMar w:left="240" w:top="125" w:right="239" w:bottom="0" w:gutter="0" w:footer="0" w:header="0"/>
        </w:sectPr>
      </w:pPr>
    </w:p>
    <w:bookmarkStart w:id="61" w:name="page62"/>
    <w:bookmarkEnd w:id="61"/>
    <w:p>
      <w:pPr>
        <w:jc w:val="both"/>
        <w:ind w:firstLine="648"/>
        <w:spacing w:after="0" w:line="238" w:lineRule="auto"/>
        <w:rPr>
          <w:sz w:val="20"/>
          <w:szCs w:val="20"/>
          <w:color w:val="auto"/>
        </w:rPr>
      </w:pPr>
      <w:r>
        <w:rPr>
          <w:rFonts w:ascii="Arial" w:cs="Arial" w:eastAsia="Arial" w:hAnsi="Arial"/>
          <w:sz w:val="18"/>
          <w:szCs w:val="18"/>
          <w:color w:val="auto"/>
        </w:rPr>
        <w:t>During the fourth quarter of 2008, the Company entered into a distribution agreement with Comercializadora Eloro, S.A., a subsidiary of Grupo Jumex for exclusive distribution throughout Mexico, excluding the Baja and Senora regions, for distribution of its Monster Energy® and Monster Energy® Khaos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energy drinks as well as select Java Monster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non-carbonated dairy based coffee drinks. Distribution under this agreement commenced January 26, 2009.</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the new and/or amended distribution agreements entered into with certain distributors as discussed above, net amounts of $113.0 million and $21.0 million from such distributors, relating to the costs of terminating the Company’s prior distributors, were recorded for the years ended December 31, 2008 and 2007, respectively. Such amounts have been accounted for as deferred revenue in the accompanying consolidated balance sheets and will be recognized as revenue ratably over the anticipated life of the respective distribution agreements, generally 20 years. Distributor receivables related to these new and/or amended distributor agreements totaled $90.7 million and $5.4 million as of December 31, 2008 and 2007, respectively. Revenue recognized was $14.3 million, $1.9 million and $0.4 million for the years ended December 31, 2008, 2007 and 2006, respectively. Included in the $14.3 million of revenue recognized for the year ended December 31, 2008, was $11.6 million related to the acceleration of deferred revenue balances associated with certain of the Company’s prior distributors who were terminated in the fourth quarter of 2008.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incurred termination costs to certain of its prior distributors amounting to $118.1 million, $15.3 million and $12.7 million in aggregate for the years ended December 31, 2008, 2007 and 2006, respectively. Such termination costs have been expensed in full and are included in operating expenses for the years ended December 31, 2008, 2007 and 2006. Accrued distributor %s in the accompanying consolidated balance sheets as of December 31, 2008 and 2007 (representing termination costs not paid to our prior distributors prior to the end of the fiscal year) were $102.3 million and $4.3 million, respectively.</w:t>
      </w:r>
    </w:p>
    <w:p>
      <w:pPr>
        <w:spacing w:after="0" w:line="188"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370"/>
              <w:spacing w:after="0"/>
              <w:rPr>
                <w:sz w:val="20"/>
                <w:szCs w:val="20"/>
                <w:color w:val="auto"/>
              </w:rPr>
            </w:pPr>
            <w:r>
              <w:rPr>
                <w:rFonts w:ascii="Arial" w:cs="Arial" w:eastAsia="Arial" w:hAnsi="Arial"/>
                <w:sz w:val="18"/>
                <w:szCs w:val="18"/>
                <w:color w:val="auto"/>
                <w:w w:val="95"/>
              </w:rPr>
              <w:t>Net Income per Common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Sales</w:t>
            </w:r>
          </w:p>
        </w:tc>
        <w:tc>
          <w:tcPr>
            <w:tcW w:w="1380" w:type="dxa"/>
            <w:vAlign w:val="bottom"/>
            <w:gridSpan w:val="3"/>
            <w:vMerge w:val="restart"/>
          </w:tcPr>
          <w:p>
            <w:pPr>
              <w:ind w:left="140"/>
              <w:spacing w:after="0"/>
              <w:rPr>
                <w:sz w:val="20"/>
                <w:szCs w:val="20"/>
                <w:color w:val="auto"/>
              </w:rPr>
            </w:pPr>
            <w:r>
              <w:rPr>
                <w:rFonts w:ascii="Arial" w:cs="Arial" w:eastAsia="Arial" w:hAnsi="Arial"/>
                <w:sz w:val="18"/>
                <w:szCs w:val="18"/>
                <w:color w:val="auto"/>
              </w:rPr>
              <w:t>Gross Profit</w:t>
            </w:r>
          </w:p>
        </w:tc>
        <w:tc>
          <w:tcPr>
            <w:tcW w:w="12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3"/>
              </w:rPr>
              <w:t>Share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Quarter ended:</w:t>
            </w: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March 31, 2008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212,178</w:t>
            </w:r>
          </w:p>
        </w:tc>
        <w:tc>
          <w:tcPr>
            <w:tcW w:w="14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104,719</w:t>
            </w:r>
          </w:p>
        </w:tc>
        <w:tc>
          <w:tcPr>
            <w:tcW w:w="14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28,811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282,244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September 30, 2008</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284,986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149,436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2008</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254,372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138,426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1,033,780</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538,794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108,032</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Quarter ended: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165,853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June 30, 2007</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244,763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128,253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2007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247,211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128,382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December 31, 2007</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246,638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125,741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904,465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468,013</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149,406</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figures reported above may differ from previously reported figures for individual quarters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NATURAL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2008, 2007 AND 2006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Balance at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Charged to</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r>
      <w:tr>
        <w:trPr>
          <w:trHeight w:val="216"/>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beginning</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cost and</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1"/>
              </w:rPr>
              <w:t>end of</w:t>
            </w:r>
          </w:p>
        </w:tc>
      </w:tr>
      <w:tr>
        <w:trPr>
          <w:trHeight w:val="230"/>
        </w:trPr>
        <w:tc>
          <w:tcPr>
            <w:tcW w:w="3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of period</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3"/>
              </w:rPr>
              <w:t>expenses</w:t>
            </w:r>
          </w:p>
        </w:tc>
        <w:tc>
          <w:tcPr>
            <w:tcW w:w="200" w:type="dxa"/>
            <w:vAlign w:val="bottom"/>
          </w:tcPr>
          <w:p>
            <w:pPr>
              <w:spacing w:after="0"/>
              <w:rPr>
                <w:sz w:val="20"/>
                <w:szCs w:val="20"/>
                <w:color w:val="auto"/>
              </w:rPr>
            </w:pPr>
          </w:p>
        </w:tc>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Deductions</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period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sales returns and cash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1,240</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8,425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(8,673)</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2007</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902</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8,723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(8,385)</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968</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4,671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(4,737)</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3,145</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2,089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(3,180)</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2007</w:t>
            </w: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1,140</w:t>
            </w:r>
          </w:p>
        </w:tc>
        <w:tc>
          <w:tcPr>
            <w:tcW w:w="1660" w:type="dxa"/>
            <w:vAlign w:val="bottom"/>
          </w:tcPr>
          <w:p>
            <w:pPr>
              <w:jc w:val="right"/>
              <w:ind w:right="490"/>
              <w:spacing w:after="0"/>
              <w:rPr>
                <w:sz w:val="20"/>
                <w:szCs w:val="20"/>
                <w:color w:val="auto"/>
              </w:rPr>
            </w:pPr>
            <w:r>
              <w:rPr>
                <w:rFonts w:ascii="Arial" w:cs="Arial" w:eastAsia="Arial" w:hAnsi="Arial"/>
                <w:sz w:val="18"/>
                <w:szCs w:val="18"/>
                <w:color w:val="auto"/>
              </w:rPr>
              <w:t>2,553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(548)</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841</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569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SUBSIDIARIES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HANSEN NATURAL CORPORATION</w:t>
      </w:r>
    </w:p>
    <w:p>
      <w:pPr>
        <w:spacing w:after="0" w:line="200" w:lineRule="exact"/>
        <w:rPr>
          <w:sz w:val="20"/>
          <w:szCs w:val="20"/>
          <w:color w:val="auto"/>
        </w:rPr>
      </w:pP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Hansen Beverage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Monster LDA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Hansen Junior Juice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Blue Sky Natural Beverage Co.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Monster Energy UK Limited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Monster Energy Limited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Monster Energy Au Pty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consent to the incorporation by reference in Registration Statements No. 33-92526, No. 333-41333, No. 333-89123, No. 333-112482, and No. 333-131467 on Form S-8 of our reports dated February 27, 2009, relating to the consolidated financial statements and financial statement schedule </w:t>
      </w:r>
      <w:r>
        <w:rPr>
          <w:rFonts w:ascii="Arial" w:cs="Arial" w:eastAsia="Arial" w:hAnsi="Arial"/>
          <w:sz w:val="17"/>
          <w:szCs w:val="17"/>
          <w:color w:val="auto"/>
        </w:rPr>
        <w:t>of Hansen</w:t>
      </w:r>
      <w:r>
        <w:rPr>
          <w:rFonts w:ascii="Arial" w:cs="Arial" w:eastAsia="Arial" w:hAnsi="Arial"/>
          <w:sz w:val="18"/>
          <w:szCs w:val="18"/>
          <w:color w:val="auto"/>
        </w:rPr>
        <w:t xml:space="preserve"> </w:t>
      </w:r>
      <w:r>
        <w:rPr>
          <w:rFonts w:ascii="Arial" w:cs="Arial" w:eastAsia="Arial" w:hAnsi="Arial"/>
          <w:sz w:val="17"/>
          <w:szCs w:val="17"/>
          <w:color w:val="auto"/>
        </w:rPr>
        <w:t>Natural Corporation and subsidiaries and the effectiveness of Hansen Natural Corporation’s internal control over financial reporting, appearing in this Annual Report on Form 10-K of Hansen Natural Corporation for the year ended December 31,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w:t>
      </w:r>
      <w:r>
        <w:rPr>
          <w:rFonts w:ascii="Arial" w:cs="Arial" w:eastAsia="Arial" w:hAnsi="Arial"/>
          <w:sz w:val="18"/>
          <w:szCs w:val="18"/>
          <w:i w:val="1"/>
          <w:iCs w:val="1"/>
          <w:color w:val="auto"/>
        </w:rPr>
        <w:t>,</w:t>
      </w:r>
      <w:r>
        <w:rPr>
          <w:rFonts w:ascii="Arial" w:cs="Arial" w:eastAsia="Arial" w:hAnsi="Arial"/>
          <w:sz w:val="18"/>
          <w:szCs w:val="18"/>
          <w:color w:val="auto"/>
        </w:rPr>
        <w:t xml:space="preserv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529"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5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5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460"/>
              <w:spacing w:after="0"/>
              <w:rPr>
                <w:sz w:val="20"/>
                <w:szCs w:val="20"/>
                <w:color w:val="auto"/>
              </w:rPr>
            </w:pPr>
            <w:r>
              <w:rPr>
                <w:rFonts w:ascii="Arial" w:cs="Arial" w:eastAsia="Arial" w:hAnsi="Arial"/>
                <w:sz w:val="18"/>
                <w:szCs w:val="18"/>
                <w:color w:val="auto"/>
              </w:rPr>
              <w:t>March 2, 2009</w:t>
            </w:r>
          </w:p>
        </w:tc>
        <w:tc>
          <w:tcPr>
            <w:tcW w:w="5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/s/Rodney C. Sacks</w:t>
            </w:r>
          </w:p>
        </w:tc>
        <w:tc>
          <w:tcPr>
            <w:tcW w:w="40" w:type="dxa"/>
            <w:vAlign w:val="bottom"/>
          </w:tcPr>
          <w:p>
            <w:pPr>
              <w:spacing w:after="0"/>
              <w:rPr>
                <w:sz w:val="20"/>
                <w:szCs w:val="20"/>
                <w:color w:val="auto"/>
              </w:rPr>
            </w:pPr>
          </w:p>
        </w:tc>
      </w:tr>
      <w:tr>
        <w:trPr>
          <w:trHeight w:val="195"/>
        </w:trPr>
        <w:tc>
          <w:tcPr>
            <w:tcW w:w="8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5400" w:type="dxa"/>
            <w:vAlign w:val="bottom"/>
          </w:tcPr>
          <w:p>
            <w:pPr>
              <w:ind w:left="80"/>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86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54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Hansen Natural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5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5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5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0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360"/>
              <w:spacing w:after="0"/>
              <w:rPr>
                <w:sz w:val="20"/>
                <w:szCs w:val="20"/>
                <w:color w:val="auto"/>
              </w:rPr>
            </w:pPr>
            <w:r>
              <w:rPr>
                <w:rFonts w:ascii="Arial" w:cs="Arial" w:eastAsia="Arial" w:hAnsi="Arial"/>
                <w:sz w:val="18"/>
                <w:szCs w:val="18"/>
                <w:color w:val="auto"/>
              </w:rPr>
              <w:t>March 2, 2009</w:t>
            </w: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7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5700" w:type="dxa"/>
            <w:vAlign w:val="bottom"/>
          </w:tcPr>
          <w:p>
            <w:pPr>
              <w:ind w:left="140"/>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7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annual report of Hansen Natural Corporation (the “Company”) on Form 10-K for the year ended December 31, 2008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1000" w:hanging="344"/>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5200" w:type="dxa"/>
            <w:vAlign w:val="bottom"/>
          </w:tcPr>
          <w:p>
            <w:pPr>
              <w:ind w:left="420"/>
              <w:spacing w:after="0"/>
              <w:rPr>
                <w:sz w:val="20"/>
                <w:szCs w:val="20"/>
                <w:color w:val="auto"/>
              </w:rPr>
            </w:pPr>
            <w:r>
              <w:rPr>
                <w:rFonts w:ascii="Arial" w:cs="Arial" w:eastAsia="Arial" w:hAnsi="Arial"/>
                <w:sz w:val="18"/>
                <w:szCs w:val="18"/>
                <w:color w:val="auto"/>
              </w:rPr>
              <w:t>March 2, 2009</w:t>
            </w:r>
          </w:p>
        </w:tc>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8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5420" w:type="dxa"/>
            <w:vAlign w:val="bottom"/>
          </w:tcPr>
          <w:p>
            <w:pPr>
              <w:ind w:left="100"/>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80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Hansen Natural Corporation (the “Company”) on Form 10-K for the year ended December 31, 2008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31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240" w:type="dxa"/>
            <w:vAlign w:val="bottom"/>
          </w:tcPr>
          <w:p>
            <w:pPr>
              <w:ind w:left="540"/>
              <w:spacing w:after="0"/>
              <w:rPr>
                <w:sz w:val="20"/>
                <w:szCs w:val="20"/>
                <w:color w:val="auto"/>
              </w:rPr>
            </w:pPr>
            <w:r>
              <w:rPr>
                <w:rFonts w:ascii="Arial" w:cs="Arial" w:eastAsia="Arial" w:hAnsi="Arial"/>
                <w:sz w:val="18"/>
                <w:szCs w:val="18"/>
                <w:color w:val="auto"/>
              </w:rPr>
              <w:t>March 2, 2009</w:t>
            </w:r>
          </w:p>
        </w:tc>
        <w:tc>
          <w:tcPr>
            <w:tcW w:w="5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9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5260" w:type="dxa"/>
            <w:vAlign w:val="bottom"/>
          </w:tcPr>
          <w:p>
            <w:pPr>
              <w:ind w:left="60"/>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9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5"/>
    </w:lvl>
  </w:abstractNum>
  <w:abstractNum w:abstractNumId="3">
    <w:nsid w:val="79838CB2"/>
    <w:multiLevelType w:val="hybridMultilevel"/>
    <w:lvl w:ilvl="0">
      <w:lvlJc w:val="left"/>
      <w:lvlText w:val="%1."/>
      <w:numFmt w:val="decimal"/>
      <w:start w:val="9"/>
    </w:lvl>
  </w:abstractNum>
  <w:abstractNum w:abstractNumId="4">
    <w:nsid w:val="4353D0CD"/>
    <w:multiLevelType w:val="hybridMultilevel"/>
    <w:lvl w:ilvl="0">
      <w:lvlJc w:val="left"/>
      <w:lvlText w:val="%1."/>
      <w:numFmt w:val="decimal"/>
      <w:start w:val="12"/>
    </w:lvl>
  </w:abstractNum>
  <w:abstractNum w:abstractNumId="5">
    <w:nsid w:val="B03E0C6"/>
    <w:multiLevelType w:val="hybridMultilevel"/>
    <w:lvl w:ilvl="0">
      <w:lvlJc w:val="left"/>
      <w:lvlText w:val="%1."/>
      <w:numFmt w:val="decimal"/>
      <w:start w:val="13"/>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lowerLetter"/>
      <w:start w:val="7"/>
    </w:lvl>
  </w:abstractNum>
  <w:abstractNum w:abstractNumId="9">
    <w:nsid w:val="2CA88611"/>
    <w:multiLevelType w:val="hybridMultilevel"/>
    <w:lvl w:ilvl="0">
      <w:lvlJc w:val="left"/>
      <w:lvlText w:val="%1"/>
      <w:numFmt w:val="decimal"/>
      <w:start w:val="1"/>
    </w:lvl>
    <w:lvl w:ilvl="1">
      <w:lvlJc w:val="left"/>
      <w:lvlText w:val="(%2)"/>
      <w:numFmt w:val="decimal"/>
      <w:start w:val="951"/>
    </w:lvl>
  </w:abstractNum>
  <w:abstractNum w:abstractNumId="10">
    <w:nsid w:val="836C40E"/>
    <w:multiLevelType w:val="hybridMultilevel"/>
    <w:lvl w:ilvl="0">
      <w:lvlJc w:val="left"/>
      <w:lvlText w:val="(%1)"/>
      <w:numFmt w:val="decimal"/>
      <w:start w:val="800"/>
    </w:lvl>
    <w:lvl w:ilvl="1">
      <w:lvlJc w:val="left"/>
      <w:lvlText w:val="(%2)"/>
      <w:numFmt w:val="decimal"/>
      <w:start w:val="800"/>
    </w:lvl>
  </w:abstractNum>
  <w:abstractNum w:abstractNumId="11">
    <w:nsid w:val="2901D82"/>
    <w:multiLevelType w:val="hybridMultilevel"/>
    <w:lvl w:ilvl="0">
      <w:lvlJc w:val="left"/>
      <w:lvlText w:val="1"/>
      <w:numFmt w:val="bullet"/>
      <w:start w:val="1"/>
    </w:lvl>
  </w:abstractNum>
  <w:abstractNum w:abstractNumId="12">
    <w:nsid w:val="3A95F874"/>
    <w:multiLevelType w:val="hybridMultilevel"/>
    <w:lvl w:ilvl="0">
      <w:lvlJc w:val="left"/>
      <w:lvlText w:val="\emdash "/>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Roman"/>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lvl w:ilvl="1">
      <w:lvlJc w:val="left"/>
      <w:lvlText w:val="(%2)"/>
      <w:numFmt w:val="decimal"/>
      <w:start w:val="951"/>
    </w:lvl>
  </w:abstractNum>
  <w:abstractNum w:abstractNumId="26">
    <w:nsid w:val="3804823E"/>
    <w:multiLevelType w:val="hybridMultilevel"/>
    <w:lvl w:ilvl="0">
      <w:lvlJc w:val="left"/>
      <w:lvlText w:val="(%1)"/>
      <w:numFmt w:val="decimal"/>
      <w:start w:val="800"/>
    </w:lvl>
    <w:lvl w:ilvl="1">
      <w:lvlJc w:val="left"/>
      <w:lvlText w:val="(%2)"/>
      <w:numFmt w:val="decimal"/>
      <w:start w:val="800"/>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2"/>
    </w:lvl>
  </w:abstractNum>
  <w:abstractNum w:abstractNumId="30">
    <w:nsid w:val="2463B9EA"/>
    <w:multiLevelType w:val="hybridMultilevel"/>
    <w:lvl w:ilvl="0">
      <w:lvlJc w:val="left"/>
      <w:lvlText w:val="%1."/>
      <w:numFmt w:val="decimal"/>
      <w:start w:val="3"/>
    </w:lvl>
  </w:abstractNum>
  <w:abstractNum w:abstractNumId="31">
    <w:nsid w:val="5E884ADC"/>
    <w:multiLevelType w:val="hybridMultilevel"/>
    <w:lvl w:ilvl="0">
      <w:lvlJc w:val="left"/>
      <w:lvlText w:val="%1."/>
      <w:numFmt w:val="decimal"/>
      <w:start w:val="5"/>
    </w:lvl>
  </w:abstractNum>
  <w:abstractNum w:abstractNumId="32">
    <w:nsid w:val="51EAD36B"/>
    <w:multiLevelType w:val="hybridMultilevel"/>
    <w:lvl w:ilvl="0">
      <w:lvlJc w:val="left"/>
      <w:lvlText w:val="%1."/>
      <w:numFmt w:val="decimal"/>
      <w:start w:val="7"/>
    </w:lvl>
  </w:abstractNum>
  <w:abstractNum w:abstractNumId="33">
    <w:nsid w:val="2D517796"/>
    <w:multiLevelType w:val="hybridMultilevel"/>
    <w:lvl w:ilvl="0">
      <w:lvlJc w:val="left"/>
      <w:lvlText w:val="%1."/>
      <w:numFmt w:val="decimal"/>
      <w:start w:val="8"/>
    </w:lvl>
  </w:abstractNum>
  <w:abstractNum w:abstractNumId="34">
    <w:nsid w:val="580BD78F"/>
    <w:multiLevelType w:val="hybridMultilevel"/>
    <w:lvl w:ilvl="0">
      <w:lvlJc w:val="left"/>
      <w:lvlText w:val="%1."/>
      <w:numFmt w:val="decimal"/>
      <w:start w:val="10"/>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lowerRoman"/>
      <w:start w:val="4"/>
    </w:lvl>
  </w:abstractNum>
  <w:abstractNum w:abstractNumId="37">
    <w:nsid w:val="70A64E2A"/>
    <w:multiLevelType w:val="hybridMultilevel"/>
    <w:lvl w:ilvl="0">
      <w:lvlJc w:val="left"/>
      <w:lvlText w:val="%1."/>
      <w:numFmt w:val="decimal"/>
      <w:start w:val="12"/>
    </w:lvl>
  </w:abstractNum>
  <w:abstractNum w:abstractNumId="38">
    <w:nsid w:val="6A2342EC"/>
    <w:multiLevelType w:val="hybridMultilevel"/>
    <w:lvl w:ilvl="0">
      <w:lvlJc w:val="left"/>
      <w:lvlText w:val="%1."/>
      <w:numFmt w:val="decimal"/>
      <w:start w:val="14"/>
    </w:lvl>
  </w:abstractNum>
  <w:abstractNum w:abstractNumId="39">
    <w:nsid w:val="2A487CB0"/>
    <w:multiLevelType w:val="hybridMultilevel"/>
    <w:lvl w:ilvl="0">
      <w:lvlJc w:val="left"/>
      <w:lvlText w:val="%1."/>
      <w:numFmt w:val="decimal"/>
      <w:start w:val="15"/>
    </w:lvl>
  </w:abstractNum>
  <w:abstractNum w:abstractNumId="40">
    <w:nsid w:val="1D4ED43B"/>
    <w:multiLevelType w:val="hybridMultilevel"/>
    <w:lvl w:ilvl="0">
      <w:lvlJc w:val="left"/>
      <w:lvlText w:val="%1."/>
      <w:numFmt w:val="decimal"/>
      <w:start w:val="16"/>
    </w:lvl>
  </w:abstractNum>
  <w:abstractNum w:abstractNumId="41">
    <w:nsid w:val="725A06FB"/>
    <w:multiLevelType w:val="hybridMultilevel"/>
    <w:lvl w:ilvl="0">
      <w:lvlJc w:val="left"/>
      <w:lvlText w:val="%1."/>
      <w:numFmt w:val="decimal"/>
      <w:start w:val="18"/>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2019-12-10T09:29:34Z</dcterms:created>
  <dcterms:modified xsi:type="dcterms:W3CDTF">2019-12-10T09:29:34Z</dcterms:modified>
</cp:coreProperties>
</file>