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tabs>
          <w:tab w:leader="none" w:pos="7780" w:val="left"/>
        </w:tabs>
        <w:rPr>
          <w:sz w:val="20"/>
          <w:szCs w:val="20"/>
          <w:color w:val="auto"/>
        </w:rPr>
      </w:pPr>
      <w:r>
        <w:rPr>
          <w:rFonts w:ascii="Times New Roman" w:cs="Times New Roman" w:eastAsia="Times New Roman" w:hAnsi="Times New Roman"/>
          <w:sz w:val="20"/>
          <w:szCs w:val="20"/>
          <w:color w:val="auto"/>
        </w:rPr>
        <w:t>For the quarterly period ended March 31, 2019</w:t>
      </w:r>
      <w:r>
        <w:rPr>
          <w:sz w:val="20"/>
          <w:szCs w:val="20"/>
          <w:color w:val="auto"/>
        </w:rPr>
        <w:tab/>
      </w:r>
      <w:r>
        <w:rPr>
          <w:rFonts w:ascii="Times New Roman" w:cs="Times New Roman" w:eastAsia="Times New Roman" w:hAnsi="Times New Roman"/>
          <w:sz w:val="19"/>
          <w:szCs w:val="19"/>
          <w:color w:val="auto"/>
        </w:rPr>
        <w:t>Commission File Number 001-18761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29" w:right="239" w:bottom="301"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9"/>
          <w:szCs w:val="19"/>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47-1809393</w:t>
      </w:r>
    </w:p>
    <w:p>
      <w:pPr>
        <w:spacing w:after="0" w:line="15" w:lineRule="exact"/>
        <w:rPr>
          <w:sz w:val="24"/>
          <w:szCs w:val="24"/>
          <w:color w:val="auto"/>
        </w:rPr>
      </w:pPr>
    </w:p>
    <w:p>
      <w:pPr>
        <w:sectPr>
          <w:pgSz w:w="11900" w:h="16838" w:orient="portrait"/>
          <w:cols w:equalWidth="0" w:num="2">
            <w:col w:w="5900" w:space="720"/>
            <w:col w:w="4800"/>
          </w:cols>
          <w:pgMar w:left="240" w:top="229" w:right="239" w:bottom="301" w:gutter="0" w:footer="0" w:header="0"/>
          <w:type w:val="continuous"/>
        </w:sectPr>
      </w:pPr>
    </w:p>
    <w:p>
      <w:pPr>
        <w:ind w:left="294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29" w:right="239" w:bottom="301"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(951) 739 – 6200</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8"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8" w:lineRule="exact"/>
        <w:rPr>
          <w:sz w:val="24"/>
          <w:szCs w:val="24"/>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0"/>
          <w:szCs w:val="20"/>
          <w:color w:val="auto"/>
        </w:rPr>
        <w:t xml:space="preserve">Yes </w:t>
      </w:r>
      <w:r>
        <w:rPr>
          <w:rFonts w:ascii="Times New Roman" w:cs="Times New Roman" w:eastAsia="Times New Roman" w:hAnsi="Times New Roman"/>
          <w:sz w:val="20"/>
          <w:szCs w:val="20"/>
          <w:u w:val="single" w:color="auto"/>
          <w:color w:val="auto"/>
        </w:rPr>
        <w:t>X</w:t>
      </w:r>
      <w:r>
        <w:rPr>
          <w:sz w:val="20"/>
          <w:szCs w:val="20"/>
          <w:color w:val="auto"/>
        </w:rPr>
        <w:tab/>
      </w:r>
      <w:r>
        <w:rPr>
          <w:rFonts w:ascii="Times New Roman" w:cs="Times New Roman" w:eastAsia="Times New Roman" w:hAnsi="Times New Roman"/>
          <w:sz w:val="19"/>
          <w:szCs w:val="19"/>
          <w:color w:val="auto"/>
        </w:rPr>
        <w:t>No __</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8"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20"/>
          <w:szCs w:val="20"/>
          <w:color w:val="auto"/>
        </w:rPr>
        <w:t xml:space="preserve">Yes </w:t>
      </w:r>
      <w:r>
        <w:rPr>
          <w:rFonts w:ascii="Times New Roman" w:cs="Times New Roman" w:eastAsia="Times New Roman" w:hAnsi="Times New Roman"/>
          <w:sz w:val="20"/>
          <w:szCs w:val="20"/>
          <w:u w:val="single" w:color="auto"/>
          <w:color w:val="auto"/>
        </w:rPr>
        <w:t>X</w:t>
      </w:r>
      <w:r>
        <w:rPr>
          <w:sz w:val="20"/>
          <w:szCs w:val="20"/>
          <w:color w:val="auto"/>
        </w:rPr>
        <w:tab/>
      </w:r>
      <w:r>
        <w:rPr>
          <w:rFonts w:ascii="Times New Roman" w:cs="Times New Roman" w:eastAsia="Times New Roman" w:hAnsi="Times New Roman"/>
          <w:sz w:val="19"/>
          <w:szCs w:val="19"/>
          <w:color w:val="auto"/>
        </w:rPr>
        <w:t>No __</w:t>
      </w:r>
    </w:p>
    <w:p>
      <w:pPr>
        <w:spacing w:after="0" w:line="22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301" w:gutter="0" w:footer="0" w:header="0"/>
          <w:type w:val="continuous"/>
        </w:sectPr>
      </w:pP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Large accelerated filer 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Accelerated filer o</w:t>
      </w:r>
    </w:p>
    <w:p>
      <w:pPr>
        <w:spacing w:after="0" w:line="106" w:lineRule="exact"/>
        <w:rPr>
          <w:sz w:val="24"/>
          <w:szCs w:val="24"/>
          <w:color w:val="auto"/>
        </w:rPr>
      </w:pPr>
    </w:p>
    <w:p>
      <w:pPr>
        <w:sectPr>
          <w:pgSz w:w="11900" w:h="16838" w:orient="portrait"/>
          <w:cols w:equalWidth="0" w:num="2">
            <w:col w:w="6680" w:space="720"/>
            <w:col w:w="4020"/>
          </w:cols>
          <w:pgMar w:left="240" w:top="229" w:right="239" w:bottom="301"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Smaller reporting company o</w:t>
      </w:r>
    </w:p>
    <w:p>
      <w:pPr>
        <w:spacing w:after="0" w:line="200" w:lineRule="exact"/>
        <w:rPr>
          <w:sz w:val="24"/>
          <w:szCs w:val="24"/>
          <w:color w:val="auto"/>
        </w:rPr>
      </w:pPr>
    </w:p>
    <w:p>
      <w:pPr>
        <w:sectPr>
          <w:pgSz w:w="11900" w:h="16838" w:orient="portrait"/>
          <w:cols w:equalWidth="0" w:num="2">
            <w:col w:w="6680" w:space="720"/>
            <w:col w:w="4020"/>
          </w:cols>
          <w:pgMar w:left="240" w:top="229" w:right="239" w:bottom="301" w:gutter="0" w:footer="0" w:header="0"/>
          <w:type w:val="continuous"/>
        </w:sectPr>
      </w:pPr>
    </w:p>
    <w:p>
      <w:pPr>
        <w:spacing w:after="0" w:line="2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ectPr>
          <w:pgSz w:w="11900" w:h="16838" w:orient="portrait"/>
          <w:cols w:equalWidth="0" w:num="1">
            <w:col w:w="11420"/>
          </w:cols>
          <w:pgMar w:left="240" w:top="229" w:right="239" w:bottom="301" w:gutter="0" w:footer="0" w:header="0"/>
          <w:type w:val="continuous"/>
        </w:sectPr>
      </w:pPr>
    </w:p>
    <w:p>
      <w:pPr>
        <w:spacing w:after="0" w:line="272" w:lineRule="exact"/>
        <w:rPr>
          <w:sz w:val="24"/>
          <w:szCs w:val="24"/>
          <w:color w:val="auto"/>
        </w:rPr>
      </w:pPr>
    </w:p>
    <w:p>
      <w:pPr>
        <w:ind w:firstLine="648"/>
        <w:spacing w:after="0" w:line="261"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18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20"/>
          <w:szCs w:val="20"/>
          <w:color w:val="auto"/>
        </w:rPr>
        <w:t>Yes ___</w:t>
        <w:tab/>
        <w:t xml:space="preserve">No </w:t>
      </w:r>
      <w:r>
        <w:rPr>
          <w:rFonts w:ascii="Times New Roman" w:cs="Times New Roman" w:eastAsia="Times New Roman" w:hAnsi="Times New Roman"/>
          <w:sz w:val="20"/>
          <w:szCs w:val="20"/>
          <w:u w:val="single" w:color="auto"/>
          <w:color w:val="auto"/>
        </w:rPr>
        <w:t>X</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Title of each class</w:t>
            </w:r>
          </w:p>
        </w:tc>
        <w:tc>
          <w:tcPr>
            <w:tcW w:w="3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28"/>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MNST</w:t>
            </w:r>
          </w:p>
        </w:tc>
        <w:tc>
          <w:tcPr>
            <w:tcW w:w="2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registrant had 543,576,196 shares of common stock, par value $0.005 per share, outstanding as of April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9" w:right="239" w:bottom="301"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MONSTER BEVERAGE CORPORATION AND SUBSIDIARIES</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MARCH 31,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464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560" w:type="dxa"/>
            <w:vAlign w:val="bottom"/>
          </w:tcPr>
          <w:p>
            <w:pPr>
              <w:spacing w:after="0"/>
              <w:rPr>
                <w:rFonts w:ascii="Times New Roman" w:cs="Times New Roman" w:eastAsia="Times New Roman" w:hAnsi="Times New Roman"/>
                <w:sz w:val="20"/>
                <w:szCs w:val="20"/>
                <w:b w:val="1"/>
                <w:bCs w:val="1"/>
                <w:color w:val="0000EE"/>
                <w:w w:val="97"/>
              </w:rPr>
            </w:pPr>
            <w:hyperlink w:anchor="page3">
              <w:r>
                <w:rPr>
                  <w:rFonts w:ascii="Times New Roman" w:cs="Times New Roman" w:eastAsia="Times New Roman" w:hAnsi="Times New Roman"/>
                  <w:sz w:val="20"/>
                  <w:szCs w:val="20"/>
                  <w:b w:val="1"/>
                  <w:bCs w:val="1"/>
                  <w:color w:val="0000EE"/>
                  <w:w w:val="97"/>
                </w:rPr>
                <w:t>Part I.</w:t>
              </w:r>
            </w:hyperlink>
          </w:p>
        </w:tc>
        <w:tc>
          <w:tcPr>
            <w:tcW w:w="780" w:type="dxa"/>
            <w:vAlign w:val="bottom"/>
            <w:gridSpan w:val="3"/>
          </w:tcPr>
          <w:p>
            <w:pPr>
              <w:spacing w:after="0"/>
              <w:rPr>
                <w:sz w:val="24"/>
                <w:szCs w:val="24"/>
                <w:color w:val="auto"/>
              </w:rPr>
            </w:pPr>
          </w:p>
        </w:tc>
        <w:tc>
          <w:tcPr>
            <w:tcW w:w="2640" w:type="dxa"/>
            <w:vAlign w:val="bottom"/>
            <w:gridSpan w:val="10"/>
          </w:tcPr>
          <w:p>
            <w:pPr>
              <w:spacing w:after="0"/>
              <w:rPr>
                <w:rFonts w:ascii="Times New Roman" w:cs="Times New Roman" w:eastAsia="Times New Roman" w:hAnsi="Times New Roman"/>
                <w:sz w:val="20"/>
                <w:szCs w:val="20"/>
                <w:b w:val="1"/>
                <w:bCs w:val="1"/>
                <w:color w:val="0000EE"/>
                <w:w w:val="98"/>
              </w:rPr>
            </w:pPr>
            <w:hyperlink w:anchor="page3">
              <w:r>
                <w:rPr>
                  <w:rFonts w:ascii="Times New Roman" w:cs="Times New Roman" w:eastAsia="Times New Roman" w:hAnsi="Times New Roman"/>
                  <w:sz w:val="20"/>
                  <w:szCs w:val="20"/>
                  <w:b w:val="1"/>
                  <w:bCs w:val="1"/>
                  <w:color w:val="0000EE"/>
                  <w:w w:val="98"/>
                </w:rPr>
                <w:t>FINANCIAL INFORMATION</w:t>
              </w:r>
            </w:hyperlink>
          </w:p>
        </w:tc>
        <w:tc>
          <w:tcPr>
            <w:tcW w:w="6700" w:type="dxa"/>
            <w:vAlign w:val="bottom"/>
            <w:gridSpan w:val="1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5"/>
              </w:rPr>
              <w:t>Page No.</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Item 1.</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Condensed Consolidated Balance Sheets as of March 31, 2019 and December 31, 2018</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60" w:type="dxa"/>
            <w:vAlign w:val="bottom"/>
            <w:tcBorders>
              <w:bottom w:val="single" w:sz="8" w:color="0000EE"/>
            </w:tcBorders>
            <w:gridSpan w:val="19"/>
          </w:tcPr>
          <w:p>
            <w:pPr>
              <w:spacing w:after="0"/>
              <w:rPr>
                <w:rFonts w:ascii="Times New Roman" w:cs="Times New Roman" w:eastAsia="Times New Roman" w:hAnsi="Times New Roman"/>
                <w:sz w:val="20"/>
                <w:szCs w:val="20"/>
                <w:color w:val="0000EE"/>
                <w:w w:val="98"/>
              </w:rPr>
            </w:pPr>
            <w:hyperlink w:anchor="page4">
              <w:r>
                <w:rPr>
                  <w:rFonts w:ascii="Times New Roman" w:cs="Times New Roman" w:eastAsia="Times New Roman" w:hAnsi="Times New Roman"/>
                  <w:sz w:val="20"/>
                  <w:szCs w:val="20"/>
                  <w:color w:val="0000EE"/>
                  <w:w w:val="98"/>
                </w:rPr>
                <w:t>Condensed Consolidated Statements of Income for the Three-Months Ended March 31, 2019 and 2018</w:t>
              </w:r>
            </w:hyperlink>
          </w:p>
        </w:tc>
        <w:tc>
          <w:tcPr>
            <w:tcW w:w="118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Condensed Consolidated Statements of Comprehensive Income for the Three-Months Ended March 31, 2019</w:t>
              </w:r>
            </w:hyperlink>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top w:val="single" w:sz="8" w:color="0000EE"/>
              <w:bottom w:val="single" w:sz="8" w:color="0000EE"/>
            </w:tcBorders>
            <w:gridSpan w:val="3"/>
          </w:tcPr>
          <w:p>
            <w:pPr>
              <w:spacing w:after="0" w:line="209" w:lineRule="exact"/>
              <w:rPr>
                <w:rFonts w:ascii="Times New Roman" w:cs="Times New Roman" w:eastAsia="Times New Roman" w:hAnsi="Times New Roman"/>
                <w:sz w:val="20"/>
                <w:szCs w:val="20"/>
                <w:color w:val="0000EE"/>
                <w:w w:val="97"/>
              </w:rPr>
            </w:pPr>
            <w:hyperlink w:anchor="page5">
              <w:r>
                <w:rPr>
                  <w:rFonts w:ascii="Times New Roman" w:cs="Times New Roman" w:eastAsia="Times New Roman" w:hAnsi="Times New Roman"/>
                  <w:sz w:val="20"/>
                  <w:szCs w:val="20"/>
                  <w:color w:val="0000EE"/>
                  <w:w w:val="97"/>
                </w:rPr>
                <w:t>and 2018</w:t>
              </w:r>
            </w:hyperlink>
          </w:p>
        </w:tc>
        <w:tc>
          <w:tcPr>
            <w:tcW w:w="7920" w:type="dxa"/>
            <w:vAlign w:val="bottom"/>
            <w:tcBorders>
              <w:top w:val="single" w:sz="8" w:color="0000EE"/>
            </w:tcBorders>
            <w:gridSpan w:val="18"/>
          </w:tcPr>
          <w:p>
            <w:pPr>
              <w:spacing w:after="0"/>
              <w:rPr>
                <w:sz w:val="18"/>
                <w:szCs w:val="18"/>
                <w:color w:val="auto"/>
              </w:rPr>
            </w:pPr>
          </w:p>
        </w:tc>
        <w:tc>
          <w:tcPr>
            <w:tcW w:w="680" w:type="dxa"/>
            <w:vAlign w:val="bottom"/>
            <w:gridSpan w:val="2"/>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6">
              <w:r>
                <w:rPr>
                  <w:rFonts w:ascii="Times New Roman" w:cs="Times New Roman" w:eastAsia="Times New Roman" w:hAnsi="Times New Roman"/>
                  <w:sz w:val="20"/>
                  <w:szCs w:val="20"/>
                  <w:color w:val="0000EE"/>
                </w:rPr>
                <w:t>Condensed Consolidated Statements of Stockholders’ Equity for the Three-Months Ended March 31, 2019 and</w:t>
              </w:r>
            </w:hyperlink>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Times New Roman" w:cs="Times New Roman" w:eastAsia="Times New Roman" w:hAnsi="Times New Roman"/>
                <w:sz w:val="20"/>
                <w:szCs w:val="20"/>
                <w:color w:val="0000EE"/>
                <w:w w:val="94"/>
              </w:rPr>
            </w:pPr>
            <w:hyperlink w:anchor="page6">
              <w:r>
                <w:rPr>
                  <w:rFonts w:ascii="Times New Roman" w:cs="Times New Roman" w:eastAsia="Times New Roman" w:hAnsi="Times New Roman"/>
                  <w:sz w:val="20"/>
                  <w:szCs w:val="20"/>
                  <w:color w:val="0000EE"/>
                  <w:w w:val="94"/>
                </w:rPr>
                <w:t>2018</w:t>
              </w:r>
            </w:hyperlink>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7">
              <w:r>
                <w:rPr>
                  <w:rFonts w:ascii="Times New Roman" w:cs="Times New Roman" w:eastAsia="Times New Roman" w:hAnsi="Times New Roman"/>
                  <w:sz w:val="20"/>
                  <w:szCs w:val="20"/>
                  <w:color w:val="0000EE"/>
                </w:rPr>
                <w:t>Condensed Consolidated Statements of Cash Flows for the Three-Months Ended March 31, 2019 and 2018</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20"/>
                <w:szCs w:val="20"/>
                <w:color w:val="0000EE"/>
                <w:w w:val="98"/>
              </w:rPr>
            </w:pPr>
            <w:hyperlink w:anchor="page9">
              <w:r>
                <w:rPr>
                  <w:rFonts w:ascii="Times New Roman" w:cs="Times New Roman" w:eastAsia="Times New Roman" w:hAnsi="Times New Roman"/>
                  <w:sz w:val="20"/>
                  <w:szCs w:val="20"/>
                  <w:color w:val="0000EE"/>
                  <w:w w:val="98"/>
                </w:rPr>
                <w:t>Notes to Condensed Consolidated Financial Statements</w:t>
              </w:r>
            </w:hyperlink>
          </w:p>
        </w:tc>
        <w:tc>
          <w:tcPr>
            <w:tcW w:w="4080" w:type="dxa"/>
            <w:vAlign w:val="bottom"/>
            <w:tcBorders>
              <w:top w:val="single" w:sz="8" w:color="0000EE"/>
            </w:tcBorders>
            <w:gridSpan w:val="8"/>
          </w:tcPr>
          <w:p>
            <w:pPr>
              <w:spacing w:after="0"/>
              <w:rPr>
                <w:sz w:val="24"/>
                <w:szCs w:val="24"/>
                <w:color w:val="auto"/>
              </w:rPr>
            </w:pPr>
          </w:p>
        </w:tc>
        <w:tc>
          <w:tcPr>
            <w:tcW w:w="86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34">
              <w:r>
                <w:rPr>
                  <w:rFonts w:ascii="Times New Roman" w:cs="Times New Roman" w:eastAsia="Times New Roman" w:hAnsi="Times New Roman"/>
                  <w:sz w:val="20"/>
                  <w:szCs w:val="20"/>
                  <w:color w:val="0000EE"/>
                </w:rPr>
                <w:t>Item 2.</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34">
              <w:r>
                <w:rPr>
                  <w:rFonts w:ascii="Times New Roman" w:cs="Times New Roman" w:eastAsia="Times New Roman" w:hAnsi="Times New Roman"/>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Item 3.</w:t>
              </w:r>
            </w:hyperlink>
          </w:p>
        </w:tc>
        <w:tc>
          <w:tcPr>
            <w:tcW w:w="700" w:type="dxa"/>
            <w:vAlign w:val="bottom"/>
            <w:gridSpan w:val="2"/>
          </w:tcPr>
          <w:p>
            <w:pPr>
              <w:spacing w:after="0"/>
              <w:rPr>
                <w:sz w:val="24"/>
                <w:szCs w:val="24"/>
                <w:color w:val="auto"/>
              </w:rPr>
            </w:pPr>
          </w:p>
        </w:tc>
        <w:tc>
          <w:tcPr>
            <w:tcW w:w="4800" w:type="dxa"/>
            <w:vAlign w:val="bottom"/>
            <w:tcBorders>
              <w:bottom w:val="single" w:sz="8" w:color="0000EE"/>
            </w:tcBorders>
            <w:gridSpan w:val="16"/>
          </w:tcPr>
          <w:p>
            <w:pPr>
              <w:spacing w:after="0"/>
              <w:rPr>
                <w:rFonts w:ascii="Times New Roman" w:cs="Times New Roman" w:eastAsia="Times New Roman" w:hAnsi="Times New Roman"/>
                <w:sz w:val="20"/>
                <w:szCs w:val="20"/>
                <w:color w:val="0000EE"/>
                <w:w w:val="98"/>
              </w:rPr>
            </w:pPr>
            <w:hyperlink w:anchor="page48">
              <w:r>
                <w:rPr>
                  <w:rFonts w:ascii="Times New Roman" w:cs="Times New Roman" w:eastAsia="Times New Roman" w:hAnsi="Times New Roman"/>
                  <w:sz w:val="20"/>
                  <w:szCs w:val="20"/>
                  <w:color w:val="0000EE"/>
                  <w:w w:val="98"/>
                </w:rPr>
                <w:t>Quantitative and Qualitative Disclosures About Market Risk</w:t>
              </w:r>
            </w:hyperlink>
          </w:p>
        </w:tc>
        <w:tc>
          <w:tcPr>
            <w:tcW w:w="4540" w:type="dxa"/>
            <w:vAlign w:val="bottom"/>
            <w:gridSpan w:val="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Item 4.</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Times New Roman" w:cs="Times New Roman" w:eastAsia="Times New Roman" w:hAnsi="Times New Roman"/>
                <w:sz w:val="20"/>
                <w:szCs w:val="20"/>
                <w:b w:val="1"/>
                <w:bCs w:val="1"/>
                <w:color w:val="0000EE"/>
                <w:w w:val="97"/>
              </w:rPr>
            </w:pPr>
            <w:hyperlink w:anchor="page48">
              <w:r>
                <w:rPr>
                  <w:rFonts w:ascii="Times New Roman" w:cs="Times New Roman" w:eastAsia="Times New Roman" w:hAnsi="Times New Roman"/>
                  <w:sz w:val="20"/>
                  <w:szCs w:val="20"/>
                  <w:b w:val="1"/>
                  <w:bCs w:val="1"/>
                  <w:color w:val="0000EE"/>
                  <w:w w:val="97"/>
                </w:rPr>
                <w:t>Part II.</w:t>
              </w:r>
            </w:hyperlink>
          </w:p>
        </w:tc>
        <w:tc>
          <w:tcPr>
            <w:tcW w:w="700" w:type="dxa"/>
            <w:vAlign w:val="bottom"/>
            <w:gridSpan w:val="2"/>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b w:val="1"/>
                <w:bCs w:val="1"/>
                <w:color w:val="0000EE"/>
              </w:rPr>
            </w:pPr>
            <w:hyperlink w:anchor="page48">
              <w:r>
                <w:rPr>
                  <w:rFonts w:ascii="Times New Roman" w:cs="Times New Roman" w:eastAsia="Times New Roman" w:hAnsi="Times New Roman"/>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Borders>
              <w:top w:val="single" w:sz="8" w:color="0000EE"/>
            </w:tcBorders>
            <w:gridSpan w:val="2"/>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8"/>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Legal Proceedings</w:t>
              </w:r>
            </w:hyperlink>
          </w:p>
        </w:tc>
        <w:tc>
          <w:tcPr>
            <w:tcW w:w="7120" w:type="dxa"/>
            <w:vAlign w:val="bottom"/>
            <w:gridSpan w:val="1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Times New Roman" w:cs="Times New Roman" w:eastAsia="Times New Roman" w:hAnsi="Times New Roman"/>
                <w:sz w:val="20"/>
                <w:szCs w:val="20"/>
                <w:color w:val="0000EE"/>
                <w:w w:val="98"/>
              </w:rPr>
            </w:pPr>
            <w:hyperlink w:anchor="page48">
              <w:r>
                <w:rPr>
                  <w:rFonts w:ascii="Times New Roman" w:cs="Times New Roman" w:eastAsia="Times New Roman" w:hAnsi="Times New Roman"/>
                  <w:sz w:val="20"/>
                  <w:szCs w:val="20"/>
                  <w:color w:val="0000EE"/>
                  <w:w w:val="98"/>
                </w:rPr>
                <w:t>Item 1A.</w:t>
              </w:r>
            </w:hyperlink>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Risk Factors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Item 2.</w:t>
              </w:r>
            </w:hyperlink>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Item 3.</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Defaults Upon Senior Securities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439"/>
        </w:trPr>
        <w:tc>
          <w:tcPr>
            <w:tcW w:w="1340" w:type="dxa"/>
            <w:vAlign w:val="bottom"/>
            <w:tcBorders>
              <w:top w:val="single" w:sz="8" w:color="0000EE"/>
            </w:tcBorders>
            <w:gridSpan w:val="4"/>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Item 4.</w:t>
              </w:r>
            </w:hyperlink>
          </w:p>
        </w:tc>
        <w:tc>
          <w:tcPr>
            <w:tcW w:w="2560" w:type="dxa"/>
            <w:vAlign w:val="bottom"/>
            <w:tcBorders>
              <w:top w:val="single" w:sz="8" w:color="0000EE"/>
            </w:tcBorders>
            <w:gridSpan w:val="9"/>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Mine Safety Disclosures</w:t>
              </w:r>
            </w:hyperlink>
          </w:p>
        </w:tc>
        <w:tc>
          <w:tcPr>
            <w:tcW w:w="678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Item 5.</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Item 6.</w:t>
              </w:r>
            </w:hyperlink>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3"/>
          </w:tcPr>
          <w:p>
            <w:pPr>
              <w:spacing w:after="0"/>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Signatures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46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3840" w:type="dxa"/>
            <w:vAlign w:val="bottom"/>
            <w:gridSpan w:val="9"/>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MARCH 31, 2019 AND DECEMBER 31, 2018</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6100" w:type="dxa"/>
            <w:vAlign w:val="bottom"/>
            <w:gridSpan w:val="4"/>
            <w:vMerge w:val="restart"/>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61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40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618,344</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637,513</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263,697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320,650</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596,661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484,562</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300,780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277,705</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44,909</w:t>
            </w:r>
          </w:p>
        </w:tc>
        <w:tc>
          <w:tcPr>
            <w:tcW w:w="0" w:type="dxa"/>
            <w:vAlign w:val="bottom"/>
          </w:tcPr>
          <w:p>
            <w:pPr>
              <w:spacing w:after="0"/>
              <w:rPr>
                <w:sz w:val="1"/>
                <w:szCs w:val="1"/>
                <w:color w:val="auto"/>
              </w:rPr>
            </w:pPr>
          </w:p>
        </w:tc>
      </w:tr>
      <w:tr>
        <w:trPr>
          <w:trHeight w:val="210"/>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38,831</w:t>
            </w:r>
          </w:p>
        </w:tc>
        <w:tc>
          <w:tcPr>
            <w:tcW w:w="0" w:type="dxa"/>
            <w:vAlign w:val="bottom"/>
          </w:tcPr>
          <w:p>
            <w:pPr>
              <w:spacing w:after="0"/>
              <w:rPr>
                <w:sz w:val="1"/>
                <w:szCs w:val="1"/>
                <w:color w:val="auto"/>
              </w:rPr>
            </w:pPr>
          </w:p>
        </w:tc>
      </w:tr>
      <w:tr>
        <w:trPr>
          <w:trHeight w:val="210"/>
        </w:trPr>
        <w:tc>
          <w:tcPr>
            <w:tcW w:w="84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1,907,300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1,804,170</w:t>
            </w:r>
          </w:p>
        </w:tc>
        <w:tc>
          <w:tcPr>
            <w:tcW w:w="0" w:type="dxa"/>
            <w:vAlign w:val="bottom"/>
          </w:tcPr>
          <w:p>
            <w:pPr>
              <w:spacing w:after="0"/>
              <w:rPr>
                <w:sz w:val="1"/>
                <w:szCs w:val="1"/>
                <w:color w:val="auto"/>
              </w:rPr>
            </w:pPr>
          </w:p>
        </w:tc>
      </w:tr>
      <w:tr>
        <w:trPr>
          <w:trHeight w:val="397"/>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241,232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243,051</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85,687</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1,042,839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1,045,878</w:t>
            </w:r>
          </w:p>
        </w:tc>
        <w:tc>
          <w:tcPr>
            <w:tcW w:w="0" w:type="dxa"/>
            <w:vAlign w:val="bottom"/>
          </w:tcPr>
          <w:p>
            <w:pPr>
              <w:spacing w:after="0"/>
              <w:rPr>
                <w:sz w:val="1"/>
                <w:szCs w:val="1"/>
                <w:color w:val="auto"/>
              </w:rPr>
            </w:pPr>
          </w:p>
        </w:tc>
      </w:tr>
      <w:tr>
        <w:trPr>
          <w:trHeight w:val="210"/>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16,462</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6100" w:type="dxa"/>
            <w:vAlign w:val="bottom"/>
            <w:gridSpan w:val="4"/>
          </w:tcPr>
          <w:p>
            <w:pPr>
              <w:jc w:val="center"/>
              <w:ind w:right="260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4,655,851</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4,526,891</w:t>
            </w:r>
          </w:p>
        </w:tc>
        <w:tc>
          <w:tcPr>
            <w:tcW w:w="0" w:type="dxa"/>
            <w:vAlign w:val="bottom"/>
          </w:tcPr>
          <w:p>
            <w:pPr>
              <w:spacing w:after="0"/>
              <w:rPr>
                <w:sz w:val="1"/>
                <w:szCs w:val="1"/>
                <w:color w:val="auto"/>
              </w:rPr>
            </w:pPr>
          </w:p>
        </w:tc>
      </w:tr>
      <w:tr>
        <w:trPr>
          <w:trHeight w:val="20"/>
        </w:trPr>
        <w:tc>
          <w:tcPr>
            <w:tcW w:w="840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267,735</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248,760</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112,507</w:t>
            </w:r>
          </w:p>
        </w:tc>
        <w:tc>
          <w:tcPr>
            <w:tcW w:w="0" w:type="dxa"/>
            <w:vAlign w:val="bottom"/>
          </w:tcPr>
          <w:p>
            <w:pPr>
              <w:spacing w:after="0"/>
              <w:rPr>
                <w:sz w:val="1"/>
                <w:szCs w:val="1"/>
                <w:color w:val="auto"/>
              </w:rPr>
            </w:pPr>
          </w:p>
        </w:tc>
      </w:tr>
      <w:tr>
        <w:trPr>
          <w:trHeight w:val="198"/>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145,741</w:t>
            </w:r>
          </w:p>
        </w:tc>
        <w:tc>
          <w:tcPr>
            <w:tcW w:w="0" w:type="dxa"/>
            <w:vAlign w:val="bottom"/>
          </w:tcPr>
          <w:p>
            <w:pPr>
              <w:spacing w:after="0"/>
              <w:rPr>
                <w:sz w:val="1"/>
                <w:szCs w:val="1"/>
                <w:color w:val="auto"/>
              </w:rPr>
            </w:pPr>
          </w:p>
        </w:tc>
      </w:tr>
      <w:tr>
        <w:trPr>
          <w:trHeight w:val="221"/>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44,045</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0" w:type="dxa"/>
            <w:vAlign w:val="bottom"/>
          </w:tcPr>
          <w:p>
            <w:pPr>
              <w:spacing w:after="0"/>
              <w:rPr>
                <w:sz w:val="1"/>
                <w:szCs w:val="1"/>
                <w:color w:val="auto"/>
              </w:rPr>
            </w:pPr>
          </w:p>
        </w:tc>
      </w:tr>
      <w:tr>
        <w:trPr>
          <w:trHeight w:val="210"/>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10,189</w:t>
            </w:r>
          </w:p>
        </w:tc>
        <w:tc>
          <w:tcPr>
            <w:tcW w:w="0" w:type="dxa"/>
            <w:vAlign w:val="bottom"/>
          </w:tcPr>
          <w:p>
            <w:pPr>
              <w:spacing w:after="0"/>
              <w:rPr>
                <w:sz w:val="1"/>
                <w:szCs w:val="1"/>
                <w:color w:val="auto"/>
              </w:rPr>
            </w:pPr>
          </w:p>
        </w:tc>
      </w:tr>
      <w:tr>
        <w:trPr>
          <w:trHeight w:val="210"/>
        </w:trPr>
        <w:tc>
          <w:tcPr>
            <w:tcW w:w="84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630,972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601,145</w:t>
            </w:r>
          </w:p>
        </w:tc>
        <w:tc>
          <w:tcPr>
            <w:tcW w:w="0" w:type="dxa"/>
            <w:vAlign w:val="bottom"/>
          </w:tcPr>
          <w:p>
            <w:pPr>
              <w:spacing w:after="0"/>
              <w:rPr>
                <w:sz w:val="1"/>
                <w:szCs w:val="1"/>
                <w:color w:val="auto"/>
              </w:rPr>
            </w:pPr>
          </w:p>
        </w:tc>
      </w:tr>
      <w:tr>
        <w:trPr>
          <w:trHeight w:val="28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312,224</w:t>
            </w:r>
          </w:p>
        </w:tc>
        <w:tc>
          <w:tcPr>
            <w:tcW w:w="0" w:type="dxa"/>
            <w:vAlign w:val="bottom"/>
          </w:tcPr>
          <w:p>
            <w:pPr>
              <w:spacing w:after="0"/>
              <w:rPr>
                <w:sz w:val="1"/>
                <w:szCs w:val="1"/>
                <w:color w:val="auto"/>
              </w:rPr>
            </w:pPr>
          </w:p>
        </w:tc>
      </w:tr>
      <w:tr>
        <w:trPr>
          <w:trHeight w:val="297"/>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97"/>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1,250,000 shares authorized; 634,841 shares issued and 543,547 shares outstanding as of</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March 31, 2019; 630,970 shares issued and 543,676 shares outstanding as of December 31, 2018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4,288,638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4,238,170</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4,176,130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3,914,645</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(34,125)</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(32,864)</w:t>
            </w:r>
          </w:p>
        </w:tc>
        <w:tc>
          <w:tcPr>
            <w:tcW w:w="0" w:type="dxa"/>
            <w:vAlign w:val="bottom"/>
          </w:tcPr>
          <w:p>
            <w:pPr>
              <w:spacing w:after="0"/>
              <w:rPr>
                <w:sz w:val="1"/>
                <w:szCs w:val="1"/>
                <w:color w:val="auto"/>
              </w:rPr>
            </w:pPr>
          </w:p>
        </w:tc>
      </w:tr>
      <w:tr>
        <w:trPr>
          <w:trHeight w:val="203"/>
        </w:trPr>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91,294 shares and 87,294 shares as of March 31, 2019 and December 31, 2018,</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(4,734,997)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(4,512,205)</w:t>
            </w:r>
          </w:p>
        </w:tc>
        <w:tc>
          <w:tcPr>
            <w:tcW w:w="0" w:type="dxa"/>
            <w:vAlign w:val="bottom"/>
          </w:tcPr>
          <w:p>
            <w:pPr>
              <w:spacing w:after="0"/>
              <w:rPr>
                <w:sz w:val="1"/>
                <w:szCs w:val="1"/>
                <w:color w:val="auto"/>
              </w:rPr>
            </w:pPr>
          </w:p>
        </w:tc>
      </w:tr>
      <w:tr>
        <w:trPr>
          <w:trHeight w:val="202"/>
        </w:trPr>
        <w:tc>
          <w:tcPr>
            <w:tcW w:w="84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3,698,820</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3,610,901</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6100" w:type="dxa"/>
            <w:vAlign w:val="bottom"/>
            <w:gridSpan w:val="4"/>
          </w:tcPr>
          <w:p>
            <w:pPr>
              <w:jc w:val="center"/>
              <w:ind w:right="26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4,655,851</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4,526,891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620"/>
        <w:spacing w:after="0" w:line="250" w:lineRule="auto"/>
        <w:rPr>
          <w:sz w:val="20"/>
          <w:szCs w:val="20"/>
          <w:color w:val="auto"/>
        </w:rPr>
      </w:pPr>
      <w:r>
        <w:rPr>
          <w:rFonts w:ascii="Times New Roman" w:cs="Times New Roman" w:eastAsia="Times New Roman" w:hAnsi="Times New Roman"/>
          <w:sz w:val="20"/>
          <w:szCs w:val="20"/>
          <w:b w:val="1"/>
          <w:bCs w:val="1"/>
          <w:color w:val="auto"/>
        </w:rPr>
        <w:t>MONSTER BEVERAGE CORPORATION AND SUBSIDIARIES CONDENSED CONSOLIDATED STATEMENTS OF INCOME FOR THE THREE-MONTHS ENDED MARCH 31, 2019 AND 2018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0" w:type="dxa"/>
            <w:vAlign w:val="bottom"/>
          </w:tcPr>
          <w:p>
            <w:pPr>
              <w:spacing w:after="0"/>
              <w:rPr>
                <w:sz w:val="1"/>
                <w:szCs w:val="1"/>
                <w:color w:val="auto"/>
              </w:rPr>
            </w:pPr>
          </w:p>
        </w:tc>
      </w:tr>
      <w:tr>
        <w:trPr>
          <w:trHeight w:val="238"/>
        </w:trPr>
        <w:tc>
          <w:tcPr>
            <w:tcW w:w="8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945,991</w:t>
            </w:r>
          </w:p>
        </w:tc>
        <w:tc>
          <w:tcPr>
            <w:tcW w:w="16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850,921</w:t>
            </w: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372,459</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335,664</w:t>
            </w:r>
          </w:p>
        </w:tc>
        <w:tc>
          <w:tcPr>
            <w:tcW w:w="0" w:type="dxa"/>
            <w:vAlign w:val="bottom"/>
          </w:tcPr>
          <w:p>
            <w:pPr>
              <w:spacing w:after="0"/>
              <w:rPr>
                <w:sz w:val="1"/>
                <w:szCs w:val="1"/>
                <w:color w:val="auto"/>
              </w:rPr>
            </w:pP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573,532</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515,257</w:t>
            </w: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262,071</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235,342</w:t>
            </w:r>
          </w:p>
        </w:tc>
        <w:tc>
          <w:tcPr>
            <w:tcW w:w="0" w:type="dxa"/>
            <w:vAlign w:val="bottom"/>
          </w:tcPr>
          <w:p>
            <w:pPr>
              <w:spacing w:after="0"/>
              <w:rPr>
                <w:sz w:val="1"/>
                <w:szCs w:val="1"/>
                <w:color w:val="auto"/>
              </w:rPr>
            </w:pP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311,461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314,203</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281,720</w:t>
            </w: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65,670</w:t>
            </w:r>
          </w:p>
        </w:tc>
        <w:tc>
          <w:tcPr>
            <w:tcW w:w="0" w:type="dxa"/>
            <w:vAlign w:val="bottom"/>
          </w:tcPr>
          <w:p>
            <w:pPr>
              <w:spacing w:after="0"/>
              <w:rPr>
                <w:sz w:val="1"/>
                <w:szCs w:val="1"/>
                <w:color w:val="auto"/>
              </w:rPr>
            </w:pP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261,485</w:t>
            </w:r>
          </w:p>
        </w:tc>
        <w:tc>
          <w:tcPr>
            <w:tcW w:w="160" w:type="dxa"/>
            <w:vAlign w:val="bottom"/>
          </w:tcPr>
          <w:p>
            <w:pPr>
              <w:spacing w:after="0"/>
              <w:rPr>
                <w:sz w:val="24"/>
                <w:szCs w:val="24"/>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216,050</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AND COMMON STOCK</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542,768</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566,000</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548,273</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574,129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2919"/>
        <w:spacing w:after="0" w:line="242" w:lineRule="auto"/>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FOR THE THREE-MONTHS ENDED MARCH 31,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gridSpan w:val="4"/>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Three-Months Ended</w:t>
            </w: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March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auto"/>
              </w:rPr>
              <w:t>2019</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auto"/>
              </w:rPr>
              <w:t>2018</w:t>
            </w: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3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261,485</w:t>
            </w:r>
          </w:p>
        </w:tc>
        <w:tc>
          <w:tcPr>
            <w:tcW w:w="180" w:type="dxa"/>
            <w:vAlign w:val="bottom"/>
          </w:tcPr>
          <w:p>
            <w:pPr>
              <w:spacing w:after="0"/>
              <w:rPr>
                <w:sz w:val="17"/>
                <w:szCs w:val="17"/>
                <w:color w:val="auto"/>
              </w:rPr>
            </w:pPr>
          </w:p>
        </w:tc>
        <w:tc>
          <w:tcPr>
            <w:tcW w:w="420" w:type="dxa"/>
            <w:vAlign w:val="bottom"/>
          </w:tcPr>
          <w:p>
            <w:pPr>
              <w:jc w:val="right"/>
              <w:ind w:right="1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216,050</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w:t>
            </w: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Change in net unrealized gains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0" w:type="dxa"/>
            <w:vAlign w:val="bottom"/>
          </w:tcPr>
          <w:p>
            <w:pPr>
              <w:spacing w:after="0"/>
              <w:rPr>
                <w:sz w:val="1"/>
                <w:szCs w:val="1"/>
                <w:color w:val="auto"/>
              </w:rPr>
            </w:pPr>
          </w:p>
        </w:tc>
      </w:tr>
      <w:tr>
        <w:trPr>
          <w:trHeight w:val="230"/>
        </w:trPr>
        <w:tc>
          <w:tcPr>
            <w:tcW w:w="5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Reclassification adjustment for net gains included in net</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income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Net change in available-for-sale investments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215</w:t>
            </w:r>
          </w:p>
        </w:tc>
        <w:tc>
          <w:tcPr>
            <w:tcW w:w="0" w:type="dxa"/>
            <w:vAlign w:val="bottom"/>
          </w:tcPr>
          <w:p>
            <w:pPr>
              <w:spacing w:after="0"/>
              <w:rPr>
                <w:sz w:val="1"/>
                <w:szCs w:val="1"/>
                <w:color w:val="auto"/>
              </w:rPr>
            </w:pPr>
          </w:p>
        </w:tc>
      </w:tr>
      <w:tr>
        <w:trPr>
          <w:trHeight w:val="23"/>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(1,261)</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2,938</w:t>
            </w:r>
          </w:p>
        </w:tc>
        <w:tc>
          <w:tcPr>
            <w:tcW w:w="0" w:type="dxa"/>
            <w:vAlign w:val="bottom"/>
          </w:tcPr>
          <w:p>
            <w:pPr>
              <w:spacing w:after="0"/>
              <w:rPr>
                <w:sz w:val="1"/>
                <w:szCs w:val="1"/>
                <w:color w:val="auto"/>
              </w:rPr>
            </w:pPr>
          </w:p>
        </w:tc>
      </w:tr>
      <w:tr>
        <w:trPr>
          <w:trHeight w:val="23"/>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260,224</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218,988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auto"/>
        </w:rPr>
        <w:t>FOR THE THREE-MONTHS ENDED MARCH 31,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1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100" w:type="dxa"/>
            <w:vAlign w:val="bottom"/>
            <w:gridSpan w:val="5"/>
            <w:vMerge w:val="continue"/>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08"/>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630,970</w:t>
            </w: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4,238,170</w:t>
            </w:r>
          </w:p>
        </w:tc>
        <w:tc>
          <w:tcPr>
            <w:tcW w:w="22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3,914,645</w:t>
            </w:r>
          </w:p>
        </w:tc>
        <w:tc>
          <w:tcPr>
            <w:tcW w:w="120" w:type="dxa"/>
            <w:vAlign w:val="bottom"/>
          </w:tcPr>
          <w:p>
            <w:pPr>
              <w:spacing w:after="0"/>
              <w:rPr>
                <w:sz w:val="24"/>
                <w:szCs w:val="24"/>
                <w:color w:val="auto"/>
              </w:rPr>
            </w:pP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(32,864)</w:t>
            </w:r>
          </w:p>
        </w:tc>
        <w:tc>
          <w:tcPr>
            <w:tcW w:w="20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(87,294)</w:t>
            </w:r>
          </w:p>
        </w:tc>
        <w:tc>
          <w:tcPr>
            <w:tcW w:w="20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(4,512,205)</w:t>
            </w:r>
          </w:p>
        </w:tc>
        <w:tc>
          <w:tcPr>
            <w:tcW w:w="200" w:type="dxa"/>
            <w:vAlign w:val="bottom"/>
          </w:tcPr>
          <w:p>
            <w:pPr>
              <w:spacing w:after="0"/>
              <w:rPr>
                <w:sz w:val="24"/>
                <w:szCs w:val="24"/>
                <w:color w:val="auto"/>
              </w:rPr>
            </w:pP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3,610,901</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15,324</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35,163</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available-for-</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8"/>
        </w:trPr>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sale securities</w:t>
            </w: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(222,792)</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280"/>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261,485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261,485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2019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634,841</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4,288,638</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4,176,130</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(34,125)</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(91,294)</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(4,734,997)</w:t>
            </w:r>
          </w:p>
        </w:tc>
        <w:tc>
          <w:tcPr>
            <w:tcW w:w="200" w:type="dxa"/>
            <w:vAlign w:val="bottom"/>
          </w:tcPr>
          <w:p>
            <w:pPr>
              <w:spacing w:after="0"/>
              <w:rPr>
                <w:sz w:val="20"/>
                <w:szCs w:val="20"/>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3,698,820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1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100" w:type="dxa"/>
            <w:vAlign w:val="bottom"/>
            <w:gridSpan w:val="5"/>
            <w:vMerge w:val="continue"/>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7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629,255</w:t>
            </w: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4,150,628</w:t>
            </w:r>
          </w:p>
        </w:tc>
        <w:tc>
          <w:tcPr>
            <w:tcW w:w="22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2,928,226</w:t>
            </w:r>
          </w:p>
        </w:tc>
        <w:tc>
          <w:tcPr>
            <w:tcW w:w="120" w:type="dxa"/>
            <w:vAlign w:val="bottom"/>
          </w:tcPr>
          <w:p>
            <w:pPr>
              <w:spacing w:after="0"/>
              <w:rPr>
                <w:sz w:val="24"/>
                <w:szCs w:val="24"/>
                <w:color w:val="auto"/>
              </w:rPr>
            </w:pP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(16,659)</w:t>
            </w:r>
          </w:p>
        </w:tc>
        <w:tc>
          <w:tcPr>
            <w:tcW w:w="20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(62,957)</w:t>
            </w:r>
          </w:p>
        </w:tc>
        <w:tc>
          <w:tcPr>
            <w:tcW w:w="200" w:type="dxa"/>
            <w:vAlign w:val="bottom"/>
          </w:tcPr>
          <w:p>
            <w:pPr>
              <w:spacing w:after="0"/>
              <w:rPr>
                <w:sz w:val="24"/>
                <w:szCs w:val="24"/>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(3,170,129)</w:t>
            </w:r>
          </w:p>
        </w:tc>
        <w:tc>
          <w:tcPr>
            <w:tcW w:w="200" w:type="dxa"/>
            <w:vAlign w:val="bottom"/>
          </w:tcPr>
          <w:p>
            <w:pPr>
              <w:spacing w:after="0"/>
              <w:rPr>
                <w:sz w:val="24"/>
                <w:szCs w:val="24"/>
                <w:color w:val="auto"/>
              </w:rPr>
            </w:pP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3,895,212</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32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available-for-</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88"/>
        </w:trPr>
        <w:tc>
          <w:tcPr>
            <w:tcW w:w="2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sale securities</w:t>
            </w: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ASU No. 2016-16 adoption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(251,949)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(251,949)</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216,050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216,050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2018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629,924</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4,170,565</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3,137,691</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(13,721)</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(3,422,078)</w:t>
            </w:r>
          </w:p>
        </w:tc>
        <w:tc>
          <w:tcPr>
            <w:tcW w:w="200" w:type="dxa"/>
            <w:vAlign w:val="bottom"/>
          </w:tcPr>
          <w:p>
            <w:pPr>
              <w:spacing w:after="0"/>
              <w:rPr>
                <w:sz w:val="20"/>
                <w:szCs w:val="20"/>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3,875,607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460"/>
        <w:spacing w:after="0" w:line="250" w:lineRule="auto"/>
        <w:rPr>
          <w:sz w:val="20"/>
          <w:szCs w:val="20"/>
          <w:color w:val="auto"/>
        </w:rPr>
      </w:pPr>
      <w:r>
        <w:rPr>
          <w:rFonts w:ascii="Times New Roman" w:cs="Times New Roman" w:eastAsia="Times New Roman" w:hAnsi="Times New Roman"/>
          <w:sz w:val="20"/>
          <w:szCs w:val="20"/>
          <w:b w:val="1"/>
          <w:bCs w:val="1"/>
          <w:color w:val="auto"/>
        </w:rPr>
        <w:t>MONSTER BEVERAGE CORPORATION AND SUBSIDIARIES CONDENSED CONSOLIDATED STATEMENTS OF CASH FLOWS FOR THE THREE-MONTHS ENDED MARCH 31,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Three-Months Ended</w:t>
      </w: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06"/>
        </w:trPr>
        <w:tc>
          <w:tcPr>
            <w:tcW w:w="8400" w:type="dxa"/>
            <w:vAlign w:val="bottom"/>
            <w:vMerge w:val="continue"/>
          </w:tcPr>
          <w:p>
            <w:pPr>
              <w:spacing w:after="0"/>
              <w:rPr>
                <w:sz w:val="9"/>
                <w:szCs w:val="9"/>
                <w:color w:val="auto"/>
              </w:rPr>
            </w:pPr>
          </w:p>
        </w:tc>
        <w:tc>
          <w:tcPr>
            <w:tcW w:w="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261,485</w:t>
            </w:r>
          </w:p>
        </w:tc>
        <w:tc>
          <w:tcPr>
            <w:tcW w:w="280" w:type="dxa"/>
            <w:vAlign w:val="bottom"/>
          </w:tcPr>
          <w:p>
            <w:pPr>
              <w:spacing w:after="0"/>
              <w:rPr>
                <w:sz w:val="9"/>
                <w:szCs w:val="9"/>
                <w:color w:val="auto"/>
              </w:rPr>
            </w:pPr>
          </w:p>
        </w:tc>
        <w:tc>
          <w:tcPr>
            <w:tcW w:w="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216,050</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13,991</w:t>
            </w:r>
          </w:p>
        </w:tc>
        <w:tc>
          <w:tcPr>
            <w:tcW w:w="0" w:type="dxa"/>
            <w:vAlign w:val="bottom"/>
          </w:tcPr>
          <w:p>
            <w:pPr>
              <w:spacing w:after="0"/>
              <w:rPr>
                <w:sz w:val="1"/>
                <w:szCs w:val="1"/>
                <w:color w:val="auto"/>
              </w:rPr>
            </w:pPr>
          </w:p>
        </w:tc>
      </w:tr>
      <w:tr>
        <w:trPr>
          <w:trHeight w:val="149"/>
        </w:trPr>
        <w:tc>
          <w:tcPr>
            <w:tcW w:w="8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8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13,439</w:t>
            </w:r>
          </w:p>
        </w:tc>
        <w:tc>
          <w:tcPr>
            <w:tcW w:w="0" w:type="dxa"/>
            <w:vAlign w:val="bottom"/>
          </w:tcPr>
          <w:p>
            <w:pPr>
              <w:spacing w:after="0"/>
              <w:rPr>
                <w:sz w:val="1"/>
                <w:szCs w:val="1"/>
                <w:color w:val="auto"/>
              </w:rPr>
            </w:pPr>
          </w:p>
        </w:tc>
      </w:tr>
      <w:tr>
        <w:trPr>
          <w:trHeight w:val="149"/>
        </w:trPr>
        <w:tc>
          <w:tcPr>
            <w:tcW w:w="8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3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(116,426)</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(72,699)</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Distributor receivables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(11,274)</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(19,646)</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52,410</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(22,616)</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(14,985)</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23,103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15,971</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distributor terminations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(18,350)</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49"/>
        </w:trPr>
        <w:tc>
          <w:tcPr>
            <w:tcW w:w="8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(9,476)</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8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148,911</w:t>
            </w: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232,387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334,216</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(175,314)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(247,421)</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(13,049)</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3,397</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 in intangibles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8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75,874</w:t>
            </w: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debt</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6,501</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(222,792)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(251,950)</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4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(188,022)</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(245,992)</w:t>
            </w:r>
          </w:p>
        </w:tc>
        <w:tc>
          <w:tcPr>
            <w:tcW w:w="0" w:type="dxa"/>
            <w:vAlign w:val="bottom"/>
          </w:tcPr>
          <w:p>
            <w:pPr>
              <w:spacing w:after="0"/>
              <w:rPr>
                <w:sz w:val="1"/>
                <w:szCs w:val="1"/>
                <w:color w:val="auto"/>
              </w:rPr>
            </w:pPr>
          </w:p>
        </w:tc>
      </w:tr>
      <w:tr>
        <w:trPr>
          <w:trHeight w:val="308"/>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(19,169)</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(17,262)</w:t>
            </w: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637,513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528,622</w:t>
            </w:r>
          </w:p>
        </w:tc>
        <w:tc>
          <w:tcPr>
            <w:tcW w:w="0" w:type="dxa"/>
            <w:vAlign w:val="bottom"/>
          </w:tcPr>
          <w:p>
            <w:pPr>
              <w:spacing w:after="0"/>
              <w:rPr>
                <w:sz w:val="1"/>
                <w:szCs w:val="1"/>
                <w:color w:val="auto"/>
              </w:rPr>
            </w:pPr>
          </w:p>
        </w:tc>
      </w:tr>
      <w:tr>
        <w:trPr>
          <w:trHeight w:val="23"/>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40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618,344</w:t>
            </w:r>
          </w:p>
        </w:tc>
        <w:tc>
          <w:tcPr>
            <w:tcW w:w="280" w:type="dxa"/>
            <w:vAlign w:val="bottom"/>
          </w:tcPr>
          <w:p>
            <w:pPr>
              <w:spacing w:after="0"/>
              <w:rPr>
                <w:sz w:val="12"/>
                <w:szCs w:val="12"/>
                <w:color w:val="auto"/>
              </w:rPr>
            </w:pPr>
          </w:p>
        </w:tc>
        <w:tc>
          <w:tcPr>
            <w:tcW w:w="3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511,360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4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2"/>
                <w:szCs w:val="12"/>
                <w:color w:val="auto"/>
              </w:rPr>
            </w:pPr>
          </w:p>
        </w:tc>
        <w:tc>
          <w:tcPr>
            <w:tcW w:w="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6"/>
        </w:trPr>
        <w:tc>
          <w:tcPr>
            <w:tcW w:w="8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Income taxes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0" w:type="dxa"/>
            <w:vAlign w:val="bottom"/>
            <w:vMerge w:val="continue"/>
          </w:tcPr>
          <w:p>
            <w:pPr>
              <w:spacing w:after="0"/>
              <w:rPr>
                <w:sz w:val="11"/>
                <w:szCs w:val="11"/>
                <w:color w:val="auto"/>
              </w:rPr>
            </w:pPr>
          </w:p>
        </w:tc>
        <w:tc>
          <w:tcPr>
            <w:tcW w:w="34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82,002</w:t>
            </w:r>
          </w:p>
        </w:tc>
        <w:tc>
          <w:tcPr>
            <w:tcW w:w="280" w:type="dxa"/>
            <w:vAlign w:val="bottom"/>
          </w:tcPr>
          <w:p>
            <w:pPr>
              <w:spacing w:after="0"/>
              <w:rPr>
                <w:sz w:val="11"/>
                <w:szCs w:val="11"/>
                <w:color w:val="auto"/>
              </w:rPr>
            </w:pPr>
          </w:p>
        </w:tc>
        <w:tc>
          <w:tcPr>
            <w:tcW w:w="34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15,223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440"/>
        <w:spacing w:after="0" w:line="250" w:lineRule="auto"/>
        <w:rPr>
          <w:sz w:val="20"/>
          <w:szCs w:val="20"/>
          <w:color w:val="auto"/>
        </w:rPr>
      </w:pPr>
      <w:r>
        <w:rPr>
          <w:rFonts w:ascii="Times New Roman" w:cs="Times New Roman" w:eastAsia="Times New Roman" w:hAnsi="Times New Roman"/>
          <w:sz w:val="20"/>
          <w:szCs w:val="20"/>
          <w:b w:val="1"/>
          <w:bCs w:val="1"/>
          <w:color w:val="auto"/>
        </w:rPr>
        <w:t>MONSTER BEVERAGE CORPORATION AND SUBSIDIARIES CONDENSED CONSOLIDATED STATEMENTS OF CASH FLOWS FOR THE THREE-MONTHS ENDED MARCH 31, 2019 AND 2018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Included in accrued liabilities as of March 31, 2019 and 2018 were $12.3 million and $8.3 million, respectively, related to additions to other intangible assets.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Reference is made to the Notes to Consolidated Financial Statements, in Monster Beverage Corporation and Subsidiaries (the “Company”) Annual Report on Form 10-K for the year ended December 31, 2018 (“Form 10-K”)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2019 and 2018,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57"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52525"/>
        </w:rPr>
        <w:t>Recently issued accounting pronouncements not yet adopted</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52525"/>
        </w:rPr>
        <w:t xml:space="preserve">In August 2018, the Financial Accounting Standards Board (“FASB”) issued Accounting Standards Update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w:t>
      </w:r>
      <w:r>
        <w:rPr>
          <w:rFonts w:ascii="Times New Roman" w:cs="Times New Roman" w:eastAsia="Times New Roman" w:hAnsi="Times New Roman"/>
          <w:sz w:val="20"/>
          <w:szCs w:val="20"/>
          <w:color w:val="000000"/>
        </w:rPr>
        <w:t>The Company is currently evaluating the impact of ASU No. 2018-15 on its financial position, results of</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operations and liquidity.</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 xml:space="preserve">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Company is currently evaluating the impact of ASU No. 2018-14 on its financial position, results of operations and liquidity.</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52525"/>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52525"/>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52525"/>
        </w:rPr>
        <w:t xml:space="preserve">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 applied on a retrospective basis and others on a prospective basis. </w:t>
      </w:r>
      <w:r>
        <w:rPr>
          <w:rFonts w:ascii="Times New Roman" w:cs="Times New Roman" w:eastAsia="Times New Roman" w:hAnsi="Times New Roman"/>
          <w:sz w:val="20"/>
          <w:szCs w:val="20"/>
          <w:color w:val="000000"/>
        </w:rPr>
        <w:t>The Company is currently</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evaluating the impact of ASU No. 2018-13 on its financial position, results of operations and liquidity.</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 xml:space="preserve">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Times New Roman" w:cs="Times New Roman" w:eastAsia="Times New Roman" w:hAnsi="Times New Roman"/>
          <w:sz w:val="20"/>
          <w:szCs w:val="20"/>
          <w:color w:val="000000"/>
        </w:rPr>
        <w:t>The Company is currently evaluating</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the impact of ASU No. 2017-04 on its financial position and results of operations.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The Company is currently evaluating the impact of ASU No. 2016-13 on its financial position, results of operations and liquidity.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Recently adopted accounting pronouncements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February 2018, the FASB issued ASU No. 2018-02 (ASU No. 2018-02), “Income Statement - Reporting Comprehensive Income (Topic 220)”, which amended the previous guidance to allow for certain tax effects “stranded” in accumulated other comprehensive income, which are impacted by the Tax Reform Act signed into law on December 22, 2017, to be reclassified from accumulated other comprehensive income into retained earnings. This amendment pertains only to those items impacted by the new tax law and does not apply to any future tax effects stranded in accumulated other comprehensive income. This standard was effective for fiscal years beginning after December 15, 2018, and allowed for early adoption. The adoption of ASU No. 2018-02 did not have an impact on the Company’s financial position, results of operations and liquidity.</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February 2016, the FASB issued ASU No. 2016-02, “Leases (Topic 842)”. This update requires the recognition of lease assets and lease liabilities on the balance sheet for leases classified as operating leases under previous guidance. The accounting for finance leases (capital leases) was substantially unchanged. The original guidance required application on a modified retrospective basis with adjustments to the earliest comparative period presented. In August 2018, the FASB issued ASU No. 2018-11, “Targeted Improvements to ASC 842,” which included an option to not restate comparative periods in transition and elect to use the effective date of ASU No. 2016-02 as the date of initial application, which the Company elected. As a result, the consolidated balance sheet prior to January 1, 2019 was not restated, and continues to be reported under previous guidance that did not require the recognition of operating lease liabilities and corresponding lease assets on the consolidated balance sheet. As a result of the adoption of ASU No. 2016-02 on January 1, 2019, the Company recorded operating lease right-of-use assets of $26.3 million and operating lease liabilities of $22.6 million. The adoption of ASU No. 2016-02 had an immaterial impact on the Company’s condensed consolidated statement of income and condensed consolidated statement of cash flows for the three-month period ended March 31, 2019. In addition, the Company elected the package of practical expedients permitted under the transition guidance within the new standard, which allowed the Company to carry forward the historical lease classification, not reassess prior conclusions related to expired or existing contracts that are or that contain leases, and not reassess the accounting for initial direct costs. Additional information and disclosures required by ASU No. 2016-02 are contained in Note 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three operating and reportable segments, (i) Monster Energy® Drinks segment (“Monster Energy® Drinks”), which is primarily comprised of the Company’s Monster Energy® drinks and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high performance energy drinks, (ii) Strategic Brands segment (“Strategic Brands”), which is comprised primarily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2019 or December 31, 2018.</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excludes from revenues all taxes assessed by a governmental authority that are imposed on the sale of its products and collected from customers.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Distribution expenses to transport the Company’s products, where applicable, and warehousing expense after manufacture are accounted for within operating expenses.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0" w:lineRule="exact"/>
        <w:rPr>
          <w:sz w:val="20"/>
          <w:szCs w:val="20"/>
          <w:color w:val="auto"/>
        </w:rPr>
      </w:pPr>
    </w:p>
    <w:p>
      <w:pPr>
        <w:ind w:left="1260" w:hanging="280"/>
        <w:spacing w:after="0"/>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20"/>
          <w:szCs w:val="20"/>
          <w:color w:val="auto"/>
        </w:rPr>
      </w:pPr>
    </w:p>
    <w:p>
      <w:pPr>
        <w:ind w:left="1300" w:hanging="320"/>
        <w:spacing w:after="0" w:line="246" w:lineRule="auto"/>
        <w:tabs>
          <w:tab w:leader="none" w:pos="152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1300" w:right="20" w:hanging="320"/>
        <w:spacing w:after="0" w:line="251" w:lineRule="auto"/>
        <w:tabs>
          <w:tab w:leader="none" w:pos="1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ind w:left="1260" w:hanging="280"/>
        <w:spacing w:after="0"/>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w:t>
      </w:r>
    </w:p>
    <w:p>
      <w:pPr>
        <w:ind w:left="1300" w:hanging="320"/>
        <w:spacing w:after="0" w:line="239"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ind w:left="1300" w:right="20" w:hanging="320"/>
        <w:spacing w:after="0" w:line="239" w:lineRule="auto"/>
        <w:tabs>
          <w:tab w:leader="none" w:pos="125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Times New Roman" w:cs="Times New Roman" w:eastAsia="Times New Roman" w:hAnsi="Times New Roman"/>
          <w:sz w:val="20"/>
          <w:szCs w:val="20"/>
          <w:color w:val="auto"/>
        </w:rPr>
      </w:pPr>
    </w:p>
    <w:p>
      <w:pPr>
        <w:ind w:left="1300" w:hanging="320"/>
        <w:spacing w:after="0" w:line="246" w:lineRule="auto"/>
        <w:tabs>
          <w:tab w:leader="none" w:pos="142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paid to TCCC based on the Company’s sales to certain wholly-owned subsidiaries of TCCC (the “TCCC Subsidiaries”) and/or to certain companies accounted for by TCCC under the equity method (“the TCCC Related Parties”).</w:t>
      </w:r>
    </w:p>
    <w:p>
      <w:pPr>
        <w:spacing w:after="0" w:line="18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over 20 years.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52525"/>
        </w:rPr>
        <w:t>The following tables disaggregate the Company’s revenue by geographical markets and reportable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640" w:type="dxa"/>
            <w:vAlign w:val="bottom"/>
            <w:tcBorders>
              <w:bottom w:val="single" w:sz="8" w:color="auto"/>
            </w:tcBorders>
            <w:gridSpan w:val="8"/>
          </w:tcPr>
          <w:p>
            <w:pPr>
              <w:jc w:val="center"/>
              <w:ind w:right="580"/>
              <w:spacing w:after="0"/>
              <w:rPr>
                <w:sz w:val="20"/>
                <w:szCs w:val="20"/>
                <w:color w:val="auto"/>
              </w:rPr>
            </w:pPr>
            <w:r>
              <w:rPr>
                <w:rFonts w:ascii="Times New Roman" w:cs="Times New Roman" w:eastAsia="Times New Roman" w:hAnsi="Times New Roman"/>
                <w:sz w:val="19"/>
                <w:szCs w:val="19"/>
                <w:color w:val="auto"/>
                <w:w w:val="99"/>
              </w:rPr>
              <w:t>Three-Months Ended March 31, 2019</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20"/>
              <w:spacing w:after="0" w:line="183" w:lineRule="exact"/>
              <w:rPr>
                <w:sz w:val="20"/>
                <w:szCs w:val="20"/>
                <w:color w:val="auto"/>
              </w:rPr>
            </w:pPr>
            <w:r>
              <w:rPr>
                <w:rFonts w:ascii="Times New Roman" w:cs="Times New Roman" w:eastAsia="Times New Roman" w:hAnsi="Times New Roman"/>
                <w:sz w:val="19"/>
                <w:szCs w:val="19"/>
                <w:color w:val="auto"/>
                <w:w w:val="99"/>
              </w:rPr>
              <w:t>Latin</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Times New Roman" w:cs="Times New Roman" w:eastAsia="Times New Roman" w:hAnsi="Times New Roman"/>
                <w:sz w:val="19"/>
                <w:szCs w:val="19"/>
                <w:color w:val="auto"/>
                <w:w w:val="97"/>
              </w:rPr>
              <w:t>America</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60"/>
              <w:spacing w:after="0" w:line="216" w:lineRule="exact"/>
              <w:rPr>
                <w:sz w:val="20"/>
                <w:szCs w:val="20"/>
                <w:color w:val="auto"/>
              </w:rPr>
            </w:pPr>
            <w:r>
              <w:rPr>
                <w:rFonts w:ascii="Times New Roman" w:cs="Times New Roman" w:eastAsia="Times New Roman" w:hAnsi="Times New Roman"/>
                <w:sz w:val="19"/>
                <w:szCs w:val="19"/>
                <w:color w:val="auto"/>
                <w:w w:val="96"/>
              </w:rPr>
              <w:t>U.S. and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Net Sales</w:t>
            </w:r>
          </w:p>
        </w:tc>
        <w:tc>
          <w:tcPr>
            <w:tcW w:w="260" w:type="dxa"/>
            <w:vAlign w:val="bottom"/>
          </w:tcPr>
          <w:p>
            <w:pPr>
              <w:spacing w:after="0"/>
              <w:rPr>
                <w:sz w:val="21"/>
                <w:szCs w:val="21"/>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w w:val="98"/>
              </w:rPr>
              <w:t>Canada</w:t>
            </w:r>
          </w:p>
        </w:tc>
        <w:tc>
          <w:tcPr>
            <w:tcW w:w="300" w:type="dxa"/>
            <w:vAlign w:val="bottom"/>
          </w:tcPr>
          <w:p>
            <w:pPr>
              <w:spacing w:after="0"/>
              <w:rPr>
                <w:sz w:val="21"/>
                <w:szCs w:val="21"/>
                <w:color w:val="auto"/>
              </w:rPr>
            </w:pPr>
          </w:p>
        </w:tc>
        <w:tc>
          <w:tcPr>
            <w:tcW w:w="1360" w:type="dxa"/>
            <w:vAlign w:val="bottom"/>
            <w:gridSpan w:val="2"/>
          </w:tcPr>
          <w:p>
            <w:pPr>
              <w:ind w:left="100"/>
              <w:spacing w:after="0" w:line="242" w:lineRule="exact"/>
              <w:rPr>
                <w:sz w:val="20"/>
                <w:szCs w:val="20"/>
                <w:color w:val="auto"/>
              </w:rPr>
            </w:pPr>
            <w:r>
              <w:rPr>
                <w:rFonts w:ascii="Times New Roman" w:cs="Times New Roman" w:eastAsia="Times New Roman" w:hAnsi="Times New Roman"/>
                <w:sz w:val="19"/>
                <w:szCs w:val="19"/>
                <w:color w:val="auto"/>
              </w:rPr>
              <w:t>EMEA</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9"/>
              </w:rPr>
              <w:t>Asia Pacific</w:t>
            </w:r>
          </w:p>
        </w:tc>
        <w:tc>
          <w:tcPr>
            <w:tcW w:w="24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9"/>
              </w:rPr>
              <w:t>Caribbean</w:t>
            </w:r>
          </w:p>
        </w:tc>
        <w:tc>
          <w:tcPr>
            <w:tcW w:w="360" w:type="dxa"/>
            <w:vAlign w:val="bottom"/>
          </w:tcPr>
          <w:p>
            <w:pPr>
              <w:spacing w:after="0"/>
              <w:rPr>
                <w:sz w:val="21"/>
                <w:szCs w:val="21"/>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auto"/>
              </w:rPr>
              <w:t>Total</w:t>
            </w: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9"/>
                <w:szCs w:val="19"/>
                <w:color w:val="auto"/>
              </w:rPr>
              <w:t>Monster Energy® Drinks</w:t>
            </w:r>
          </w:p>
        </w:tc>
        <w:tc>
          <w:tcPr>
            <w:tcW w:w="300" w:type="dxa"/>
            <w:vAlign w:val="bottom"/>
          </w:tcPr>
          <w:p>
            <w:pPr>
              <w:spacing w:after="0"/>
              <w:rPr>
                <w:sz w:val="15"/>
                <w:szCs w:val="15"/>
                <w:color w:val="auto"/>
              </w:rPr>
            </w:pPr>
          </w:p>
        </w:tc>
        <w:tc>
          <w:tcPr>
            <w:tcW w:w="2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642,826</w:t>
            </w:r>
          </w:p>
        </w:tc>
        <w:tc>
          <w:tcPr>
            <w:tcW w:w="300" w:type="dxa"/>
            <w:vAlign w:val="bottom"/>
          </w:tcPr>
          <w:p>
            <w:pPr>
              <w:spacing w:after="0"/>
              <w:rPr>
                <w:sz w:val="15"/>
                <w:szCs w:val="15"/>
                <w:color w:val="auto"/>
              </w:rPr>
            </w:pPr>
          </w:p>
        </w:tc>
        <w:tc>
          <w:tcPr>
            <w:tcW w:w="3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124,637</w:t>
            </w:r>
          </w:p>
        </w:tc>
        <w:tc>
          <w:tcPr>
            <w:tcW w:w="280" w:type="dxa"/>
            <w:vAlign w:val="bottom"/>
          </w:tcPr>
          <w:p>
            <w:pPr>
              <w:spacing w:after="0"/>
              <w:rPr>
                <w:sz w:val="15"/>
                <w:szCs w:val="15"/>
                <w:color w:val="auto"/>
              </w:rPr>
            </w:pPr>
          </w:p>
        </w:tc>
        <w:tc>
          <w:tcPr>
            <w:tcW w:w="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62,456</w:t>
            </w:r>
          </w:p>
        </w:tc>
        <w:tc>
          <w:tcPr>
            <w:tcW w:w="280" w:type="dxa"/>
            <w:vAlign w:val="bottom"/>
          </w:tcPr>
          <w:p>
            <w:pPr>
              <w:spacing w:after="0"/>
              <w:rPr>
                <w:sz w:val="15"/>
                <w:szCs w:val="15"/>
                <w:color w:val="auto"/>
              </w:rPr>
            </w:pPr>
          </w:p>
        </w:tc>
        <w:tc>
          <w:tcPr>
            <w:tcW w:w="2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40,465</w:t>
            </w:r>
          </w:p>
        </w:tc>
        <w:tc>
          <w:tcPr>
            <w:tcW w:w="280" w:type="dxa"/>
            <w:vAlign w:val="bottom"/>
          </w:tcPr>
          <w:p>
            <w:pPr>
              <w:spacing w:after="0"/>
              <w:rPr>
                <w:sz w:val="15"/>
                <w:szCs w:val="15"/>
                <w:color w:val="auto"/>
              </w:rPr>
            </w:pPr>
          </w:p>
        </w:tc>
        <w:tc>
          <w:tcPr>
            <w:tcW w:w="360" w:type="dxa"/>
            <w:vAlign w:val="bottom"/>
            <w:tcBorders>
              <w:top w:val="single" w:sz="8" w:color="auto"/>
            </w:tcBorders>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870,384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Strategic Brands</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41,750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21,908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6,225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70,286</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5,321</w:t>
            </w:r>
          </w:p>
        </w:tc>
        <w:tc>
          <w:tcPr>
            <w:tcW w:w="0" w:type="dxa"/>
            <w:vAlign w:val="bottom"/>
          </w:tcPr>
          <w:p>
            <w:pPr>
              <w:spacing w:after="0"/>
              <w:rPr>
                <w:sz w:val="1"/>
                <w:szCs w:val="1"/>
                <w:color w:val="auto"/>
              </w:rPr>
            </w:pPr>
          </w:p>
        </w:tc>
      </w:tr>
      <w:tr>
        <w:trPr>
          <w:trHeight w:val="26"/>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Total Net Sales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689,897</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146,545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68,681</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40,868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945,991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8"/>
          </w:tcPr>
          <w:p>
            <w:pPr>
              <w:jc w:val="center"/>
              <w:ind w:right="580"/>
              <w:spacing w:after="0"/>
              <w:rPr>
                <w:sz w:val="20"/>
                <w:szCs w:val="20"/>
                <w:color w:val="auto"/>
              </w:rPr>
            </w:pPr>
            <w:r>
              <w:rPr>
                <w:rFonts w:ascii="Times New Roman" w:cs="Times New Roman" w:eastAsia="Times New Roman" w:hAnsi="Times New Roman"/>
                <w:sz w:val="19"/>
                <w:szCs w:val="19"/>
                <w:color w:val="auto"/>
                <w:w w:val="99"/>
              </w:rPr>
              <w:t>Three-Months Ended March 31, 2018</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20"/>
              <w:spacing w:after="0" w:line="183" w:lineRule="exact"/>
              <w:rPr>
                <w:sz w:val="20"/>
                <w:szCs w:val="20"/>
                <w:color w:val="auto"/>
              </w:rPr>
            </w:pPr>
            <w:r>
              <w:rPr>
                <w:rFonts w:ascii="Times New Roman" w:cs="Times New Roman" w:eastAsia="Times New Roman" w:hAnsi="Times New Roman"/>
                <w:sz w:val="19"/>
                <w:szCs w:val="19"/>
                <w:color w:val="auto"/>
                <w:w w:val="99"/>
              </w:rPr>
              <w:t>Latin</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Times New Roman" w:cs="Times New Roman" w:eastAsia="Times New Roman" w:hAnsi="Times New Roman"/>
                <w:sz w:val="19"/>
                <w:szCs w:val="19"/>
                <w:color w:val="auto"/>
                <w:w w:val="97"/>
              </w:rPr>
              <w:t>America</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60"/>
              <w:spacing w:after="0" w:line="216" w:lineRule="exact"/>
              <w:rPr>
                <w:sz w:val="20"/>
                <w:szCs w:val="20"/>
                <w:color w:val="auto"/>
              </w:rPr>
            </w:pPr>
            <w:r>
              <w:rPr>
                <w:rFonts w:ascii="Times New Roman" w:cs="Times New Roman" w:eastAsia="Times New Roman" w:hAnsi="Times New Roman"/>
                <w:sz w:val="19"/>
                <w:szCs w:val="19"/>
                <w:color w:val="auto"/>
                <w:w w:val="96"/>
              </w:rPr>
              <w:t>U.S. and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Net Sales</w:t>
            </w:r>
          </w:p>
        </w:tc>
        <w:tc>
          <w:tcPr>
            <w:tcW w:w="260" w:type="dxa"/>
            <w:vAlign w:val="bottom"/>
          </w:tcPr>
          <w:p>
            <w:pPr>
              <w:spacing w:after="0"/>
              <w:rPr>
                <w:sz w:val="21"/>
                <w:szCs w:val="21"/>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auto"/>
                <w:w w:val="98"/>
              </w:rPr>
              <w:t>Canada</w:t>
            </w:r>
          </w:p>
        </w:tc>
        <w:tc>
          <w:tcPr>
            <w:tcW w:w="300" w:type="dxa"/>
            <w:vAlign w:val="bottom"/>
          </w:tcPr>
          <w:p>
            <w:pPr>
              <w:spacing w:after="0"/>
              <w:rPr>
                <w:sz w:val="21"/>
                <w:szCs w:val="21"/>
                <w:color w:val="auto"/>
              </w:rPr>
            </w:pPr>
          </w:p>
        </w:tc>
        <w:tc>
          <w:tcPr>
            <w:tcW w:w="1360" w:type="dxa"/>
            <w:vAlign w:val="bottom"/>
            <w:gridSpan w:val="2"/>
          </w:tcPr>
          <w:p>
            <w:pPr>
              <w:ind w:left="100"/>
              <w:spacing w:after="0" w:line="242" w:lineRule="exact"/>
              <w:rPr>
                <w:sz w:val="20"/>
                <w:szCs w:val="20"/>
                <w:color w:val="auto"/>
              </w:rPr>
            </w:pPr>
            <w:r>
              <w:rPr>
                <w:rFonts w:ascii="Times New Roman" w:cs="Times New Roman" w:eastAsia="Times New Roman" w:hAnsi="Times New Roman"/>
                <w:sz w:val="19"/>
                <w:szCs w:val="19"/>
                <w:color w:val="auto"/>
              </w:rPr>
              <w:t>EMEA</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9"/>
              </w:rPr>
              <w:t>Asia Pacific</w:t>
            </w:r>
          </w:p>
        </w:tc>
        <w:tc>
          <w:tcPr>
            <w:tcW w:w="24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9"/>
              </w:rPr>
              <w:t>Caribbean</w:t>
            </w:r>
          </w:p>
        </w:tc>
        <w:tc>
          <w:tcPr>
            <w:tcW w:w="360" w:type="dxa"/>
            <w:vAlign w:val="bottom"/>
          </w:tcPr>
          <w:p>
            <w:pPr>
              <w:spacing w:after="0"/>
              <w:rPr>
                <w:sz w:val="21"/>
                <w:szCs w:val="21"/>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auto"/>
              </w:rPr>
              <w:t>Total</w:t>
            </w: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9"/>
                <w:szCs w:val="19"/>
                <w:color w:val="auto"/>
              </w:rPr>
              <w:t>Monster Energy® Drinks</w:t>
            </w:r>
          </w:p>
        </w:tc>
        <w:tc>
          <w:tcPr>
            <w:tcW w:w="300" w:type="dxa"/>
            <w:vAlign w:val="bottom"/>
          </w:tcPr>
          <w:p>
            <w:pPr>
              <w:spacing w:after="0"/>
              <w:rPr>
                <w:sz w:val="15"/>
                <w:szCs w:val="15"/>
                <w:color w:val="auto"/>
              </w:rPr>
            </w:pPr>
          </w:p>
        </w:tc>
        <w:tc>
          <w:tcPr>
            <w:tcW w:w="2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588,817</w:t>
            </w:r>
          </w:p>
        </w:tc>
        <w:tc>
          <w:tcPr>
            <w:tcW w:w="300" w:type="dxa"/>
            <w:vAlign w:val="bottom"/>
          </w:tcPr>
          <w:p>
            <w:pPr>
              <w:spacing w:after="0"/>
              <w:rPr>
                <w:sz w:val="15"/>
                <w:szCs w:val="15"/>
                <w:color w:val="auto"/>
              </w:rPr>
            </w:pPr>
          </w:p>
        </w:tc>
        <w:tc>
          <w:tcPr>
            <w:tcW w:w="3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110,929</w:t>
            </w:r>
          </w:p>
        </w:tc>
        <w:tc>
          <w:tcPr>
            <w:tcW w:w="280" w:type="dxa"/>
            <w:vAlign w:val="bottom"/>
          </w:tcPr>
          <w:p>
            <w:pPr>
              <w:spacing w:after="0"/>
              <w:rPr>
                <w:sz w:val="15"/>
                <w:szCs w:val="15"/>
                <w:color w:val="auto"/>
              </w:rPr>
            </w:pPr>
          </w:p>
        </w:tc>
        <w:tc>
          <w:tcPr>
            <w:tcW w:w="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47,431</w:t>
            </w:r>
          </w:p>
        </w:tc>
        <w:tc>
          <w:tcPr>
            <w:tcW w:w="280" w:type="dxa"/>
            <w:vAlign w:val="bottom"/>
          </w:tcPr>
          <w:p>
            <w:pPr>
              <w:spacing w:after="0"/>
              <w:rPr>
                <w:sz w:val="15"/>
                <w:szCs w:val="15"/>
                <w:color w:val="auto"/>
              </w:rPr>
            </w:pPr>
          </w:p>
        </w:tc>
        <w:tc>
          <w:tcPr>
            <w:tcW w:w="2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33,328</w:t>
            </w:r>
          </w:p>
        </w:tc>
        <w:tc>
          <w:tcPr>
            <w:tcW w:w="280" w:type="dxa"/>
            <w:vAlign w:val="bottom"/>
          </w:tcPr>
          <w:p>
            <w:pPr>
              <w:spacing w:after="0"/>
              <w:rPr>
                <w:sz w:val="15"/>
                <w:szCs w:val="15"/>
                <w:color w:val="auto"/>
              </w:rPr>
            </w:pPr>
          </w:p>
        </w:tc>
        <w:tc>
          <w:tcPr>
            <w:tcW w:w="360" w:type="dxa"/>
            <w:vAlign w:val="bottom"/>
            <w:tcBorders>
              <w:top w:val="single" w:sz="8" w:color="auto"/>
            </w:tcBorders>
          </w:tcPr>
          <w:p>
            <w:pPr>
              <w:jc w:val="right"/>
              <w:ind w:right="6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780,505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Strategic Brands</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39,724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19,313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5,548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65,759</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4,657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4,657</w:t>
            </w:r>
          </w:p>
        </w:tc>
        <w:tc>
          <w:tcPr>
            <w:tcW w:w="0" w:type="dxa"/>
            <w:vAlign w:val="bottom"/>
          </w:tcPr>
          <w:p>
            <w:pPr>
              <w:spacing w:after="0"/>
              <w:rPr>
                <w:sz w:val="1"/>
                <w:szCs w:val="1"/>
                <w:color w:val="auto"/>
              </w:rPr>
            </w:pPr>
          </w:p>
        </w:tc>
      </w:tr>
      <w:tr>
        <w:trPr>
          <w:trHeight w:val="26"/>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Total Net Sales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633,198</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130,242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52,979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34,502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850,921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i w:val="1"/>
          <w:iCs w:val="1"/>
          <w:color w:val="252525"/>
          <w:vertAlign w:val="superscript"/>
        </w:rPr>
        <w:t>1</w:t>
      </w:r>
      <w:r>
        <w:rPr>
          <w:rFonts w:ascii="Times New Roman" w:cs="Times New Roman" w:eastAsia="Times New Roman" w:hAnsi="Times New Roman"/>
          <w:sz w:val="16"/>
          <w:szCs w:val="16"/>
          <w:i w:val="1"/>
          <w:iCs w:val="1"/>
          <w:color w:val="252525"/>
        </w:rPr>
        <w:t>Europe, Middle East and Africa (“EMEA”)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52525"/>
        </w:rPr>
        <w:t>Contract Liabilities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252525"/>
        </w:rPr>
        <w:t>Amounts received from certain bottlers/distributors at inception of their distribution contracts or at the inception of certain sales/marketing programs are accounted for as deferred revenue. As of March 31, 2019, the Company had $346.8 million of deferred revenue, which is included in current and long-term deferred revenue in the Company’s condensed consolidated balance sheet. As of December 31, 2018, the Company had $356.3 million of deferred revenue, which is included in current and long-term deferred revenue in the Company’s condensed consolidated balance sheet. During the three-months ended March 31, 2019 and 2018, $14.2 million and $11.2 million, respectively, of deferred revenue was recognized in net sales. See Note 11.</w:t>
      </w:r>
    </w:p>
    <w:p>
      <w:pPr>
        <w:spacing w:after="0" w:line="18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Leases are classified as either finance leases or operating leases based on criteria in Accounting Standards Codification (“ASC”) 842. The Company’s operating leases are generally comprised of real estate and warehouse equipment, and the Company’s finance leases are generally comprised of vehicles. Operating leases are included in Other Assets, Accrued Liabilities and Other Liabilities in the condensed consolidated balance sheet. Finance leases are included in Property and Equipment and Accrued Liabilities in the condensed consolidated balance sheet.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Right-of-use (“ROU”) assets and liabilities are recognized at the lease commencement date based on the present value of lease payments over the lease term. As the Company’s leases generally do not provide an implicit rate, the Company uses its incremental borrowing rate based on the information available at the lease commencement date if the implicit rate cannot be determined. ROU assets also include any lease payments made and exclude lease incentives. Lease terms may include options to extend or terminate the lease when it is reasonably certain that the Company will exercise that option.</w:t>
      </w:r>
    </w:p>
    <w:p>
      <w:pPr>
        <w:spacing w:after="0" w:line="181"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the operating expenses, including real estate taxes and insurance, are recorded as a period expense when incurred.</w:t>
      </w:r>
    </w:p>
    <w:p>
      <w:pPr>
        <w:spacing w:after="0" w:line="180"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Lease expense for operating leases, consisting of lease payments, is recognized on a straight-line basis over the lease term. Included in lease expense are any variable lease payments incurred in the period that were not included in the initial lease liability. Lease expense for finance leases consists of the amortization of the ROU asset on a straight-line basis over the asset’s estimated useful life and interest expense calculated using the amortized cost basis.</w:t>
      </w:r>
    </w:p>
    <w:p>
      <w:pPr>
        <w:spacing w:after="0" w:line="180"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The Company’s leases have remaining lease terms of less than one year to 15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 The effect of short-term leases on the Company’s ROU assets and lease liabilities was not material.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cost for the three-months ended March 31, 2019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Lease cost</w:t>
            </w:r>
          </w:p>
        </w:tc>
        <w:tc>
          <w:tcPr>
            <w:tcW w:w="520" w:type="dxa"/>
            <w:vAlign w:val="bottom"/>
          </w:tcPr>
          <w:p>
            <w:pPr>
              <w:jc w:val="right"/>
              <w:ind w:right="2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1,115</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Variable Lease cost</w:t>
            </w:r>
          </w:p>
        </w:tc>
        <w:tc>
          <w:tcPr>
            <w:tcW w:w="52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165</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Operating Lease cost</w:t>
            </w: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1,280</w:t>
            </w: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Short term Lease cost</w:t>
            </w: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1,082</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Finance Leases: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Amortization of ROU assets</w:t>
            </w:r>
          </w:p>
        </w:tc>
        <w:tc>
          <w:tcPr>
            <w:tcW w:w="52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80</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Interest on finance Lease liabilities</w:t>
            </w:r>
          </w:p>
        </w:tc>
        <w:tc>
          <w:tcPr>
            <w:tcW w:w="52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0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Finance Lease cost</w:t>
            </w: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Total Lease cost</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2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2,457</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8"/>
                <w:szCs w:val="18"/>
                <w:color w:val="auto"/>
              </w:rPr>
              <w:t>14</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information for leases for the three-months ended March 31, 2019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Operating cash flows from operating leases</w:t>
            </w:r>
          </w:p>
        </w:tc>
        <w:tc>
          <w:tcPr>
            <w:tcW w:w="1980" w:type="dxa"/>
            <w:vAlign w:val="bottom"/>
          </w:tcPr>
          <w:p>
            <w:pPr>
              <w:jc w:val="right"/>
              <w:ind w:right="205"/>
              <w:spacing w:after="0" w:line="216" w:lineRule="exact"/>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889</w:t>
            </w:r>
          </w:p>
        </w:tc>
      </w:tr>
      <w:tr>
        <w:trPr>
          <w:trHeight w:val="216"/>
        </w:trPr>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Operating cash flows from finance leases</w:t>
            </w:r>
          </w:p>
        </w:tc>
        <w:tc>
          <w:tcPr>
            <w:tcW w:w="198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44"/>
        </w:trPr>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Financing cash flows from finance leases</w:t>
            </w:r>
          </w:p>
        </w:tc>
        <w:tc>
          <w:tcPr>
            <w:tcW w:w="19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r>
      <w:tr>
        <w:trPr>
          <w:trHeight w:val="404"/>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Right-of-use assets obtained in exchange for lease obligations:</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9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Finance leases</w:t>
            </w:r>
          </w:p>
        </w:tc>
        <w:tc>
          <w:tcPr>
            <w:tcW w:w="198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415</w:t>
            </w:r>
          </w:p>
        </w:tc>
      </w:tr>
      <w:tr>
        <w:trPr>
          <w:trHeight w:val="244"/>
        </w:trPr>
        <w:tc>
          <w:tcPr>
            <w:tcW w:w="6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leases</w:t>
            </w:r>
          </w:p>
        </w:tc>
        <w:tc>
          <w:tcPr>
            <w:tcW w:w="19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26,429</w:t>
            </w:r>
          </w:p>
        </w:tc>
      </w:tr>
    </w:tbl>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ROU assets for operating and finance leases at March 31, 2019 were comprised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Operating leases</w:t>
            </w:r>
          </w:p>
        </w:tc>
        <w:tc>
          <w:tcPr>
            <w:tcW w:w="360" w:type="dxa"/>
            <w:vAlign w:val="bottom"/>
          </w:tcPr>
          <w:p>
            <w:pPr>
              <w:spacing w:after="0"/>
              <w:rPr>
                <w:sz w:val="21"/>
                <w:szCs w:val="21"/>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Real Estate</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Equipment</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665"/>
              <w:spacing w:after="0"/>
              <w:rPr>
                <w:sz w:val="20"/>
                <w:szCs w:val="20"/>
                <w:color w:val="auto"/>
              </w:rPr>
            </w:pPr>
            <w:r>
              <w:rPr>
                <w:rFonts w:ascii="Times New Roman" w:cs="Times New Roman" w:eastAsia="Times New Roman" w:hAnsi="Times New Roman"/>
                <w:sz w:val="19"/>
                <w:szCs w:val="19"/>
                <w:color w:val="auto"/>
              </w:rPr>
              <w:t>Total</w:t>
            </w:r>
          </w:p>
        </w:tc>
        <w:tc>
          <w:tcPr>
            <w:tcW w:w="0" w:type="dxa"/>
            <w:vAlign w:val="bottom"/>
          </w:tcPr>
          <w:p>
            <w:pPr>
              <w:spacing w:after="0"/>
              <w:rPr>
                <w:sz w:val="1"/>
                <w:szCs w:val="1"/>
                <w:color w:val="auto"/>
              </w:rPr>
            </w:pPr>
          </w:p>
        </w:tc>
      </w:tr>
      <w:tr>
        <w:trPr>
          <w:trHeight w:val="183"/>
        </w:trPr>
        <w:tc>
          <w:tcPr>
            <w:tcW w:w="3000" w:type="dxa"/>
            <w:vAlign w:val="bottom"/>
            <w:vMerge w:val="continue"/>
          </w:tcPr>
          <w:p>
            <w:pPr>
              <w:spacing w:after="0"/>
              <w:rPr>
                <w:sz w:val="15"/>
                <w:szCs w:val="15"/>
                <w:color w:val="auto"/>
              </w:rPr>
            </w:pPr>
          </w:p>
        </w:tc>
        <w:tc>
          <w:tcPr>
            <w:tcW w:w="360" w:type="dxa"/>
            <w:vAlign w:val="bottom"/>
            <w:tcBorders>
              <w:top w:val="single" w:sz="8" w:color="auto"/>
            </w:tcBorders>
          </w:tcPr>
          <w:p>
            <w:pPr>
              <w:jc w:val="right"/>
              <w:ind w:right="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25,072</w:t>
            </w:r>
          </w:p>
        </w:tc>
        <w:tc>
          <w:tcPr>
            <w:tcW w:w="220" w:type="dxa"/>
            <w:vAlign w:val="bottom"/>
          </w:tcPr>
          <w:p>
            <w:pPr>
              <w:spacing w:after="0"/>
              <w:rPr>
                <w:sz w:val="15"/>
                <w:szCs w:val="15"/>
                <w:color w:val="auto"/>
              </w:rPr>
            </w:pPr>
          </w:p>
        </w:tc>
        <w:tc>
          <w:tcPr>
            <w:tcW w:w="1380" w:type="dxa"/>
            <w:vAlign w:val="bottom"/>
            <w:tcBorders>
              <w:top w:val="single" w:sz="8" w:color="auto"/>
            </w:tcBorders>
          </w:tcPr>
          <w:p>
            <w:pPr>
              <w:jc w:val="right"/>
              <w:ind w:right="1105"/>
              <w:spacing w:after="0" w:line="183"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509</w:t>
            </w:r>
          </w:p>
        </w:tc>
        <w:tc>
          <w:tcPr>
            <w:tcW w:w="200" w:type="dxa"/>
            <w:vAlign w:val="bottom"/>
          </w:tcPr>
          <w:p>
            <w:pPr>
              <w:spacing w:after="0"/>
              <w:rPr>
                <w:sz w:val="15"/>
                <w:szCs w:val="15"/>
                <w:color w:val="auto"/>
              </w:rPr>
            </w:pPr>
          </w:p>
        </w:tc>
        <w:tc>
          <w:tcPr>
            <w:tcW w:w="480" w:type="dxa"/>
            <w:vAlign w:val="bottom"/>
            <w:tcBorders>
              <w:top w:val="single" w:sz="8" w:color="auto"/>
            </w:tcBorders>
          </w:tcPr>
          <w:p>
            <w:pPr>
              <w:jc w:val="right"/>
              <w:ind w:right="18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25,581</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auto"/>
              </w:rPr>
              <w:t>Finance leases</w:t>
            </w:r>
          </w:p>
        </w:tc>
        <w:tc>
          <w:tcPr>
            <w:tcW w:w="360" w:type="dxa"/>
            <w:vAlign w:val="bottom"/>
          </w:tcPr>
          <w:p>
            <w:pPr>
              <w:spacing w:after="0"/>
              <w:rPr>
                <w:sz w:val="21"/>
                <w:szCs w:val="21"/>
                <w:color w:val="auto"/>
              </w:rPr>
            </w:pPr>
          </w:p>
        </w:tc>
        <w:tc>
          <w:tcPr>
            <w:tcW w:w="156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weighted-average remaining lease term and weighted-average discount rate for operating and finance leases at March 31, 2019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remaining least term (years)</w:t>
            </w:r>
          </w:p>
        </w:tc>
        <w:tc>
          <w:tcPr>
            <w:tcW w:w="1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w w:val="98"/>
              </w:rPr>
              <w:t>Operating Leases</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Finance Leases</w:t>
            </w:r>
          </w:p>
        </w:tc>
        <w:tc>
          <w:tcPr>
            <w:tcW w:w="0" w:type="dxa"/>
            <w:vAlign w:val="bottom"/>
          </w:tcPr>
          <w:p>
            <w:pPr>
              <w:spacing w:after="0"/>
              <w:rPr>
                <w:sz w:val="1"/>
                <w:szCs w:val="1"/>
                <w:color w:val="auto"/>
              </w:rPr>
            </w:pPr>
          </w:p>
        </w:tc>
      </w:tr>
      <w:tr>
        <w:trPr>
          <w:trHeight w:val="200"/>
        </w:trPr>
        <w:tc>
          <w:tcPr>
            <w:tcW w:w="50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10.7</w:t>
            </w:r>
          </w:p>
        </w:tc>
        <w:tc>
          <w:tcPr>
            <w:tcW w:w="280" w:type="dxa"/>
            <w:vAlign w:val="bottom"/>
          </w:tcPr>
          <w:p>
            <w:pPr>
              <w:spacing w:after="0"/>
              <w:rPr>
                <w:sz w:val="17"/>
                <w:szCs w:val="17"/>
                <w:color w:val="auto"/>
              </w:rPr>
            </w:pPr>
          </w:p>
        </w:tc>
        <w:tc>
          <w:tcPr>
            <w:tcW w:w="2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58"/>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3.6%</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undiscounted future lease payments for operating and finance leases to the operating and finance leases recorded in the condensed consolidated balance sheet at March 31,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4"/>
          </w:tcPr>
          <w:p>
            <w:pPr>
              <w:jc w:val="right"/>
              <w:ind w:right="545"/>
              <w:spacing w:after="0"/>
              <w:rPr>
                <w:sz w:val="20"/>
                <w:szCs w:val="20"/>
                <w:color w:val="auto"/>
              </w:rPr>
            </w:pPr>
            <w:r>
              <w:rPr>
                <w:rFonts w:ascii="Times New Roman" w:cs="Times New Roman" w:eastAsia="Times New Roman" w:hAnsi="Times New Roman"/>
                <w:sz w:val="19"/>
                <w:szCs w:val="19"/>
                <w:color w:val="auto"/>
              </w:rPr>
              <w:t>Undiscounted Future Lease Payments</w:t>
            </w:r>
          </w:p>
        </w:tc>
        <w:tc>
          <w:tcPr>
            <w:tcW w:w="0" w:type="dxa"/>
            <w:vAlign w:val="bottom"/>
          </w:tcPr>
          <w:p>
            <w:pPr>
              <w:spacing w:after="0"/>
              <w:rPr>
                <w:sz w:val="1"/>
                <w:szCs w:val="1"/>
                <w:color w:val="auto"/>
              </w:rPr>
            </w:pPr>
          </w:p>
        </w:tc>
      </w:tr>
      <w:tr>
        <w:trPr>
          <w:trHeight w:val="223"/>
        </w:trPr>
        <w:tc>
          <w:tcPr>
            <w:tcW w:w="7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2019 (excluding the three months ended March 31, 2019)</w:t>
            </w:r>
          </w:p>
        </w:tc>
        <w:tc>
          <w:tcPr>
            <w:tcW w:w="300" w:type="dxa"/>
            <w:vAlign w:val="bottom"/>
          </w:tcPr>
          <w:p>
            <w:pPr>
              <w:spacing w:after="0"/>
              <w:rPr>
                <w:sz w:val="19"/>
                <w:szCs w:val="19"/>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Operating Leases</w:t>
            </w:r>
          </w:p>
        </w:tc>
        <w:tc>
          <w:tcPr>
            <w:tcW w:w="220" w:type="dxa"/>
            <w:vAlign w:val="bottom"/>
          </w:tcPr>
          <w:p>
            <w:pPr>
              <w:spacing w:after="0"/>
              <w:rPr>
                <w:sz w:val="19"/>
                <w:szCs w:val="19"/>
                <w:color w:val="auto"/>
              </w:rPr>
            </w:pPr>
          </w:p>
        </w:tc>
        <w:tc>
          <w:tcPr>
            <w:tcW w:w="14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Finance Leases</w:t>
            </w:r>
          </w:p>
        </w:tc>
        <w:tc>
          <w:tcPr>
            <w:tcW w:w="0" w:type="dxa"/>
            <w:vAlign w:val="bottom"/>
          </w:tcPr>
          <w:p>
            <w:pPr>
              <w:spacing w:after="0"/>
              <w:rPr>
                <w:sz w:val="1"/>
                <w:szCs w:val="1"/>
                <w:color w:val="auto"/>
              </w:rPr>
            </w:pPr>
          </w:p>
        </w:tc>
      </w:tr>
      <w:tr>
        <w:trPr>
          <w:trHeight w:val="183"/>
        </w:trPr>
        <w:tc>
          <w:tcPr>
            <w:tcW w:w="7260" w:type="dxa"/>
            <w:vAlign w:val="bottom"/>
            <w:vMerge w:val="continue"/>
          </w:tcPr>
          <w:p>
            <w:pPr>
              <w:spacing w:after="0"/>
              <w:rPr>
                <w:sz w:val="15"/>
                <w:szCs w:val="15"/>
                <w:color w:val="auto"/>
              </w:rPr>
            </w:pPr>
          </w:p>
        </w:tc>
        <w:tc>
          <w:tcPr>
            <w:tcW w:w="300" w:type="dxa"/>
            <w:vAlign w:val="bottom"/>
            <w:tcBorders>
              <w:top w:val="single" w:sz="8" w:color="auto"/>
            </w:tcBorders>
          </w:tcPr>
          <w:p>
            <w:pPr>
              <w:jc w:val="right"/>
              <w:ind w:right="2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8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2,847</w:t>
            </w:r>
          </w:p>
        </w:tc>
        <w:tc>
          <w:tcPr>
            <w:tcW w:w="280" w:type="dxa"/>
            <w:vAlign w:val="bottom"/>
          </w:tcPr>
          <w:p>
            <w:pPr>
              <w:spacing w:after="0"/>
              <w:rPr>
                <w:sz w:val="15"/>
                <w:szCs w:val="15"/>
                <w:color w:val="auto"/>
              </w:rPr>
            </w:pPr>
          </w:p>
        </w:tc>
        <w:tc>
          <w:tcPr>
            <w:tcW w:w="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814</w:t>
            </w:r>
          </w:p>
        </w:tc>
        <w:tc>
          <w:tcPr>
            <w:tcW w:w="0" w:type="dxa"/>
            <w:vAlign w:val="bottom"/>
          </w:tcPr>
          <w:p>
            <w:pPr>
              <w:spacing w:after="0"/>
              <w:rPr>
                <w:sz w:val="1"/>
                <w:szCs w:val="1"/>
                <w:color w:val="auto"/>
              </w:rPr>
            </w:pP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2020</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2021</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2022</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2023</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2024 and thereafter</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14,572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
        </w:trPr>
        <w:tc>
          <w:tcPr>
            <w:tcW w:w="72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Total lease payments</w:t>
            </w: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27,112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878</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Less interest</w:t>
            </w:r>
          </w:p>
        </w:tc>
        <w:tc>
          <w:tcPr>
            <w:tcW w:w="300" w:type="dxa"/>
            <w:vAlign w:val="bottom"/>
          </w:tcPr>
          <w:p>
            <w:pPr>
              <w:spacing w:after="0"/>
              <w:rPr>
                <w:sz w:val="18"/>
                <w:szCs w:val="18"/>
                <w:color w:val="auto"/>
              </w:rPr>
            </w:pPr>
          </w:p>
        </w:tc>
        <w:tc>
          <w:tcPr>
            <w:tcW w:w="18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26"/>
        </w:trPr>
        <w:tc>
          <w:tcPr>
            <w:tcW w:w="726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Total</w:t>
            </w: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22,111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860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tcPr>
          <w:p>
            <w:pPr>
              <w:spacing w:after="0"/>
              <w:rPr>
                <w:sz w:val="20"/>
                <w:szCs w:val="20"/>
                <w:color w:val="auto"/>
              </w:rPr>
            </w:pPr>
            <w:r>
              <w:rPr>
                <w:rFonts w:ascii="Times New Roman" w:cs="Times New Roman" w:eastAsia="Times New Roman" w:hAnsi="Times New Roman"/>
                <w:sz w:val="19"/>
                <w:szCs w:val="19"/>
                <w:color w:val="auto"/>
              </w:rPr>
              <w:t>Accrued liabilities</w:t>
            </w:r>
          </w:p>
        </w:tc>
        <w:tc>
          <w:tcPr>
            <w:tcW w:w="3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3,028</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860</w:t>
            </w:r>
          </w:p>
        </w:tc>
        <w:tc>
          <w:tcPr>
            <w:tcW w:w="0" w:type="dxa"/>
            <w:vAlign w:val="bottom"/>
          </w:tcPr>
          <w:p>
            <w:pPr>
              <w:spacing w:after="0"/>
              <w:rPr>
                <w:sz w:val="1"/>
                <w:szCs w:val="1"/>
                <w:color w:val="auto"/>
              </w:rPr>
            </w:pPr>
          </w:p>
        </w:tc>
      </w:tr>
      <w:tr>
        <w:trPr>
          <w:trHeight w:val="244"/>
        </w:trPr>
        <w:tc>
          <w:tcPr>
            <w:tcW w:w="7260" w:type="dxa"/>
            <w:vAlign w:val="bottom"/>
          </w:tcPr>
          <w:p>
            <w:pPr>
              <w:spacing w:after="0"/>
              <w:rPr>
                <w:sz w:val="20"/>
                <w:szCs w:val="20"/>
                <w:color w:val="auto"/>
              </w:rPr>
            </w:pPr>
            <w:r>
              <w:rPr>
                <w:rFonts w:ascii="Times New Roman" w:cs="Times New Roman" w:eastAsia="Times New Roman" w:hAnsi="Times New Roman"/>
                <w:sz w:val="19"/>
                <w:szCs w:val="19"/>
                <w:color w:val="auto"/>
              </w:rPr>
              <w:t>Other liabilities</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19,083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0"/>
          <w:szCs w:val="20"/>
          <w:color w:val="auto"/>
        </w:rPr>
        <w:t>As of March 31, 2019, the Company did not have any significant additional operating or finance leases that have not yet commenced.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2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Company’s future minimum operating lease commitments, as of December 31, 2018, under ASC 840, the predecessor to ASC 842, were as follows: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3900" w:type="dxa"/>
            <w:vAlign w:val="bottom"/>
          </w:tcPr>
          <w:p>
            <w:pPr>
              <w:spacing w:after="0"/>
              <w:rPr>
                <w:sz w:val="20"/>
                <w:szCs w:val="20"/>
                <w:color w:val="auto"/>
              </w:rPr>
            </w:pPr>
            <w:r>
              <w:rPr>
                <w:rFonts w:ascii="Times New Roman" w:cs="Times New Roman" w:eastAsia="Times New Roman" w:hAnsi="Times New Roman"/>
                <w:sz w:val="19"/>
                <w:szCs w:val="19"/>
                <w:color w:val="auto"/>
              </w:rPr>
              <w:t>Year Ending December 31:</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04"/>
        </w:trPr>
        <w:tc>
          <w:tcPr>
            <w:tcW w:w="3900" w:type="dxa"/>
            <w:vAlign w:val="bottom"/>
          </w:tcPr>
          <w:p>
            <w:pPr>
              <w:spacing w:after="0"/>
              <w:rPr>
                <w:sz w:val="20"/>
                <w:szCs w:val="20"/>
                <w:color w:val="auto"/>
              </w:rPr>
            </w:pPr>
            <w:r>
              <w:rPr>
                <w:rFonts w:ascii="Times New Roman" w:cs="Times New Roman" w:eastAsia="Times New Roman" w:hAnsi="Times New Roman"/>
                <w:sz w:val="19"/>
                <w:szCs w:val="19"/>
                <w:color w:val="auto"/>
              </w:rPr>
              <w:t>2019</w:t>
            </w: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3,954</w:t>
            </w: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2020</w:t>
            </w:r>
          </w:p>
        </w:tc>
        <w:tc>
          <w:tcPr>
            <w:tcW w:w="4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2,949</w:t>
            </w: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2021</w:t>
            </w:r>
          </w:p>
        </w:tc>
        <w:tc>
          <w:tcPr>
            <w:tcW w:w="4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2,410</w:t>
            </w: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2022</w:t>
            </w:r>
          </w:p>
        </w:tc>
        <w:tc>
          <w:tcPr>
            <w:tcW w:w="4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2,114</w:t>
            </w: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2023</w:t>
            </w:r>
          </w:p>
        </w:tc>
        <w:tc>
          <w:tcPr>
            <w:tcW w:w="4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1,681</w:t>
            </w:r>
          </w:p>
        </w:tc>
      </w:tr>
      <w:tr>
        <w:trPr>
          <w:trHeight w:val="242"/>
        </w:trPr>
        <w:tc>
          <w:tcPr>
            <w:tcW w:w="3900" w:type="dxa"/>
            <w:vAlign w:val="bottom"/>
          </w:tcPr>
          <w:p>
            <w:pPr>
              <w:spacing w:after="0"/>
              <w:rPr>
                <w:sz w:val="20"/>
                <w:szCs w:val="20"/>
                <w:color w:val="auto"/>
              </w:rPr>
            </w:pPr>
            <w:r>
              <w:rPr>
                <w:rFonts w:ascii="Times New Roman" w:cs="Times New Roman" w:eastAsia="Times New Roman" w:hAnsi="Times New Roman"/>
                <w:sz w:val="19"/>
                <w:szCs w:val="19"/>
                <w:color w:val="auto"/>
              </w:rPr>
              <w:t>2024 and thereafter</w:t>
            </w: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14,860</w:t>
            </w:r>
          </w:p>
        </w:tc>
      </w:tr>
      <w:tr>
        <w:trPr>
          <w:trHeight w:val="210"/>
        </w:trPr>
        <w:tc>
          <w:tcPr>
            <w:tcW w:w="390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27,968</w:t>
            </w: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Rent expense under operating leases was $6.1 million for the year ended December 31, 2018.</w:t>
      </w:r>
    </w:p>
    <w:p>
      <w:pPr>
        <w:spacing w:after="0" w:line="216"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The Company’s capital lease commitments of $0.8 million as of December 31, 2018, collateralized by vehicles, is payable over 12 months in monthly installments at various effective interest rates, with final payments ending on or before December 31, 2019.</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expense for capital lease obligations amounted to $0.06 million for the year ended December 31, 2018.</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Continuous</w:t>
            </w:r>
          </w:p>
        </w:tc>
        <w:tc>
          <w:tcPr>
            <w:tcW w:w="180" w:type="dxa"/>
            <w:vAlign w:val="bottom"/>
          </w:tcPr>
          <w:p>
            <w:pPr>
              <w:spacing w:after="0"/>
              <w:rPr>
                <w:sz w:val="15"/>
                <w:szCs w:val="15"/>
                <w:color w:val="auto"/>
              </w:rPr>
            </w:pPr>
          </w:p>
        </w:tc>
        <w:tc>
          <w:tcPr>
            <w:tcW w:w="112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Continuous</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Unrealized</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Loss Position</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8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160" w:type="dxa"/>
            <w:vAlign w:val="bottom"/>
          </w:tcPr>
          <w:p>
            <w:pPr>
              <w:spacing w:after="0"/>
              <w:rPr>
                <w:sz w:val="14"/>
                <w:szCs w:val="14"/>
                <w:color w:val="auto"/>
              </w:rPr>
            </w:pPr>
          </w:p>
        </w:tc>
        <w:tc>
          <w:tcPr>
            <w:tcW w:w="10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greater than 12</w:t>
            </w:r>
          </w:p>
        </w:tc>
      </w:tr>
      <w:tr>
        <w:trPr>
          <w:trHeight w:val="186"/>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March 31, 2019</w:t>
            </w: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rPr>
              <w:t>Gains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w w:val="97"/>
              </w:rPr>
              <w:t>Losses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5"/>
                <w:szCs w:val="15"/>
                <w:color w:val="auto"/>
              </w:rPr>
              <w:t>Value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Months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Months</w:t>
            </w:r>
          </w:p>
        </w:tc>
      </w:tr>
      <w:tr>
        <w:trPr>
          <w:trHeight w:val="145"/>
        </w:trPr>
        <w:tc>
          <w:tcPr>
            <w:tcW w:w="334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3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38,964</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38,964</w:t>
            </w:r>
          </w:p>
        </w:tc>
        <w:tc>
          <w:tcPr>
            <w:tcW w:w="2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5,024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103,664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103,690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19,940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U.S. treasuries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89,267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89,268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73"/>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6,806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6,806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360" w:type="dxa"/>
            <w:vAlign w:val="bottom"/>
            <w:tcBorders>
              <w:bottom w:val="single" w:sz="8" w:color="auto"/>
            </w:tcBorders>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263,665</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263,697</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3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1"/>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Continuous</w:t>
            </w:r>
          </w:p>
        </w:tc>
        <w:tc>
          <w:tcPr>
            <w:tcW w:w="180" w:type="dxa"/>
            <w:vAlign w:val="bottom"/>
          </w:tcPr>
          <w:p>
            <w:pPr>
              <w:spacing w:after="0"/>
              <w:rPr>
                <w:sz w:val="24"/>
                <w:szCs w:val="24"/>
                <w:color w:val="auto"/>
              </w:rPr>
            </w:pPr>
          </w:p>
        </w:tc>
        <w:tc>
          <w:tcPr>
            <w:tcW w:w="112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Continuous</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Unrealized</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Loss Position</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8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160" w:type="dxa"/>
            <w:vAlign w:val="bottom"/>
          </w:tcPr>
          <w:p>
            <w:pPr>
              <w:spacing w:after="0"/>
              <w:rPr>
                <w:sz w:val="14"/>
                <w:szCs w:val="14"/>
                <w:color w:val="auto"/>
              </w:rPr>
            </w:pPr>
          </w:p>
        </w:tc>
        <w:tc>
          <w:tcPr>
            <w:tcW w:w="10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80" w:type="dxa"/>
            <w:vAlign w:val="bottom"/>
          </w:tcPr>
          <w:p>
            <w:pPr>
              <w:spacing w:after="0"/>
              <w:rPr>
                <w:sz w:val="14"/>
                <w:szCs w:val="14"/>
                <w:color w:val="auto"/>
              </w:rPr>
            </w:pPr>
          </w:p>
        </w:tc>
        <w:tc>
          <w:tcPr>
            <w:tcW w:w="112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greater than 12</w:t>
            </w:r>
          </w:p>
        </w:tc>
      </w:tr>
      <w:tr>
        <w:trPr>
          <w:trHeight w:val="186"/>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2018</w:t>
            </w: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rPr>
              <w:t>Gains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w w:val="97"/>
              </w:rPr>
              <w:t>Losses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5"/>
                <w:szCs w:val="15"/>
                <w:color w:val="auto"/>
              </w:rPr>
              <w:t>Value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Months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Months</w:t>
            </w:r>
          </w:p>
        </w:tc>
      </w:tr>
      <w:tr>
        <w:trPr>
          <w:trHeight w:val="145"/>
        </w:trPr>
        <w:tc>
          <w:tcPr>
            <w:tcW w:w="334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3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52,838</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52,838</w:t>
            </w:r>
          </w:p>
        </w:tc>
        <w:tc>
          <w:tcPr>
            <w:tcW w:w="2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14,075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151,690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151,644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19,943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U.S. treasuries</w:t>
            </w:r>
          </w:p>
        </w:tc>
        <w:tc>
          <w:tcPr>
            <w:tcW w:w="36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78,189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78,157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73"/>
        </w:trPr>
        <w:tc>
          <w:tcPr>
            <w:tcW w:w="33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4,005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4,005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34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360" w:type="dxa"/>
            <w:vAlign w:val="bottom"/>
            <w:tcBorders>
              <w:bottom w:val="single" w:sz="8" w:color="auto"/>
            </w:tcBorders>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320,740</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320,650</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3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the three-months ended March 31, 2019 and 2018, realized gains or losses recognized on the sale of investments were not significant.</w:t>
      </w:r>
    </w:p>
    <w:p>
      <w:pPr>
        <w:spacing w:after="0" w:line="1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Company’s investments at March 31, 2019 and December 31, 2018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45"/>
              <w:spacing w:after="0"/>
              <w:rPr>
                <w:sz w:val="20"/>
                <w:szCs w:val="20"/>
                <w:color w:val="auto"/>
              </w:rPr>
            </w:pPr>
            <w:r>
              <w:rPr>
                <w:rFonts w:ascii="Times New Roman" w:cs="Times New Roman" w:eastAsia="Times New Roman" w:hAnsi="Times New Roman"/>
                <w:sz w:val="19"/>
                <w:szCs w:val="19"/>
                <w:color w:val="auto"/>
              </w:rPr>
              <w:t>March 31, 2019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4"/>
          </w:tcPr>
          <w:p>
            <w:pPr>
              <w:jc w:val="right"/>
              <w:ind w:right="885"/>
              <w:spacing w:after="0"/>
              <w:rPr>
                <w:sz w:val="20"/>
                <w:szCs w:val="20"/>
                <w:color w:val="auto"/>
              </w:rPr>
            </w:pPr>
            <w:r>
              <w:rPr>
                <w:rFonts w:ascii="Times New Roman" w:cs="Times New Roman" w:eastAsia="Times New Roman" w:hAnsi="Times New Roman"/>
                <w:sz w:val="19"/>
                <w:szCs w:val="19"/>
                <w:color w:val="auto"/>
              </w:rPr>
              <w:t>December 31, 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Less than 1 year:</w:t>
            </w:r>
          </w:p>
        </w:tc>
        <w:tc>
          <w:tcPr>
            <w:tcW w:w="20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Amortized Cost</w:t>
            </w:r>
          </w:p>
        </w:tc>
        <w:tc>
          <w:tcPr>
            <w:tcW w:w="28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Fair Value</w:t>
            </w:r>
          </w:p>
        </w:tc>
        <w:tc>
          <w:tcPr>
            <w:tcW w:w="2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Amortized Cost</w:t>
            </w:r>
          </w:p>
        </w:tc>
        <w:tc>
          <w:tcPr>
            <w:tcW w:w="28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Fair Value</w:t>
            </w:r>
          </w:p>
        </w:tc>
        <w:tc>
          <w:tcPr>
            <w:tcW w:w="0" w:type="dxa"/>
            <w:vAlign w:val="bottom"/>
          </w:tcPr>
          <w:p>
            <w:pPr>
              <w:spacing w:after="0"/>
              <w:rPr>
                <w:sz w:val="1"/>
                <w:szCs w:val="1"/>
                <w:color w:val="auto"/>
              </w:rPr>
            </w:pPr>
          </w:p>
        </w:tc>
      </w:tr>
      <w:tr>
        <w:trPr>
          <w:trHeight w:val="170"/>
        </w:trPr>
        <w:tc>
          <w:tcPr>
            <w:tcW w:w="408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Commercial paper</w:t>
            </w:r>
          </w:p>
        </w:tc>
        <w:tc>
          <w:tcPr>
            <w:tcW w:w="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38,964</w:t>
            </w:r>
          </w:p>
        </w:tc>
        <w:tc>
          <w:tcPr>
            <w:tcW w:w="300" w:type="dxa"/>
            <w:vAlign w:val="bottom"/>
          </w:tcPr>
          <w:p>
            <w:pPr>
              <w:spacing w:after="0"/>
              <w:rPr>
                <w:sz w:val="18"/>
                <w:szCs w:val="18"/>
                <w:color w:val="auto"/>
              </w:rPr>
            </w:pPr>
          </w:p>
        </w:tc>
        <w:tc>
          <w:tcPr>
            <w:tcW w:w="2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38,964</w:t>
            </w:r>
          </w:p>
        </w:tc>
        <w:tc>
          <w:tcPr>
            <w:tcW w:w="2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52,838</w:t>
            </w:r>
          </w:p>
        </w:tc>
        <w:tc>
          <w:tcPr>
            <w:tcW w:w="300" w:type="dxa"/>
            <w:vAlign w:val="bottom"/>
          </w:tcPr>
          <w:p>
            <w:pPr>
              <w:spacing w:after="0"/>
              <w:rPr>
                <w:sz w:val="18"/>
                <w:szCs w:val="18"/>
                <w:color w:val="auto"/>
              </w:rPr>
            </w:pPr>
          </w:p>
        </w:tc>
        <w:tc>
          <w:tcPr>
            <w:tcW w:w="2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103,664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103,690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151,690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19,940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19,943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Certificates of deposit</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14,075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U.S. treasuries</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89,267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89,268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78,189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21 - 30 years: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5,805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5,805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31 - 40 years: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20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8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Total</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263,665</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263,697</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320,740</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320,650</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62"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 prices in markets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active, or other inputs that are observable or can be corroborated by observable market data for substantially the full term of the related assets or liabilities.</w:t>
      </w:r>
    </w:p>
    <w:p>
      <w:pPr>
        <w:spacing w:after="0" w:line="168" w:lineRule="exact"/>
        <w:rPr>
          <w:rFonts w:ascii="Times New Roman" w:cs="Times New Roman" w:eastAsia="Times New Roman" w:hAnsi="Times New Roman"/>
          <w:sz w:val="20"/>
          <w:szCs w:val="20"/>
          <w:color w:val="auto"/>
        </w:rPr>
      </w:pPr>
    </w:p>
    <w:p>
      <w:pPr>
        <w:ind w:left="660" w:hanging="328"/>
        <w:spacing w:after="0" w:line="273" w:lineRule="auto"/>
        <w:tabs>
          <w:tab w:leader="none" w:pos="7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15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ASC 820 requires the use of observable market inputs (quoted market prices) when measuring fair value and requires a Level 1 quoted price to be used to measure fair value whenever possible.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March 31, 2019</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0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444,489</w:t>
            </w:r>
          </w:p>
        </w:tc>
        <w:tc>
          <w:tcPr>
            <w:tcW w:w="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9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444,489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79,611</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79,611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21,929</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21,929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63,920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63,920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6,806</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6,806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117,521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117,521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50,505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50,505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U.S. treasuries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97,260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97,260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(133)</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524,100</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357,808</w:t>
            </w:r>
          </w:p>
        </w:tc>
        <w:tc>
          <w:tcPr>
            <w:tcW w:w="1240" w:type="dxa"/>
            <w:vAlign w:val="bottom"/>
            <w:tcBorders>
              <w:bottom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881,908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524,100</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94,244</w:t>
            </w:r>
          </w:p>
        </w:tc>
        <w:tc>
          <w:tcPr>
            <w:tcW w:w="124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618,344</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263,697</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263,697</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liabilities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524,100</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357,808</w:t>
            </w:r>
          </w:p>
        </w:tc>
        <w:tc>
          <w:tcPr>
            <w:tcW w:w="1240" w:type="dxa"/>
            <w:vAlign w:val="bottom"/>
            <w:tcBorders>
              <w:bottom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881,908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 2018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Level 3</w:t>
            </w: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0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393,936</w:t>
            </w:r>
          </w:p>
        </w:tc>
        <w:tc>
          <w:tcPr>
            <w:tcW w:w="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9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393,936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191,358</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191,358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14,075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60,422</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60,422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4,005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4,005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Municipal securities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177,118</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177,118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39,092</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39,092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U.S. treasuries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78,157</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78,157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(492)</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585,294</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372,377</w:t>
            </w:r>
          </w:p>
        </w:tc>
        <w:tc>
          <w:tcPr>
            <w:tcW w:w="1240" w:type="dxa"/>
            <w:vAlign w:val="bottom"/>
            <w:tcBorders>
              <w:bottom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957,671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585,294</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52,219</w:t>
            </w:r>
          </w:p>
        </w:tc>
        <w:tc>
          <w:tcPr>
            <w:tcW w:w="124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637,513</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Short-term investments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320,650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320,650</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43</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liabilities</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(535)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585,294</w:t>
            </w:r>
          </w:p>
        </w:tc>
        <w:tc>
          <w:tcPr>
            <w:tcW w:w="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372,377</w:t>
            </w:r>
          </w:p>
        </w:tc>
        <w:tc>
          <w:tcPr>
            <w:tcW w:w="1240" w:type="dxa"/>
            <w:vAlign w:val="bottom"/>
            <w:tcBorders>
              <w:bottom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957,671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2019 or the year-ended December 31, 2018, and there were no changes in the Company’s valuation techniques.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three-months ended March 31, 2019 and the year-ended December 31, 2018,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2019 have terms of one month or less. The Company does not enter into forward currency exchange contracts for speculation or trading purposes.</w:t>
      </w:r>
    </w:p>
    <w:p>
      <w:pPr>
        <w:spacing w:after="0" w:line="199"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188" w:lineRule="exact"/>
        <w:rPr>
          <w:sz w:val="20"/>
          <w:szCs w:val="20"/>
          <w:color w:val="auto"/>
        </w:rPr>
      </w:pPr>
    </w:p>
    <w:p>
      <w:pPr>
        <w:jc w:val="both"/>
        <w:ind w:right="60"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condensed consolidated balance sheets consist of the following at:</w:t>
      </w:r>
    </w:p>
    <w:p>
      <w:pPr>
        <w:spacing w:after="0" w:line="1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March 31,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Borders>
              <w:top w:val="single" w:sz="8" w:color="auto"/>
            </w:tcBorders>
            <w:gridSpan w:val="2"/>
          </w:tcPr>
          <w:p>
            <w:pPr>
              <w:jc w:val="center"/>
              <w:ind w:right="300"/>
              <w:spacing w:after="0" w:line="200"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Balance Sheet Location</w:t>
            </w:r>
          </w:p>
        </w:tc>
        <w:tc>
          <w:tcPr>
            <w:tcW w:w="140" w:type="dxa"/>
            <w:vAlign w:val="bottom"/>
          </w:tcPr>
          <w:p>
            <w:pPr>
              <w:spacing w:after="0"/>
              <w:rPr>
                <w:sz w:val="21"/>
                <w:szCs w:val="21"/>
                <w:color w:val="auto"/>
              </w:rPr>
            </w:pPr>
          </w:p>
        </w:tc>
      </w:tr>
      <w:tr>
        <w:trPr>
          <w:trHeight w:val="281"/>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jc w:val="center"/>
              <w:ind w:right="1600"/>
              <w:spacing w:after="0"/>
              <w:rPr>
                <w:sz w:val="20"/>
                <w:szCs w:val="20"/>
                <w:color w:val="auto"/>
              </w:rPr>
            </w:pPr>
            <w:r>
              <w:rPr>
                <w:rFonts w:ascii="Times New Roman" w:cs="Times New Roman" w:eastAsia="Times New Roman" w:hAnsi="Times New Roman"/>
                <w:sz w:val="20"/>
                <w:szCs w:val="20"/>
                <w:color w:val="auto"/>
                <w:w w:val="99"/>
              </w:rPr>
              <w:t>Receive USD/pay GBP</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43,540</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176</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tcPr>
          <w:p>
            <w:pPr>
              <w:spacing w:after="0"/>
              <w:rPr>
                <w:sz w:val="19"/>
                <w:szCs w:val="19"/>
                <w:color w:val="auto"/>
              </w:rPr>
            </w:pPr>
          </w:p>
        </w:tc>
      </w:tr>
      <w:tr>
        <w:trPr>
          <w:trHeight w:val="258"/>
        </w:trPr>
        <w:tc>
          <w:tcPr>
            <w:tcW w:w="5260" w:type="dxa"/>
            <w:vAlign w:val="bottom"/>
            <w:gridSpan w:val="2"/>
          </w:tcPr>
          <w:p>
            <w:pPr>
              <w:jc w:val="center"/>
              <w:ind w:right="1600"/>
              <w:spacing w:after="0"/>
              <w:rPr>
                <w:sz w:val="20"/>
                <w:szCs w:val="20"/>
                <w:color w:val="auto"/>
              </w:rPr>
            </w:pPr>
            <w:r>
              <w:rPr>
                <w:rFonts w:ascii="Times New Roman" w:cs="Times New Roman" w:eastAsia="Times New Roman" w:hAnsi="Times New Roman"/>
                <w:sz w:val="20"/>
                <w:szCs w:val="20"/>
                <w:color w:val="auto"/>
                <w:w w:val="99"/>
              </w:rPr>
              <w:t>Receive USD/pay COP</w:t>
            </w:r>
          </w:p>
        </w:tc>
        <w:tc>
          <w:tcPr>
            <w:tcW w:w="280" w:type="dxa"/>
            <w:vAlign w:val="bottom"/>
          </w:tcPr>
          <w:p>
            <w:pPr>
              <w:spacing w:after="0"/>
              <w:rPr>
                <w:sz w:val="22"/>
                <w:szCs w:val="22"/>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3,445</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tcPr>
          <w:p>
            <w:pPr>
              <w:spacing w:after="0"/>
              <w:rPr>
                <w:sz w:val="22"/>
                <w:szCs w:val="22"/>
                <w:color w:val="auto"/>
              </w:rPr>
            </w:pPr>
          </w:p>
        </w:tc>
      </w:tr>
      <w:tr>
        <w:trPr>
          <w:trHeight w:val="43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jc w:val="center"/>
              <w:ind w:right="1640"/>
              <w:spacing w:after="0"/>
              <w:rPr>
                <w:sz w:val="20"/>
                <w:szCs w:val="20"/>
                <w:color w:val="auto"/>
              </w:rPr>
            </w:pPr>
            <w:r>
              <w:rPr>
                <w:rFonts w:ascii="Times New Roman" w:cs="Times New Roman" w:eastAsia="Times New Roman" w:hAnsi="Times New Roman"/>
                <w:sz w:val="20"/>
                <w:szCs w:val="20"/>
                <w:color w:val="auto"/>
                <w:w w:val="99"/>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9"/>
              </w:rPr>
              <w:t>Receive USD/pay ZAR</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12,030</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jc w:val="center"/>
              <w:ind w:right="1560"/>
              <w:spacing w:after="0"/>
              <w:rPr>
                <w:sz w:val="20"/>
                <w:szCs w:val="20"/>
                <w:color w:val="auto"/>
              </w:rPr>
            </w:pPr>
            <w:r>
              <w:rPr>
                <w:rFonts w:ascii="Times New Roman" w:cs="Times New Roman" w:eastAsia="Times New Roman" w:hAnsi="Times New Roman"/>
                <w:sz w:val="20"/>
                <w:szCs w:val="20"/>
                <w:color w:val="auto"/>
                <w:w w:val="98"/>
              </w:rPr>
              <w:t>Receive USD/pay AUD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16,025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9"/>
              </w:rPr>
              <w:t>Receive EUR/pay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25,470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9"/>
              </w:rPr>
              <w:t>Receive SGD/pay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9,389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tcPr>
          <w:p>
            <w:pPr>
              <w:spacing w:after="0"/>
              <w:rPr>
                <w:sz w:val="19"/>
                <w:szCs w:val="19"/>
                <w:color w:val="auto"/>
              </w:rPr>
            </w:pPr>
          </w:p>
        </w:tc>
      </w:tr>
      <w:tr>
        <w:trPr>
          <w:trHeight w:val="258"/>
        </w:trPr>
        <w:tc>
          <w:tcPr>
            <w:tcW w:w="5260" w:type="dxa"/>
            <w:vAlign w:val="bottom"/>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8"/>
              </w:rPr>
              <w:t>Receive USD/pay NZD</w:t>
            </w:r>
          </w:p>
        </w:tc>
        <w:tc>
          <w:tcPr>
            <w:tcW w:w="280" w:type="dxa"/>
            <w:vAlign w:val="bottom"/>
          </w:tcPr>
          <w:p>
            <w:pPr>
              <w:spacing w:after="0"/>
              <w:rPr>
                <w:sz w:val="22"/>
                <w:szCs w:val="22"/>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2,106</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8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140" w:type="dxa"/>
            <w:vAlign w:val="bottom"/>
          </w:tcPr>
          <w:p>
            <w:pPr>
              <w:spacing w:after="0"/>
              <w:rPr>
                <w:sz w:val="22"/>
                <w:szCs w:val="22"/>
                <w:color w:val="auto"/>
              </w:rPr>
            </w:pPr>
          </w:p>
        </w:tc>
      </w:tr>
      <w:tr>
        <w:trPr>
          <w:trHeight w:val="440"/>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82"/>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December 31,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Borders>
              <w:top w:val="single" w:sz="8" w:color="auto"/>
            </w:tcBorders>
            <w:gridSpan w:val="2"/>
          </w:tcPr>
          <w:p>
            <w:pPr>
              <w:jc w:val="center"/>
              <w:ind w:left="801"/>
              <w:spacing w:after="0" w:line="207"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left="821"/>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Notional</w:t>
            </w:r>
          </w:p>
        </w:tc>
        <w:tc>
          <w:tcPr>
            <w:tcW w:w="400" w:type="dxa"/>
            <w:vAlign w:val="bottom"/>
          </w:tcPr>
          <w:p>
            <w:pPr>
              <w:spacing w:after="0"/>
              <w:rPr>
                <w:sz w:val="19"/>
                <w:szCs w:val="19"/>
                <w:color w:val="auto"/>
              </w:rPr>
            </w:pPr>
          </w:p>
        </w:tc>
        <w:tc>
          <w:tcPr>
            <w:tcW w:w="1460" w:type="dxa"/>
            <w:vAlign w:val="bottom"/>
            <w:gridSpan w:val="3"/>
          </w:tcPr>
          <w:p>
            <w:pPr>
              <w:jc w:val="center"/>
              <w:ind w:right="561"/>
              <w:spacing w:after="0"/>
              <w:rPr>
                <w:sz w:val="20"/>
                <w:szCs w:val="20"/>
                <w:color w:val="auto"/>
              </w:rPr>
            </w:pPr>
            <w:r>
              <w:rPr>
                <w:rFonts w:ascii="Times New Roman" w:cs="Times New Roman" w:eastAsia="Times New Roman" w:hAnsi="Times New Roman"/>
                <w:sz w:val="20"/>
                <w:szCs w:val="20"/>
                <w:color w:val="auto"/>
                <w:w w:val="99"/>
              </w:rPr>
              <w:t>Fair</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20" w:type="dxa"/>
            <w:vAlign w:val="bottom"/>
            <w:gridSpan w:val="2"/>
          </w:tcPr>
          <w:p>
            <w:pPr>
              <w:jc w:val="center"/>
              <w:ind w:left="801"/>
              <w:spacing w:after="0"/>
              <w:rPr>
                <w:sz w:val="20"/>
                <w:szCs w:val="20"/>
                <w:color w:val="auto"/>
              </w:rPr>
            </w:pPr>
            <w:r>
              <w:rPr>
                <w:rFonts w:ascii="Times New Roman" w:cs="Times New Roman" w:eastAsia="Times New Roman" w:hAnsi="Times New Roman"/>
                <w:sz w:val="20"/>
                <w:szCs w:val="20"/>
                <w:color w:val="auto"/>
                <w:w w:val="99"/>
              </w:rPr>
              <w:t>ASC 815-20</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w:t>
            </w:r>
          </w:p>
        </w:tc>
        <w:tc>
          <w:tcPr>
            <w:tcW w:w="400" w:type="dxa"/>
            <w:vAlign w:val="bottom"/>
          </w:tcPr>
          <w:p>
            <w:pPr>
              <w:spacing w:after="0"/>
              <w:rPr>
                <w:sz w:val="22"/>
                <w:szCs w:val="22"/>
                <w:color w:val="auto"/>
              </w:rPr>
            </w:pPr>
          </w:p>
        </w:tc>
        <w:tc>
          <w:tcPr>
            <w:tcW w:w="1460" w:type="dxa"/>
            <w:vAlign w:val="bottom"/>
            <w:gridSpan w:val="3"/>
          </w:tcPr>
          <w:p>
            <w:pPr>
              <w:jc w:val="center"/>
              <w:ind w:right="541"/>
              <w:spacing w:after="0"/>
              <w:rPr>
                <w:sz w:val="20"/>
                <w:szCs w:val="20"/>
                <w:color w:val="auto"/>
              </w:rPr>
            </w:pPr>
            <w:r>
              <w:rPr>
                <w:rFonts w:ascii="Times New Roman" w:cs="Times New Roman" w:eastAsia="Times New Roman" w:hAnsi="Times New Roman"/>
                <w:sz w:val="20"/>
                <w:szCs w:val="20"/>
                <w:color w:val="auto"/>
                <w:w w:val="96"/>
              </w:rPr>
              <w:t>Value</w:t>
            </w: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Balance Sheet Location</w:t>
            </w:r>
          </w:p>
        </w:tc>
        <w:tc>
          <w:tcPr>
            <w:tcW w:w="0" w:type="dxa"/>
            <w:vAlign w:val="bottom"/>
          </w:tcPr>
          <w:p>
            <w:pPr>
              <w:spacing w:after="0"/>
              <w:rPr>
                <w:sz w:val="1"/>
                <w:szCs w:val="1"/>
                <w:color w:val="auto"/>
              </w:rPr>
            </w:pPr>
          </w:p>
        </w:tc>
      </w:tr>
      <w:tr>
        <w:trPr>
          <w:trHeight w:val="285"/>
        </w:trPr>
        <w:tc>
          <w:tcPr>
            <w:tcW w:w="4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Assets:</w:t>
            </w: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SGD/pay USD</w:t>
            </w: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8,341</w:t>
            </w:r>
          </w:p>
        </w:tc>
        <w:tc>
          <w:tcPr>
            <w:tcW w:w="24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258"/>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NOK/pay USD</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902</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660"/>
        </w:trPr>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Liabilities: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GBP</w:t>
            </w: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40,648</w:t>
            </w:r>
          </w:p>
        </w:tc>
        <w:tc>
          <w:tcPr>
            <w:tcW w:w="24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(323)</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AUD</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ZAR</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8,618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(68)</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COP</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2,931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(33)</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30"/>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NZD</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2,952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258"/>
        </w:trPr>
        <w:tc>
          <w:tcPr>
            <w:tcW w:w="40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Receive USD/pay EUR</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6,894</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0" w:type="dxa"/>
            <w:vAlign w:val="bottom"/>
          </w:tcPr>
          <w:p>
            <w:pPr>
              <w:spacing w:after="0"/>
              <w:rPr>
                <w:sz w:val="1"/>
                <w:szCs w:val="1"/>
                <w:color w:val="auto"/>
              </w:rPr>
            </w:pPr>
          </w:p>
        </w:tc>
      </w:tr>
      <w:tr>
        <w:trPr>
          <w:trHeight w:val="459"/>
        </w:trPr>
        <w:tc>
          <w:tcPr>
            <w:tcW w:w="9780" w:type="dxa"/>
            <w:vAlign w:val="bottom"/>
            <w:gridSpan w:val="13"/>
          </w:tcPr>
          <w:p>
            <w:pPr>
              <w:ind w:left="660"/>
              <w:spacing w:after="0"/>
              <w:rPr>
                <w:sz w:val="20"/>
                <w:szCs w:val="20"/>
                <w:color w:val="auto"/>
              </w:rPr>
            </w:pPr>
            <w:r>
              <w:rPr>
                <w:rFonts w:ascii="Times New Roman" w:cs="Times New Roman" w:eastAsia="Times New Roman" w:hAnsi="Times New Roman"/>
                <w:sz w:val="20"/>
                <w:szCs w:val="20"/>
                <w:color w:val="auto"/>
              </w:rPr>
              <w:t>The net losses on derivative instruments in the condensed consolidated statements of income were as follows: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Amount of loss</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80" w:type="dxa"/>
            <w:vAlign w:val="bottom"/>
            <w:gridSpan w:val="7"/>
          </w:tcPr>
          <w:p>
            <w:pPr>
              <w:jc w:val="center"/>
              <w:spacing w:after="0"/>
              <w:rPr>
                <w:sz w:val="20"/>
                <w:szCs w:val="20"/>
                <w:color w:val="auto"/>
              </w:rPr>
            </w:pPr>
            <w:r>
              <w:rPr>
                <w:rFonts w:ascii="Times New Roman" w:cs="Times New Roman" w:eastAsia="Times New Roman" w:hAnsi="Times New Roman"/>
                <w:sz w:val="20"/>
                <w:szCs w:val="20"/>
                <w:color w:val="auto"/>
                <w:w w:val="98"/>
              </w:rPr>
              <w:t>recognized in income on</w:t>
            </w:r>
          </w:p>
        </w:tc>
        <w:tc>
          <w:tcPr>
            <w:tcW w:w="0" w:type="dxa"/>
            <w:vAlign w:val="bottom"/>
          </w:tcPr>
          <w:p>
            <w:pPr>
              <w:spacing w:after="0"/>
              <w:rPr>
                <w:sz w:val="1"/>
                <w:szCs w:val="1"/>
                <w:color w:val="auto"/>
              </w:rPr>
            </w:pPr>
          </w:p>
        </w:tc>
      </w:tr>
      <w:tr>
        <w:trPr>
          <w:trHeight w:val="252"/>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center"/>
              <w:ind w:left="41"/>
              <w:spacing w:after="0"/>
              <w:rPr>
                <w:sz w:val="20"/>
                <w:szCs w:val="20"/>
                <w:color w:val="auto"/>
              </w:rPr>
            </w:pPr>
            <w:r>
              <w:rPr>
                <w:rFonts w:ascii="Times New Roman" w:cs="Times New Roman" w:eastAsia="Times New Roman" w:hAnsi="Times New Roman"/>
                <w:sz w:val="20"/>
                <w:szCs w:val="20"/>
                <w:color w:val="auto"/>
                <w:w w:val="97"/>
              </w:rPr>
              <w:t>derivatives</w:t>
            </w: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color w:val="auto"/>
                <w:w w:val="98"/>
              </w:rPr>
              <w:t>Derivatives not designated as</w:t>
            </w:r>
          </w:p>
        </w:tc>
        <w:tc>
          <w:tcPr>
            <w:tcW w:w="900" w:type="dxa"/>
            <w:vAlign w:val="bottom"/>
          </w:tcPr>
          <w:p>
            <w:pPr>
              <w:spacing w:after="0"/>
              <w:rPr>
                <w:sz w:val="19"/>
                <w:szCs w:val="19"/>
                <w:color w:val="auto"/>
              </w:rPr>
            </w:pPr>
          </w:p>
        </w:tc>
        <w:tc>
          <w:tcPr>
            <w:tcW w:w="222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20"/>
                <w:szCs w:val="20"/>
                <w:color w:val="auto"/>
                <w:w w:val="99"/>
              </w:rPr>
              <w:t>Location of loss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right="920"/>
              <w:spacing w:after="0" w:line="223" w:lineRule="exact"/>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187"/>
        </w:trPr>
        <w:tc>
          <w:tcPr>
            <w:tcW w:w="40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3120" w:type="dxa"/>
            <w:vAlign w:val="bottom"/>
            <w:gridSpan w:val="5"/>
          </w:tcPr>
          <w:p>
            <w:pPr>
              <w:jc w:val="center"/>
              <w:ind w:left="301"/>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7"/>
              </w:rPr>
              <w:t>March 31,</w:t>
            </w:r>
          </w:p>
        </w:tc>
        <w:tc>
          <w:tcPr>
            <w:tcW w:w="3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252"/>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ASC 815-20</w:t>
            </w:r>
          </w:p>
        </w:tc>
        <w:tc>
          <w:tcPr>
            <w:tcW w:w="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20"/>
                <w:szCs w:val="20"/>
                <w:color w:val="auto"/>
              </w:rPr>
              <w:t>derivatives</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2019</w:t>
            </w: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2018</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3120" w:type="dxa"/>
            <w:vAlign w:val="bottom"/>
            <w:gridSpan w:val="5"/>
          </w:tcPr>
          <w:p>
            <w:pPr>
              <w:jc w:val="center"/>
              <w:ind w:left="301"/>
              <w:spacing w:after="0"/>
              <w:rPr>
                <w:sz w:val="20"/>
                <w:szCs w:val="20"/>
                <w:color w:val="auto"/>
              </w:rPr>
            </w:pPr>
            <w:r>
              <w:rPr>
                <w:rFonts w:ascii="Times New Roman" w:cs="Times New Roman" w:eastAsia="Times New Roman" w:hAnsi="Times New Roman"/>
                <w:sz w:val="20"/>
                <w:szCs w:val="20"/>
                <w:color w:val="auto"/>
                <w:w w:val="99"/>
              </w:rPr>
              <w:t>Interest and other income, net</w:t>
            </w:r>
          </w:p>
        </w:tc>
        <w:tc>
          <w:tcPr>
            <w:tcW w:w="400" w:type="dxa"/>
            <w:vAlign w:val="bottom"/>
          </w:tcPr>
          <w:p>
            <w:pPr>
              <w:spacing w:after="0"/>
              <w:rPr>
                <w:sz w:val="24"/>
                <w:szCs w:val="24"/>
                <w:color w:val="auto"/>
              </w:rPr>
            </w:pPr>
          </w:p>
        </w:tc>
        <w:tc>
          <w:tcPr>
            <w:tcW w:w="122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1,087</w:t>
            </w:r>
          </w:p>
        </w:tc>
        <w:tc>
          <w:tcPr>
            <w:tcW w:w="22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4,659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March 31,</w:t>
            </w:r>
          </w:p>
        </w:tc>
        <w:tc>
          <w:tcPr>
            <w:tcW w:w="260" w:type="dxa"/>
            <w:vAlign w:val="bottom"/>
          </w:tcPr>
          <w:p>
            <w:pPr>
              <w:spacing w:after="0"/>
              <w:rPr>
                <w:sz w:val="19"/>
                <w:szCs w:val="19"/>
                <w:color w:val="auto"/>
              </w:rPr>
            </w:pPr>
          </w:p>
        </w:tc>
        <w:tc>
          <w:tcPr>
            <w:tcW w:w="14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Raw materials</w:t>
            </w:r>
          </w:p>
        </w:tc>
        <w:tc>
          <w:tcPr>
            <w:tcW w:w="3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2019</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2018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74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109,938</w:t>
            </w:r>
          </w:p>
        </w:tc>
        <w:tc>
          <w:tcPr>
            <w:tcW w:w="560" w:type="dxa"/>
            <w:vAlign w:val="bottom"/>
          </w:tcPr>
          <w:p>
            <w:pPr>
              <w:spacing w:after="0"/>
              <w:rPr>
                <w:sz w:val="17"/>
                <w:szCs w:val="17"/>
                <w:color w:val="auto"/>
              </w:rPr>
            </w:pP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94,421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Finished goods</w:t>
            </w:r>
          </w:p>
        </w:tc>
        <w:tc>
          <w:tcPr>
            <w:tcW w:w="3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190,842</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183,284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300,780</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277,705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34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52"/>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Land</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2019</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00"/>
        </w:trPr>
        <w:tc>
          <w:tcPr>
            <w:tcW w:w="6400" w:type="dxa"/>
            <w:vAlign w:val="bottom"/>
            <w:vMerge w:val="continue"/>
          </w:tcPr>
          <w:p>
            <w:pPr>
              <w:spacing w:after="0"/>
              <w:rPr>
                <w:sz w:val="17"/>
                <w:szCs w:val="17"/>
                <w:color w:val="auto"/>
              </w:rPr>
            </w:pPr>
          </w:p>
        </w:tc>
        <w:tc>
          <w:tcPr>
            <w:tcW w:w="3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44,261</w:t>
            </w:r>
          </w:p>
        </w:tc>
        <w:tc>
          <w:tcPr>
            <w:tcW w:w="560" w:type="dxa"/>
            <w:vAlign w:val="bottom"/>
          </w:tcPr>
          <w:p>
            <w:pPr>
              <w:spacing w:after="0"/>
              <w:rPr>
                <w:sz w:val="17"/>
                <w:szCs w:val="17"/>
                <w:color w:val="auto"/>
              </w:rPr>
            </w:pP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44,261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6,648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5,909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7,314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6,932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Office and computer equipment</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19,568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18,717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3,171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3,278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188,426</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183,727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116,496</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115,242</w:t>
            </w:r>
          </w:p>
        </w:tc>
        <w:tc>
          <w:tcPr>
            <w:tcW w:w="0" w:type="dxa"/>
            <w:vAlign w:val="bottom"/>
          </w:tcPr>
          <w:p>
            <w:pPr>
              <w:spacing w:after="0"/>
              <w:rPr>
                <w:sz w:val="1"/>
                <w:szCs w:val="1"/>
                <w:color w:val="auto"/>
              </w:rPr>
            </w:pPr>
          </w:p>
        </w:tc>
      </w:tr>
      <w:tr>
        <w:trPr>
          <w:trHeight w:val="252"/>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39,683</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39,026</w:t>
            </w:r>
          </w:p>
        </w:tc>
        <w:tc>
          <w:tcPr>
            <w:tcW w:w="0" w:type="dxa"/>
            <w:vAlign w:val="bottom"/>
          </w:tcPr>
          <w:p>
            <w:pPr>
              <w:spacing w:after="0"/>
              <w:rPr>
                <w:sz w:val="1"/>
                <w:szCs w:val="1"/>
                <w:color w:val="auto"/>
              </w:rPr>
            </w:pPr>
          </w:p>
        </w:tc>
      </w:tr>
      <w:tr>
        <w:trPr>
          <w:trHeight w:val="200"/>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425,567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417,092</w:t>
            </w:r>
          </w:p>
        </w:tc>
        <w:tc>
          <w:tcPr>
            <w:tcW w:w="0" w:type="dxa"/>
            <w:vAlign w:val="bottom"/>
          </w:tcPr>
          <w:p>
            <w:pPr>
              <w:spacing w:after="0"/>
              <w:rPr>
                <w:sz w:val="1"/>
                <w:szCs w:val="1"/>
                <w:color w:val="auto"/>
              </w:rPr>
            </w:pPr>
          </w:p>
        </w:tc>
      </w:tr>
      <w:tr>
        <w:trPr>
          <w:trHeight w:val="252"/>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(184,335)</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(174,041)</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241,232</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243,051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Total depreciation and amortization expense recorded was $12.0 million and $10.9 million for the three-months ended March 31, 2019 and 2018, respectively.</w:t>
      </w:r>
    </w:p>
    <w:p>
      <w:pPr>
        <w:spacing w:after="0" w:line="173"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is a roll-forward of goodwill for the three-months ended March 31, 2019 and 2018 by reportable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Monster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color w:val="auto"/>
                <w:w w:val="98"/>
              </w:rPr>
              <w:t>Energy®</w:t>
            </w:r>
          </w:p>
        </w:tc>
        <w:tc>
          <w:tcPr>
            <w:tcW w:w="26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8"/>
              </w:rPr>
              <w:t>Strategic</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90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Balance at December 31, 2018</w:t>
            </w:r>
          </w:p>
        </w:tc>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9"/>
              </w:rPr>
              <w:t>Drinks</w:t>
            </w:r>
          </w:p>
        </w:tc>
        <w:tc>
          <w:tcPr>
            <w:tcW w:w="26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Brands</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ind w:right="6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1,331,643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9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Acquisitions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Balance at March 31, 2019</w:t>
            </w: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1,331,643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Monster</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color w:val="auto"/>
                <w:w w:val="98"/>
              </w:rPr>
              <w:t>Energy®</w:t>
            </w:r>
          </w:p>
        </w:tc>
        <w:tc>
          <w:tcPr>
            <w:tcW w:w="26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8"/>
              </w:rPr>
              <w:t>Strategic</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90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Balance at December 31, 2017</w:t>
            </w:r>
          </w:p>
        </w:tc>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9"/>
              </w:rPr>
              <w:t>Drinks</w:t>
            </w:r>
          </w:p>
        </w:tc>
        <w:tc>
          <w:tcPr>
            <w:tcW w:w="26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Brands</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ind w:right="6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1,331,643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9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Acquisitions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Balance at March 31, 2018</w:t>
            </w: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6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1,331,643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consist of the following at:</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March 31,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December 31, 2018</w:t>
            </w:r>
          </w:p>
        </w:tc>
        <w:tc>
          <w:tcPr>
            <w:tcW w:w="0" w:type="dxa"/>
            <w:vAlign w:val="bottom"/>
          </w:tcPr>
          <w:p>
            <w:pPr>
              <w:spacing w:after="0"/>
              <w:rPr>
                <w:sz w:val="1"/>
                <w:szCs w:val="1"/>
                <w:color w:val="auto"/>
              </w:rPr>
            </w:pPr>
          </w:p>
        </w:tc>
      </w:tr>
      <w:tr>
        <w:trPr>
          <w:trHeight w:val="252"/>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Amortizing intangibles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500" w:type="dxa"/>
            <w:vAlign w:val="bottom"/>
            <w:vMerge w:val="continue"/>
          </w:tcPr>
          <w:p>
            <w:pPr>
              <w:spacing w:after="0"/>
              <w:rPr>
                <w:sz w:val="17"/>
                <w:szCs w:val="17"/>
                <w:color w:val="auto"/>
              </w:rPr>
            </w:pPr>
          </w:p>
        </w:tc>
        <w:tc>
          <w:tcPr>
            <w:tcW w:w="2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66,870</w:t>
            </w:r>
          </w:p>
        </w:tc>
        <w:tc>
          <w:tcPr>
            <w:tcW w:w="280" w:type="dxa"/>
            <w:vAlign w:val="bottom"/>
          </w:tcPr>
          <w:p>
            <w:pPr>
              <w:spacing w:after="0"/>
              <w:rPr>
                <w:sz w:val="17"/>
                <w:szCs w:val="17"/>
                <w:color w:val="auto"/>
              </w:rPr>
            </w:pPr>
          </w:p>
        </w:tc>
        <w:tc>
          <w:tcPr>
            <w:tcW w:w="4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71,350</w:t>
            </w:r>
          </w:p>
        </w:tc>
        <w:tc>
          <w:tcPr>
            <w:tcW w:w="0" w:type="dxa"/>
            <w:vAlign w:val="bottom"/>
          </w:tcPr>
          <w:p>
            <w:pPr>
              <w:spacing w:after="0"/>
              <w:rPr>
                <w:sz w:val="1"/>
                <w:szCs w:val="1"/>
                <w:color w:val="auto"/>
              </w:rPr>
            </w:pPr>
          </w:p>
        </w:tc>
      </w:tr>
      <w:tr>
        <w:trPr>
          <w:trHeight w:val="25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(40,377)</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(38,311)</w:t>
            </w:r>
          </w:p>
        </w:tc>
        <w:tc>
          <w:tcPr>
            <w:tcW w:w="0" w:type="dxa"/>
            <w:vAlign w:val="bottom"/>
          </w:tcPr>
          <w:p>
            <w:pPr>
              <w:spacing w:after="0"/>
              <w:rPr>
                <w:sz w:val="1"/>
                <w:szCs w:val="1"/>
                <w:color w:val="auto"/>
              </w:rPr>
            </w:pPr>
          </w:p>
        </w:tc>
      </w:tr>
      <w:tr>
        <w:trPr>
          <w:trHeight w:val="200"/>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26,493</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33,039</w:t>
            </w:r>
          </w:p>
        </w:tc>
        <w:tc>
          <w:tcPr>
            <w:tcW w:w="0" w:type="dxa"/>
            <w:vAlign w:val="bottom"/>
          </w:tcPr>
          <w:p>
            <w:pPr>
              <w:spacing w:after="0"/>
              <w:rPr>
                <w:sz w:val="1"/>
                <w:szCs w:val="1"/>
                <w:color w:val="auto"/>
              </w:rPr>
            </w:pPr>
          </w:p>
        </w:tc>
      </w:tr>
      <w:tr>
        <w:trPr>
          <w:trHeight w:val="25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Non-amortizing intangibles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1,016,346</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1,012,839</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1,042,839</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1,045,878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$2.9 million and $3.1 million for the three-months ended March 31, 2019 and 2018, respectively.</w:t>
      </w:r>
    </w:p>
    <w:p>
      <w:pPr>
        <w:spacing w:after="0" w:line="194" w:lineRule="exact"/>
        <w:rPr>
          <w:sz w:val="20"/>
          <w:szCs w:val="20"/>
          <w:color w:val="auto"/>
        </w:rPr>
      </w:pPr>
    </w:p>
    <w:p>
      <w:pPr>
        <w:ind w:left="620" w:hanging="612"/>
        <w:spacing w:after="0"/>
        <w:tabs>
          <w:tab w:leader="none" w:pos="6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ASC 420, the Company expenses distributor termination costs in the period in which the written notification of termination occurs. The Company incurred termination costs of $10.7 million and $7.0 million for the three-months ended March 31, 2019 and 2018, respectively.</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$14.2 million and $11.2 million for the three-months ended March 31, 2019 and 2018, respectively.</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three-months ended March 31, 2019, the Company agreed to the assignment of Kalil Bottling Group’s distribution territories to TCCC network bottlers. The Company incurred no distributor termination costs and received no deferred revenue in connection with this assignment. As of April 6, 2019, with the transition of Big Geyser Inc.’s distribution territory to TCCC network bottlers, all distribution territories in the U.S. have been transitioned to TCCC network bottlers.</w:t>
      </w:r>
    </w:p>
    <w:p>
      <w:pPr>
        <w:spacing w:after="0" w:line="194"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had purchase commitments aggregating approximately $37.0 million at March 31, 2019, which represented commitments made by the Company and its subsidiaries to various suppliers of raw materials for the production of its products. These obligations vary in terms, but are generally satisfied within one year.</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had contractual obligations aggregating approximately $178.4 million at March 31, 2019, which related primarily to sponsorships and other marketing activities.</w:t>
      </w:r>
    </w:p>
    <w:p>
      <w:pPr>
        <w:spacing w:after="0" w:line="173" w:lineRule="exact"/>
        <w:rPr>
          <w:sz w:val="20"/>
          <w:szCs w:val="20"/>
          <w:color w:val="auto"/>
        </w:rPr>
      </w:pPr>
    </w:p>
    <w:p>
      <w:pPr>
        <w:jc w:val="both"/>
        <w:ind w:firstLine="689"/>
        <w:spacing w:after="0" w:line="249" w:lineRule="auto"/>
        <w:rPr>
          <w:sz w:val="20"/>
          <w:szCs w:val="20"/>
          <w:color w:val="auto"/>
        </w:rPr>
      </w:pPr>
      <w:r>
        <w:rPr>
          <w:rFonts w:ascii="Times New Roman" w:cs="Times New Roman" w:eastAsia="Times New Roman" w:hAnsi="Times New Roman"/>
          <w:sz w:val="20"/>
          <w:szCs w:val="20"/>
          <w:color w:val="auto"/>
        </w:rPr>
        <w:t>In February 2018, the working capital line limit for the Company’s credit facility with HSBC Bank (China) Company Limited, Shanghai Branch was increased from $9.0 million to $15.0 million. At March 31, 2019, the interest rate on borrowings under the line of credit was 5.5%. As of March 31, 2019, the Company had $9.8 million outstanding on this line of credit, including interest, which is included in accounts payable in the condensed consolidated balance sheet.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Legal Proceedings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Litigation </w:t>
      </w:r>
      <w:r>
        <w:rPr>
          <w:rFonts w:ascii="Times New Roman" w:cs="Times New Roman" w:eastAsia="Times New Roman" w:hAnsi="Times New Roman"/>
          <w:sz w:val="20"/>
          <w:szCs w:val="20"/>
          <w:color w:val="auto"/>
        </w:rPr>
        <w:t>— The Company, certain affiliates of the Company and TCCC are parties to various agreements setting forth, among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things, provisions relating to TCCC’s 18.8% equity holding in the Company and the terms on which the Company’s energy drink products are distributed globally by members of TCCC’s distribution network. Among other provisions, the agreements restrict TCCC from competing in the energy drink category, with certain exceptions including an exception relating to the Coca-Cola brand.</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TCCC has developed three energy drink products that it believes it may market under the exception relating to the Coca-Cola brand. The Company believes that the exception does not apply. By mutual agreement, the issue was submitted to AAA arbitration on October 31, 2018 for a determination of whether TCCC is permitted to manufacture, market, sell or distribute these products. The matter has since proceeded to a hearing before the arbitrators. Due to the nature of the relief sought, no reasonably possible range of losses, if any, can be estimated.</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is currently a defendant in a number of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2019, the Company’s condensed consolidated balance sheet includes accrued loss contingencies of approximately $0.02 million.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Changes in accumulated other comprehensive loss by component, after tax, for the three-months ended March 31, 2019 and 2018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Unrealized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9"/>
              </w:rPr>
              <w:t>Currency</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(Gains) Losses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8"/>
              </w:rPr>
              <w:t>Translation</w:t>
            </w:r>
          </w:p>
        </w:tc>
        <w:tc>
          <w:tcPr>
            <w:tcW w:w="24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on Available-for-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2018</w:t>
            </w:r>
          </w:p>
        </w:tc>
        <w:tc>
          <w:tcPr>
            <w:tcW w:w="300" w:type="dxa"/>
            <w:vAlign w:val="bottom"/>
          </w:tcPr>
          <w:p>
            <w:pPr>
              <w:spacing w:after="0"/>
              <w:rPr>
                <w:sz w:val="21"/>
                <w:szCs w:val="21"/>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9"/>
              </w:rPr>
              <w:t>Losses</w:t>
            </w:r>
          </w:p>
        </w:tc>
        <w:tc>
          <w:tcPr>
            <w:tcW w:w="240" w:type="dxa"/>
            <w:vAlign w:val="bottom"/>
          </w:tcPr>
          <w:p>
            <w:pPr>
              <w:spacing w:after="0"/>
              <w:rPr>
                <w:sz w:val="21"/>
                <w:szCs w:val="21"/>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Sale Securities</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3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32,775</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89</w:t>
            </w:r>
          </w:p>
        </w:tc>
        <w:tc>
          <w:tcPr>
            <w:tcW w:w="26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32,864</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 comprehensive loss (income) before reclassifications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(income)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Net current-period other comprehensive loss (income)</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1,381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March 31, 2019</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34,156</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34,125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Unrealized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9"/>
              </w:rPr>
              <w:t>Currency</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(Gains) Losses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8"/>
              </w:rPr>
              <w:t>Translation</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6"/>
              </w:rPr>
              <w:t>on Available-for-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2017</w:t>
            </w:r>
          </w:p>
        </w:tc>
        <w:tc>
          <w:tcPr>
            <w:tcW w:w="300" w:type="dxa"/>
            <w:vAlign w:val="bottom"/>
          </w:tcPr>
          <w:p>
            <w:pPr>
              <w:spacing w:after="0"/>
              <w:rPr>
                <w:sz w:val="21"/>
                <w:szCs w:val="21"/>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9"/>
              </w:rPr>
              <w:t>Losses</w:t>
            </w:r>
          </w:p>
        </w:tc>
        <w:tc>
          <w:tcPr>
            <w:tcW w:w="240" w:type="dxa"/>
            <w:vAlign w:val="bottom"/>
          </w:tcPr>
          <w:p>
            <w:pPr>
              <w:spacing w:after="0"/>
              <w:rPr>
                <w:sz w:val="21"/>
                <w:szCs w:val="21"/>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Sale Securities</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3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15,818</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841</w:t>
            </w:r>
          </w:p>
        </w:tc>
        <w:tc>
          <w:tcPr>
            <w:tcW w:w="26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16,659</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 comprehensive loss (income) before reclassifications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(income)</w:t>
            </w:r>
          </w:p>
        </w:tc>
        <w:tc>
          <w:tcPr>
            <w:tcW w:w="30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auto"/>
              </w:rPr>
              <w:t>Net current-period other comprehensive loss (income)</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(2,723)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(2,938)</w:t>
            </w: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Balance at March 31, 2018</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13,095</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626</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13,721</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14.</w:t>
            </w:r>
          </w:p>
        </w:tc>
        <w:tc>
          <w:tcPr>
            <w:tcW w:w="5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TREASURY STOCK</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vMerge w:val="continue"/>
          </w:tcPr>
          <w:p>
            <w:pPr>
              <w:spacing w:after="0"/>
              <w:rPr>
                <w:sz w:val="24"/>
                <w:szCs w:val="24"/>
                <w:color w:val="auto"/>
              </w:rPr>
            </w:pPr>
          </w:p>
        </w:tc>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August 7, 2018, the Company’s Board of Directors authorized a share repurchase program for the purchase of up to $500.0 million of the Company’s outstanding common stock (the “August 2018 Repurchase Plan”). During the three-months ended March 31, 2019, the Company purchased 2.6 million shares of common stock at an average purchase price of $54.18 per share, for a total amount of $139.0 million (excluding broker commissions), under the August 2018 Repurchase Plan. Such shares are included in the common stock in treasury in the accompanying condensed consolidated balance sheet at March 31, 2019. As of May 3, 2019, $20.6 million remained available for repurchase under the August 2018 Repurchase Plan.</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26, 2019, the Company’s Board of Directors authorized a new share repurchase program for the purchase of up to $500.0 million of the Company’s outstanding common stock (the “February 2019 Repurchase Plan”). During the three-months ended March 31, 2019, no shares were repurchased under the February 2019 Repurchase Plan.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of May 3, 2019, the aggregate amount available under such authorizations to repurchase the Company’s common stock was $520.6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three-months ended March 31, 2019, 1.4 million shares of common stock were purchased from employees in lieu of cash payments for options exercised or withholding taxes due for a total amount of $83.8 million. While such purchases are considered common stock repurchases, they are not counted as purchases against our authorized share repurchase programs. Such shares are included in common stock in treasury in the accompanying condensed consolidated balance sheet at March 31,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March 31, 2019: the Monster Beverage Corporation 2011 Omnibus Incentive Plan, including the Monster Beverage Deferred Compensation Plan as a sub plan thereunder, and the Monster Beverage Corporation 2017 Compensation Plan for Non-Employee Directors, including the Monster Beverage Deferred Compensation Plan for Non-Employee Directors as a sub plan thereunder.</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recorded $15.3 million and $13.4 million of compensation expense relating to outstanding options and restricted stock units during the three-months ended March 31, 2019 and 2018,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tax benefit for tax deductions from non-qualified stock option exercises, disqualifying dispositions of incentive stock options and vesting of restricted stock units for the three-months ended March 31, 2019 and 2018 was $22.4 million and $2.8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as of March 31, 2019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3480" w:type="dxa"/>
            <w:vAlign w:val="bottom"/>
          </w:tcPr>
          <w:p>
            <w:pPr>
              <w:spacing w:after="0"/>
              <w:rPr>
                <w:sz w:val="21"/>
                <w:szCs w:val="21"/>
                <w:color w:val="auto"/>
              </w:rPr>
            </w:pPr>
          </w:p>
        </w:tc>
        <w:tc>
          <w:tcPr>
            <w:tcW w:w="342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3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560" w:type="dxa"/>
            <w:vAlign w:val="bottom"/>
            <w:tcBorders>
              <w:bottom w:val="single" w:sz="8" w:color="auto"/>
            </w:tcBorders>
          </w:tcPr>
          <w:p>
            <w:pPr>
              <w:ind w:left="580"/>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320" w:type="dxa"/>
            <w:vAlign w:val="bottom"/>
          </w:tcPr>
          <w:p>
            <w:pPr>
              <w:spacing w:after="0"/>
              <w:rPr>
                <w:sz w:val="19"/>
                <w:szCs w:val="19"/>
                <w:color w:val="auto"/>
              </w:rPr>
            </w:pPr>
          </w:p>
        </w:tc>
        <w:tc>
          <w:tcPr>
            <w:tcW w:w="1540" w:type="dxa"/>
            <w:vAlign w:val="bottom"/>
            <w:tcBorders>
              <w:bottom w:val="single" w:sz="8" w:color="auto"/>
            </w:tcBorders>
          </w:tcPr>
          <w:p>
            <w:pPr>
              <w:ind w:left="580"/>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00"/>
        </w:trPr>
        <w:tc>
          <w:tcPr>
            <w:tcW w:w="3480" w:type="dxa"/>
            <w:vAlign w:val="bottom"/>
            <w:vMerge w:val="continue"/>
          </w:tcPr>
          <w:p>
            <w:pPr>
              <w:spacing w:after="0"/>
              <w:rPr>
                <w:sz w:val="17"/>
                <w:szCs w:val="17"/>
                <w:color w:val="auto"/>
              </w:rPr>
            </w:pPr>
          </w:p>
        </w:tc>
        <w:tc>
          <w:tcPr>
            <w:tcW w:w="15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0.0%</w:t>
            </w:r>
          </w:p>
        </w:tc>
        <w:tc>
          <w:tcPr>
            <w:tcW w:w="320" w:type="dxa"/>
            <w:vAlign w:val="bottom"/>
          </w:tcPr>
          <w:p>
            <w:pPr>
              <w:spacing w:after="0"/>
              <w:rPr>
                <w:sz w:val="17"/>
                <w:szCs w:val="17"/>
                <w:color w:val="auto"/>
              </w:rPr>
            </w:pPr>
          </w:p>
        </w:tc>
        <w:tc>
          <w:tcPr>
            <w:tcW w:w="154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5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30.2%</w:t>
            </w:r>
          </w:p>
        </w:tc>
        <w:tc>
          <w:tcPr>
            <w:tcW w:w="320" w:type="dxa"/>
            <w:vAlign w:val="bottom"/>
          </w:tcPr>
          <w:p>
            <w:pPr>
              <w:spacing w:after="0"/>
              <w:rPr>
                <w:sz w:val="19"/>
                <w:szCs w:val="19"/>
                <w:color w:val="auto"/>
              </w:rPr>
            </w:pPr>
          </w:p>
        </w:tc>
        <w:tc>
          <w:tcPr>
            <w:tcW w:w="15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5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2.4%</w:t>
            </w:r>
          </w:p>
        </w:tc>
        <w:tc>
          <w:tcPr>
            <w:tcW w:w="320" w:type="dxa"/>
            <w:vAlign w:val="bottom"/>
          </w:tcPr>
          <w:p>
            <w:pPr>
              <w:spacing w:after="0"/>
              <w:rPr>
                <w:sz w:val="19"/>
                <w:szCs w:val="19"/>
                <w:color w:val="auto"/>
              </w:rPr>
            </w:pPr>
          </w:p>
        </w:tc>
        <w:tc>
          <w:tcPr>
            <w:tcW w:w="15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6.0 years</w:t>
            </w:r>
          </w:p>
        </w:tc>
        <w:tc>
          <w:tcPr>
            <w:tcW w:w="15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6.0 years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 volatility.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is based on the most recent volatility of the stock price over a period of time equivalent to the expected term of the option.</w:t>
      </w:r>
    </w:p>
    <w:p>
      <w:pPr>
        <w:spacing w:after="0" w:line="16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zero-coupon yield curve in effect at the time of grant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expected term of the option.</w:t>
      </w:r>
    </w:p>
    <w:p>
      <w:pPr>
        <w:spacing w:after="0" w:line="16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 options are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9920" w:type="dxa"/>
            <w:vAlign w:val="bottom"/>
            <w:gridSpan w:val="9"/>
          </w:tcPr>
          <w:p>
            <w:pPr>
              <w:ind w:left="64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Weighted-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Weighted-</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Average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4"/>
              </w:rPr>
              <w:t>Average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Remaining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rPr>
              <w:t>Number of</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Exercise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Contractual</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Shares (in</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Price Per</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4"/>
              </w:rPr>
              <w:t>Term (In</w:t>
            </w:r>
          </w:p>
        </w:tc>
        <w:tc>
          <w:tcPr>
            <w:tcW w:w="24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Aggregate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gridSpan w:val="2"/>
          </w:tcPr>
          <w:p>
            <w:pPr>
              <w:ind w:left="2200"/>
              <w:spacing w:after="0"/>
              <w:rPr>
                <w:sz w:val="20"/>
                <w:szCs w:val="20"/>
                <w:color w:val="auto"/>
              </w:rPr>
            </w:pPr>
            <w:r>
              <w:rPr>
                <w:rFonts w:ascii="Times New Roman" w:cs="Times New Roman" w:eastAsia="Times New Roman" w:hAnsi="Times New Roman"/>
                <w:sz w:val="20"/>
                <w:szCs w:val="20"/>
                <w:color w:val="auto"/>
              </w:rPr>
              <w:t>Options</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6"/>
              </w:rPr>
              <w:t>thousands)</w:t>
            </w:r>
          </w:p>
        </w:tc>
        <w:tc>
          <w:tcPr>
            <w:tcW w:w="240" w:type="dxa"/>
            <w:vAlign w:val="bottom"/>
          </w:tcPr>
          <w:p>
            <w:pPr>
              <w:spacing w:after="0"/>
              <w:rPr>
                <w:sz w:val="21"/>
                <w:szCs w:val="21"/>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6"/>
              </w:rPr>
              <w:t>Share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years)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Intrinsic Value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January 1, 2019</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18,890</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34.61</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5.8</w:t>
            </w:r>
          </w:p>
        </w:tc>
        <w:tc>
          <w:tcPr>
            <w:tcW w:w="280" w:type="dxa"/>
            <w:vAlign w:val="bottom"/>
          </w:tcPr>
          <w:p>
            <w:pPr>
              <w:spacing w:after="0"/>
              <w:rPr>
                <w:sz w:val="17"/>
                <w:szCs w:val="17"/>
                <w:color w:val="auto"/>
              </w:rPr>
            </w:pPr>
          </w:p>
        </w:tc>
        <w:tc>
          <w:tcPr>
            <w:tcW w:w="240" w:type="dxa"/>
            <w:vAlign w:val="bottom"/>
            <w:tcBorders>
              <w:top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303,627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Granted 01/01/19 - 03/31/19</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59.52</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(3,627)</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Cancelled or forfeited</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(158)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Outstanding at March 31, 2019</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42.23</w:t>
            </w:r>
          </w:p>
        </w:tc>
        <w:tc>
          <w:tcPr>
            <w:tcW w:w="280" w:type="dxa"/>
            <w:vAlign w:val="bottom"/>
            <w:vMerge w:val="restart"/>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80" w:type="dxa"/>
            <w:vAlign w:val="bottom"/>
            <w:vMerge w:val="restart"/>
          </w:tcPr>
          <w:p>
            <w:pPr>
              <w:spacing w:after="0" w:line="20" w:lineRule="exact"/>
              <w:rPr>
                <w:sz w:val="1"/>
                <w:szCs w:val="1"/>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224,846</w:t>
            </w:r>
          </w:p>
        </w:tc>
        <w:tc>
          <w:tcPr>
            <w:tcW w:w="0" w:type="dxa"/>
            <w:vAlign w:val="bottom"/>
          </w:tcPr>
          <w:p>
            <w:pPr>
              <w:spacing w:after="0"/>
              <w:rPr>
                <w:sz w:val="1"/>
                <w:szCs w:val="1"/>
                <w:color w:val="auto"/>
              </w:rPr>
            </w:pPr>
          </w:p>
        </w:tc>
      </w:tr>
      <w:tr>
        <w:trPr>
          <w:trHeight w:val="200"/>
        </w:trPr>
        <w:tc>
          <w:tcPr>
            <w:tcW w:w="5000" w:type="dxa"/>
            <w:vAlign w:val="bottom"/>
            <w:gridSpan w:val="3"/>
            <w:vMerge w:val="continue"/>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16,675</w:t>
            </w:r>
          </w:p>
        </w:tc>
        <w:tc>
          <w:tcPr>
            <w:tcW w:w="3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Vested and expected to vest in the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future at March 31, 2019</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15,564</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8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221,040</w:t>
            </w:r>
          </w:p>
        </w:tc>
        <w:tc>
          <w:tcPr>
            <w:tcW w:w="0" w:type="dxa"/>
            <w:vAlign w:val="bottom"/>
          </w:tcPr>
          <w:p>
            <w:pPr>
              <w:spacing w:after="0"/>
              <w:rPr>
                <w:sz w:val="1"/>
                <w:szCs w:val="1"/>
                <w:color w:val="auto"/>
              </w:rPr>
            </w:pPr>
          </w:p>
        </w:tc>
      </w:tr>
      <w:tr>
        <w:trPr>
          <w:trHeight w:val="258"/>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Exercisable at March 31, 2019</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8,680</w:t>
            </w:r>
          </w:p>
        </w:tc>
        <w:tc>
          <w:tcPr>
            <w:tcW w:w="3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w:t>
            </w: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8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184,608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three-months ended March 31, 2019 and 2018 was $20.30 per share and $22.82 per share, respectively. The total intrinsic value of options exercised during the three-months ended March 31, 2019 and 2018 was $178.5 million and $18.2 million, respectively.</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three-months ended March 31, 2019 and 2018 was $35.2 million and $6.5 million, respectively.</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At March 31, 2019, there was $112.8 million of total unrecognized compensation expense related to non-vested options granted to employees under the Company’s share-based payment plans. That cost is expected to be recognized over a weighted-average period of 2.9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Units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units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Number of</w:t>
            </w: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7"/>
              </w:rPr>
              <w:t>Average</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Shares (in</w:t>
            </w: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Grant-Date</w:t>
            </w:r>
          </w:p>
        </w:tc>
        <w:tc>
          <w:tcPr>
            <w:tcW w:w="0" w:type="dxa"/>
            <w:vAlign w:val="bottom"/>
          </w:tcPr>
          <w:p>
            <w:pPr>
              <w:spacing w:after="0"/>
              <w:rPr>
                <w:sz w:val="1"/>
                <w:szCs w:val="1"/>
                <w:color w:val="auto"/>
              </w:rPr>
            </w:pPr>
          </w:p>
        </w:tc>
      </w:tr>
      <w:tr>
        <w:trPr>
          <w:trHeight w:val="252"/>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January 1, 2019</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thousands)</w:t>
            </w:r>
          </w:p>
        </w:tc>
        <w:tc>
          <w:tcPr>
            <w:tcW w:w="220" w:type="dxa"/>
            <w:vAlign w:val="bottom"/>
          </w:tcPr>
          <w:p>
            <w:pPr>
              <w:spacing w:after="0"/>
              <w:rPr>
                <w:sz w:val="21"/>
                <w:szCs w:val="21"/>
                <w:color w:val="auto"/>
              </w:rPr>
            </w:pPr>
          </w:p>
        </w:tc>
        <w:tc>
          <w:tcPr>
            <w:tcW w:w="11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6"/>
              </w:rPr>
              <w:t>Fair Value</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13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529</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51.55</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 01/01/19 - 03/31/19</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59.66</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Vested</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(244)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49.91</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Forfeited/cancelled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March 31, 2019</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57.36</w:t>
            </w: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13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833</w:t>
            </w: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granted during the three-months ended March 31, 2019 and 2018 was $59.66 per share and $58.75 per share, respectively. As of March 31, 2019, 0.7 million of restricted stock units are expected to vest over their respective terms.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At March 31, 2019, total unrecognized compensation expense relating to non-vested restricted stock units was $40.4 million, which is expected to be recognized over a weighted-average period of 3.3 years.</w:t>
      </w:r>
    </w:p>
    <w:p>
      <w:pPr>
        <w:spacing w:after="0" w:line="173"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three-months ended March 31, 2019:</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Gross Unrecognized Tax</w:t>
            </w:r>
          </w:p>
        </w:tc>
        <w:tc>
          <w:tcPr>
            <w:tcW w:w="0" w:type="dxa"/>
            <w:vAlign w:val="bottom"/>
          </w:tcPr>
          <w:p>
            <w:pPr>
              <w:spacing w:after="0"/>
              <w:rPr>
                <w:sz w:val="1"/>
                <w:szCs w:val="1"/>
                <w:color w:val="auto"/>
              </w:rPr>
            </w:pPr>
          </w:p>
        </w:tc>
      </w:tr>
      <w:tr>
        <w:trPr>
          <w:trHeight w:val="252"/>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2018</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20"/>
                <w:szCs w:val="20"/>
                <w:color w:val="auto"/>
              </w:rPr>
              <w:t>Benefits</w:t>
            </w:r>
          </w:p>
        </w:tc>
        <w:tc>
          <w:tcPr>
            <w:tcW w:w="0" w:type="dxa"/>
            <w:vAlign w:val="bottom"/>
          </w:tcPr>
          <w:p>
            <w:pPr>
              <w:spacing w:after="0"/>
              <w:rPr>
                <w:sz w:val="1"/>
                <w:szCs w:val="1"/>
                <w:color w:val="auto"/>
              </w:rPr>
            </w:pPr>
          </w:p>
        </w:tc>
      </w:tr>
      <w:tr>
        <w:trPr>
          <w:trHeight w:val="200"/>
        </w:trPr>
        <w:tc>
          <w:tcPr>
            <w:tcW w:w="4260" w:type="dxa"/>
            <w:vAlign w:val="bottom"/>
            <w:vMerge w:val="continue"/>
          </w:tcPr>
          <w:p>
            <w:pPr>
              <w:spacing w:after="0"/>
              <w:rPr>
                <w:sz w:val="17"/>
                <w:szCs w:val="17"/>
                <w:color w:val="auto"/>
              </w:rPr>
            </w:pP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3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5,035</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current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years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settlement with taxing</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authority</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March 31, 2019</w:t>
            </w: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3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5,035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condensed consolidated financial statements. As of March 31, 2019, the Company had approximately $1.0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is in various stages of examination with certain states and certain foreign jurisdictions. The Company’s 2014 through 2018 U.S. federal income tax returns are subject to examination by the IRS. The Company’s state income tax returns are subject to examination for the 2014 through 2018 tax years.</w:t>
      </w:r>
    </w:p>
    <w:p>
      <w:pPr>
        <w:spacing w:after="0" w:line="188"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weighted-average shares used in the basic and diluted earnings per common share computations is presented below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2020" w:type="dxa"/>
            <w:vAlign w:val="bottom"/>
            <w:tcBorders>
              <w:bottom w:val="single" w:sz="8" w:color="auto"/>
            </w:tcBorders>
            <w:gridSpan w:val="3"/>
          </w:tcPr>
          <w:p>
            <w:pPr>
              <w:jc w:val="center"/>
              <w:ind w:left="881"/>
              <w:spacing w:after="0"/>
              <w:rPr>
                <w:sz w:val="20"/>
                <w:szCs w:val="20"/>
                <w:color w:val="auto"/>
              </w:rPr>
            </w:pPr>
            <w:r>
              <w:rPr>
                <w:rFonts w:ascii="Times New Roman" w:cs="Times New Roman" w:eastAsia="Times New Roman" w:hAnsi="Times New Roman"/>
                <w:sz w:val="20"/>
                <w:szCs w:val="20"/>
                <w:color w:val="auto"/>
                <w:w w:val="97"/>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136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87"/>
        </w:trPr>
        <w:tc>
          <w:tcPr>
            <w:tcW w:w="40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542,768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566,000</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Dilutive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8,129</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3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548,273</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574,129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the three-months ended March 31, 2019 and 2018, options and awards outstanding totaling 4.3 million shares and 0.7 million shares, respectively, were excluded from the calculations as their effect would have been antidilutive.</w:t>
      </w:r>
    </w:p>
    <w:p>
      <w:pPr>
        <w:spacing w:after="0" w:line="173"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three operating and reportable segments, (i) Monster Energy® Drinks segment, which is primarily comprised of the Company’s Monster Energy® drinks and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high performance energy drinks, (ii) Strategic Brands segment, which is comprised primarily of the various energy drink brands acquired from TCCC in 2015 as well as the Company’s affordable energy brands, and (iii) Other segment, which is comprised of the AFF Third-Party Products.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foodservice customers and the military.</w:t>
      </w:r>
    </w:p>
    <w:p>
      <w:pPr>
        <w:spacing w:after="0" w:line="188" w:lineRule="exact"/>
        <w:rPr>
          <w:sz w:val="20"/>
          <w:szCs w:val="20"/>
          <w:color w:val="auto"/>
        </w:rPr>
      </w:pPr>
    </w:p>
    <w:p>
      <w:pPr>
        <w:jc w:val="both"/>
        <w:ind w:firstLine="689"/>
        <w:spacing w:after="0" w:line="260" w:lineRule="auto"/>
        <w:rPr>
          <w:sz w:val="20"/>
          <w:szCs w:val="20"/>
          <w:color w:val="auto"/>
        </w:rPr>
      </w:pPr>
      <w:r>
        <w:rPr>
          <w:rFonts w:ascii="Times New Roman" w:cs="Times New Roman" w:eastAsia="Times New Roman" w:hAnsi="Times New Roman"/>
          <w:sz w:val="19"/>
          <w:szCs w:val="19"/>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three-months ended March 31, 2019 and 2018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6"/>
          </w:tcPr>
          <w:p>
            <w:pPr>
              <w:jc w:val="center"/>
              <w:ind w:right="241"/>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20"/>
                <w:szCs w:val="20"/>
                <w:color w:val="auto"/>
                <w:w w:val="99"/>
              </w:rPr>
              <w:t>March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1"/>
                <w:szCs w:val="11"/>
                <w:color w:val="auto"/>
              </w:rPr>
              <w:t>(1)</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870,384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780,505</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70,286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65,759</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4,657</w:t>
            </w:r>
          </w:p>
        </w:tc>
        <w:tc>
          <w:tcPr>
            <w:tcW w:w="0" w:type="dxa"/>
            <w:vAlign w:val="bottom"/>
          </w:tcPr>
          <w:p>
            <w:pPr>
              <w:spacing w:after="0"/>
              <w:rPr>
                <w:sz w:val="1"/>
                <w:szCs w:val="1"/>
                <w:color w:val="auto"/>
              </w:rPr>
            </w:pPr>
          </w:p>
        </w:tc>
      </w:tr>
      <w:tr>
        <w:trPr>
          <w:trHeight w:val="252"/>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945,991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850,921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6"/>
          </w:tcPr>
          <w:p>
            <w:pPr>
              <w:jc w:val="center"/>
              <w:ind w:right="241"/>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20"/>
                <w:szCs w:val="20"/>
                <w:color w:val="auto"/>
                <w:w w:val="99"/>
              </w:rPr>
              <w:t>March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1"/>
                <w:szCs w:val="11"/>
                <w:color w:val="auto"/>
              </w:rPr>
              <w:t>(1) (2)</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342,999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301,702</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45,581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42,602</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971</w:t>
            </w:r>
          </w:p>
        </w:tc>
        <w:tc>
          <w:tcPr>
            <w:tcW w:w="0" w:type="dxa"/>
            <w:vAlign w:val="bottom"/>
          </w:tcPr>
          <w:p>
            <w:pPr>
              <w:spacing w:after="0"/>
              <w:rPr>
                <w:sz w:val="1"/>
                <w:szCs w:val="1"/>
                <w:color w:val="auto"/>
              </w:rPr>
            </w:pPr>
          </w:p>
        </w:tc>
      </w:tr>
      <w:tr>
        <w:trPr>
          <w:trHeight w:val="252"/>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(78,021)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(65,360)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311,461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279,915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6"/>
          </w:tcPr>
          <w:p>
            <w:pPr>
              <w:jc w:val="center"/>
              <w:ind w:right="241"/>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20"/>
                <w:szCs w:val="20"/>
                <w:color w:val="auto"/>
                <w:w w:val="99"/>
              </w:rPr>
              <w:t>March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tax:</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1"/>
                <w:szCs w:val="11"/>
                <w:color w:val="auto"/>
              </w:rPr>
              <w:t>(1) (2)</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343,016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301,964</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45,577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42,583</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971</w:t>
            </w:r>
          </w:p>
        </w:tc>
        <w:tc>
          <w:tcPr>
            <w:tcW w:w="0" w:type="dxa"/>
            <w:vAlign w:val="bottom"/>
          </w:tcPr>
          <w:p>
            <w:pPr>
              <w:spacing w:after="0"/>
              <w:rPr>
                <w:sz w:val="1"/>
                <w:szCs w:val="1"/>
                <w:color w:val="auto"/>
              </w:rPr>
            </w:pPr>
          </w:p>
        </w:tc>
      </w:tr>
      <w:tr>
        <w:trPr>
          <w:trHeight w:val="252"/>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(75,292)</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(63,798)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314,203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281,720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$14.2 million and $11.2 million for the three-months ended March 31, 2019 and 2018, respectively, related to the recognition of deferred revenue.</w:t>
      </w:r>
    </w:p>
    <w:p>
      <w:pPr>
        <w:spacing w:after="0" w:line="203"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$10.7 million and $7.0 million for the three-months ended March 31, 2019 and 2018, respectively, related to distributor termination costs.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4"/>
          </w:tcPr>
          <w:p>
            <w:pPr>
              <w:jc w:val="right"/>
              <w:ind w:right="561"/>
              <w:spacing w:after="0"/>
              <w:rPr>
                <w:sz w:val="20"/>
                <w:szCs w:val="20"/>
                <w:color w:val="auto"/>
              </w:rPr>
            </w:pPr>
            <w:r>
              <w:rPr>
                <w:rFonts w:ascii="Times New Roman" w:cs="Times New Roman" w:eastAsia="Times New Roman" w:hAnsi="Times New Roman"/>
                <w:sz w:val="20"/>
                <w:szCs w:val="20"/>
                <w:color w:val="auto"/>
              </w:rPr>
              <w:t>Three-Months Ended</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2019</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9,798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8,809</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1,963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1,926</w:t>
            </w: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1,159</w:t>
            </w:r>
          </w:p>
        </w:tc>
        <w:tc>
          <w:tcPr>
            <w:tcW w:w="0" w:type="dxa"/>
            <w:vAlign w:val="bottom"/>
          </w:tcPr>
          <w:p>
            <w:pPr>
              <w:spacing w:after="0"/>
              <w:rPr>
                <w:sz w:val="1"/>
                <w:szCs w:val="1"/>
                <w:color w:val="auto"/>
              </w:rPr>
            </w:pPr>
          </w:p>
        </w:tc>
      </w:tr>
      <w:tr>
        <w:trPr>
          <w:trHeight w:val="252"/>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1,954</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2,097</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14,870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13,991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20"/>
          <w:szCs w:val="20"/>
          <w:color w:val="auto"/>
        </w:rPr>
        <w:t>Corporate and unallocated expenses for the three-months ended March 31, 2019 include $50.4 million of payroll costs, of which $15.3 million was attributable to stock-based compensation expenses (see Note 15 “Stock-Based Compensation”), as well as $17.5 million attributable to professional service expenses, including accounting and legal costs, and $10.1 million of other operating expenses. Corporate and unallocated expenses for the three-months ended March 31, 2018 include $43.1 million of payroll costs, of which $13.4 million was attributable to stock-based compensation expenses (see Note 15, “Stock-Based Compensation”), as well as $12.4 million attributable to professional service expenses, including accounting and legal costs, and $9.9 million of other operating expenses.</w:t>
      </w:r>
    </w:p>
    <w:p>
      <w:pPr>
        <w:spacing w:after="0" w:line="185"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and 14% of the Company’s net sales for the three-months ended March 31, 2019 and 2018, respectively.</w:t>
      </w:r>
    </w:p>
    <w:p>
      <w:pPr>
        <w:spacing w:after="0" w:line="160"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and 13% of the Company’s net sales for the three-months ended March 31, 2019 and 2018, respectively.</w:t>
      </w:r>
    </w:p>
    <w:p>
      <w:pPr>
        <w:spacing w:after="0" w:line="160"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9% and 10% of the Company’s net sales for the three-months ended March 31, 2019 and 2018, respectively.</w:t>
      </w:r>
    </w:p>
    <w:p>
      <w:pPr>
        <w:spacing w:after="0" w:line="17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Net sales to customers outside the United States amounted to $284.1 million and $242.1 million for the three-months ended March 31, 2019 and 2018, respectively. Such sales were approximately 30% and 28% of net sales for the three-months ended March 31, 2019 and 2018, respectively.</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Goodwill and other intangible assets for the Company’s reportable segments as of March 31, 2019 and December 31, 2018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24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December 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6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2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2018</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Monster Energy® Drinks</w:t>
            </w:r>
          </w:p>
        </w:tc>
        <w:tc>
          <w:tcPr>
            <w:tcW w:w="24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1,368,115</w:t>
            </w:r>
          </w:p>
        </w:tc>
        <w:tc>
          <w:tcPr>
            <w:tcW w:w="2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1,368,620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Strategic Brands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988,545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989,944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Other</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17,822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18,957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6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2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2,374,482</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2,377,521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80" w:type="dxa"/>
            <w:vAlign w:val="bottom"/>
            <w:vMerge w:val="restart"/>
          </w:tcPr>
          <w:p>
            <w:pPr>
              <w:jc w:val="right"/>
              <w:ind w:right="805"/>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controls approximately 19% of the voting interests of the Company. The TCCC Subsidiaries, the TCCC Related Parties and the TCCC independent bottlers, purchase and distribute certain of the Company’s products in certain domestic and international markets. The Company also pays TCCC a commission based on certain sales within the TCCC distribution network.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three-months ended March 31, 2019 were $12.1 million, and are included as a reduction to net sales. TCCC commissions, based on sales to TCCC independent bottlers/distributors for the three-months ended March 31, 2019 were $3.8 million, and are included in operating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three-months ended March 31, 2018 were $11.3 million, and are included as a reduction to net sales. TCCC commissions, based on sales to TCCC independent bottlers/distributors for the three-months ended March 31, 2018 were $3.1 million, and are included in operating expenses.</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to the TCCC Subsidiaries for the three-months ended March 31, 2019 and 2018 were $17.3 million and $35.0 million, respectively. As part of TCCC’s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three-months ended March 31, 2019.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also purchases concentrates from TCCC which are then sold to certain of the Company’s bottlers/distributors.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Concentrate purchases from TCCC were $6.6 million and $2.9 million for the three-months ended March 31, 2019 and 2018, respectively.</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Certain TCCC Subsidiaries also contract manufacture certain of the Company’s Monster Energy® brand energy drinks. Such contract manufacturing expenses were $4.5 million and $5.4 million for the three-months ended March 31, 2019 and 2018, respectively.</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Accounts receivable, accounts payable and accrued promotional allowances related to the TCCC Subsidiaries are as follows at:</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March 31,</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December 31,</w:t>
            </w:r>
          </w:p>
        </w:tc>
      </w:tr>
      <w:tr>
        <w:trPr>
          <w:trHeight w:val="252"/>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2019</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2018</w:t>
            </w:r>
          </w:p>
        </w:tc>
      </w:tr>
      <w:tr>
        <w:trPr>
          <w:trHeight w:val="416"/>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18,305</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25,312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(35,016)</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(54,430)</w:t>
            </w:r>
          </w:p>
        </w:tc>
      </w:tr>
      <w:tr>
        <w:trPr>
          <w:trHeight w:val="25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Accrued promotional allowances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w:t>
            </w:r>
          </w:p>
        </w:tc>
        <w:tc>
          <w:tcPr>
            <w:tcW w:w="2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2019 and 2018 were $0.3 million and $0.8 million,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condensed consolidated balance sheet at December 31, 2018. During the three-months ended March 31, 2019, the Company made an additional $0.05 million capital contribution and recorded an equity loss of $0.02 million. As of March 31, 2019, the Company’s equity investment is $1.9 million and is included in other assets (non-current) in the accompanying condensed consolidated balance sheet at March 31,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MAXX®</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 Energy®</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Espresso Monster®</w:t>
            </w:r>
          </w:p>
        </w:tc>
        <w:tc>
          <w:tcPr>
            <w:tcW w:w="5320" w:type="dxa"/>
            <w:vAlign w:val="bottom"/>
            <w:gridSpan w:val="2"/>
          </w:tcPr>
          <w:p>
            <w:pPr>
              <w:ind w:left="2340"/>
              <w:spacing w:after="0"/>
              <w:rPr>
                <w:sz w:val="20"/>
                <w:szCs w:val="20"/>
                <w:color w:val="auto"/>
              </w:rPr>
            </w:pPr>
            <w:r>
              <w:rPr>
                <w:rFonts w:ascii="Times New Roman" w:cs="Times New Roman" w:eastAsia="Times New Roman" w:hAnsi="Times New Roman"/>
                <w:sz w:val="20"/>
                <w:szCs w:val="20"/>
                <w:color w:val="auto"/>
              </w:rPr>
              <w:t>·   Play® and Power Play(stylized)®</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Hydro®</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Caffé Monster®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Live+</w:t>
            </w:r>
            <w:r>
              <w:rPr>
                <w:rFonts w:ascii="Times New Roman" w:cs="Times New Roman" w:eastAsia="Times New Roman" w:hAnsi="Times New Roman"/>
                <w:sz w:val="12"/>
                <w:szCs w:val="12"/>
                <w:color w:val="auto"/>
              </w:rPr>
              <w:t>TM</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Mutant®</w:t>
            </w:r>
          </w:p>
        </w:tc>
      </w:tr>
      <w:tr>
        <w:trPr>
          <w:trHeight w:val="258"/>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Total Body Fuel</w:t>
            </w:r>
            <w:r>
              <w:rPr>
                <w:rFonts w:ascii="Times New Roman" w:cs="Times New Roman" w:eastAsia="Times New Roman" w:hAnsi="Times New Roman"/>
                <w:sz w:val="12"/>
                <w:szCs w:val="12"/>
                <w:color w:val="auto"/>
              </w:rPr>
              <w:t>TM</w:t>
            </w:r>
          </w:p>
        </w:tc>
        <w:tc>
          <w:tcPr>
            <w:tcW w:w="25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r>
    </w:tbl>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Monster Energy® brand energy drinks represented 89.6% and 91.6% of our net sales for the three-months ended March 31, 2019 and 2018, respectively.</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have three operating and reportable segments, (i) Monster Energy® Drinks segment (“Monster Energy® Drinks”), which is primarily comprised of our Monster Energy® drinks and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the three-months ended March 31, 2019, we continued to expand our existing energy drink portfolio and further develop our distribution markets. During the three-months ended March 31, 2019, we introduced the following products:</w:t>
      </w:r>
    </w:p>
    <w:p>
      <w:pPr>
        <w:spacing w:after="0" w:line="173" w:lineRule="exact"/>
        <w:rPr>
          <w:sz w:val="20"/>
          <w:szCs w:val="20"/>
          <w:color w:val="auto"/>
        </w:rPr>
      </w:pP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Burn® Sour Twist</w:t>
      </w:r>
    </w:p>
    <w:p>
      <w:pPr>
        <w:spacing w:after="0" w:line="21"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Dragon Tea</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Green Tea</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Dragon Tea</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Yerba Mate</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Paradise®</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Mother® Tropical Blast</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NOS® Power Punch</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NOS® Sonic Sour</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Predator® Red Dawn</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Carnival Candy</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Lemon Hdz</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Peach Fizz</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Melon Mania</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Razzle Berry</w:t>
      </w:r>
    </w:p>
    <w:p>
      <w:pPr>
        <w:ind w:left="620" w:hanging="288"/>
        <w:spacing w:after="0"/>
        <w:tabs>
          <w:tab w:leader="none" w:pos="6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Sour Apple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the three-months ended March 31, 2019, either individually or in aggregate, did not have a material adverse impact on our financial position, results of operations or liquidity.</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net sales of $946.0 million for the three-months ended March 31, 2019 represented record sales for our first fiscal quarter. Net sales for the three-months ended March 31, 2019 were positively impacted by approximately $28.2 million as a result of a price increase that was effective on November 1, 2018, on certain of our Monster Energy® brand energy drinks in the United States and Canada. Net changes in foreign currency exchange rates had an unfavorable impact on net sales of approximately $22.0 million for the three-months ended March 31, 2019.</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vast majority of our net sales are derived from our Monster Energy® Drinks segment. Net sales of our Monster Energy® Drinks segment were $870.4 million for the three-months ended March 31, 2019. Net sales of our Strategic Brands segment were $70.3 million for the three-months ended March 31, 2019. Our Monster Energy® Drinks segment represented 92.0% and 91.7% of our net sales for the three-months ended March 31, 2019 and 2018, respectively. Our Strategic Brands segment represented 7.4% and 7.7% of our net sales for the three-months ended March 31, 2019 and 2018, respectively. Our Other segment represented 0.6% and 0.5% of our net sales for the three-months ended March 31, 2019 and 2018, respectively.</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growth strategy includes expanding our international business. Net sales to customers outside the United States amounted to $284.1 million and $242.1 million for the three-months ended March 31, 2019 and 2018, respectively. Such sales were approximately 30% and 28% of net sales for the three-months ended March 31, 2019 and 2018, respectively.</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customers are primarily full service beverage bottlers/distributors, retail grocery and specialty chains, wholesalers, club stores, mass merchandisers, convenience chains, drug stores, foodservice customers and the military. Percentages of our gross sales to our various customer types for the three-months ended March 31, 2019 and 2018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right="881"/>
              <w:spacing w:after="0"/>
              <w:rPr>
                <w:sz w:val="20"/>
                <w:szCs w:val="20"/>
                <w:color w:val="auto"/>
              </w:rPr>
            </w:pPr>
            <w:r>
              <w:rPr>
                <w:rFonts w:ascii="Times New Roman" w:cs="Times New Roman" w:eastAsia="Times New Roman" w:hAnsi="Times New Roman"/>
                <w:sz w:val="20"/>
                <w:szCs w:val="20"/>
                <w:color w:val="auto"/>
                <w:w w:val="99"/>
              </w:rPr>
              <w:t>March 31,</w:t>
            </w:r>
          </w:p>
        </w:tc>
        <w:tc>
          <w:tcPr>
            <w:tcW w:w="0" w:type="dxa"/>
            <w:vAlign w:val="bottom"/>
          </w:tcPr>
          <w:p>
            <w:pPr>
              <w:spacing w:after="0"/>
              <w:rPr>
                <w:sz w:val="1"/>
                <w:szCs w:val="1"/>
                <w:color w:val="auto"/>
              </w:rPr>
            </w:pPr>
          </w:p>
        </w:tc>
      </w:tr>
      <w:tr>
        <w:trPr>
          <w:trHeight w:val="223"/>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 full service bottlers/distributors</w:t>
            </w:r>
          </w:p>
        </w:tc>
        <w:tc>
          <w:tcPr>
            <w:tcW w:w="980" w:type="dxa"/>
            <w:vAlign w:val="bottom"/>
          </w:tcPr>
          <w:p>
            <w:pPr>
              <w:jc w:val="center"/>
              <w:ind w:left="281"/>
              <w:spacing w:after="0" w:line="223" w:lineRule="exact"/>
              <w:rPr>
                <w:sz w:val="20"/>
                <w:szCs w:val="20"/>
                <w:color w:val="auto"/>
              </w:rPr>
            </w:pPr>
            <w:r>
              <w:rPr>
                <w:rFonts w:ascii="Times New Roman" w:cs="Times New Roman" w:eastAsia="Times New Roman" w:hAnsi="Times New Roman"/>
                <w:sz w:val="20"/>
                <w:szCs w:val="20"/>
                <w:color w:val="auto"/>
                <w:w w:val="99"/>
              </w:rPr>
              <w:t>2019</w:t>
            </w:r>
          </w:p>
        </w:tc>
        <w:tc>
          <w:tcPr>
            <w:tcW w:w="2040" w:type="dxa"/>
            <w:vAlign w:val="bottom"/>
            <w:gridSpan w:val="3"/>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9"/>
              </w:rPr>
              <w:t>2018</w:t>
            </w:r>
          </w:p>
        </w:tc>
        <w:tc>
          <w:tcPr>
            <w:tcW w:w="0" w:type="dxa"/>
            <w:vAlign w:val="bottom"/>
          </w:tcPr>
          <w:p>
            <w:pPr>
              <w:spacing w:after="0"/>
              <w:rPr>
                <w:sz w:val="1"/>
                <w:szCs w:val="1"/>
                <w:color w:val="auto"/>
              </w:rPr>
            </w:pPr>
          </w:p>
        </w:tc>
      </w:tr>
      <w:tr>
        <w:trPr>
          <w:trHeight w:val="200"/>
        </w:trPr>
        <w:tc>
          <w:tcPr>
            <w:tcW w:w="5000" w:type="dxa"/>
            <w:vAlign w:val="bottom"/>
            <w:gridSpan w:val="2"/>
            <w:vMerge w:val="continue"/>
          </w:tcPr>
          <w:p>
            <w:pPr>
              <w:spacing w:after="0"/>
              <w:rPr>
                <w:sz w:val="17"/>
                <w:szCs w:val="17"/>
                <w:color w:val="auto"/>
              </w:rPr>
            </w:pPr>
          </w:p>
        </w:tc>
        <w:tc>
          <w:tcPr>
            <w:tcW w:w="980" w:type="dxa"/>
            <w:vAlign w:val="bottom"/>
            <w:tcBorders>
              <w:top w:val="single" w:sz="8" w:color="auto"/>
            </w:tcBorders>
          </w:tcPr>
          <w:p>
            <w:pPr>
              <w:jc w:val="center"/>
              <w:ind w:left="281"/>
              <w:spacing w:after="0" w:line="200" w:lineRule="exact"/>
              <w:rPr>
                <w:sz w:val="20"/>
                <w:szCs w:val="20"/>
                <w:color w:val="auto"/>
              </w:rPr>
            </w:pPr>
            <w:r>
              <w:rPr>
                <w:rFonts w:ascii="Times New Roman" w:cs="Times New Roman" w:eastAsia="Times New Roman" w:hAnsi="Times New Roman"/>
                <w:sz w:val="20"/>
                <w:szCs w:val="20"/>
                <w:color w:val="auto"/>
                <w:w w:val="98"/>
              </w:rPr>
              <w:t>59%</w:t>
            </w:r>
          </w:p>
        </w:tc>
        <w:tc>
          <w:tcPr>
            <w:tcW w:w="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62%</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full service bottlers/distributors</w:t>
            </w:r>
          </w:p>
        </w:tc>
        <w:tc>
          <w:tcPr>
            <w:tcW w:w="98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8"/>
              </w:rPr>
              <w:t>32%</w:t>
            </w:r>
          </w:p>
        </w:tc>
        <w:tc>
          <w:tcPr>
            <w:tcW w:w="2040" w:type="dxa"/>
            <w:vAlign w:val="bottom"/>
            <w:gridSpan w:val="3"/>
          </w:tcPr>
          <w:p>
            <w:pPr>
              <w:jc w:val="center"/>
              <w:ind w:left="581"/>
              <w:spacing w:after="0"/>
              <w:rPr>
                <w:sz w:val="20"/>
                <w:szCs w:val="20"/>
                <w:color w:val="auto"/>
              </w:rPr>
            </w:pPr>
            <w:r>
              <w:rPr>
                <w:rFonts w:ascii="Times New Roman" w:cs="Times New Roman" w:eastAsia="Times New Roman" w:hAnsi="Times New Roman"/>
                <w:sz w:val="20"/>
                <w:szCs w:val="20"/>
                <w:color w:val="auto"/>
                <w:w w:val="98"/>
              </w:rPr>
              <w:t>30%</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Club stores and mass merchandisers</w:t>
            </w:r>
          </w:p>
        </w:tc>
        <w:tc>
          <w:tcPr>
            <w:tcW w:w="98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rPr>
              <w:t>8%</w:t>
            </w:r>
          </w:p>
        </w:tc>
        <w:tc>
          <w:tcPr>
            <w:tcW w:w="204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7"/>
              </w:rPr>
              <w:t>6%</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98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rPr>
              <w:t>1%</w:t>
            </w:r>
          </w:p>
        </w:tc>
        <w:tc>
          <w:tcPr>
            <w:tcW w:w="204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7"/>
              </w:rPr>
              <w:t>1%</w:t>
            </w:r>
          </w:p>
        </w:tc>
        <w:tc>
          <w:tcPr>
            <w:tcW w:w="0" w:type="dxa"/>
            <w:vAlign w:val="bottom"/>
          </w:tcPr>
          <w:p>
            <w:pPr>
              <w:spacing w:after="0"/>
              <w:rPr>
                <w:sz w:val="1"/>
                <w:szCs w:val="1"/>
                <w:color w:val="auto"/>
              </w:rPr>
            </w:pPr>
          </w:p>
        </w:tc>
      </w:tr>
      <w:tr>
        <w:trPr>
          <w:trHeight w:val="258"/>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98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7"/>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Our customers include Coca-Cola Refreshments USA, Inc., Coca-Cola Refreshments Canada Company (Coca-Cola Canada Bottling Limited from September 28, 2018), Coca-Cola Bottling Company, CCBCC Operations, LLC, United Bottling Contracts Company, LLC, Reyes Coca-Cola Bottling, Great Lakes Coca-Cola Bottling, Coca-Cola Southwest Beverages LLC, Coca-Cola of Northern New England, Swire Coca-Cola (USA), Liberty Coca-Cola Beverages and certain other TCCC independent bottlers, Coca-Cola European Partners, Coca-Cola Hellenic, Coca-Cola FEMSA, Coca-Cola Amatil, Swire Coca-Cola (China), COFCO Coca-Cola, Coca-Cola Beverages Africa, Coca-Cola </w:t>
      </w:r>
      <w:r>
        <w:rPr>
          <w:rFonts w:ascii="Times New Roman" w:cs="Times New Roman" w:eastAsia="Times New Roman" w:hAnsi="Times New Roman"/>
          <w:sz w:val="18"/>
          <w:szCs w:val="18"/>
          <w:color w:val="auto"/>
        </w:rPr>
        <w:t>İ</w:t>
      </w:r>
      <w:r>
        <w:rPr>
          <w:rFonts w:ascii="Times New Roman" w:cs="Times New Roman" w:eastAsia="Times New Roman" w:hAnsi="Times New Roman"/>
          <w:sz w:val="19"/>
          <w:szCs w:val="19"/>
          <w:color w:val="auto"/>
        </w:rPr>
        <w:t>çecek and certain other TCCC network bottlers, Asahi Soft Drinks, Co., Ltd., Kalil Bottling Group (until March 5, 2019), Wal-Mart,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(including Sam’s Club), Costco Wholesale Corporation and Big Geyser, Inc. (until April 5, 2019). A decision by any large customer to decrease amounts purchased from us or to cease carrying our products could have a material negative effect on our financial condition and consolidated results of operations.</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CCBCC Operations, LLC accounted for approximately 13% and 14% of our net sales for the three-months ended March 31, 2019 and 2018,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accounted for approximately 12% and 13% of our net sales for the three-months ended March 31, 2019 and 2018,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European Partners accounted for approximately 9% and 10% of our net sales for the three-months ended March 31, 2019 and 2018,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three-months ended March 31,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Three-Months Ended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1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 vs. 18</w:t>
            </w:r>
          </w:p>
        </w:tc>
        <w:tc>
          <w:tcPr>
            <w:tcW w:w="0" w:type="dxa"/>
            <w:vAlign w:val="bottom"/>
          </w:tcPr>
          <w:p>
            <w:pPr>
              <w:spacing w:after="0"/>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945,991</w:t>
            </w:r>
          </w:p>
        </w:tc>
        <w:tc>
          <w:tcPr>
            <w:tcW w:w="1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850,921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36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372,459</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8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43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262,071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311,461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5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r>
              <w:rPr>
                <w:rFonts w:ascii="Times New Roman" w:cs="Times New Roman" w:eastAsia="Times New Roman" w:hAnsi="Times New Roman"/>
                <w:sz w:val="23"/>
                <w:szCs w:val="23"/>
                <w:color w:val="auto"/>
                <w:vertAlign w:val="superscript"/>
              </w:rPr>
              <w:t>1,2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4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261,485</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as a percentage of net sales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Case sales (in thousands)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192-ounce case equivalents)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¹Includes $14.2 million and $11.2 million for the three-months ended March 31, 2019 and 2018, respectively, related to the recognition of deferred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6"/>
          <w:szCs w:val="16"/>
          <w:i w:val="1"/>
          <w:iCs w:val="1"/>
          <w:color w:val="auto"/>
        </w:rPr>
        <w:t>Includes $10.7 million and $7.0 million for the three-months ended March 31, 2019 and 2018, respectively, of distributor termination costs.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Three-Months Ended March 31, 2019 Compared to the Three-Months Ended March 31, 2018.</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$946.0 million for the three-months ended March 31, 2019, an increase of approximately $95.1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11.2% higher than net sales of $850.9 million for the three-months ended March 31, 2018. Net sales for the three-months ended March 31, 2019 were positively impacted by approximately $28.2 million as a result of a price increase that became effective on November 1, 2018 on certain of our Monster Energy® brand energy drinks in the United States and Canada. Net changes in foreign currency exchange rates had an unfavorable impact on net sales of approximately $22.0 million for the three-months ended March 31, 2019.</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Net sales for the Monster Energy® Drinks segment were $870.4 million for the three-months ended March 31, 2019, an increase of approximately $89.9 million, or 11.5% higher than net sales of $780.5 million for the three-months ended March 31, 2018. Net sales for the Monster Energy® Drinks segment increased primarily due to increased sales by volume of our Monster Energy® brand energy drinks as a result of increased domestic and international consumer demand and sales of our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brand high performance energy drinks, introduced in March 2019. Net changes in foreign currency exchange rates had an unfavorable impact on net sales for the Monster Energy® Drinks segment of approximately $18.2 million for the three-months ended March 31, 2019.</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for the Strategic Brands segment were $70.3 million for the three-months ended March 31, 2019, an increase of approximately $4.5 million, or 6.9% higher than net sales of $65.8 million for the three-months ended March 31, 2018. Net changes in foreign currency exchange rates had an unfavorable impact on net sales for the Strategic Brands segment of approximately $3.8 million for the three-months ended March 31, 2019.</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Other segment were $5.3 million for the three-months ended March 31, 2019, an increase of approximately $0.7 million, or 14.3% higher than net sales of $4.7 million for the three-months ended March 31, 2018.</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Case sales, in 192-ounce case equivalents, were 101.3 million cases for the three-months ended March 31, 2019, an increase of approximately 9.0 million cases or 9.7% higher than case sales of 92.3 million cases for the three-months ended March 31, 2018. The overall average net sales per case (excluding net sales of AFF Third-Party Products of $5.3 million and $4.7 million for the three-months ended March 31, 2019 and 2018, respectively, as these sales do not have unit case equivalents) increased to $9.29 for the three-months ended March 31, 2019, which was 1.3% higher than the average net sales per case of $9.17 for the three-months ended March 31, 2018. The increase in the average net sales per case was primarily attributable to a price increase that became effective on November 1, 2018 on certain of our Monster Energy® brand energy drinks in the United States.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$573.5 million for the three-months ended March 31, 2019, an increase of approximately $58.3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11.3% higher than the gross profit of $515.3 million for the three-months ended March 31, 2018. The increase in gross profit dollars was primarily the result of the $89.9 million increase in net sales of our Monster Energy® Drinks segment for the three-months ended March 31, 2019.</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profit as a percentage of net sales was 60.6% for both the three-months ended March 31, 2019 and March 31, 2018. During the three-months ended March 31, 2019, gross profit as a percentage of net sales was positively impacted by the sales price increase discussed above, which was offset by geographical sales mix and an increase in certain input costs.</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$262.1 million for the three-months ended March 31, 2019,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$26.7 million, or 11.4% higher than total operating expenses of $235.3 million for the three-months ended March 31, 2018. The increase in operating expenses was primarily due to increased payroll expenses of $8.6 million (of which $1.9 million was related to an increase in stock-based compensation), increased expenditures of $6.0 million for sponsorships and endorsements, increased expenditures of $5.3 million for professional service fees, including legal and accounting costs, and increased expenditures of $3.7 million in costs associated with distributor terminations.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$311.5 million for the three-months ended March 31, 2019, an increase of approximately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$31.5 million, or 11.3% higher than operating income of $279.9 million for the three-months ended March 31, 2018. Operating income as a percentage of net sales was 32.9% for both the three-months ended March 31, 2019 and March 31, 2018. Operating income was $52.0 million and $42.5 million for the three-months ended March 31, 2019 and 2018, respectively, in connection with our operations in Europe, Middle East and Africa (“EMEA”), Asia Pacific and South America.</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Operating income for the Monster Energy® Drinks segment was $343.0 million for the three-months ended March 31, 2019, an increase of approximately $41.3 million, or 13.7% higher than operating income of $301.7 million for the three-months ended March 31, 2018. The increase in operating income for the Monster Energy® Drinks segment was primarily the result of the $89.9 million increase in net sales of our Monster Energy® Drinks segment for the three-months ended March 31, 2019.</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Operating income for the Strategic Brands segment was $45.6 million for the three-months ended March 31, 2019, an increase of approximately $3.0 million, or 7.0% higher than operating income of $42.6 million for the three-months ended March 31, 2018.</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Operating income for the Other segment was $0.9 million for the three-months ended March 31, 2019, a decrease of approximately $0.1 million, or 7.3% lower than operating income of $1.0 million for the three-months ended March 31, 2018.</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Interest and Other Income, net</w:t>
      </w:r>
      <w:r>
        <w:rPr>
          <w:rFonts w:ascii="Times New Roman" w:cs="Times New Roman" w:eastAsia="Times New Roman" w:hAnsi="Times New Roman"/>
          <w:sz w:val="20"/>
          <w:szCs w:val="20"/>
          <w:color w:val="auto"/>
        </w:rPr>
        <w:t>. Interest and other non-operating income, net, was $2.7 million for the three-months ended March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as compared to interest and other non-operating income, net of $1.8 million for the three-months ended March 31, 2018. Foreign currency transaction losses were $0.2 million and $1.4 million for the three-months ended March 31, 2019 and 2018, respectively. Interest income was $3.3 million and $3.0 million for the three-months ended March 31, 2019 and 2018, respectively.</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$52.7 million for the three-months ended March 31, 2019, a decrease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$13.0 million, or 19.7% lower than the provision for income taxes of $65.7 million for the three-months ended March 31, 2018. The effective combined federal, state and foreign tax rate decreased to 16.8% from 23.3% for the three-months ended March 31, 2019 and 2018, respectively. The decrease in the effective tax rate was primarily attributable to an increase in the deductions for equity compensation, as well as the increase in profits earned by certain foreign subsidiaries in lower tax jurisdictions than the United States.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$261.5 million for the three-months ended March 31, 2019, an increase of $45.4 million, or 21.0%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net income of $216.1 million for the three-months ended March 31, 2018. The increase in net income was primarily due to the $58.3 million increase in gross profit and the $13.0 million decrease in the provision for income taxes. The increase in net income was partially offset by the increase in operating expenses of $26.7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$1.09 billion for the three-months ended March 31, 2019, an increase of approximately $99.8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10.1% higher than gross sales of $990.6 million for the three-months ended March 31, 2018. Net changes in foreign currency exchange rates had an unfavorable impact on gross sales of approximately $25.9 million for the three-months ended March 31, 2019.</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Gross sales for the Monster Energy® Drinks segment were $1.01 billion for the three-months ended March 31, 2019, an increase of approximately $95.6 million, or 10.5% higher than gross sales of $910.0 million for the three-months ended March 31, 2018. Gross sales for the Monster Energy® Drinks segment increased primarily due to increased sales by volume of our Monster Energy® brand energy drinks as a result of increased domestic and international consumer demand and sales of our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brand high performance energy drinks, introduced in March 2019. Net changes in foreign currency exchange rates had an unfavorable impact on gross sales for the Monster Energy® Drinks segment of approximately $22.1 million for the three-months ended March 31,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Gross sales of our Strategic Brands segment were $79.5 million for the three-months ended March 31, 2019, an increase of $3.5 million, or 4.6% higher than gross sales of $76.0 million for the three-months ended March 31, 2018. Net changes in foreign currency exchange rates had an unfavorable impact on gross sales in the Strategic Brands segment of approximately $3.8 million for the three-months ended March 31, 2019.</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Gross sales of our Other Segment were $5.3 million for the three-months ended March 31, 2019, an increase of $0.7 million, or 14.3% higher than gross sales of $4.7 million for the three-months ended March 31, 2018.</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and other allowances, as described in the footnote below, were $144.4 million for the three-months ended March 31, 2019, an increase of $4.7 million, or 3.4% higher than promotional and other allowances of $139.7 million for the three-months ended March 31, 2018. Promotional and other allowances as a percentage of gross sales decreased to 13.2% from 14.1% for the three-months ended March 31, 2019 and 2018, respectively.</w:t>
      </w:r>
    </w:p>
    <w:p>
      <w:pPr>
        <w:spacing w:after="0" w:line="201" w:lineRule="exact"/>
        <w:rPr>
          <w:sz w:val="20"/>
          <w:szCs w:val="20"/>
          <w:color w:val="auto"/>
        </w:rPr>
      </w:pPr>
    </w:p>
    <w:p>
      <w:pPr>
        <w:jc w:val="both"/>
        <w:ind w:firstLine="689"/>
        <w:spacing w:after="0" w:line="270" w:lineRule="auto"/>
        <w:rPr>
          <w:sz w:val="20"/>
          <w:szCs w:val="20"/>
          <w:color w:val="auto"/>
        </w:rPr>
      </w:pPr>
      <w:r>
        <w:rPr>
          <w:rFonts w:ascii="Times New Roman" w:cs="Times New Roman" w:eastAsia="Times New Roman" w:hAnsi="Times New Roman"/>
          <w:sz w:val="16"/>
          <w:szCs w:val="16"/>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non-GAAP financial measure of gross sales with the most directly comparable GAAP financial measure of net sales:</w:t>
      </w:r>
    </w:p>
    <w:p>
      <w:pPr>
        <w:sectPr>
          <w:pgSz w:w="11900" w:h="16838" w:orient="portrait"/>
          <w:cols w:equalWidth="0" w:num="1">
            <w:col w:w="11420"/>
          </w:cols>
          <w:pgMar w:left="240" w:top="121" w:right="239" w:bottom="1440" w:gutter="0" w:footer="0" w:header="0"/>
        </w:sect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thousands)</w:t>
      </w:r>
    </w:p>
    <w:p>
      <w:pPr>
        <w:spacing w:after="0" w:line="368" w:lineRule="exact"/>
        <w:rPr>
          <w:sz w:val="20"/>
          <w:szCs w:val="20"/>
          <w:color w:val="auto"/>
        </w:rPr>
      </w:pPr>
    </w:p>
    <w:p>
      <w:pPr>
        <w:ind w:left="180" w:hanging="181"/>
        <w:spacing w:after="0" w:line="242" w:lineRule="auto"/>
        <w:rPr>
          <w:sz w:val="20"/>
          <w:szCs w:val="20"/>
          <w:color w:val="auto"/>
        </w:rPr>
      </w:pPr>
      <w:r>
        <w:rPr>
          <w:rFonts w:ascii="Times New Roman" w:cs="Times New Roman" w:eastAsia="Times New Roman" w:hAnsi="Times New Roman"/>
          <w:sz w:val="22"/>
          <w:szCs w:val="22"/>
          <w:color w:val="auto"/>
        </w:rPr>
        <w:t>Gross sales, net of discounts and returns</w:t>
      </w:r>
    </w:p>
    <w:p>
      <w:pPr>
        <w:ind w:left="180" w:hanging="181"/>
        <w:spacing w:after="0" w:line="230" w:lineRule="auto"/>
        <w:rPr>
          <w:sz w:val="20"/>
          <w:szCs w:val="20"/>
          <w:color w:val="auto"/>
        </w:rPr>
      </w:pPr>
      <w:r>
        <w:rPr>
          <w:rFonts w:ascii="Times New Roman" w:cs="Times New Roman" w:eastAsia="Times New Roman" w:hAnsi="Times New Roman"/>
          <w:sz w:val="22"/>
          <w:szCs w:val="22"/>
          <w:color w:val="auto"/>
        </w:rPr>
        <w:t>Less: Promotional and other allowances***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Sales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640" w:type="dxa"/>
            <w:vAlign w:val="bottom"/>
            <w:gridSpan w:val="4"/>
          </w:tcPr>
          <w:p>
            <w:pPr>
              <w:jc w:val="right"/>
              <w:ind w:right="472"/>
              <w:spacing w:after="0"/>
              <w:rPr>
                <w:sz w:val="20"/>
                <w:szCs w:val="20"/>
                <w:color w:val="auto"/>
              </w:rPr>
            </w:pPr>
            <w:r>
              <w:rPr>
                <w:rFonts w:ascii="Times New Roman" w:cs="Times New Roman" w:eastAsia="Times New Roman" w:hAnsi="Times New Roman"/>
                <w:sz w:val="22"/>
                <w:szCs w:val="22"/>
                <w:color w:val="auto"/>
              </w:rPr>
              <w:t>Three-Months Ended</w:t>
            </w:r>
          </w:p>
        </w:tc>
        <w:tc>
          <w:tcPr>
            <w:tcW w:w="1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Percentage</w:t>
            </w:r>
          </w:p>
        </w:tc>
      </w:tr>
      <w:tr>
        <w:trPr>
          <w:trHeight w:val="271"/>
        </w:trPr>
        <w:tc>
          <w:tcPr>
            <w:tcW w:w="3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9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Change</w:t>
            </w:r>
          </w:p>
        </w:tc>
      </w:tr>
      <w:tr>
        <w:trPr>
          <w:trHeight w:val="237"/>
        </w:trPr>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19 vs. 18</w:t>
            </w:r>
          </w:p>
        </w:tc>
      </w:tr>
      <w:tr>
        <w:trPr>
          <w:trHeight w:val="478"/>
        </w:trPr>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1,090,426</w:t>
            </w:r>
          </w:p>
        </w:tc>
        <w:tc>
          <w:tcPr>
            <w:tcW w:w="20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990,639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74"/>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144,435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139,718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37"/>
        </w:trPr>
        <w:tc>
          <w:tcPr>
            <w:tcW w:w="36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945,991</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850,921</w:t>
            </w:r>
          </w:p>
        </w:tc>
        <w:tc>
          <w:tcPr>
            <w:tcW w:w="16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11.2%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340"/>
            <w:col w:w="8620"/>
          </w:cols>
          <w:pgMar w:left="240" w:top="121" w:right="239" w:bottom="1440" w:gutter="0" w:footer="0" w:header="0"/>
          <w:type w:val="continuous"/>
        </w:sectPr>
      </w:pP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w:t>
      </w:r>
    </w:p>
    <w:p>
      <w:pPr>
        <w:spacing w:after="0" w:line="1" w:lineRule="exact"/>
        <w:rPr>
          <w:sz w:val="20"/>
          <w:szCs w:val="20"/>
          <w:color w:val="auto"/>
        </w:rPr>
      </w:pPr>
    </w:p>
    <w:p>
      <w:pPr>
        <w:jc w:val="both"/>
        <w:ind w:firstLine="8"/>
        <w:spacing w:after="0" w:line="266" w:lineRule="auto"/>
        <w:tabs>
          <w:tab w:leader="none" w:pos="195"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2019 and 2018 were (i) to increase sales volume and trial, (ii) to address market conditions, and (iii) to secure shelf and display space at retail.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discloses selected quarterly data regarding sales for the three-months ended March 31, 2019 and 2018,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Data from any one or more quarters or periods is not necessarily indicative of annual results or continuing trends.</w:t>
      </w:r>
    </w:p>
    <w:p>
      <w:pPr>
        <w:spacing w:after="0" w:line="20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 thousands, except average</w:t>
            </w:r>
          </w:p>
        </w:tc>
        <w:tc>
          <w:tcPr>
            <w:tcW w:w="300" w:type="dxa"/>
            <w:vAlign w:val="bottom"/>
          </w:tcPr>
          <w:p>
            <w:pPr>
              <w:spacing w:after="0"/>
              <w:rPr>
                <w:sz w:val="22"/>
                <w:szCs w:val="22"/>
                <w:color w:val="auto"/>
              </w:rPr>
            </w:pPr>
          </w:p>
        </w:tc>
        <w:tc>
          <w:tcPr>
            <w:tcW w:w="2400" w:type="dxa"/>
            <w:vAlign w:val="bottom"/>
            <w:gridSpan w:val="4"/>
          </w:tcPr>
          <w:p>
            <w:pPr>
              <w:jc w:val="right"/>
              <w:ind w:right="312"/>
              <w:spacing w:after="0"/>
              <w:rPr>
                <w:sz w:val="20"/>
                <w:szCs w:val="20"/>
                <w:color w:val="auto"/>
              </w:rPr>
            </w:pPr>
            <w:r>
              <w:rPr>
                <w:rFonts w:ascii="Times New Roman" w:cs="Times New Roman" w:eastAsia="Times New Roman" w:hAnsi="Times New Roman"/>
                <w:sz w:val="22"/>
                <w:szCs w:val="22"/>
                <w:color w:val="auto"/>
              </w:rPr>
              <w:t>Three-Months Ended</w:t>
            </w:r>
          </w:p>
        </w:tc>
        <w:tc>
          <w:tcPr>
            <w:tcW w:w="0" w:type="dxa"/>
            <w:vAlign w:val="bottom"/>
          </w:tcPr>
          <w:p>
            <w:pPr>
              <w:spacing w:after="0"/>
              <w:rPr>
                <w:sz w:val="1"/>
                <w:szCs w:val="1"/>
                <w:color w:val="auto"/>
              </w:rPr>
            </w:pPr>
          </w:p>
        </w:tc>
      </w:tr>
      <w:tr>
        <w:trPr>
          <w:trHeight w:val="271"/>
        </w:trPr>
        <w:tc>
          <w:tcPr>
            <w:tcW w:w="3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net sales per case)</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March 31,</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Net sales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2019</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2018</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3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945,991</w:t>
            </w:r>
          </w:p>
        </w:tc>
        <w:tc>
          <w:tcPr>
            <w:tcW w:w="160" w:type="dxa"/>
            <w:vAlign w:val="bottom"/>
          </w:tcPr>
          <w:p>
            <w:pPr>
              <w:spacing w:after="0"/>
              <w:rPr>
                <w:sz w:val="18"/>
                <w:szCs w:val="18"/>
                <w:color w:val="auto"/>
              </w:rPr>
            </w:pPr>
          </w:p>
        </w:tc>
        <w:tc>
          <w:tcPr>
            <w:tcW w:w="360" w:type="dxa"/>
            <w:vAlign w:val="bottom"/>
          </w:tcPr>
          <w:p>
            <w:pPr>
              <w:jc w:val="right"/>
              <w:ind w:right="92"/>
              <w:spacing w:after="0" w:line="209"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850,921</w:t>
            </w:r>
          </w:p>
        </w:tc>
        <w:tc>
          <w:tcPr>
            <w:tcW w:w="0" w:type="dxa"/>
            <w:vAlign w:val="bottom"/>
          </w:tcPr>
          <w:p>
            <w:pPr>
              <w:spacing w:after="0"/>
              <w:rPr>
                <w:sz w:val="1"/>
                <w:szCs w:val="1"/>
                <w:color w:val="auto"/>
              </w:rPr>
            </w:pPr>
          </w:p>
        </w:tc>
      </w:tr>
      <w:tr>
        <w:trPr>
          <w:trHeight w:val="243"/>
        </w:trPr>
        <w:tc>
          <w:tcPr>
            <w:tcW w:w="3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AFF third-party sales</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(5,321)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(4,657)</w:t>
            </w:r>
          </w:p>
        </w:tc>
        <w:tc>
          <w:tcPr>
            <w:tcW w:w="0" w:type="dxa"/>
            <w:vAlign w:val="bottom"/>
          </w:tcPr>
          <w:p>
            <w:pPr>
              <w:spacing w:after="0"/>
              <w:rPr>
                <w:sz w:val="1"/>
                <w:szCs w:val="1"/>
                <w:color w:val="auto"/>
              </w:rPr>
            </w:pPr>
          </w:p>
        </w:tc>
      </w:tr>
      <w:tr>
        <w:trPr>
          <w:trHeight w:val="27"/>
        </w:trPr>
        <w:tc>
          <w:tcPr>
            <w:tcW w:w="3220" w:type="dxa"/>
            <w:vAlign w:val="bottom"/>
            <w:gridSpan w:val="2"/>
            <w:vMerge w:val="restart"/>
          </w:tcPr>
          <w:p>
            <w:pPr>
              <w:spacing w:after="0" w:line="284" w:lineRule="exact"/>
              <w:rPr>
                <w:sz w:val="20"/>
                <w:szCs w:val="20"/>
                <w:color w:val="auto"/>
              </w:rPr>
            </w:pPr>
            <w:r>
              <w:rPr>
                <w:rFonts w:ascii="Times New Roman" w:cs="Times New Roman" w:eastAsia="Times New Roman" w:hAnsi="Times New Roman"/>
                <w:sz w:val="22"/>
                <w:szCs w:val="22"/>
                <w:color w:val="auto"/>
              </w:rPr>
              <w:t>Adjusted net sales</w:t>
            </w:r>
            <w:r>
              <w:rPr>
                <w:rFonts w:ascii="Times New Roman" w:cs="Times New Roman" w:eastAsia="Times New Roman" w:hAnsi="Times New Roman"/>
                <w:sz w:val="28"/>
                <w:szCs w:val="28"/>
                <w:color w:val="auto"/>
                <w:vertAlign w:val="superscript"/>
              </w:rPr>
              <w:t>1</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940,670</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846,264</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2"/>
                <w:szCs w:val="22"/>
                <w:color w:val="auto"/>
              </w:rPr>
              <w:t>Case sales by segment: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Monster Energy® Drinks</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83,475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75,112</w:t>
            </w:r>
          </w:p>
        </w:tc>
        <w:tc>
          <w:tcPr>
            <w:tcW w:w="0" w:type="dxa"/>
            <w:vAlign w:val="bottom"/>
          </w:tcPr>
          <w:p>
            <w:pPr>
              <w:spacing w:after="0"/>
              <w:rPr>
                <w:sz w:val="1"/>
                <w:szCs w:val="1"/>
                <w:color w:val="auto"/>
              </w:rPr>
            </w:pPr>
          </w:p>
        </w:tc>
      </w:tr>
      <w:tr>
        <w:trPr>
          <w:trHeight w:val="243"/>
        </w:trPr>
        <w:tc>
          <w:tcPr>
            <w:tcW w:w="32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Strategic Brands</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17,809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17,203</w:t>
            </w:r>
          </w:p>
        </w:tc>
        <w:tc>
          <w:tcPr>
            <w:tcW w:w="0" w:type="dxa"/>
            <w:vAlign w:val="bottom"/>
          </w:tcPr>
          <w:p>
            <w:pPr>
              <w:spacing w:after="0"/>
              <w:rPr>
                <w:sz w:val="1"/>
                <w:szCs w:val="1"/>
                <w:color w:val="auto"/>
              </w:rPr>
            </w:pPr>
          </w:p>
        </w:tc>
      </w:tr>
      <w:tr>
        <w:trPr>
          <w:trHeight w:val="243"/>
        </w:trPr>
        <w:tc>
          <w:tcPr>
            <w:tcW w:w="32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Total case sales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101,284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92,315</w:t>
            </w:r>
          </w:p>
        </w:tc>
        <w:tc>
          <w:tcPr>
            <w:tcW w:w="0" w:type="dxa"/>
            <w:vAlign w:val="bottom"/>
          </w:tcPr>
          <w:p>
            <w:pPr>
              <w:spacing w:after="0"/>
              <w:rPr>
                <w:sz w:val="1"/>
                <w:szCs w:val="1"/>
                <w:color w:val="auto"/>
              </w:rPr>
            </w:pPr>
          </w:p>
        </w:tc>
      </w:tr>
      <w:tr>
        <w:trPr>
          <w:trHeight w:val="2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Average net sales per case</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9.29</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Excludes Other segment net sales of $5.3 million and $4.7 million for the three-months ended March 31, 2019 and 2018, respectively, comprised of net sales of AFF Third-Party Products to independent third-party customers, as these sales do not have unit case equivalents.</w:t>
      </w:r>
    </w:p>
    <w:p>
      <w:pPr>
        <w:spacing w:after="0" w:line="2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See Item 2, “Management’s Discussion and Analysis of Financial Condition and Results of Operations - Our Business” for additional information related to the increase in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$123.4 million for the three-months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March 31, 2019, as compared with cash provided by operating activities of $148.9 million for the three-months ended March 31, 2018.</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three-months ended March 31, 2019, cash provided by operating activities was primarily attributable to net income earned of $261.5 million and adjustments for certain non-cash expenses, consisting of $15.3 million of stock-based compensation and $14.9 million of depreciation and other amortization. For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three-months ended March 31, 2019, cash provided by operating activities also increased due to a $23.1 million increase in accrued promotional allowances, an $18.6 million increase in accounts payable, a $10.3 million increase in accrued distributor terminations, a $2.9 million decrease in distributor receivables and a $1.3 million increase in other liabilities. For the three-months ended March 31, 2019, cash used in operating activities was primarily attributable to a $116.4 million increase in accounts receivable, a $25.2 million increase in prepaid income taxes, a $24.0 million increase in inventories, a $21.8 million decrease in accrued compensation, a $21.5 million increase in prepaid expenses and other current assets, a $9.5 million decrease in deferred revenue, a $4.1 million decrease in income taxes payable and a $2.3 million decrease in accrued liabilities.</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three-months ended March 31, 2018, cash provided by operating activities was primarily attributable to net income earned of $216.1 million and adjustments for certain non-cash expenses, consisting of $13.4 million of stock-based compensation and $14.0 million of depreciation and other amortization. For the three-months ended March 31, 2018, cash provided by operating activities also increased due to a $52.4 million decrease in prepaid income taxes, a $16.0 million increase in accrued promotional allowances and a $3.3 million decrease in distributor receivables. For the three-months ended March 31, 2018, cash used in operating activities was primarily attributable to a $72.7 million increase in accounts receivable, a $22.6 million decrease in accounts payable, a $19.6 million increase in prepaid expenses and other current assets, an $18.4 million decrease in accrued compensation, a $15.0 million decrease in accrued liabilities, an $11.3 million increase in inventories, a $6.6 million decrease in deferred revenue and a $1.1 million decrease in income taxes payable.</w:t>
      </w:r>
    </w:p>
    <w:p>
      <w:pPr>
        <w:spacing w:after="0" w:line="19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investing activities. </w:t>
      </w:r>
      <w:r>
        <w:rPr>
          <w:rFonts w:ascii="Times New Roman" w:cs="Times New Roman" w:eastAsia="Times New Roman" w:hAnsi="Times New Roman"/>
          <w:sz w:val="20"/>
          <w:szCs w:val="20"/>
          <w:color w:val="auto"/>
        </w:rPr>
        <w:t>Cash provided by investing activities was $46.8 million for the three-months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March 31, 2019 as compared to cash provided by investing activities of $75.9 million for the three-months ended March 31, 2018.</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both the three-months ended March 31, 2019 and 2018, cash provided by investing activities was primarily attributable to sales of available-for-sale investments. For both the three-months ended March 31, 2019 and 2018, cash used in investing activities was primarily attributable to purchases of available-for-sale investments. For both the three-months ended March 31, 2019 and 2018,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Cash flows used in financing activities. </w:t>
      </w:r>
      <w:r>
        <w:rPr>
          <w:rFonts w:ascii="Times New Roman" w:cs="Times New Roman" w:eastAsia="Times New Roman" w:hAnsi="Times New Roman"/>
          <w:sz w:val="20"/>
          <w:szCs w:val="20"/>
          <w:color w:val="auto"/>
        </w:rPr>
        <w:t>Cash used in financing activities was $188.0 million for the three-months ended March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as compared to cash flows used in financing activities of $246.0 million for the three-months ended March 31, 2018. The cash flows used in financing activities for both the three-months ended March 31, 2019 and 2018 was primarily the result of the repurchases of our common stock. The cash flows provided by financing activities for both the three-months ended March 31, 2019, and 2018 was primarily attributable to the issuance of our common stock under our stock-based compensation plans.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w:t>
      </w:r>
      <w:r>
        <w:rPr>
          <w:rFonts w:ascii="Times New Roman" w:cs="Times New Roman" w:eastAsia="Times New Roman" w:hAnsi="Times New Roman"/>
          <w:sz w:val="20"/>
          <w:szCs w:val="20"/>
          <w:color w:val="auto"/>
        </w:rPr>
        <w:t>At March 31, 2019, we had $618.3 million in cash and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and $263.7 million in short-term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Of our $618.3 million of cash and cash equivalents held at March 31, 2019, $368.0 million was held by our foreign subsidiaries. No short-term or long-term investments were held by our foreign subsidiaries at March 31, 2019. We do not currently intend, nor do we foresee a need, to repatriate undistributed earnings of our foreign subsidiaries other than to repay certain intercompany debt owed to our U.S. operations.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are likely to be less than $100.0 million through March 31, 2020. However, future business opportunities may cause a change in this estimate.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March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22"/>
                <w:szCs w:val="22"/>
                <w:color w:val="auto"/>
              </w:rPr>
              <w:t>Payments due by period (in thousands)</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60"/>
              <w:spacing w:after="0" w:line="209" w:lineRule="exact"/>
              <w:rPr>
                <w:sz w:val="20"/>
                <w:szCs w:val="20"/>
                <w:color w:val="auto"/>
              </w:rPr>
            </w:pPr>
            <w:r>
              <w:rPr>
                <w:rFonts w:ascii="Times New Roman" w:cs="Times New Roman" w:eastAsia="Times New Roman" w:hAnsi="Times New Roman"/>
                <w:sz w:val="22"/>
                <w:szCs w:val="22"/>
                <w:color w:val="auto"/>
              </w:rPr>
              <w:t>Less than</w:t>
            </w:r>
          </w:p>
        </w:tc>
        <w:tc>
          <w:tcPr>
            <w:tcW w:w="320" w:type="dxa"/>
            <w:vAlign w:val="bottom"/>
          </w:tcPr>
          <w:p>
            <w:pPr>
              <w:spacing w:after="0"/>
              <w:rPr>
                <w:sz w:val="18"/>
                <w:szCs w:val="18"/>
                <w:color w:val="auto"/>
              </w:rPr>
            </w:pPr>
          </w:p>
        </w:tc>
        <w:tc>
          <w:tcPr>
            <w:tcW w:w="1100" w:type="dxa"/>
            <w:vAlign w:val="bottom"/>
          </w:tcPr>
          <w:p>
            <w:pPr>
              <w:jc w:val="right"/>
              <w:ind w:right="472"/>
              <w:spacing w:after="0" w:line="209" w:lineRule="exact"/>
              <w:rPr>
                <w:sz w:val="20"/>
                <w:szCs w:val="20"/>
                <w:color w:val="auto"/>
              </w:rPr>
            </w:pPr>
            <w:r>
              <w:rPr>
                <w:rFonts w:ascii="Times New Roman" w:cs="Times New Roman" w:eastAsia="Times New Roman" w:hAnsi="Times New Roman"/>
                <w:sz w:val="22"/>
                <w:szCs w:val="22"/>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line="209" w:lineRule="exact"/>
              <w:rPr>
                <w:sz w:val="20"/>
                <w:szCs w:val="20"/>
                <w:color w:val="auto"/>
              </w:rPr>
            </w:pPr>
            <w:r>
              <w:rPr>
                <w:rFonts w:ascii="Times New Roman" w:cs="Times New Roman" w:eastAsia="Times New Roman" w:hAnsi="Times New Roman"/>
                <w:sz w:val="22"/>
                <w:szCs w:val="22"/>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72"/>
              <w:spacing w:after="0" w:line="209" w:lineRule="exact"/>
              <w:rPr>
                <w:sz w:val="20"/>
                <w:szCs w:val="20"/>
                <w:color w:val="auto"/>
              </w:rPr>
            </w:pPr>
            <w:r>
              <w:rPr>
                <w:rFonts w:ascii="Times New Roman" w:cs="Times New Roman" w:eastAsia="Times New Roman" w:hAnsi="Times New Roman"/>
                <w:sz w:val="22"/>
                <w:szCs w:val="22"/>
                <w:color w:val="auto"/>
              </w:rPr>
              <w:t>More than</w:t>
            </w:r>
          </w:p>
        </w:tc>
        <w:tc>
          <w:tcPr>
            <w:tcW w:w="20" w:type="dxa"/>
            <w:vAlign w:val="bottom"/>
          </w:tcPr>
          <w:p>
            <w:pPr>
              <w:spacing w:after="0"/>
              <w:rPr>
                <w:sz w:val="18"/>
                <w:szCs w:val="18"/>
                <w:color w:val="auto"/>
              </w:rPr>
            </w:pPr>
          </w:p>
        </w:tc>
      </w:tr>
      <w:tr>
        <w:trPr>
          <w:trHeight w:val="271"/>
        </w:trPr>
        <w:tc>
          <w:tcPr>
            <w:tcW w:w="36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2"/>
                <w:szCs w:val="22"/>
                <w:color w:val="auto"/>
              </w:rPr>
              <w:t>Obligations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Total</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 year</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years</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years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 years</w:t>
            </w:r>
          </w:p>
        </w:tc>
        <w:tc>
          <w:tcPr>
            <w:tcW w:w="20" w:type="dxa"/>
            <w:vAlign w:val="bottom"/>
          </w:tcPr>
          <w:p>
            <w:pPr>
              <w:spacing w:after="0"/>
              <w:rPr>
                <w:sz w:val="23"/>
                <w:szCs w:val="23"/>
                <w:color w:val="auto"/>
              </w:rPr>
            </w:pPr>
          </w:p>
        </w:tc>
      </w:tr>
      <w:tr>
        <w:trPr>
          <w:trHeight w:val="452"/>
        </w:trPr>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Contractual Obligations</w:t>
            </w:r>
            <w:r>
              <w:rPr>
                <w:rFonts w:ascii="Times New Roman" w:cs="Times New Roman" w:eastAsia="Times New Roman" w:hAnsi="Times New Roman"/>
                <w:sz w:val="28"/>
                <w:szCs w:val="28"/>
                <w:color w:val="auto"/>
                <w:vertAlign w:val="superscript"/>
              </w:rPr>
              <w:t>1</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178,431</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96,599</w:t>
            </w:r>
          </w:p>
        </w:tc>
        <w:tc>
          <w:tcPr>
            <w:tcW w:w="12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69,214</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Finance Leases</w:t>
            </w:r>
          </w:p>
        </w:tc>
        <w:tc>
          <w:tcPr>
            <w:tcW w:w="320" w:type="dxa"/>
            <w:vAlign w:val="bottom"/>
          </w:tcPr>
          <w:p>
            <w:pPr>
              <w:spacing w:after="0"/>
              <w:rPr>
                <w:sz w:val="21"/>
                <w:szCs w:val="21"/>
                <w:color w:val="auto"/>
              </w:rPr>
            </w:pPr>
          </w:p>
        </w:tc>
        <w:tc>
          <w:tcPr>
            <w:tcW w:w="12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860</w:t>
            </w: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320" w:type="dxa"/>
            <w:vAlign w:val="bottom"/>
          </w:tcPr>
          <w:p>
            <w:pPr>
              <w:spacing w:after="0"/>
              <w:rPr>
                <w:sz w:val="21"/>
                <w:szCs w:val="21"/>
                <w:color w:val="auto"/>
              </w:rPr>
            </w:pPr>
          </w:p>
        </w:tc>
        <w:tc>
          <w:tcPr>
            <w:tcW w:w="12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22,111</w:t>
            </w: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12,091</w:t>
            </w:r>
          </w:p>
        </w:tc>
      </w:tr>
      <w:tr>
        <w:trPr>
          <w:trHeight w:val="271"/>
        </w:trPr>
        <w:tc>
          <w:tcPr>
            <w:tcW w:w="3740" w:type="dxa"/>
            <w:vAlign w:val="bottom"/>
            <w:gridSpan w:val="2"/>
          </w:tcPr>
          <w:p>
            <w:pPr>
              <w:spacing w:after="0" w:line="270" w:lineRule="exact"/>
              <w:rPr>
                <w:sz w:val="20"/>
                <w:szCs w:val="20"/>
                <w:color w:val="auto"/>
              </w:rPr>
            </w:pPr>
            <w:r>
              <w:rPr>
                <w:rFonts w:ascii="Times New Roman" w:cs="Times New Roman" w:eastAsia="Times New Roman" w:hAnsi="Times New Roman"/>
                <w:sz w:val="22"/>
                <w:szCs w:val="22"/>
                <w:color w:val="auto"/>
              </w:rPr>
              <w:t>Purchase Commitments</w:t>
            </w:r>
            <w:r>
              <w:rPr>
                <w:rFonts w:ascii="Times New Roman" w:cs="Times New Roman" w:eastAsia="Times New Roman" w:hAnsi="Times New Roman"/>
                <w:sz w:val="28"/>
                <w:szCs w:val="28"/>
                <w:color w:val="auto"/>
                <w:vertAlign w:val="superscript"/>
              </w:rPr>
              <w:t>2</w:t>
            </w:r>
          </w:p>
        </w:tc>
        <w:tc>
          <w:tcPr>
            <w:tcW w:w="3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36,989</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36,989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238,391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137,486</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73,487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15,327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12,091</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Contractual obligations include our obligations related to sponsorships and other commitments.</w:t>
      </w:r>
    </w:p>
    <w:p>
      <w:pPr>
        <w:spacing w:after="0" w:line="1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approximately $5.0 million of unrecognized tax benefits have been recorded as liabilities as of March 31, 2019. It is expected that the amount of unrecognized tax benefits will not significantly change within the next 12 months. As of March 31, 2019, we had $1.0 million of accrued interest and penalties related to unrecognized tax benefits.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2018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52525"/>
        </w:rPr>
        <w:t>Recent Accounting Pronouncements</w:t>
      </w:r>
    </w:p>
    <w:p>
      <w:pPr>
        <w:spacing w:after="0" w:line="233" w:lineRule="exact"/>
        <w:rPr>
          <w:sz w:val="20"/>
          <w:szCs w:val="20"/>
          <w:color w:val="auto"/>
        </w:rPr>
      </w:pPr>
    </w:p>
    <w:p>
      <w:pPr>
        <w:jc w:val="both"/>
        <w:ind w:firstLine="695"/>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inflation did not have a significant impact on our results of operations for the periods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our extensive commercial arrangements with TCCC on our future performance;</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relationship risks associated with the arbitration with TCCC;</w:t>
      </w:r>
    </w:p>
    <w:p>
      <w:pPr>
        <w:ind w:left="380" w:right="20" w:hanging="372"/>
        <w:spacing w:after="0" w:line="239"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our arbitration proceedings with TCCC, including TCCC developing, marketing and selling Coca-Cola brand energy drinks;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TCCC’s bottlers/distributors distributing Coca-Cola brand energy drinks;</w:t>
      </w:r>
    </w:p>
    <w:p>
      <w:pPr>
        <w:ind w:left="380" w:hanging="372"/>
        <w:spacing w:after="0" w:line="239"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being one of our significant shareholders and the potential divergence of TCCC’s interests from those of our other shareholders;</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Times New Roman" w:cs="Times New Roman" w:eastAsia="Times New Roman" w:hAnsi="Times New Roman"/>
          <w:sz w:val="20"/>
          <w:szCs w:val="20"/>
          <w:color w:val="auto"/>
        </w:rPr>
      </w:pPr>
    </w:p>
    <w:p>
      <w:pPr>
        <w:ind w:left="380" w:right="20" w:hanging="372"/>
        <w:spacing w:after="0" w:line="239"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slowing of and/or decline in the sales growth rates of the energy drink category and/or the U.S. convenience store market generally;</w:t>
      </w:r>
    </w:p>
    <w:p>
      <w:pPr>
        <w:spacing w:after="0" w:line="1" w:lineRule="exact"/>
        <w:rPr>
          <w:rFonts w:ascii="Times New Roman" w:cs="Times New Roman" w:eastAsia="Times New Roman" w:hAnsi="Times New Roman"/>
          <w:sz w:val="20"/>
          <w:szCs w:val="20"/>
          <w:color w:val="auto"/>
        </w:rPr>
      </w:pPr>
    </w:p>
    <w:p>
      <w:pPr>
        <w:ind w:left="380" w:hanging="372"/>
        <w:spacing w:after="0" w:line="246" w:lineRule="auto"/>
        <w:tabs>
          <w:tab w:leader="none" w:pos="3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distribution or sales and/or decline in sales due to the termination and/or appointment of existing and/or new domestic and/or international distributors;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inventory levels of our bottlers/distributors, planned or otherwise, and the resultant impact on our revenues;</w:t>
      </w:r>
    </w:p>
    <w:p>
      <w:pPr>
        <w:ind w:left="380" w:right="20" w:hanging="372"/>
        <w:spacing w:after="0" w:line="252" w:lineRule="auto"/>
        <w:tabs>
          <w:tab w:leader="none" w:pos="3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jc w:val="both"/>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regulations and evolving industry standards regarding consumer privacy and data use and security, including with respect to the General Data Protection Regulation approved by the European Union;</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from certain of our operations outside the United States;</w:t>
      </w:r>
    </w:p>
    <w:p>
      <w:pPr>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produce our products in international markets in which they are sold, thereby reducing freight costs and/or product damages;</w:t>
      </w:r>
    </w:p>
    <w:p>
      <w:pPr>
        <w:spacing w:after="0" w:line="1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absorb, reduce, or pass on to our bottlers/distributors increases in freight costs;</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Brexit on our business in the United Kingdom and in Continental Europe;</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Implications of the Tax Reform Act;</w:t>
      </w:r>
    </w:p>
    <w:p>
      <w:pPr>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or other governmental agencies or bodies;</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other litigation;</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resolution of tax matters;</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and volatility in the domestic and global economies, including risk of counterparty default or failure;</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ind w:left="380" w:hanging="372"/>
        <w:spacing w:after="0"/>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our expansion plans and general operating activities;</w:t>
      </w:r>
    </w:p>
    <w:p>
      <w:pPr>
        <w:jc w:val="both"/>
        <w:ind w:left="380" w:hanging="372"/>
        <w:spacing w:after="0" w:line="239"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Times New Roman" w:cs="Times New Roman" w:eastAsia="Times New Roman" w:hAnsi="Times New Roman"/>
          <w:sz w:val="20"/>
          <w:szCs w:val="20"/>
          <w:color w:val="auto"/>
        </w:rPr>
      </w:pPr>
    </w:p>
    <w:p>
      <w:pPr>
        <w:ind w:left="380" w:hanging="372"/>
        <w:spacing w:after="0" w:line="246" w:lineRule="auto"/>
        <w:tabs>
          <w:tab w:leader="none" w:pos="3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surrounding obesity and health concerns related to our products, water usage, environmental impact, human rights and labor and workplace laws;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related and/or for other reasons, including changes in product category consumption;</w:t>
      </w:r>
    </w:p>
    <w:p>
      <w:pPr>
        <w:spacing w:after="0" w:line="2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cost and availability of certain key ingredients, as well as disruptions to the supply chain, as a result of climate change and extreme weather conditions;</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trademark and trade dress infringement proceedings brought against us relating to our Reign Total Body Fuel</w:t>
      </w:r>
      <w:r>
        <w:rPr>
          <w:rFonts w:ascii="Times New Roman" w:cs="Times New Roman" w:eastAsia="Times New Roman" w:hAnsi="Times New Roman"/>
          <w:sz w:val="12"/>
          <w:szCs w:val="12"/>
          <w:color w:val="auto"/>
        </w:rPr>
        <w:t>TM</w:t>
      </w:r>
      <w:r>
        <w:rPr>
          <w:rFonts w:ascii="Times New Roman" w:cs="Times New Roman" w:eastAsia="Times New Roman" w:hAnsi="Times New Roman"/>
          <w:sz w:val="20"/>
          <w:szCs w:val="20"/>
          <w:color w:val="auto"/>
        </w:rPr>
        <w:t xml:space="preserve"> brand high performance energy drinks;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w:t>
      </w: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and/or maintain price increases;</w:t>
      </w: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and/or achieve growth for our Monster Energy® brand energy drinks and/or our other products, including the Strategic Brands acquired from TCCC;</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2"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5" w:lineRule="exact"/>
        <w:rPr>
          <w:rFonts w:ascii="Times New Roman" w:cs="Times New Roman" w:eastAsia="Times New Roman" w:hAnsi="Times New Roman"/>
          <w:sz w:val="20"/>
          <w:szCs w:val="20"/>
          <w:color w:val="auto"/>
        </w:rPr>
      </w:pPr>
    </w:p>
    <w:p>
      <w:pPr>
        <w:jc w:val="both"/>
        <w:ind w:left="380" w:right="2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due to port strikes and related labor issues;</w:t>
      </w: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press, articles, comments and/or media attention;</w:t>
      </w:r>
    </w:p>
    <w:p>
      <w:pPr>
        <w:jc w:val="both"/>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shortages that may be experienced in the procurement of containers and/or other raw materials including, without limitation, PET containers used for our Monster Hydro® energy drinks and 24-ounce aluminum cap cans;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on our cost of sales of corporate activity among the limited number of suppliers from whom we purchase certain raw materials;</w:t>
      </w:r>
    </w:p>
    <w:p>
      <w:pPr>
        <w:spacing w:after="0" w:line="11" w:lineRule="exact"/>
        <w:rPr>
          <w:rFonts w:ascii="Times New Roman" w:cs="Times New Roman" w:eastAsia="Times New Roman" w:hAnsi="Times New Roman"/>
          <w:sz w:val="19"/>
          <w:szCs w:val="19"/>
          <w:color w:val="auto"/>
        </w:rPr>
      </w:pPr>
    </w:p>
    <w:p>
      <w:pPr>
        <w:ind w:left="380" w:hanging="372"/>
        <w:spacing w:after="0" w:line="246"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ingredients, commodities and/or other cost inputs affecting our 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left="380" w:hanging="372"/>
        <w:spacing w:after="0" w:line="247"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ind w:left="380" w:right="16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or political instability in one or more of our international markets;</w:t>
      </w:r>
    </w:p>
    <w:p>
      <w:pPr>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retailer consolidation on our business;</w:t>
      </w: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sports marketing endeavors both domestically and internationally;</w:t>
      </w: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economic and political changes and local or international catastrophic events;</w:t>
      </w: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recalls of our products and/or defective production;</w:t>
      </w:r>
    </w:p>
    <w:p>
      <w:pPr>
        <w:jc w:val="both"/>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Times New Roman" w:cs="Times New Roman" w:eastAsia="Times New Roman" w:hAnsi="Times New Roman"/>
          <w:sz w:val="20"/>
          <w:szCs w:val="20"/>
          <w:color w:val="auto"/>
        </w:rPr>
      </w:pPr>
    </w:p>
    <w:p>
      <w:pPr>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 as well as negatively impact the motivation of equity award grantees;</w:t>
      </w:r>
    </w:p>
    <w:p>
      <w:pPr>
        <w:spacing w:after="0" w:line="1" w:lineRule="exact"/>
        <w:rPr>
          <w:rFonts w:ascii="Times New Roman" w:cs="Times New Roman" w:eastAsia="Times New Roman" w:hAnsi="Times New Roman"/>
          <w:sz w:val="20"/>
          <w:szCs w:val="20"/>
          <w:color w:val="auto"/>
        </w:rPr>
      </w:pPr>
    </w:p>
    <w:p>
      <w:pPr>
        <w:ind w:left="380" w:right="2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and/or contract packers to manufacture our products on a timely basis or at all;</w:t>
      </w: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w:t>
      </w:r>
    </w:p>
    <w:p>
      <w:pPr>
        <w:ind w:left="380" w:hanging="372"/>
        <w:spacing w:after="0" w:line="239"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2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in our market risk during the three-months ended March 31, 2019 compared with the disclosures in Part II, Item 7A of our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Evaluation of Disclosure Controls and Procedures </w:t>
      </w:r>
      <w:r>
        <w:rPr>
          <w:rFonts w:ascii="Times New Roman" w:cs="Times New Roman" w:eastAsia="Times New Roman" w:hAnsi="Times New Roman"/>
          <w:sz w:val="19"/>
          <w:szCs w:val="19"/>
          <w:color w:val="auto"/>
        </w:rPr>
        <w:t>– Under the supervision and with the participation of the Company’s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5" w:lineRule="exact"/>
        <w:rPr>
          <w:sz w:val="20"/>
          <w:szCs w:val="20"/>
          <w:color w:val="auto"/>
        </w:rPr>
      </w:pPr>
    </w:p>
    <w:p>
      <w:pPr>
        <w:ind w:firstLine="8"/>
        <w:spacing w:after="0" w:line="246" w:lineRule="auto"/>
        <w:tabs>
          <w:tab w:leader="none" w:pos="3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and communicated to our management, including its principal executive and principal financial officers, as appropriate, to allow timely decisions regarding required disclosures.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March 31, 2019,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6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risk factors are discussed in our Form 10-K. There have been no material changes with respect to the risk factors disclosed in our Form 10-K.</w:t>
      </w:r>
    </w:p>
    <w:p>
      <w:pPr>
        <w:spacing w:after="0" w:line="16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7, 2018, the Company’s Board of Directors authorized a share repurchase program for the purchase of up to $500.0 million of the Company’s outstanding common stock (the “August 2018 Repurchase Plan”). During the three-months ended March 31, 2019, the Company purchased 2.6 million shares of common stock at an average purchase price of $54.18 per share, for a total amount of $139.0 million (excluding broker commissions), under the August 2018 Repurchase Plan. As of May 3, 2019, $20.6 million remained available for repurchase under the August 2018 Repurchase Plan.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26, 2019, the Company’s Board of Directors authorized a new share repurchase program for the purchase of up to $500.0 million of the Company’s outstanding common stock (the “February 2019 Repurchase Plan”). During the three-months ended March 31, 2019, no shares were repurchased under the February 2019 Repurchase Plan.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of May 3, 2019, the aggregate amount available under such authorizations to repurchase the Company’s common stock was $520.6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March 31, 2019:</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Maximum Number (or</w:t>
            </w:r>
          </w:p>
        </w:tc>
      </w:tr>
      <w:tr>
        <w:trPr>
          <w:trHeight w:val="230"/>
        </w:trPr>
        <w:tc>
          <w:tcPr>
            <w:tcW w:w="3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Approximate Dollar</w:t>
            </w:r>
          </w:p>
        </w:tc>
      </w:tr>
      <w:tr>
        <w:trPr>
          <w:trHeight w:val="230"/>
        </w:trPr>
        <w:tc>
          <w:tcPr>
            <w:tcW w:w="3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Total Number of</w:t>
            </w:r>
          </w:p>
        </w:tc>
        <w:tc>
          <w:tcPr>
            <w:tcW w:w="400" w:type="dxa"/>
            <w:vAlign w:val="bottom"/>
          </w:tcPr>
          <w:p>
            <w:pPr>
              <w:spacing w:after="0"/>
              <w:rPr>
                <w:sz w:val="19"/>
                <w:szCs w:val="19"/>
                <w:color w:val="auto"/>
              </w:rPr>
            </w:pPr>
          </w:p>
        </w:tc>
        <w:tc>
          <w:tcPr>
            <w:tcW w:w="214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7"/>
              </w:rPr>
              <w:t>Value) of Shares that</w:t>
            </w:r>
          </w:p>
        </w:tc>
      </w:tr>
      <w:tr>
        <w:trPr>
          <w:trHeight w:val="230"/>
        </w:trPr>
        <w:tc>
          <w:tcPr>
            <w:tcW w:w="3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Shares Purchased</w:t>
            </w: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May Yet Be Purchased</w:t>
            </w:r>
          </w:p>
        </w:tc>
      </w:tr>
      <w:tr>
        <w:trPr>
          <w:trHeight w:val="230"/>
        </w:trPr>
        <w:tc>
          <w:tcPr>
            <w:tcW w:w="3140" w:type="dxa"/>
            <w:vAlign w:val="bottom"/>
          </w:tcPr>
          <w:p>
            <w:pPr>
              <w:spacing w:after="0"/>
              <w:rPr>
                <w:sz w:val="19"/>
                <w:szCs w:val="19"/>
                <w:color w:val="auto"/>
              </w:rPr>
            </w:pPr>
          </w:p>
        </w:tc>
        <w:tc>
          <w:tcPr>
            <w:tcW w:w="196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7"/>
              </w:rPr>
              <w:t>Total Number</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as Part of Publicly</w:t>
            </w:r>
          </w:p>
        </w:tc>
        <w:tc>
          <w:tcPr>
            <w:tcW w:w="400" w:type="dxa"/>
            <w:vAlign w:val="bottom"/>
          </w:tcPr>
          <w:p>
            <w:pPr>
              <w:spacing w:after="0"/>
              <w:rPr>
                <w:sz w:val="19"/>
                <w:szCs w:val="19"/>
                <w:color w:val="auto"/>
              </w:rPr>
            </w:pPr>
          </w:p>
        </w:tc>
        <w:tc>
          <w:tcPr>
            <w:tcW w:w="21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Under the Plans or</w:t>
            </w:r>
          </w:p>
        </w:tc>
      </w:tr>
      <w:tr>
        <w:trPr>
          <w:trHeight w:val="230"/>
        </w:trPr>
        <w:tc>
          <w:tcPr>
            <w:tcW w:w="3140" w:type="dxa"/>
            <w:vAlign w:val="bottom"/>
          </w:tcPr>
          <w:p>
            <w:pPr>
              <w:spacing w:after="0"/>
              <w:rPr>
                <w:sz w:val="19"/>
                <w:szCs w:val="19"/>
                <w:color w:val="auto"/>
              </w:rPr>
            </w:pPr>
          </w:p>
        </w:tc>
        <w:tc>
          <w:tcPr>
            <w:tcW w:w="196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8"/>
              </w:rPr>
              <w:t>of Shares</w:t>
            </w: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Average Price</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Announced Plans</w:t>
            </w:r>
          </w:p>
        </w:tc>
        <w:tc>
          <w:tcPr>
            <w:tcW w:w="400" w:type="dxa"/>
            <w:vAlign w:val="bottom"/>
          </w:tcPr>
          <w:p>
            <w:pPr>
              <w:spacing w:after="0"/>
              <w:rPr>
                <w:sz w:val="19"/>
                <w:szCs w:val="19"/>
                <w:color w:val="auto"/>
              </w:rPr>
            </w:pPr>
          </w:p>
        </w:tc>
        <w:tc>
          <w:tcPr>
            <w:tcW w:w="21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Programs (In</w:t>
            </w:r>
          </w:p>
        </w:tc>
      </w:tr>
      <w:tr>
        <w:trPr>
          <w:trHeight w:val="252"/>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Period</w:t>
            </w:r>
          </w:p>
        </w:tc>
        <w:tc>
          <w:tcPr>
            <w:tcW w:w="196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20"/>
                <w:szCs w:val="20"/>
                <w:color w:val="auto"/>
                <w:w w:val="99"/>
              </w:rPr>
              <w:t>Purchased</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9"/>
              </w:rPr>
              <w:t>per Share¹</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or Programs</w:t>
            </w:r>
          </w:p>
        </w:tc>
        <w:tc>
          <w:tcPr>
            <w:tcW w:w="4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20"/>
                <w:szCs w:val="20"/>
                <w:color w:val="auto"/>
                <w:w w:val="99"/>
              </w:rPr>
              <w:t>thousands)²</w:t>
            </w:r>
          </w:p>
        </w:tc>
      </w:tr>
      <w:tr>
        <w:trPr>
          <w:trHeight w:val="200"/>
        </w:trPr>
        <w:tc>
          <w:tcPr>
            <w:tcW w:w="31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Jan 1 – Jan 31, 2019</w:t>
            </w:r>
          </w:p>
        </w:tc>
        <w:tc>
          <w:tcPr>
            <w:tcW w:w="1960" w:type="dxa"/>
            <w:vAlign w:val="bottom"/>
          </w:tcPr>
          <w:p>
            <w:pPr>
              <w:jc w:val="right"/>
              <w:ind w:right="181"/>
              <w:spacing w:after="0" w:line="200" w:lineRule="exact"/>
              <w:rPr>
                <w:sz w:val="20"/>
                <w:szCs w:val="20"/>
                <w:color w:val="auto"/>
              </w:rPr>
            </w:pPr>
            <w:r>
              <w:rPr>
                <w:rFonts w:ascii="Times New Roman" w:cs="Times New Roman" w:eastAsia="Times New Roman" w:hAnsi="Times New Roman"/>
                <w:sz w:val="20"/>
                <w:szCs w:val="20"/>
                <w:color w:val="auto"/>
              </w:rPr>
              <w:t>2,181,000</w:t>
            </w:r>
          </w:p>
        </w:tc>
        <w:tc>
          <w:tcPr>
            <w:tcW w:w="40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61"/>
              <w:spacing w:after="0" w:line="200" w:lineRule="exact"/>
              <w:rPr>
                <w:sz w:val="20"/>
                <w:szCs w:val="20"/>
                <w:color w:val="auto"/>
              </w:rPr>
            </w:pPr>
            <w:r>
              <w:rPr>
                <w:rFonts w:ascii="Times New Roman" w:cs="Times New Roman" w:eastAsia="Times New Roman" w:hAnsi="Times New Roman"/>
                <w:sz w:val="20"/>
                <w:szCs w:val="20"/>
                <w:color w:val="auto"/>
              </w:rPr>
              <w:t>53.62</w:t>
            </w:r>
          </w:p>
        </w:tc>
        <w:tc>
          <w:tcPr>
            <w:tcW w:w="208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2,181,000</w:t>
            </w:r>
          </w:p>
        </w:tc>
        <w:tc>
          <w:tcPr>
            <w:tcW w:w="4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42,625</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Feb 1 – Feb 28, 2019</w:t>
            </w:r>
          </w:p>
        </w:tc>
        <w:tc>
          <w:tcPr>
            <w:tcW w:w="19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383,639</w:t>
            </w:r>
          </w:p>
        </w:tc>
        <w:tc>
          <w:tcPr>
            <w:tcW w:w="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57.37</w:t>
            </w:r>
          </w:p>
        </w:tc>
        <w:tc>
          <w:tcPr>
            <w:tcW w:w="20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383,639</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20,610</w:t>
            </w:r>
          </w:p>
        </w:tc>
      </w:tr>
      <w:tr>
        <w:trPr>
          <w:trHeight w:val="258"/>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February 26, 2019 Authorization</w:t>
            </w:r>
          </w:p>
        </w:tc>
        <w:tc>
          <w:tcPr>
            <w:tcW w:w="1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520,610</w:t>
            </w:r>
          </w:p>
        </w:tc>
      </w:tr>
    </w:tbl>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¹Excluding broker commissions paid.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²Net of broker commissions paid.</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three-months ended March 31, 2019, 1.4 million shares of common stock were purchased from employees in lieu of cash payments for options exercised or withholding taxes due for a total amount of $83.8 million. While such purchases are considered common stock repurchases, they are not counted as purchases against our authorized share repurchase programs. Such shares are included in common stock in treasury in the accompanying condensed consolidated balance sheet at March 31, 2019.</w:t>
      </w:r>
    </w:p>
    <w:p>
      <w:pPr>
        <w:spacing w:after="0" w:line="1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DEFAULTS UPON SENIOR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10440" w:type="dxa"/>
            <w:vAlign w:val="bottom"/>
            <w:gridSpan w:val="7"/>
          </w:tcPr>
          <w:p>
            <w:pPr>
              <w:ind w:left="240"/>
              <w:spacing w:after="0"/>
              <w:rPr>
                <w:sz w:val="20"/>
                <w:szCs w:val="20"/>
                <w:color w:val="auto"/>
              </w:rPr>
            </w:pPr>
            <w:r>
              <w:rPr>
                <w:rFonts w:ascii="Times New Roman" w:cs="Times New Roman" w:eastAsia="Times New Roman" w:hAnsi="Times New Roman"/>
                <w:sz w:val="20"/>
                <w:szCs w:val="20"/>
                <w:b w:val="1"/>
                <w:bCs w:val="1"/>
                <w:color w:val="auto"/>
              </w:rPr>
              <w:t>OTHER INFORMATION</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10440" w:type="dxa"/>
            <w:vAlign w:val="bottom"/>
            <w:gridSpan w:val="7"/>
          </w:tcPr>
          <w:p>
            <w:pPr>
              <w:ind w:left="24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413"/>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560" w:type="dxa"/>
            <w:vAlign w:val="bottom"/>
          </w:tcPr>
          <w:p>
            <w:pPr>
              <w:spacing w:after="0"/>
              <w:rPr>
                <w:sz w:val="24"/>
                <w:szCs w:val="24"/>
                <w:color w:val="auto"/>
              </w:rPr>
            </w:pPr>
          </w:p>
        </w:tc>
        <w:tc>
          <w:tcPr>
            <w:tcW w:w="9880" w:type="dxa"/>
            <w:vAlign w:val="bottom"/>
            <w:gridSpan w:val="6"/>
          </w:tcPr>
          <w:p>
            <w:pPr>
              <w:spacing w:after="0"/>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Certification of Chief Executive Officer Pursuant to Section 302 of the Sarbanes-Oxley Act of 2002</w:t>
              </w:r>
            </w:hyperlink>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560" w:type="dxa"/>
            <w:vAlign w:val="bottom"/>
          </w:tcPr>
          <w:p>
            <w:pPr>
              <w:spacing w:after="0"/>
              <w:rPr>
                <w:sz w:val="24"/>
                <w:szCs w:val="24"/>
                <w:color w:val="auto"/>
              </w:rPr>
            </w:pPr>
          </w:p>
        </w:tc>
        <w:tc>
          <w:tcPr>
            <w:tcW w:w="78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51">
              <w:r>
                <w:rPr>
                  <w:rFonts w:ascii="Times New Roman" w:cs="Times New Roman" w:eastAsia="Times New Roman" w:hAnsi="Times New Roman"/>
                  <w:sz w:val="20"/>
                  <w:szCs w:val="20"/>
                  <w:color w:val="0000EE"/>
                  <w:w w:val="98"/>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1980" w:type="dxa"/>
            <w:vAlign w:val="bottom"/>
            <w:gridSpan w:val="3"/>
          </w:tcPr>
          <w:p>
            <w:pPr>
              <w:spacing w:after="0"/>
              <w:rPr>
                <w:sz w:val="24"/>
                <w:szCs w:val="24"/>
                <w:color w:val="auto"/>
              </w:rPr>
            </w:pP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560" w:type="dxa"/>
            <w:vAlign w:val="bottom"/>
          </w:tcPr>
          <w:p>
            <w:pPr>
              <w:spacing w:after="0"/>
              <w:rPr>
                <w:sz w:val="24"/>
                <w:szCs w:val="24"/>
                <w:color w:val="auto"/>
              </w:rPr>
            </w:pPr>
          </w:p>
        </w:tc>
        <w:tc>
          <w:tcPr>
            <w:tcW w:w="9460" w:type="dxa"/>
            <w:vAlign w:val="bottom"/>
            <w:tcBorders>
              <w:bottom w:val="single" w:sz="8" w:color="0000EE"/>
            </w:tcBorders>
            <w:gridSpan w:val="5"/>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Certification of Chief Executive Officer Pursuant to 18 U.S.C. Section 1350, as Adopted Pursuant to Section 906 of the</w:t>
              </w:r>
            </w:hyperlink>
          </w:p>
        </w:tc>
        <w:tc>
          <w:tcPr>
            <w:tcW w:w="42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Sarbanes-Oxley Act of 2002</w:t>
              </w:r>
            </w:hyperlink>
          </w:p>
        </w:tc>
        <w:tc>
          <w:tcPr>
            <w:tcW w:w="7620" w:type="dxa"/>
            <w:vAlign w:val="bottom"/>
            <w:gridSpan w:val="5"/>
          </w:tcPr>
          <w:p>
            <w:pPr>
              <w:spacing w:after="0"/>
              <w:rPr>
                <w:sz w:val="18"/>
                <w:szCs w:val="18"/>
                <w:color w:val="auto"/>
              </w:rPr>
            </w:pP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560" w:type="dxa"/>
            <w:vAlign w:val="bottom"/>
          </w:tcPr>
          <w:p>
            <w:pPr>
              <w:spacing w:after="0"/>
              <w:rPr>
                <w:sz w:val="24"/>
                <w:szCs w:val="24"/>
                <w:color w:val="auto"/>
              </w:rPr>
            </w:pPr>
          </w:p>
        </w:tc>
        <w:tc>
          <w:tcPr>
            <w:tcW w:w="944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8"/>
              </w:rPr>
            </w:pPr>
            <w:hyperlink w:anchor="page53">
              <w:r>
                <w:rPr>
                  <w:rFonts w:ascii="Times New Roman" w:cs="Times New Roman" w:eastAsia="Times New Roman" w:hAnsi="Times New Roman"/>
                  <w:sz w:val="20"/>
                  <w:szCs w:val="20"/>
                  <w:color w:val="0000EE"/>
                  <w:w w:val="98"/>
                </w:rPr>
                <w:t>Certification by Chief Financial Officer Pursuant to 18 U.S.C. Section 1350, as Adopted Pursuant to Section 906 of the</w:t>
              </w:r>
            </w:hyperlink>
          </w:p>
        </w:tc>
        <w:tc>
          <w:tcPr>
            <w:tcW w:w="440" w:type="dxa"/>
            <w:vAlign w:val="bottom"/>
            <w:gridSpan w:val="2"/>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8"/>
              </w:rPr>
            </w:pPr>
            <w:hyperlink w:anchor="page53">
              <w:r>
                <w:rPr>
                  <w:rFonts w:ascii="Times New Roman" w:cs="Times New Roman" w:eastAsia="Times New Roman" w:hAnsi="Times New Roman"/>
                  <w:sz w:val="20"/>
                  <w:szCs w:val="20"/>
                  <w:color w:val="0000EE"/>
                  <w:w w:val="98"/>
                </w:rPr>
                <w:t>Sarbanes-Oxley Act of 2002</w:t>
              </w:r>
            </w:hyperlink>
          </w:p>
        </w:tc>
        <w:tc>
          <w:tcPr>
            <w:tcW w:w="7620" w:type="dxa"/>
            <w:vAlign w:val="bottom"/>
            <w:gridSpan w:val="5"/>
          </w:tcPr>
          <w:p>
            <w:pPr>
              <w:spacing w:after="0"/>
              <w:rPr>
                <w:sz w:val="18"/>
                <w:szCs w:val="18"/>
                <w:color w:val="auto"/>
              </w:rPr>
            </w:pPr>
          </w:p>
        </w:tc>
      </w:tr>
      <w:tr>
        <w:trPr>
          <w:trHeight w:val="457"/>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56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following financial information from Monster Beverage Corporation’s Quarterly Report on Form 10-Q for the quarter</w:t>
            </w:r>
          </w:p>
        </w:tc>
      </w:tr>
      <w:tr>
        <w:trPr>
          <w:trHeight w:val="230"/>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ended March 31, 2019, formatted in XBRL (eXtensible Business Reporting Language): (i) Condensed Consolidated Balance</w:t>
            </w:r>
          </w:p>
        </w:tc>
      </w:tr>
      <w:tr>
        <w:trPr>
          <w:trHeight w:val="230"/>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Sheets as of March 31, 2019 and December 31, 2018, (ii) Condensed Consolidated Statements of Income for the three-</w:t>
            </w:r>
          </w:p>
        </w:tc>
      </w:tr>
      <w:tr>
        <w:trPr>
          <w:trHeight w:val="230"/>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months ended March 31, 2019 and 2018, (iii) Condensed Consolidated Statements of Comprehensive Income for the three-</w:t>
            </w:r>
          </w:p>
        </w:tc>
      </w:tr>
      <w:tr>
        <w:trPr>
          <w:trHeight w:val="252"/>
        </w:trPr>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months ended March 31, 2019 and 2018, (iv) Condensed Consolidated Statements of Stockholders’ Equity for the three-</w:t>
            </w:r>
          </w:p>
        </w:tc>
      </w:tr>
    </w:tbl>
    <w:p>
      <w:pPr>
        <w:ind w:left="1540" w:right="40"/>
        <w:spacing w:after="0" w:line="246" w:lineRule="auto"/>
        <w:rPr>
          <w:sz w:val="20"/>
          <w:szCs w:val="20"/>
          <w:color w:val="auto"/>
        </w:rPr>
      </w:pPr>
      <w:r>
        <w:rPr>
          <w:rFonts w:ascii="Times New Roman" w:cs="Times New Roman" w:eastAsia="Times New Roman" w:hAnsi="Times New Roman"/>
          <w:sz w:val="20"/>
          <w:szCs w:val="20"/>
          <w:color w:val="auto"/>
        </w:rPr>
        <w:t>months ended March 31, 2019 and 2018, (v) Condensed Consolidated Statements of Cash Flows for the three-months ended March 31, 2019 and 2018, and (vi) the Notes to Condensed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Filed herewith</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MONSTER BEVERAGE CORPORATION</w:t>
            </w:r>
          </w:p>
        </w:tc>
      </w:tr>
      <w:tr>
        <w:trPr>
          <w:trHeight w:val="258"/>
        </w:trPr>
        <w:tc>
          <w:tcPr>
            <w:tcW w:w="35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Registrant</w:t>
            </w:r>
          </w:p>
        </w:tc>
      </w:tr>
      <w:tr>
        <w:trPr>
          <w:trHeight w:val="64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May 3, 2019</w:t>
            </w:r>
          </w:p>
        </w:tc>
        <w:tc>
          <w:tcPr>
            <w:tcW w:w="2260" w:type="dxa"/>
            <w:vAlign w:val="bottom"/>
          </w:tcPr>
          <w:p>
            <w:pPr>
              <w:spacing w:after="0"/>
              <w:rPr>
                <w:sz w:val="24"/>
                <w:szCs w:val="24"/>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RODNEY C. SACKS</w:t>
            </w:r>
          </w:p>
        </w:tc>
        <w:tc>
          <w:tcPr>
            <w:tcW w:w="3660" w:type="dxa"/>
            <w:vAlign w:val="bottom"/>
          </w:tcPr>
          <w:p>
            <w:pPr>
              <w:spacing w:after="0"/>
              <w:rPr>
                <w:sz w:val="24"/>
                <w:szCs w:val="24"/>
                <w:color w:val="auto"/>
              </w:rPr>
            </w:pPr>
          </w:p>
        </w:tc>
      </w:tr>
      <w:tr>
        <w:trPr>
          <w:trHeight w:val="227"/>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35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Chief Executive Officer</w:t>
            </w:r>
          </w:p>
        </w:tc>
      </w:tr>
      <w:tr>
        <w:trPr>
          <w:trHeight w:val="440"/>
        </w:trPr>
        <w:tc>
          <w:tcPr>
            <w:tcW w:w="35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0" w:name="page51"/>
    <w:bookmarkEnd w:id="5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Sacks, certify that:</w:t>
      </w:r>
    </w:p>
    <w:p>
      <w:pPr>
        <w:spacing w:after="0" w:line="225"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4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4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93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82" w:lineRule="auto"/>
        <w:tabs>
          <w:tab w:leader="none" w:pos="1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620" w:right="40" w:hanging="315"/>
        <w:spacing w:after="0" w:line="282" w:lineRule="auto"/>
        <w:tabs>
          <w:tab w:leader="none" w:pos="17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0" w:hanging="315"/>
        <w:spacing w:after="0" w:line="282" w:lineRule="auto"/>
        <w:tabs>
          <w:tab w:leader="none" w:pos="163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3, 2019</w:t>
            </w: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/s/Rodney C. Sacks</w:t>
            </w:r>
          </w:p>
        </w:tc>
        <w:tc>
          <w:tcPr>
            <w:tcW w:w="4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c>
          <w:tcPr>
            <w:tcW w:w="4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51" w:name="page52"/>
    <w:bookmarkEnd w:id="5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Schlosberg, certify that:</w:t>
      </w:r>
    </w:p>
    <w:p>
      <w:pPr>
        <w:spacing w:after="0" w:line="22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4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4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9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620" w:right="40" w:hanging="315"/>
        <w:spacing w:after="0" w:line="282" w:lineRule="auto"/>
        <w:tabs>
          <w:tab w:leader="none" w:pos="1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620" w:right="40" w:hanging="315"/>
        <w:spacing w:after="0" w:line="266" w:lineRule="auto"/>
        <w:tabs>
          <w:tab w:leader="none" w:pos="1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620" w:right="40" w:hanging="315"/>
        <w:spacing w:after="0" w:line="282" w:lineRule="auto"/>
        <w:tabs>
          <w:tab w:leader="none" w:pos="17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0" w:hanging="315"/>
        <w:spacing w:after="0" w:line="282" w:lineRule="auto"/>
        <w:tabs>
          <w:tab w:leader="none" w:pos="163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3,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c>
          <w:tcPr>
            <w:tcW w:w="40" w:type="dxa"/>
            <w:vAlign w:val="bottom"/>
          </w:tcPr>
          <w:p>
            <w:pPr>
              <w:spacing w:after="0"/>
              <w:rPr>
                <w:sz w:val="20"/>
                <w:szCs w:val="20"/>
                <w:color w:val="auto"/>
              </w:rPr>
            </w:pPr>
          </w:p>
        </w:tc>
      </w:tr>
      <w:tr>
        <w:trPr>
          <w:trHeight w:val="191"/>
        </w:trPr>
        <w:tc>
          <w:tcPr>
            <w:tcW w:w="6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Chief</w:t>
            </w:r>
          </w:p>
        </w:tc>
        <w:tc>
          <w:tcPr>
            <w:tcW w:w="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52" w:name="page53"/>
    <w:bookmarkEnd w:id="5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March 31, 2019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12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3,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c>
          <w:tcPr>
            <w:tcW w:w="40" w:type="dxa"/>
            <w:vAlign w:val="bottom"/>
          </w:tcPr>
          <w:p>
            <w:pPr>
              <w:spacing w:after="0"/>
              <w:rPr>
                <w:sz w:val="20"/>
                <w:szCs w:val="20"/>
                <w:color w:val="auto"/>
              </w:rPr>
            </w:pPr>
          </w:p>
        </w:tc>
      </w:tr>
      <w:tr>
        <w:trPr>
          <w:trHeight w:val="191"/>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4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53" w:name="page54"/>
    <w:bookmarkEnd w:id="5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March 31, 2019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1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3,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c>
          <w:tcPr>
            <w:tcW w:w="40" w:type="dxa"/>
            <w:vAlign w:val="bottom"/>
          </w:tcPr>
          <w:p>
            <w:pPr>
              <w:spacing w:after="0"/>
              <w:rPr>
                <w:sz w:val="20"/>
                <w:szCs w:val="20"/>
                <w:color w:val="auto"/>
              </w:rPr>
            </w:pPr>
          </w:p>
        </w:tc>
      </w:tr>
      <w:tr>
        <w:trPr>
          <w:trHeight w:val="191"/>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Chief</w:t>
            </w:r>
          </w:p>
        </w:tc>
        <w:tc>
          <w:tcPr>
            <w:tcW w:w="4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3"/>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1."/>
      <w:numFmt w:val="decimal"/>
      <w:start w:val="16"/>
    </w:lvl>
  </w:abstractNum>
  <w:abstractNum w:abstractNumId="18">
    <w:nsid w:val="B03E0C6"/>
    <w:multiLevelType w:val="hybridMultilevel"/>
    <w:lvl w:ilvl="0">
      <w:lvlJc w:val="left"/>
      <w:lvlText w:val="%1."/>
      <w:numFmt w:val="decimal"/>
      <w:start w:val="17"/>
    </w:lvl>
  </w:abstractNum>
  <w:abstractNum w:abstractNumId="19">
    <w:nsid w:val="189A769B"/>
    <w:multiLevelType w:val="hybridMultilevel"/>
    <w:lvl w:ilvl="0">
      <w:lvlJc w:val="left"/>
      <w:lvlText w:val="%1."/>
      <w:numFmt w:val="decimal"/>
      <w:start w:val="18"/>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9"/>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2019-12-28T13:12:08Z</dcterms:created>
  <dcterms:modified xsi:type="dcterms:W3CDTF">2019-12-28T13:12:08Z</dcterms:modified>
</cp:coreProperties>
</file>