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For the quarterly period ended September 30, 2015</w:t>
      </w:r>
      <w:r>
        <w:rPr>
          <w:sz w:val="20"/>
          <w:szCs w:val="20"/>
          <w:color w:val="auto"/>
        </w:rPr>
        <w:tab/>
      </w:r>
      <w:r>
        <w:rPr>
          <w:rFonts w:ascii="Times New Roman" w:cs="Times New Roman" w:eastAsia="Times New Roman" w:hAnsi="Times New Roman"/>
          <w:sz w:val="19"/>
          <w:szCs w:val="19"/>
          <w:color w:val="auto"/>
        </w:rPr>
        <w:t>Commission File Number 0-18761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2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39-1679918</w:t>
      </w:r>
    </w:p>
    <w:p>
      <w:pPr>
        <w:spacing w:after="0" w:line="8" w:lineRule="exact"/>
        <w:rPr>
          <w:sz w:val="24"/>
          <w:szCs w:val="24"/>
          <w:color w:val="auto"/>
        </w:rPr>
      </w:pPr>
    </w:p>
    <w:p>
      <w:pPr>
        <w:sectPr>
          <w:pgSz w:w="11900" w:h="16838" w:orient="portrait"/>
          <w:cols w:equalWidth="0" w:num="2">
            <w:col w:w="5900" w:space="720"/>
            <w:col w:w="4800"/>
          </w:cols>
          <w:pgMar w:left="240" w:top="229" w:right="239" w:bottom="0" w:gutter="0" w:footer="0" w:header="0"/>
          <w:type w:val="continuous"/>
        </w:sectPr>
      </w:pPr>
    </w:p>
    <w:p>
      <w:pPr>
        <w:ind w:left="294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2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29" w:right="239" w:bottom="0"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(951) 739 – 6200</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8" w:lineRule="exact"/>
        <w:rPr>
          <w:sz w:val="24"/>
          <w:szCs w:val="24"/>
          <w:color w:val="auto"/>
        </w:rPr>
      </w:pPr>
    </w:p>
    <w:p>
      <w:pPr>
        <w:jc w:val="center"/>
        <w:ind w:right="280"/>
        <w:spacing w:after="0"/>
        <w:tabs>
          <w:tab w:leader="none" w:pos="160" w:val="left"/>
        </w:tabs>
        <w:rPr>
          <w:sz w:val="20"/>
          <w:szCs w:val="20"/>
          <w:color w:val="auto"/>
        </w:rPr>
      </w:pPr>
      <w:r>
        <w:rPr>
          <w:rFonts w:ascii="Times New Roman" w:cs="Times New Roman" w:eastAsia="Times New Roman" w:hAnsi="Times New Roman"/>
          <w:sz w:val="20"/>
          <w:szCs w:val="20"/>
          <w:color w:val="auto"/>
        </w:rPr>
        <w:t xml:space="preserve">Yes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ab/>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3873500</wp:posOffset>
            </wp:positionH>
            <wp:positionV relativeFrom="paragraph">
              <wp:posOffset>-10795</wp:posOffset>
            </wp:positionV>
            <wp:extent cx="15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8" w:lineRule="exact"/>
        <w:rPr>
          <w:sz w:val="24"/>
          <w:szCs w:val="24"/>
          <w:color w:val="auto"/>
        </w:rPr>
      </w:pPr>
    </w:p>
    <w:p>
      <w:pPr>
        <w:jc w:val="center"/>
        <w:ind w:right="280"/>
        <w:spacing w:after="0"/>
        <w:tabs>
          <w:tab w:leader="none" w:pos="220" w:val="left"/>
        </w:tabs>
        <w:rPr>
          <w:sz w:val="20"/>
          <w:szCs w:val="20"/>
          <w:color w:val="auto"/>
        </w:rPr>
      </w:pPr>
      <w:r>
        <w:rPr>
          <w:rFonts w:ascii="Times New Roman" w:cs="Times New Roman" w:eastAsia="Times New Roman" w:hAnsi="Times New Roman"/>
          <w:sz w:val="20"/>
          <w:szCs w:val="20"/>
          <w:color w:val="auto"/>
        </w:rPr>
        <w:t xml:space="preserve">Yes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ab/>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3873500</wp:posOffset>
            </wp:positionH>
            <wp:positionV relativeFrom="paragraph">
              <wp:posOffset>-10795</wp:posOffset>
            </wp:positionV>
            <wp:extent cx="156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 x</w:t>
            </w:r>
          </w:p>
        </w:tc>
        <w:tc>
          <w:tcPr>
            <w:tcW w:w="3340" w:type="dxa"/>
            <w:vAlign w:val="bottom"/>
          </w:tcPr>
          <w:p>
            <w:pPr>
              <w:ind w:left="960"/>
              <w:spacing w:after="0" w:line="230" w:lineRule="exact"/>
              <w:rPr>
                <w:sz w:val="20"/>
                <w:szCs w:val="20"/>
                <w:color w:val="auto"/>
              </w:rPr>
            </w:pPr>
            <w:r>
              <w:rPr>
                <w:rFonts w:ascii="Times New Roman" w:cs="Times New Roman" w:eastAsia="Times New Roman" w:hAnsi="Times New Roman"/>
                <w:sz w:val="20"/>
                <w:szCs w:val="20"/>
                <w:color w:val="auto"/>
              </w:rPr>
              <w:t xml:space="preserve">Accelerated filer </w:t>
            </w:r>
            <w:r>
              <w:rPr>
                <w:rFonts w:ascii="MS PGothic" w:cs="MS PGothic" w:eastAsia="MS PGothic" w:hAnsi="MS PGothic"/>
                <w:sz w:val="20"/>
                <w:szCs w:val="20"/>
                <w:color w:val="auto"/>
              </w:rPr>
              <w:t>☐</w:t>
            </w:r>
          </w:p>
        </w:tc>
      </w:tr>
      <w:tr>
        <w:trPr>
          <w:trHeight w:val="338"/>
        </w:trPr>
        <w:tc>
          <w:tcPr>
            <w:tcW w:w="64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Non-accelerated filer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(Do not check if smaller reporting company)</w:t>
            </w:r>
          </w:p>
        </w:tc>
        <w:tc>
          <w:tcPr>
            <w:tcW w:w="3340" w:type="dxa"/>
            <w:vAlign w:val="bottom"/>
          </w:tcPr>
          <w:p>
            <w:pPr>
              <w:ind w:left="960"/>
              <w:spacing w:after="0" w:line="230" w:lineRule="exact"/>
              <w:rPr>
                <w:sz w:val="20"/>
                <w:szCs w:val="20"/>
                <w:color w:val="auto"/>
              </w:rPr>
            </w:pPr>
            <w:r>
              <w:rPr>
                <w:rFonts w:ascii="Times New Roman" w:cs="Times New Roman" w:eastAsia="Times New Roman" w:hAnsi="Times New Roman"/>
                <w:sz w:val="20"/>
                <w:szCs w:val="20"/>
                <w:color w:val="auto"/>
                <w:w w:val="96"/>
              </w:rPr>
              <w:t xml:space="preserve">Smaller reporting company </w:t>
            </w:r>
            <w:r>
              <w:rPr>
                <w:rFonts w:ascii="MS PGothic" w:cs="MS PGothic" w:eastAsia="MS PGothic" w:hAnsi="MS PGothic"/>
                <w:sz w:val="20"/>
                <w:szCs w:val="20"/>
                <w:color w:val="auto"/>
                <w:w w:val="96"/>
              </w:rPr>
              <w:t>☐</w:t>
            </w:r>
          </w:p>
        </w:tc>
      </w:tr>
    </w:tbl>
    <w:p>
      <w:pPr>
        <w:spacing w:after="0" w:line="18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ind w:left="5100"/>
        <w:spacing w:after="0"/>
        <w:tabs>
          <w:tab w:leader="none" w:pos="5820" w:val="left"/>
        </w:tabs>
        <w:rPr>
          <w:sz w:val="20"/>
          <w:szCs w:val="20"/>
          <w:color w:val="auto"/>
        </w:rPr>
      </w:pPr>
      <w:r>
        <w:rPr>
          <w:rFonts w:ascii="Times New Roman" w:cs="Times New Roman" w:eastAsia="Times New Roman" w:hAnsi="Times New Roman"/>
          <w:sz w:val="20"/>
          <w:szCs w:val="20"/>
          <w:color w:val="auto"/>
        </w:rPr>
        <w:t>Yes</w:t>
      </w:r>
      <w:r>
        <w:rPr>
          <w:sz w:val="20"/>
          <w:szCs w:val="20"/>
          <w:color w:val="auto"/>
        </w:rPr>
        <w:tab/>
      </w:r>
      <w:r>
        <w:rPr>
          <w:rFonts w:ascii="Times New Roman" w:cs="Times New Roman" w:eastAsia="Times New Roman" w:hAnsi="Times New Roman"/>
          <w:sz w:val="20"/>
          <w:szCs w:val="20"/>
          <w:color w:val="auto"/>
        </w:rPr>
        <w:t xml:space="preserve">No </w:t>
      </w:r>
      <w:r>
        <w:rPr>
          <w:rFonts w:ascii="Times New Roman" w:cs="Times New Roman" w:eastAsia="Times New Roman" w:hAnsi="Times New Roman"/>
          <w:sz w:val="20"/>
          <w:szCs w:val="20"/>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3456305</wp:posOffset>
            </wp:positionH>
            <wp:positionV relativeFrom="paragraph">
              <wp:posOffset>-10795</wp:posOffset>
            </wp:positionV>
            <wp:extent cx="12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Registrant had 202,722,461 shares of common stock, par value $0.005 per share, outstanding as of October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MONSTER BEVERAGE CORPORATION AND SUBSIDIARIES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SEPTEMBER 30, 2015</w:t>
      </w:r>
    </w:p>
    <w:p>
      <w:pPr>
        <w:sectPr>
          <w:pgSz w:w="11900" w:h="16838" w:orient="portrait"/>
          <w:cols w:equalWidth="0" w:num="1">
            <w:col w:w="11420"/>
          </w:cols>
          <w:pgMar w:left="240" w:top="229"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6"/>
              </w:rPr>
              <w:t>INDEX</w:t>
            </w:r>
          </w:p>
        </w:tc>
        <w:tc>
          <w:tcPr>
            <w:tcW w:w="464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560" w:type="dxa"/>
            <w:vAlign w:val="bottom"/>
          </w:tcPr>
          <w:p>
            <w:pPr>
              <w:spacing w:after="0"/>
              <w:rPr>
                <w:rFonts w:ascii="Times New Roman" w:cs="Times New Roman" w:eastAsia="Times New Roman" w:hAnsi="Times New Roman"/>
                <w:sz w:val="20"/>
                <w:szCs w:val="20"/>
                <w:b w:val="1"/>
                <w:bCs w:val="1"/>
                <w:color w:val="0000EE"/>
                <w:w w:val="97"/>
              </w:rPr>
            </w:pPr>
            <w:hyperlink w:anchor="page2">
              <w:r>
                <w:rPr>
                  <w:rFonts w:ascii="Times New Roman" w:cs="Times New Roman" w:eastAsia="Times New Roman" w:hAnsi="Times New Roman"/>
                  <w:sz w:val="20"/>
                  <w:szCs w:val="20"/>
                  <w:b w:val="1"/>
                  <w:bCs w:val="1"/>
                  <w:color w:val="0000EE"/>
                  <w:w w:val="97"/>
                </w:rPr>
                <w:t>Part I.</w:t>
              </w:r>
            </w:hyperlink>
          </w:p>
        </w:tc>
        <w:tc>
          <w:tcPr>
            <w:tcW w:w="700" w:type="dxa"/>
            <w:vAlign w:val="bottom"/>
            <w:gridSpan w:val="3"/>
          </w:tcPr>
          <w:p>
            <w:pPr>
              <w:spacing w:after="0"/>
              <w:rPr>
                <w:sz w:val="24"/>
                <w:szCs w:val="24"/>
                <w:color w:val="auto"/>
              </w:rPr>
            </w:pPr>
          </w:p>
        </w:tc>
        <w:tc>
          <w:tcPr>
            <w:tcW w:w="2640" w:type="dxa"/>
            <w:vAlign w:val="bottom"/>
            <w:gridSpan w:val="11"/>
          </w:tcPr>
          <w:p>
            <w:pPr>
              <w:spacing w:after="0"/>
              <w:rPr>
                <w:rFonts w:ascii="Times New Roman" w:cs="Times New Roman" w:eastAsia="Times New Roman" w:hAnsi="Times New Roman"/>
                <w:sz w:val="20"/>
                <w:szCs w:val="20"/>
                <w:b w:val="1"/>
                <w:bCs w:val="1"/>
                <w:color w:val="0000EE"/>
                <w:w w:val="98"/>
              </w:rPr>
            </w:pPr>
            <w:hyperlink w:anchor="page2">
              <w:r>
                <w:rPr>
                  <w:rFonts w:ascii="Times New Roman" w:cs="Times New Roman" w:eastAsia="Times New Roman" w:hAnsi="Times New Roman"/>
                  <w:sz w:val="20"/>
                  <w:szCs w:val="20"/>
                  <w:b w:val="1"/>
                  <w:bCs w:val="1"/>
                  <w:color w:val="0000EE"/>
                  <w:w w:val="98"/>
                </w:rPr>
                <w:t>FINANCIAL INFORMATION</w:t>
              </w:r>
            </w:hyperlink>
          </w:p>
        </w:tc>
        <w:tc>
          <w:tcPr>
            <w:tcW w:w="678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5"/>
              </w:rPr>
              <w:t>Page No.</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Times New Roman" w:cs="Times New Roman" w:eastAsia="Times New Roman" w:hAnsi="Times New Roman"/>
                <w:sz w:val="20"/>
                <w:szCs w:val="20"/>
                <w:color w:val="0000EE"/>
              </w:rPr>
            </w:pPr>
            <w:hyperlink w:anchor="page2">
              <w:r>
                <w:rPr>
                  <w:rFonts w:ascii="Times New Roman" w:cs="Times New Roman" w:eastAsia="Times New Roman" w:hAnsi="Times New Roman"/>
                  <w:sz w:val="20"/>
                  <w:szCs w:val="20"/>
                  <w:color w:val="0000EE"/>
                </w:rPr>
                <w:t>Item 1.</w:t>
              </w:r>
            </w:hyperlink>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2">
              <w:r>
                <w:rPr>
                  <w:rFonts w:ascii="Times New Roman" w:cs="Times New Roman" w:eastAsia="Times New Roman" w:hAnsi="Times New Roman"/>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tcBorders>
              <w:bottom w:val="single" w:sz="8" w:color="0000EE"/>
            </w:tcBorders>
            <w:gridSpan w:val="18"/>
          </w:tcPr>
          <w:p>
            <w:pPr>
              <w:spacing w:after="0"/>
              <w:rPr>
                <w:rFonts w:ascii="Times New Roman" w:cs="Times New Roman" w:eastAsia="Times New Roman" w:hAnsi="Times New Roman"/>
                <w:sz w:val="20"/>
                <w:szCs w:val="20"/>
                <w:color w:val="0000EE"/>
                <w:w w:val="98"/>
              </w:rPr>
            </w:pPr>
            <w:hyperlink w:anchor="page2">
              <w:r>
                <w:rPr>
                  <w:rFonts w:ascii="Times New Roman" w:cs="Times New Roman" w:eastAsia="Times New Roman" w:hAnsi="Times New Roman"/>
                  <w:sz w:val="20"/>
                  <w:szCs w:val="20"/>
                  <w:color w:val="0000EE"/>
                  <w:w w:val="98"/>
                </w:rPr>
                <w:t>Condensed Consolidated Balance Sheets as of September 30, 2015 and December 31, 2014</w:t>
              </w:r>
            </w:hyperlink>
          </w:p>
        </w:tc>
        <w:tc>
          <w:tcPr>
            <w:tcW w:w="218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Condensed Consolidated Statements of Income for the Three- and Nine-Months Ended September 30, 2015 and</w:t>
              </w:r>
            </w:hyperlink>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Times New Roman" w:cs="Times New Roman" w:eastAsia="Times New Roman" w:hAnsi="Times New Roman"/>
                <w:sz w:val="20"/>
                <w:szCs w:val="20"/>
                <w:color w:val="0000EE"/>
                <w:w w:val="94"/>
              </w:rPr>
            </w:pPr>
            <w:hyperlink w:anchor="page3">
              <w:r>
                <w:rPr>
                  <w:rFonts w:ascii="Times New Roman" w:cs="Times New Roman" w:eastAsia="Times New Roman" w:hAnsi="Times New Roman"/>
                  <w:sz w:val="20"/>
                  <w:szCs w:val="20"/>
                  <w:color w:val="0000EE"/>
                  <w:w w:val="94"/>
                </w:rPr>
                <w:t>2014</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Condensed Consolidated Statements of Comprehensive Income for the Three- and Nine-Months Ended</w:t>
              </w:r>
            </w:hyperlink>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9"/>
          </w:tcPr>
          <w:p>
            <w:pPr>
              <w:spacing w:after="0" w:line="209" w:lineRule="exact"/>
              <w:rPr>
                <w:rFonts w:ascii="Times New Roman" w:cs="Times New Roman" w:eastAsia="Times New Roman" w:hAnsi="Times New Roman"/>
                <w:sz w:val="20"/>
                <w:szCs w:val="20"/>
                <w:color w:val="0000EE"/>
                <w:w w:val="98"/>
              </w:rPr>
            </w:pPr>
            <w:hyperlink w:anchor="page4">
              <w:r>
                <w:rPr>
                  <w:rFonts w:ascii="Times New Roman" w:cs="Times New Roman" w:eastAsia="Times New Roman" w:hAnsi="Times New Roman"/>
                  <w:sz w:val="20"/>
                  <w:szCs w:val="20"/>
                  <w:color w:val="0000EE"/>
                  <w:w w:val="98"/>
                </w:rPr>
                <w:t>September 30, 2015 and 2014</w:t>
              </w:r>
            </w:hyperlink>
          </w:p>
        </w:tc>
        <w:tc>
          <w:tcPr>
            <w:tcW w:w="5800" w:type="dxa"/>
            <w:vAlign w:val="bottom"/>
            <w:tcBorders>
              <w:top w:val="single" w:sz="8" w:color="0000EE"/>
            </w:tcBorders>
            <w:gridSpan w:val="10"/>
          </w:tcPr>
          <w:p>
            <w:pPr>
              <w:spacing w:after="0"/>
              <w:rPr>
                <w:sz w:val="18"/>
                <w:szCs w:val="18"/>
                <w:color w:val="auto"/>
              </w:rPr>
            </w:pPr>
          </w:p>
        </w:tc>
        <w:tc>
          <w:tcPr>
            <w:tcW w:w="1240" w:type="dxa"/>
            <w:vAlign w:val="bottom"/>
            <w:gridSpan w:val="3"/>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40" w:type="dxa"/>
            <w:vAlign w:val="bottom"/>
            <w:tcBorders>
              <w:bottom w:val="single" w:sz="8" w:color="0000EE"/>
            </w:tcBorders>
            <w:gridSpan w:val="20"/>
          </w:tcPr>
          <w:p>
            <w:pPr>
              <w:spacing w:after="0"/>
              <w:rPr>
                <w:rFonts w:ascii="Times New Roman" w:cs="Times New Roman" w:eastAsia="Times New Roman" w:hAnsi="Times New Roman"/>
                <w:sz w:val="20"/>
                <w:szCs w:val="20"/>
                <w:color w:val="0000EE"/>
                <w:w w:val="98"/>
              </w:rPr>
            </w:pPr>
            <w:hyperlink w:anchor="page4">
              <w:r>
                <w:rPr>
                  <w:rFonts w:ascii="Times New Roman" w:cs="Times New Roman" w:eastAsia="Times New Roman" w:hAnsi="Times New Roman"/>
                  <w:sz w:val="20"/>
                  <w:szCs w:val="20"/>
                  <w:color w:val="0000EE"/>
                  <w:w w:val="98"/>
                </w:rPr>
                <w:t>Condensed Consolidated Statements of Cash Flows for the Nine-Months Ended September 30, 2015 and 2014</w:t>
              </w:r>
            </w:hyperlink>
          </w:p>
        </w:tc>
        <w:tc>
          <w:tcPr>
            <w:tcW w:w="68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bottom w:val="single" w:sz="8" w:color="0000EE"/>
            </w:tcBorders>
            <w:gridSpan w:val="13"/>
          </w:tcPr>
          <w:p>
            <w:pPr>
              <w:spacing w:after="0"/>
              <w:rPr>
                <w:rFonts w:ascii="Times New Roman" w:cs="Times New Roman" w:eastAsia="Times New Roman" w:hAnsi="Times New Roman"/>
                <w:sz w:val="20"/>
                <w:szCs w:val="20"/>
                <w:color w:val="0000EE"/>
                <w:w w:val="98"/>
              </w:rPr>
            </w:pPr>
            <w:hyperlink w:anchor="page5">
              <w:r>
                <w:rPr>
                  <w:rFonts w:ascii="Times New Roman" w:cs="Times New Roman" w:eastAsia="Times New Roman" w:hAnsi="Times New Roman"/>
                  <w:sz w:val="20"/>
                  <w:szCs w:val="20"/>
                  <w:color w:val="0000EE"/>
                  <w:w w:val="98"/>
                </w:rPr>
                <w:t>Notes to Condensed Consolidated Financial Statements</w:t>
              </w:r>
            </w:hyperlink>
          </w:p>
        </w:tc>
        <w:tc>
          <w:tcPr>
            <w:tcW w:w="5020" w:type="dxa"/>
            <w:vAlign w:val="bottom"/>
            <w:gridSpan w:val="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439"/>
        </w:trPr>
        <w:tc>
          <w:tcPr>
            <w:tcW w:w="640" w:type="dxa"/>
            <w:vAlign w:val="bottom"/>
            <w:gridSpan w:val="2"/>
          </w:tcPr>
          <w:p>
            <w:pPr>
              <w:spacing w:after="0"/>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Item 2.</w:t>
              </w:r>
            </w:hyperlink>
          </w:p>
        </w:tc>
        <w:tc>
          <w:tcPr>
            <w:tcW w:w="620" w:type="dxa"/>
            <w:vAlign w:val="bottom"/>
            <w:gridSpan w:val="2"/>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439"/>
        </w:trPr>
        <w:tc>
          <w:tcPr>
            <w:tcW w:w="6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Item 3.</w:t>
              </w:r>
            </w:hyperlink>
          </w:p>
        </w:tc>
        <w:tc>
          <w:tcPr>
            <w:tcW w:w="620" w:type="dxa"/>
            <w:vAlign w:val="bottom"/>
            <w:gridSpan w:val="2"/>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20"/>
                <w:szCs w:val="20"/>
                <w:color w:val="0000EE"/>
                <w:w w:val="98"/>
              </w:rPr>
            </w:pPr>
            <w:hyperlink w:anchor="page38">
              <w:r>
                <w:rPr>
                  <w:rFonts w:ascii="Times New Roman" w:cs="Times New Roman" w:eastAsia="Times New Roman" w:hAnsi="Times New Roman"/>
                  <w:sz w:val="20"/>
                  <w:szCs w:val="20"/>
                  <w:color w:val="0000EE"/>
                  <w:w w:val="98"/>
                </w:rPr>
                <w:t>Quantitative and Qualitative Disclosures About Market Risk</w:t>
              </w:r>
            </w:hyperlink>
          </w:p>
        </w:tc>
        <w:tc>
          <w:tcPr>
            <w:tcW w:w="2300" w:type="dxa"/>
            <w:vAlign w:val="bottom"/>
            <w:tcBorders>
              <w:top w:val="single" w:sz="8" w:color="0000EE"/>
            </w:tcBorders>
          </w:tcPr>
          <w:p>
            <w:pPr>
              <w:spacing w:after="0"/>
              <w:rPr>
                <w:sz w:val="24"/>
                <w:szCs w:val="24"/>
                <w:color w:val="auto"/>
              </w:rPr>
            </w:pPr>
          </w:p>
        </w:tc>
        <w:tc>
          <w:tcPr>
            <w:tcW w:w="2320" w:type="dxa"/>
            <w:vAlign w:val="bottom"/>
            <w:gridSpan w:val="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439"/>
        </w:trPr>
        <w:tc>
          <w:tcPr>
            <w:tcW w:w="1260" w:type="dxa"/>
            <w:vAlign w:val="bottom"/>
            <w:gridSpan w:val="4"/>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Item 4.</w:t>
              </w:r>
            </w:hyperlink>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Times New Roman" w:cs="Times New Roman" w:eastAsia="Times New Roman" w:hAnsi="Times New Roman"/>
                <w:sz w:val="20"/>
                <w:szCs w:val="20"/>
                <w:b w:val="1"/>
                <w:bCs w:val="1"/>
                <w:color w:val="0000EE"/>
                <w:w w:val="97"/>
              </w:rPr>
            </w:pPr>
            <w:hyperlink w:anchor="page38">
              <w:r>
                <w:rPr>
                  <w:rFonts w:ascii="Times New Roman" w:cs="Times New Roman" w:eastAsia="Times New Roman" w:hAnsi="Times New Roman"/>
                  <w:sz w:val="20"/>
                  <w:szCs w:val="20"/>
                  <w:b w:val="1"/>
                  <w:bCs w:val="1"/>
                  <w:color w:val="0000EE"/>
                  <w:w w:val="97"/>
                </w:rPr>
                <w:t>Part II.</w:t>
              </w:r>
            </w:hyperlink>
          </w:p>
        </w:tc>
        <w:tc>
          <w:tcPr>
            <w:tcW w:w="620" w:type="dxa"/>
            <w:vAlign w:val="bottom"/>
            <w:gridSpan w:val="2"/>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20"/>
                <w:szCs w:val="20"/>
                <w:b w:val="1"/>
                <w:bCs w:val="1"/>
                <w:color w:val="0000EE"/>
              </w:rPr>
            </w:pPr>
            <w:hyperlink w:anchor="page38">
              <w:r>
                <w:rPr>
                  <w:rFonts w:ascii="Times New Roman" w:cs="Times New Roman" w:eastAsia="Times New Roman" w:hAnsi="Times New Roman"/>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Item 1.</w:t>
              </w:r>
            </w:hyperlink>
          </w:p>
        </w:tc>
        <w:tc>
          <w:tcPr>
            <w:tcW w:w="80" w:type="dxa"/>
            <w:vAlign w:val="bottom"/>
            <w:tcBorders>
              <w:bottom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20"/>
                <w:szCs w:val="20"/>
                <w:color w:val="0000EE"/>
                <w:w w:val="98"/>
              </w:rPr>
            </w:pPr>
            <w:hyperlink w:anchor="page38">
              <w:r>
                <w:rPr>
                  <w:rFonts w:ascii="Times New Roman" w:cs="Times New Roman" w:eastAsia="Times New Roman" w:hAnsi="Times New Roman"/>
                  <w:sz w:val="20"/>
                  <w:szCs w:val="20"/>
                  <w:color w:val="0000EE"/>
                  <w:w w:val="98"/>
                </w:rPr>
                <w:t>Legal Proceedings</w:t>
              </w:r>
            </w:hyperlink>
          </w:p>
        </w:tc>
        <w:tc>
          <w:tcPr>
            <w:tcW w:w="740" w:type="dxa"/>
            <w:vAlign w:val="bottom"/>
            <w:tcBorders>
              <w:top w:val="single" w:sz="8" w:color="0000EE"/>
            </w:tcBorders>
            <w:gridSpan w:val="2"/>
          </w:tcPr>
          <w:p>
            <w:pPr>
              <w:spacing w:after="0"/>
              <w:rPr>
                <w:sz w:val="24"/>
                <w:szCs w:val="24"/>
                <w:color w:val="auto"/>
              </w:rPr>
            </w:pPr>
          </w:p>
        </w:tc>
        <w:tc>
          <w:tcPr>
            <w:tcW w:w="720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439"/>
        </w:trPr>
        <w:tc>
          <w:tcPr>
            <w:tcW w:w="72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8"/>
              </w:rPr>
            </w:pPr>
            <w:hyperlink w:anchor="page38">
              <w:r>
                <w:rPr>
                  <w:rFonts w:ascii="Times New Roman" w:cs="Times New Roman" w:eastAsia="Times New Roman" w:hAnsi="Times New Roman"/>
                  <w:sz w:val="20"/>
                  <w:szCs w:val="20"/>
                  <w:color w:val="0000EE"/>
                  <w:w w:val="98"/>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7"/>
              </w:rPr>
            </w:pPr>
            <w:hyperlink w:anchor="page38">
              <w:r>
                <w:rPr>
                  <w:rFonts w:ascii="Times New Roman" w:cs="Times New Roman" w:eastAsia="Times New Roman" w:hAnsi="Times New Roman"/>
                  <w:sz w:val="20"/>
                  <w:szCs w:val="20"/>
                  <w:color w:val="0000EE"/>
                  <w:w w:val="97"/>
                </w:rPr>
                <w:t>Risk Factors</w:t>
              </w:r>
            </w:hyperlink>
          </w:p>
        </w:tc>
        <w:tc>
          <w:tcPr>
            <w:tcW w:w="8420" w:type="dxa"/>
            <w:vAlign w:val="bottom"/>
            <w:gridSpan w:val="18"/>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439"/>
        </w:trPr>
        <w:tc>
          <w:tcPr>
            <w:tcW w:w="1260" w:type="dxa"/>
            <w:vAlign w:val="bottom"/>
            <w:gridSpan w:val="4"/>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Item 2.</w:t>
              </w:r>
            </w:hyperlink>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38">
              <w:r>
                <w:rPr>
                  <w:rFonts w:ascii="Times New Roman" w:cs="Times New Roman" w:eastAsia="Times New Roman" w:hAnsi="Times New Roman"/>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Item 3.</w:t>
              </w:r>
            </w:hyperlink>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Defaults Upon Senior Securities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439"/>
        </w:trPr>
        <w:tc>
          <w:tcPr>
            <w:tcW w:w="1260" w:type="dxa"/>
            <w:vAlign w:val="bottom"/>
            <w:tcBorders>
              <w:top w:val="single" w:sz="8" w:color="0000EE"/>
            </w:tcBorders>
            <w:gridSpan w:val="4"/>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Item 4.</w:t>
              </w:r>
            </w:hyperlink>
          </w:p>
        </w:tc>
        <w:tc>
          <w:tcPr>
            <w:tcW w:w="2560" w:type="dxa"/>
            <w:vAlign w:val="bottom"/>
            <w:tcBorders>
              <w:top w:val="single" w:sz="8" w:color="0000EE"/>
            </w:tcBorders>
            <w:gridSpan w:val="10"/>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Mine Safety Disclosures</w:t>
              </w:r>
            </w:hyperlink>
          </w:p>
        </w:tc>
        <w:tc>
          <w:tcPr>
            <w:tcW w:w="686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439"/>
        </w:trPr>
        <w:tc>
          <w:tcPr>
            <w:tcW w:w="1260" w:type="dxa"/>
            <w:vAlign w:val="bottom"/>
            <w:tcBorders>
              <w:top w:val="single" w:sz="8" w:color="0000EE"/>
            </w:tcBorders>
            <w:gridSpan w:val="4"/>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Item 5.</w:t>
              </w:r>
            </w:hyperlink>
          </w:p>
        </w:tc>
        <w:tc>
          <w:tcPr>
            <w:tcW w:w="1940" w:type="dxa"/>
            <w:vAlign w:val="bottom"/>
            <w:tcBorders>
              <w:top w:val="single" w:sz="8" w:color="0000EE"/>
            </w:tcBorders>
            <w:gridSpan w:val="7"/>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Other Information</w:t>
              </w:r>
            </w:hyperlink>
          </w:p>
        </w:tc>
        <w:tc>
          <w:tcPr>
            <w:tcW w:w="7480" w:type="dxa"/>
            <w:vAlign w:val="bottom"/>
            <w:gridSpan w:val="1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98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Item 6.</w:t>
              </w:r>
            </w:hyperlink>
          </w:p>
        </w:tc>
        <w:tc>
          <w:tcPr>
            <w:tcW w:w="9420" w:type="dxa"/>
            <w:vAlign w:val="bottom"/>
            <w:gridSpan w:val="22"/>
          </w:tcPr>
          <w:p>
            <w:pPr>
              <w:spacing w:after="0"/>
              <w:rPr>
                <w:rFonts w:ascii="Times New Roman" w:cs="Times New Roman" w:eastAsia="Times New Roman" w:hAnsi="Times New Roman"/>
                <w:sz w:val="20"/>
                <w:szCs w:val="20"/>
                <w:color w:val="0000EE"/>
              </w:rPr>
            </w:pPr>
            <w:hyperlink w:anchor="page39">
              <w:r>
                <w:rPr>
                  <w:rFonts w:ascii="Times New Roman" w:cs="Times New Roman" w:eastAsia="Times New Roman" w:hAnsi="Times New Roman"/>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7"/>
              </w:rPr>
            </w:pPr>
            <w:hyperlink w:anchor="page40">
              <w:r>
                <w:rPr>
                  <w:rFonts w:ascii="Times New Roman" w:cs="Times New Roman" w:eastAsia="Times New Roman" w:hAnsi="Times New Roman"/>
                  <w:sz w:val="20"/>
                  <w:szCs w:val="20"/>
                  <w:color w:val="0000EE"/>
                  <w:w w:val="97"/>
                </w:rPr>
                <w:t>Signatures</w:t>
              </w:r>
            </w:hyperlink>
          </w:p>
        </w:tc>
        <w:tc>
          <w:tcPr>
            <w:tcW w:w="8580" w:type="dxa"/>
            <w:vAlign w:val="bottom"/>
            <w:gridSpan w:val="1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46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4"/>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SEPTEMBER 30, 2015 AND DECEMBER 31, 2014</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47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148"/>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7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3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1,240,717</w:t>
            </w: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370,323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1,544,710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781,134</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407,771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280,203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TCCC Transaction receivable</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Distributor receivables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159,691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174,573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19,673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held-for-sale, net</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18,079</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90,933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8,617</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155,369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40,275</w:t>
            </w:r>
          </w:p>
        </w:tc>
        <w:tc>
          <w:tcPr>
            <w:tcW w:w="0" w:type="dxa"/>
            <w:vAlign w:val="bottom"/>
          </w:tcPr>
          <w:p>
            <w:pPr>
              <w:spacing w:after="0"/>
              <w:rPr>
                <w:sz w:val="1"/>
                <w:szCs w:val="1"/>
                <w:color w:val="auto"/>
              </w:rPr>
            </w:pPr>
          </w:p>
        </w:tc>
      </w:tr>
    </w:tbl>
    <w:p>
      <w:pPr>
        <w:sectPr>
          <w:pgSz w:w="11900" w:h="16838" w:orient="portrait"/>
          <w:cols w:equalWidth="0" w:num="1">
            <w:col w:w="11460"/>
          </w:cols>
          <w:pgMar w:left="240" w:top="32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5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3,750,647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1,693,429</w:t>
            </w:r>
          </w:p>
        </w:tc>
        <w:tc>
          <w:tcPr>
            <w:tcW w:w="0" w:type="dxa"/>
            <w:vAlign w:val="bottom"/>
          </w:tcPr>
          <w:p>
            <w:pPr>
              <w:spacing w:after="0"/>
              <w:rPr>
                <w:sz w:val="1"/>
                <w:szCs w:val="1"/>
                <w:color w:val="auto"/>
              </w:rPr>
            </w:pPr>
          </w:p>
        </w:tc>
      </w:tr>
      <w:tr>
        <w:trPr>
          <w:trHeight w:val="397"/>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w:t>
            </w:r>
          </w:p>
        </w:tc>
        <w:tc>
          <w:tcPr>
            <w:tcW w:w="5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34,355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42,940</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94,727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90,156</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54,106</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1,287,777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428,201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50,748</w:t>
            </w:r>
          </w:p>
        </w:tc>
        <w:tc>
          <w:tcPr>
            <w:tcW w:w="0" w:type="dxa"/>
            <w:vAlign w:val="bottom"/>
          </w:tcPr>
          <w:p>
            <w:pPr>
              <w:spacing w:after="0"/>
              <w:rPr>
                <w:sz w:val="1"/>
                <w:szCs w:val="1"/>
                <w:color w:val="auto"/>
              </w:rPr>
            </w:pPr>
          </w:p>
        </w:tc>
      </w:tr>
      <w:tr>
        <w:trPr>
          <w:trHeight w:val="210"/>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8,031</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7,496</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5820" w:type="dxa"/>
            <w:vAlign w:val="bottom"/>
            <w:gridSpan w:val="2"/>
          </w:tcPr>
          <w:p>
            <w:pPr>
              <w:jc w:val="center"/>
              <w:ind w:right="232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5,603,738</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1,938,875</w:t>
            </w: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238,106</w:t>
            </w:r>
          </w:p>
        </w:tc>
        <w:tc>
          <w:tcPr>
            <w:tcW w:w="280" w:type="dxa"/>
            <w:vAlign w:val="bottom"/>
          </w:tcPr>
          <w:p>
            <w:pPr>
              <w:spacing w:after="0"/>
              <w:rPr>
                <w:sz w:val="17"/>
                <w:szCs w:val="17"/>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127,641</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67,933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40,271</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124,539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114,047</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7,654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31,413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49,926</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20,152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17,983</w:t>
            </w:r>
          </w:p>
        </w:tc>
        <w:tc>
          <w:tcPr>
            <w:tcW w:w="0" w:type="dxa"/>
            <w:vAlign w:val="bottom"/>
          </w:tcPr>
          <w:p>
            <w:pPr>
              <w:spacing w:after="0"/>
              <w:rPr>
                <w:sz w:val="1"/>
                <w:szCs w:val="1"/>
                <w:color w:val="auto"/>
              </w:rPr>
            </w:pPr>
          </w:p>
        </w:tc>
      </w:tr>
      <w:tr>
        <w:trPr>
          <w:trHeight w:val="210"/>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14,809</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5,848</w:t>
            </w:r>
          </w:p>
        </w:tc>
        <w:tc>
          <w:tcPr>
            <w:tcW w:w="0" w:type="dxa"/>
            <w:vAlign w:val="bottom"/>
          </w:tcPr>
          <w:p>
            <w:pPr>
              <w:spacing w:after="0"/>
              <w:rPr>
                <w:sz w:val="1"/>
                <w:szCs w:val="1"/>
                <w:color w:val="auto"/>
              </w:rPr>
            </w:pPr>
          </w:p>
        </w:tc>
      </w:tr>
      <w:tr>
        <w:trPr>
          <w:trHeight w:val="210"/>
        </w:trPr>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0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504,606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355,716</w:t>
            </w:r>
          </w:p>
        </w:tc>
        <w:tc>
          <w:tcPr>
            <w:tcW w:w="0" w:type="dxa"/>
            <w:vAlign w:val="bottom"/>
          </w:tcPr>
          <w:p>
            <w:pPr>
              <w:spacing w:after="0"/>
              <w:rPr>
                <w:sz w:val="1"/>
                <w:szCs w:val="1"/>
                <w:color w:val="auto"/>
              </w:rPr>
            </w:pPr>
          </w:p>
        </w:tc>
      </w:tr>
      <w:tr>
        <w:trPr>
          <w:trHeight w:val="28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355,128</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68,009</w:t>
            </w:r>
          </w:p>
        </w:tc>
        <w:tc>
          <w:tcPr>
            <w:tcW w:w="0" w:type="dxa"/>
            <w:vAlign w:val="bottom"/>
          </w:tcPr>
          <w:p>
            <w:pPr>
              <w:spacing w:after="0"/>
              <w:rPr>
                <w:sz w:val="1"/>
                <w:szCs w:val="1"/>
                <w:color w:val="auto"/>
              </w:rPr>
            </w:pPr>
          </w:p>
        </w:tc>
      </w:tr>
      <w:tr>
        <w:trPr>
          <w:trHeight w:val="297"/>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5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89,447</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 $0.005 par value; 240,000 shares authorized; 206,788 shares issued and 202,731 outstanding as of</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September 30, 2015; 207,004 shares issued and 167,722 outstanding as of December 31, 2014</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3,966,395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426,145</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50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1,256,121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2,330,510</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(11,453)</w:t>
            </w: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in treasury, at cost; 4,057 and 39,282 shares as of September 30, 2015 and December 31, 2014,</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(548,142)</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(1,231,087)</w:t>
            </w:r>
          </w:p>
        </w:tc>
        <w:tc>
          <w:tcPr>
            <w:tcW w:w="0" w:type="dxa"/>
            <w:vAlign w:val="bottom"/>
          </w:tcPr>
          <w:p>
            <w:pPr>
              <w:spacing w:after="0"/>
              <w:rPr>
                <w:sz w:val="1"/>
                <w:szCs w:val="1"/>
                <w:color w:val="auto"/>
              </w:rPr>
            </w:pPr>
          </w:p>
        </w:tc>
      </w:tr>
      <w:tr>
        <w:trPr>
          <w:trHeight w:val="202"/>
        </w:trPr>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4,654,557</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1,515,150</w:t>
            </w: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5820" w:type="dxa"/>
            <w:vAlign w:val="bottom"/>
            <w:gridSpan w:val="2"/>
          </w:tcPr>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5,603,738</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1,938,875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w:t>
      </w:r>
    </w:p>
    <w:p>
      <w:pPr>
        <w:ind w:right="3980"/>
        <w:spacing w:after="0" w:line="246" w:lineRule="auto"/>
        <w:rPr>
          <w:sz w:val="20"/>
          <w:szCs w:val="20"/>
          <w:color w:val="auto"/>
        </w:rPr>
      </w:pPr>
      <w:r>
        <w:rPr>
          <w:rFonts w:ascii="Times New Roman" w:cs="Times New Roman" w:eastAsia="Times New Roman" w:hAnsi="Times New Roman"/>
          <w:sz w:val="20"/>
          <w:szCs w:val="20"/>
          <w:b w:val="1"/>
          <w:bCs w:val="1"/>
          <w:color w:val="auto"/>
        </w:rPr>
        <w:t>FOR THE THREE- AND NINE-MONTHS ENDED SEPTEMBER 30, 2015 AND 2014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340" w:type="dxa"/>
            <w:vAlign w:val="bottom"/>
          </w:tcPr>
          <w:p>
            <w:pPr>
              <w:spacing w:after="0"/>
              <w:rPr>
                <w:sz w:val="20"/>
                <w:szCs w:val="20"/>
                <w:color w:val="auto"/>
              </w:rPr>
            </w:pPr>
          </w:p>
        </w:tc>
        <w:tc>
          <w:tcPr>
            <w:tcW w:w="26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Nine-Months Ended</w:t>
            </w:r>
          </w:p>
        </w:tc>
        <w:tc>
          <w:tcPr>
            <w:tcW w:w="0" w:type="dxa"/>
            <w:vAlign w:val="bottom"/>
          </w:tcPr>
          <w:p>
            <w:pPr>
              <w:spacing w:after="0"/>
              <w:rPr>
                <w:sz w:val="1"/>
                <w:szCs w:val="1"/>
                <w:color w:val="auto"/>
              </w:rPr>
            </w:pPr>
          </w:p>
        </w:tc>
      </w:tr>
      <w:tr>
        <w:trPr>
          <w:trHeight w:val="284"/>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756,619</w:t>
            </w:r>
          </w:p>
        </w:tc>
        <w:tc>
          <w:tcPr>
            <w:tcW w:w="28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635,972</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2,077,131</w:t>
            </w:r>
          </w:p>
        </w:tc>
        <w:tc>
          <w:tcPr>
            <w:tcW w:w="28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1,859,301</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291,143</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294,052</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848,191</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851,274</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465,476</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341,920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1,228,940</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1,008,027</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152,013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453,443</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MONSTER NON-ENERGY (NOTE 2)</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189,907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665,205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554,584</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(EXPENSE), net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288,076</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188,869</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662,061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553,877</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67,269</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254,070</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196,023</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174,574</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121,600</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407,991</w:t>
            </w:r>
          </w:p>
        </w:tc>
        <w:tc>
          <w:tcPr>
            <w:tcW w:w="280" w:type="dxa"/>
            <w:vAlign w:val="bottom"/>
          </w:tcPr>
          <w:p>
            <w:pPr>
              <w:spacing w:after="0"/>
              <w:rPr>
                <w:sz w:val="24"/>
                <w:szCs w:val="24"/>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357,854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26"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AND COMMON STOCK</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205,051</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167,346</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184,098</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167,116</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208,094</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174,270</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188,131</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174,016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jc w:val="both"/>
        <w:ind w:right="3980"/>
        <w:spacing w:after="0" w:line="242" w:lineRule="auto"/>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FOR THE THREE- AND NINE-MONTHS ENDED SEPTEMBER 30,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Three-Months Ended</w:t>
            </w:r>
          </w:p>
        </w:tc>
        <w:tc>
          <w:tcPr>
            <w:tcW w:w="340" w:type="dxa"/>
            <w:vAlign w:val="bottom"/>
          </w:tcPr>
          <w:p>
            <w:pPr>
              <w:spacing w:after="0"/>
              <w:rPr>
                <w:sz w:val="19"/>
                <w:szCs w:val="19"/>
                <w:color w:val="auto"/>
              </w:rPr>
            </w:pPr>
          </w:p>
        </w:tc>
        <w:tc>
          <w:tcPr>
            <w:tcW w:w="2660" w:type="dxa"/>
            <w:vAlign w:val="bottom"/>
            <w:gridSpan w:val="4"/>
          </w:tcPr>
          <w:p>
            <w:pPr>
              <w:jc w:val="right"/>
              <w:ind w:right="601"/>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w w:val="99"/>
              </w:rPr>
              <w:t>2014</w:t>
            </w:r>
          </w:p>
        </w:tc>
        <w:tc>
          <w:tcPr>
            <w:tcW w:w="0" w:type="dxa"/>
            <w:vAlign w:val="bottom"/>
          </w:tcPr>
          <w:p>
            <w:pPr>
              <w:spacing w:after="0"/>
              <w:rPr>
                <w:sz w:val="1"/>
                <w:szCs w:val="1"/>
                <w:color w:val="auto"/>
              </w:rPr>
            </w:pPr>
          </w:p>
        </w:tc>
      </w:tr>
      <w:tr>
        <w:trPr>
          <w:trHeight w:val="200"/>
        </w:trPr>
        <w:tc>
          <w:tcPr>
            <w:tcW w:w="5000" w:type="dxa"/>
            <w:vAlign w:val="bottom"/>
            <w:vMerge w:val="continue"/>
          </w:tcPr>
          <w:p>
            <w:pPr>
              <w:spacing w:after="0"/>
              <w:rPr>
                <w:sz w:val="17"/>
                <w:szCs w:val="17"/>
                <w:color w:val="auto"/>
              </w:rPr>
            </w:pPr>
          </w:p>
        </w:tc>
        <w:tc>
          <w:tcPr>
            <w:tcW w:w="34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174,574</w:t>
            </w:r>
          </w:p>
        </w:tc>
        <w:tc>
          <w:tcPr>
            <w:tcW w:w="300" w:type="dxa"/>
            <w:vAlign w:val="bottom"/>
          </w:tcPr>
          <w:p>
            <w:pPr>
              <w:spacing w:after="0"/>
              <w:rPr>
                <w:sz w:val="17"/>
                <w:szCs w:val="17"/>
                <w:color w:val="auto"/>
              </w:rPr>
            </w:pPr>
          </w:p>
        </w:tc>
        <w:tc>
          <w:tcPr>
            <w:tcW w:w="440" w:type="dxa"/>
            <w:vAlign w:val="bottom"/>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121,600</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407,991</w:t>
            </w:r>
          </w:p>
        </w:tc>
        <w:tc>
          <w:tcPr>
            <w:tcW w:w="280" w:type="dxa"/>
            <w:vAlign w:val="bottom"/>
          </w:tcPr>
          <w:p>
            <w:pPr>
              <w:spacing w:after="0"/>
              <w:rPr>
                <w:sz w:val="17"/>
                <w:szCs w:val="17"/>
                <w:color w:val="auto"/>
              </w:rPr>
            </w:pPr>
          </w:p>
        </w:tc>
        <w:tc>
          <w:tcPr>
            <w:tcW w:w="4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357,854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(5,104)</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Change in net unrealized gains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Reclassification adjustment for net gains included in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Net change in available-for-sale investments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(1,778)</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(5,716)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(9,398)</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(5,104)</w:t>
            </w: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172,796</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115,884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398,593</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352,750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right="5260"/>
        <w:spacing w:after="0" w:line="250" w:lineRule="auto"/>
        <w:rPr>
          <w:sz w:val="20"/>
          <w:szCs w:val="20"/>
          <w:color w:val="auto"/>
        </w:rPr>
      </w:pPr>
      <w:r>
        <w:rPr>
          <w:rFonts w:ascii="Times New Roman" w:cs="Times New Roman" w:eastAsia="Times New Roman" w:hAnsi="Times New Roman"/>
          <w:sz w:val="20"/>
          <w:szCs w:val="20"/>
          <w:b w:val="1"/>
          <w:bCs w:val="1"/>
          <w:color w:val="auto"/>
        </w:rPr>
        <w:t>MONSTER BEVERAGE CORPORATION AND SUBSIDIARIES CONDENSED CONSOLIDATED STATEMENTS OF CASH FLOWS FOR THE NINE-MONTHS ENDED SEPTEMBER 30,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4"/>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Nine-Months Ended</w:t>
            </w:r>
          </w:p>
        </w:tc>
        <w:tc>
          <w:tcPr>
            <w:tcW w:w="0" w:type="dxa"/>
            <w:vAlign w:val="bottom"/>
          </w:tcPr>
          <w:p>
            <w:pPr>
              <w:spacing w:after="0"/>
              <w:rPr>
                <w:sz w:val="1"/>
                <w:szCs w:val="1"/>
                <w:color w:val="auto"/>
              </w:rPr>
            </w:pPr>
          </w:p>
        </w:tc>
      </w:tr>
      <w:tr>
        <w:trPr>
          <w:trHeight w:val="142"/>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tcPr>
          <w:p>
            <w:pPr>
              <w:spacing w:after="0"/>
              <w:rPr>
                <w:sz w:val="12"/>
                <w:szCs w:val="12"/>
                <w:color w:val="auto"/>
              </w:rPr>
            </w:pPr>
          </w:p>
        </w:tc>
        <w:tc>
          <w:tcPr>
            <w:tcW w:w="1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12"/>
                <w:szCs w:val="12"/>
                <w:color w:val="auto"/>
              </w:rPr>
            </w:pPr>
          </w:p>
        </w:tc>
        <w:tc>
          <w:tcPr>
            <w:tcW w:w="15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106"/>
        </w:trPr>
        <w:tc>
          <w:tcPr>
            <w:tcW w:w="7620" w:type="dxa"/>
            <w:vAlign w:val="bottom"/>
            <w:vMerge w:val="continue"/>
          </w:tcPr>
          <w:p>
            <w:pPr>
              <w:spacing w:after="0"/>
              <w:rPr>
                <w:sz w:val="9"/>
                <w:szCs w:val="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407,991</w:t>
            </w:r>
          </w:p>
        </w:tc>
        <w:tc>
          <w:tcPr>
            <w:tcW w:w="300" w:type="dxa"/>
            <w:vAlign w:val="bottom"/>
          </w:tcPr>
          <w:p>
            <w:pPr>
              <w:spacing w:after="0"/>
              <w:rPr>
                <w:sz w:val="9"/>
                <w:szCs w:val="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357,854</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tcPr>
          <w:p>
            <w:pPr>
              <w:spacing w:after="0"/>
              <w:rPr>
                <w:sz w:val="12"/>
                <w:szCs w:val="12"/>
                <w:color w:val="auto"/>
              </w:rPr>
            </w:pP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21,757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19,124</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on sale of Monster Non-Energy</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23,689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22,509</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put option</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Gain on investments, net</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(115,098)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(303,914)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(11,541)</w:t>
            </w:r>
          </w:p>
        </w:tc>
        <w:tc>
          <w:tcPr>
            <w:tcW w:w="0" w:type="dxa"/>
            <w:vAlign w:val="bottom"/>
          </w:tcPr>
          <w:p>
            <w:pPr>
              <w:spacing w:after="0"/>
              <w:rPr>
                <w:sz w:val="1"/>
                <w:szCs w:val="1"/>
                <w:color w:val="auto"/>
              </w:rPr>
            </w:pPr>
          </w:p>
        </w:tc>
      </w:tr>
      <w:tr>
        <w:trPr>
          <w:trHeight w:val="149"/>
        </w:trPr>
        <w:tc>
          <w:tcPr>
            <w:tcW w:w="76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 net of acquisition and divestiture:</w:t>
            </w:r>
          </w:p>
        </w:tc>
        <w:tc>
          <w:tcPr>
            <w:tcW w:w="2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(132,614)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(45,759)</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Distributor receivables</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13,300</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(6,863)</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(4,564)</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(83,276)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(8,723)</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75,142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30,032</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29,296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12,387</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15,196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32,421</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distributor terminations</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7,706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2,414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2"/>
                <w:szCs w:val="12"/>
                <w:color w:val="auto"/>
              </w:rPr>
            </w:pPr>
          </w:p>
        </w:tc>
        <w:tc>
          <w:tcPr>
            <w:tcW w:w="1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312,750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4,909</w:t>
            </w:r>
          </w:p>
        </w:tc>
        <w:tc>
          <w:tcPr>
            <w:tcW w:w="0" w:type="dxa"/>
            <w:vAlign w:val="bottom"/>
          </w:tcPr>
          <w:p>
            <w:pPr>
              <w:spacing w:after="0"/>
              <w:rPr>
                <w:sz w:val="1"/>
                <w:szCs w:val="1"/>
                <w:color w:val="auto"/>
              </w:rPr>
            </w:pPr>
          </w:p>
        </w:tc>
      </w:tr>
      <w:tr>
        <w:trPr>
          <w:trHeight w:val="149"/>
        </w:trPr>
        <w:tc>
          <w:tcPr>
            <w:tcW w:w="76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(35,991)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(5,883)</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47,820</w:t>
            </w:r>
          </w:p>
        </w:tc>
        <w:tc>
          <w:tcPr>
            <w:tcW w:w="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407,049</w:t>
            </w:r>
          </w:p>
        </w:tc>
        <w:tc>
          <w:tcPr>
            <w:tcW w:w="0" w:type="dxa"/>
            <w:vAlign w:val="bottom"/>
          </w:tcPr>
          <w:p>
            <w:pPr>
              <w:spacing w:after="0"/>
              <w:rPr>
                <w:sz w:val="1"/>
                <w:szCs w:val="1"/>
                <w:color w:val="auto"/>
              </w:rPr>
            </w:pPr>
          </w:p>
        </w:tc>
      </w:tr>
      <w:tr>
        <w:trPr>
          <w:trHeight w:val="302"/>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24"/>
                <w:szCs w:val="24"/>
                <w:color w:val="auto"/>
              </w:rPr>
            </w:pPr>
          </w:p>
        </w:tc>
        <w:tc>
          <w:tcPr>
            <w:tcW w:w="1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998,762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545,774</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Maturities of held-to-maturity investments</w:t>
            </w: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01" w:orient="portrait"/>
          <w:cols w:equalWidth="0" w:num="1">
            <w:col w:w="11320"/>
          </w:cols>
          <w:pgMar w:left="240" w:top="121" w:right="339" w:bottom="0" w:gutter="0" w:footer="0" w:header="0"/>
        </w:sectPr>
      </w:pPr>
    </w:p>
    <w:bookmarkStart w:id="4" w:name="page5"/>
    <w:bookmarkEnd w:id="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Sales of available-for-sale investments</w:t>
            </w:r>
          </w:p>
        </w:tc>
        <w:tc>
          <w:tcPr>
            <w:tcW w:w="560" w:type="dxa"/>
            <w:vAlign w:val="bottom"/>
          </w:tcPr>
          <w:p>
            <w:pPr>
              <w:spacing w:after="0"/>
              <w:rPr>
                <w:sz w:val="13"/>
                <w:szCs w:val="1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4,001</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of trading investments</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12,075</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transfer of distribution rights to TCCC</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179,658</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held-to-maturity investments</w:t>
            </w:r>
          </w:p>
        </w:tc>
        <w:tc>
          <w:tcPr>
            <w:tcW w:w="5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(1,760,178)</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(761,538)</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5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(25,627)</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(19,300)</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sale of Monster Non-Energy</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198,008</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in intangibles</w:t>
            </w:r>
          </w:p>
        </w:tc>
        <w:tc>
          <w:tcPr>
            <w:tcW w:w="5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(5,352)</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other assets</w:t>
            </w:r>
          </w:p>
        </w:tc>
        <w:tc>
          <w:tcPr>
            <w:tcW w:w="5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(408,658)</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(222,982)</w:t>
            </w:r>
          </w:p>
        </w:tc>
        <w:tc>
          <w:tcPr>
            <w:tcW w:w="0" w:type="dxa"/>
            <w:vAlign w:val="bottom"/>
          </w:tcPr>
          <w:p>
            <w:pPr>
              <w:spacing w:after="0"/>
              <w:rPr>
                <w:sz w:val="1"/>
                <w:szCs w:val="1"/>
                <w:color w:val="auto"/>
              </w:rPr>
            </w:pPr>
          </w:p>
        </w:tc>
      </w:tr>
      <w:tr>
        <w:trPr>
          <w:trHeight w:val="302"/>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5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debt</w:t>
            </w:r>
          </w:p>
        </w:tc>
        <w:tc>
          <w:tcPr>
            <w:tcW w:w="5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303,914</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11,541</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1,691,051</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15,050</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5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(758,974)</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(8,126)</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620" w:type="dxa"/>
            <w:vAlign w:val="bottom"/>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1,235,184</w:t>
            </w:r>
          </w:p>
        </w:tc>
        <w:tc>
          <w:tcPr>
            <w:tcW w:w="3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17,149</w:t>
            </w:r>
          </w:p>
        </w:tc>
        <w:tc>
          <w:tcPr>
            <w:tcW w:w="0" w:type="dxa"/>
            <w:vAlign w:val="bottom"/>
          </w:tcPr>
          <w:p>
            <w:pPr>
              <w:spacing w:after="0"/>
              <w:rPr>
                <w:sz w:val="1"/>
                <w:szCs w:val="1"/>
                <w:color w:val="auto"/>
              </w:rPr>
            </w:pPr>
          </w:p>
        </w:tc>
      </w:tr>
      <w:tr>
        <w:trPr>
          <w:trHeight w:val="375"/>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0" w:type="dxa"/>
            <w:vAlign w:val="bottom"/>
          </w:tcPr>
          <w:p>
            <w:pPr>
              <w:spacing w:after="0"/>
              <w:rPr>
                <w:sz w:val="1"/>
                <w:szCs w:val="1"/>
                <w:color w:val="auto"/>
              </w:rPr>
            </w:pPr>
          </w:p>
        </w:tc>
      </w:tr>
      <w:tr>
        <w:trPr>
          <w:trHeight w:val="325"/>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5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870,394</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196,974</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56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370,323</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211,349</w:t>
            </w:r>
          </w:p>
        </w:tc>
        <w:tc>
          <w:tcPr>
            <w:tcW w:w="0" w:type="dxa"/>
            <w:vAlign w:val="bottom"/>
          </w:tcPr>
          <w:p>
            <w:pPr>
              <w:spacing w:after="0"/>
              <w:rPr>
                <w:sz w:val="1"/>
                <w:szCs w:val="1"/>
                <w:color w:val="auto"/>
              </w:rPr>
            </w:pPr>
          </w:p>
        </w:tc>
      </w:tr>
      <w:tr>
        <w:trPr>
          <w:trHeight w:val="23"/>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620" w:type="dxa"/>
            <w:vAlign w:val="bottom"/>
            <w:vMerge w:val="continue"/>
          </w:tcPr>
          <w:p>
            <w:pPr>
              <w:spacing w:after="0"/>
              <w:rPr>
                <w:sz w:val="12"/>
                <w:szCs w:val="12"/>
                <w:color w:val="auto"/>
              </w:rPr>
            </w:pPr>
          </w:p>
        </w:tc>
        <w:tc>
          <w:tcPr>
            <w:tcW w:w="5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1,240,717</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408,323</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5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2"/>
                <w:szCs w:val="12"/>
                <w:color w:val="auto"/>
              </w:rPr>
            </w:pPr>
          </w:p>
        </w:tc>
        <w:tc>
          <w:tcPr>
            <w:tcW w:w="6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6"/>
        </w:trPr>
        <w:tc>
          <w:tcPr>
            <w:tcW w:w="7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w:t>
            </w:r>
          </w:p>
        </w:tc>
        <w:tc>
          <w:tcPr>
            <w:tcW w:w="56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Income taxes</w:t>
            </w: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20" w:type="dxa"/>
            <w:vAlign w:val="bottom"/>
            <w:vMerge w:val="continue"/>
          </w:tcPr>
          <w:p>
            <w:pPr>
              <w:spacing w:after="0"/>
              <w:rPr>
                <w:sz w:val="11"/>
                <w:szCs w:val="11"/>
                <w:color w:val="auto"/>
              </w:rPr>
            </w:pPr>
          </w:p>
        </w:tc>
        <w:tc>
          <w:tcPr>
            <w:tcW w:w="56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141,184</w:t>
            </w:r>
          </w:p>
        </w:tc>
        <w:tc>
          <w:tcPr>
            <w:tcW w:w="300" w:type="dxa"/>
            <w:vAlign w:val="bottom"/>
          </w:tcPr>
          <w:p>
            <w:pPr>
              <w:spacing w:after="0"/>
              <w:rPr>
                <w:sz w:val="11"/>
                <w:szCs w:val="11"/>
                <w:color w:val="auto"/>
              </w:rPr>
            </w:pPr>
          </w:p>
        </w:tc>
        <w:tc>
          <w:tcPr>
            <w:tcW w:w="620" w:type="dxa"/>
            <w:vAlign w:val="bottom"/>
            <w:tcBorders>
              <w:bottom w:val="single" w:sz="8" w:color="auto"/>
            </w:tcBorders>
          </w:tcPr>
          <w:p>
            <w:pPr>
              <w:jc w:val="right"/>
              <w:ind w:right="4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210,090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right="5360"/>
        <w:spacing w:after="0" w:line="250" w:lineRule="auto"/>
        <w:rPr>
          <w:sz w:val="20"/>
          <w:szCs w:val="20"/>
          <w:color w:val="auto"/>
        </w:rPr>
      </w:pPr>
      <w:r>
        <w:rPr>
          <w:rFonts w:ascii="Times New Roman" w:cs="Times New Roman" w:eastAsia="Times New Roman" w:hAnsi="Times New Roman"/>
          <w:sz w:val="20"/>
          <w:szCs w:val="20"/>
          <w:b w:val="1"/>
          <w:bCs w:val="1"/>
          <w:color w:val="auto"/>
        </w:rPr>
        <w:t>MONSTER BEVERAGE CORPORATION AND SUBSIDIARIES CONDENSED CONSOLIDATED STATEMENTS OF CASH FLOWS FOR THE NINE-MONTHS ENDED SEPTEMBER 30, 2015 AND 2014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entered into capital leases for the acquisition of promotional vehicles of $1.1 million and $0.7 million for the nine-months ended September 30, 2015 and 2014,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Included in accounts payable as of September 30, 2015 are treasury stock purchases of $40.7 million.</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the nine-months ended September 30, 2015, the Company issued 11.8 million shares of the Company’s common stock in exchange for KO Energy (see Note 2).</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the nine-months ended September 30, 2015, in connection with the TCCC Transaction (as defined in Note 2), $125.0 million relating to the transfer of certain distribution rights was deposited into escrow pending certain transition milestones (see Note 2).</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the nine-months ended September 30, 2015, the Company cancelled 41.5 million shares of treasury stock (see Note 13).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previously recorded as treasury stock were netted against common stock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Reference is made to the Notes to Consolidated Financial Statements, in Monster Beverage Corporation and Subsidiaries (the “Company”) Annual Report on Form 10-K for the year ended December 31, 2014 (“Form 10-K”) for a summary of significant accounting policies utilized by the Company and its consolidated subsidiaries and other disclosures, which should be read in conjunction with this Quarterly Report on Form 10-Q (“Form 10-Q”).</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w:t>
      </w:r>
    </w:p>
    <w:p>
      <w:pPr>
        <w:sectPr>
          <w:pgSz w:w="11900" w:h="16877" w:orient="portrait"/>
          <w:cols w:equalWidth="0" w:num="1">
            <w:col w:w="11420"/>
          </w:cols>
          <w:pgMar w:left="240" w:top="104" w:right="239" w:bottom="0" w:gutter="0" w:footer="0" w:header="0"/>
        </w:sectPr>
      </w:pPr>
    </w:p>
    <w:bookmarkStart w:id="5" w:name="page6"/>
    <w:bookmarkEnd w:id="5"/>
    <w:p>
      <w:pPr>
        <w:spacing w:after="0" w:line="1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2015 and 2014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second quarter of 2015, as a result of the acquisitions and divestitures described in Note 2, the Company revised its reportable segments to reflect management’s new view of the business and to align its external financial reporting with its new operating and internal financial reporting model. Historical segment information has been revised to reflect the effect of this change. See Note 17 for additional information about the Company’s new reporting segments.</w:t>
      </w:r>
    </w:p>
    <w:p>
      <w:pPr>
        <w:spacing w:after="0" w:line="19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AND DIVESTITURES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June 12, 2015, Monster Beverage 1990 Corporation (formerly Monster Beverage Corporation) (“Old Monster”), now a wholly owned subsidiary of the Company,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Also, on June 12, 2015, Old Monster effected a holding company reorganization in connection with the TCCC Transaction by merging New Laser Merger Corp., a wholly owned subsidiary of the Company into Old Monster, with Old Monster surviving as a wholly owned subsidiary of the Company (the “Holding Company Reorganization”), and the Company changed its name from New Laser Corporation to “Monster Beverage Corporation.”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Holding Company Reorganization, each Old Monster common share, par value $0.005 per share, outstanding immediately prior to the consummation of the Holding Company Reorganization (other than any Old Monster common shares that were owned by Old Monster immediately prior to the closing of the TCCC Transaction, which were cancelled (see Note 13)), was converted automatically into the right to receive one Company common share, par value $0.005 per share. In addition, upon consummation of the Holding Company Reorganization: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left="660" w:hanging="328"/>
        <w:spacing w:after="0" w:line="249"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193"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7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to the Company, (3) Old Monster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is currently held in escrow as described below, pursuant to an escrow agreement (the “Escrow Agreement”), subject to release upon the achievement of milestones relating to the transition of distribution rights to TCCC’s distribution network.</w:t>
      </w:r>
    </w:p>
    <w:p>
      <w:pPr>
        <w:spacing w:after="0" w:line="204"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Under the terms of the Escrow Agreement and the transition payment agreement entered into in connection therewith, if the distribution rights in the U.S. that are transitioned to TCCC’s distribution network represent case sales in excess of the following percentages of a target</w:t>
      </w:r>
    </w:p>
    <w:p>
      <w:pPr>
        <w:sectPr>
          <w:pgSz w:w="11900" w:h="16968" w:orient="portrait"/>
          <w:cols w:equalWidth="0" w:num="1">
            <w:col w:w="11420"/>
          </w:cols>
          <w:pgMar w:left="240" w:top="118" w:right="2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case sale amount agreed to by the parties, amounts in the escrow fund in excess of the applicable amounts below will be released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25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Percentage Transitioned</w:t>
            </w: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Escrow Release</w:t>
            </w:r>
          </w:p>
        </w:tc>
        <w:tc>
          <w:tcPr>
            <w:tcW w:w="1460" w:type="dxa"/>
            <w:vAlign w:val="bottom"/>
          </w:tcPr>
          <w:p>
            <w:pPr>
              <w:spacing w:after="0"/>
              <w:rPr>
                <w:sz w:val="21"/>
                <w:szCs w:val="21"/>
                <w:color w:val="auto"/>
              </w:rPr>
            </w:pPr>
          </w:p>
        </w:tc>
      </w:tr>
      <w:tr>
        <w:trPr>
          <w:trHeight w:val="207"/>
        </w:trPr>
        <w:tc>
          <w:tcPr>
            <w:tcW w:w="1920" w:type="dxa"/>
            <w:vAlign w:val="bottom"/>
          </w:tcPr>
          <w:p>
            <w:pPr>
              <w:jc w:val="right"/>
              <w:ind w:right="1201"/>
              <w:spacing w:after="0" w:line="207" w:lineRule="exact"/>
              <w:rPr>
                <w:sz w:val="20"/>
                <w:szCs w:val="20"/>
                <w:color w:val="auto"/>
              </w:rPr>
            </w:pPr>
            <w:r>
              <w:rPr>
                <w:rFonts w:ascii="Times New Roman" w:cs="Times New Roman" w:eastAsia="Times New Roman" w:hAnsi="Times New Roman"/>
                <w:sz w:val="20"/>
                <w:szCs w:val="20"/>
                <w:color w:val="auto"/>
              </w:rPr>
              <w:t>40%</w:t>
            </w:r>
          </w:p>
        </w:tc>
        <w:tc>
          <w:tcPr>
            <w:tcW w:w="800" w:type="dxa"/>
            <w:vAlign w:val="bottom"/>
          </w:tcPr>
          <w:p>
            <w:pPr>
              <w:spacing w:after="0"/>
              <w:rPr>
                <w:sz w:val="18"/>
                <w:szCs w:val="18"/>
                <w:color w:val="auto"/>
              </w:rPr>
            </w:pPr>
          </w:p>
        </w:tc>
        <w:tc>
          <w:tcPr>
            <w:tcW w:w="3740" w:type="dxa"/>
            <w:vAlign w:val="bottom"/>
            <w:gridSpan w:val="3"/>
          </w:tcPr>
          <w:p>
            <w:pPr>
              <w:ind w:left="820"/>
              <w:spacing w:after="0" w:line="207" w:lineRule="exact"/>
              <w:rPr>
                <w:sz w:val="20"/>
                <w:szCs w:val="20"/>
                <w:color w:val="auto"/>
              </w:rPr>
            </w:pPr>
            <w:r>
              <w:rPr>
                <w:rFonts w:ascii="Times New Roman" w:cs="Times New Roman" w:eastAsia="Times New Roman" w:hAnsi="Times New Roman"/>
                <w:sz w:val="20"/>
                <w:szCs w:val="20"/>
                <w:color w:val="auto"/>
              </w:rPr>
              <w:t>Amounts in excess of $375 million</w:t>
            </w:r>
          </w:p>
        </w:tc>
      </w:tr>
      <w:tr>
        <w:trPr>
          <w:trHeight w:val="230"/>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50%</w:t>
            </w:r>
          </w:p>
        </w:tc>
        <w:tc>
          <w:tcPr>
            <w:tcW w:w="80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w w:val="98"/>
              </w:rPr>
              <w:t>Amounts in excess of $312.5 million</w:t>
            </w:r>
          </w:p>
        </w:tc>
      </w:tr>
      <w:tr>
        <w:trPr>
          <w:trHeight w:val="230"/>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60%</w:t>
            </w:r>
          </w:p>
        </w:tc>
        <w:tc>
          <w:tcPr>
            <w:tcW w:w="80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Amounts in excess of $250 million</w:t>
            </w:r>
          </w:p>
        </w:tc>
      </w:tr>
      <w:tr>
        <w:trPr>
          <w:trHeight w:val="230"/>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70%</w:t>
            </w:r>
          </w:p>
        </w:tc>
        <w:tc>
          <w:tcPr>
            <w:tcW w:w="80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w w:val="98"/>
              </w:rPr>
              <w:t>Amounts in excess of $187.5 million</w:t>
            </w:r>
          </w:p>
        </w:tc>
      </w:tr>
      <w:tr>
        <w:trPr>
          <w:trHeight w:val="230"/>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80%</w:t>
            </w:r>
          </w:p>
        </w:tc>
        <w:tc>
          <w:tcPr>
            <w:tcW w:w="80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Amounts in excess of $125 million</w:t>
            </w:r>
          </w:p>
        </w:tc>
      </w:tr>
      <w:tr>
        <w:trPr>
          <w:trHeight w:val="230"/>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90%</w:t>
            </w:r>
          </w:p>
        </w:tc>
        <w:tc>
          <w:tcPr>
            <w:tcW w:w="80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Amounts in excess of $62.5 million</w:t>
            </w:r>
          </w:p>
        </w:tc>
      </w:tr>
      <w:tr>
        <w:trPr>
          <w:trHeight w:val="258"/>
        </w:trPr>
        <w:tc>
          <w:tcPr>
            <w:tcW w:w="192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95%</w:t>
            </w:r>
          </w:p>
        </w:tc>
        <w:tc>
          <w:tcPr>
            <w:tcW w:w="800" w:type="dxa"/>
            <w:vAlign w:val="bottom"/>
          </w:tcPr>
          <w:p>
            <w:pPr>
              <w:spacing w:after="0"/>
              <w:rPr>
                <w:sz w:val="22"/>
                <w:szCs w:val="22"/>
                <w:color w:val="auto"/>
              </w:rPr>
            </w:pPr>
          </w:p>
        </w:tc>
        <w:tc>
          <w:tcPr>
            <w:tcW w:w="37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All remaining amounts</w:t>
            </w:r>
          </w:p>
        </w:tc>
      </w:tr>
    </w:tbl>
    <w:p>
      <w:pPr>
        <w:spacing w:after="0" w:line="18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On the one-year anniversary of the closing of the TCCC Transaction, the then-remaining escrow amount, less an amount sufficient to cover any unresolved claims, will be released to TCCC. Any amount described above that becomes payable following the one-year anniversary will be paid directly from TCCC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TCCC is contractually obligated to authorize payment to the Company of the funds in escrow upon achievement of the milestones referred to above. As of November 6, 2015, distribution rights in the U.S. representing approximately 89% of the target case sales have been transitioned to TCCC’s distribution network. As a result, $125 million is currently held in escrow. The Company expects to commence steps to transition sufficient additional distribution rights, which will, in due course, result in the release of all remaining amounts held in escrow. Therefore, the Company believes that achievement of the milestones is probable.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TCCC Transaction consideration allocation: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7"/>
              </w:rPr>
              <w:t>Identifiable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Assets Acquired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and Liabilities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Consideration</w:t>
            </w:r>
          </w:p>
        </w:tc>
        <w:tc>
          <w:tcPr>
            <w:tcW w:w="0" w:type="dxa"/>
            <w:vAlign w:val="bottom"/>
          </w:tcPr>
          <w:p>
            <w:pPr>
              <w:spacing w:after="0"/>
              <w:rPr>
                <w:sz w:val="1"/>
                <w:szCs w:val="1"/>
                <w:color w:val="auto"/>
              </w:rPr>
            </w:pPr>
          </w:p>
        </w:tc>
      </w:tr>
      <w:tr>
        <w:trPr>
          <w:trHeight w:val="252"/>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Equity issued to TCCC for cash (22.2 million shares issued)</w:t>
            </w:r>
          </w:p>
        </w:tc>
        <w:tc>
          <w:tcPr>
            <w:tcW w:w="220" w:type="dxa"/>
            <w:vAlign w:val="bottom"/>
          </w:tcPr>
          <w:p>
            <w:pPr>
              <w:spacing w:after="0"/>
              <w:rPr>
                <w:sz w:val="21"/>
                <w:szCs w:val="21"/>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Assumed</w:t>
            </w:r>
          </w:p>
        </w:tc>
        <w:tc>
          <w:tcPr>
            <w:tcW w:w="240" w:type="dxa"/>
            <w:vAlign w:val="bottom"/>
          </w:tcPr>
          <w:p>
            <w:pPr>
              <w:spacing w:after="0"/>
              <w:rPr>
                <w:sz w:val="21"/>
                <w:szCs w:val="21"/>
                <w:color w:val="auto"/>
              </w:rPr>
            </w:pPr>
          </w:p>
        </w:tc>
        <w:tc>
          <w:tcPr>
            <w:tcW w:w="12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Transferred</w:t>
            </w:r>
          </w:p>
        </w:tc>
        <w:tc>
          <w:tcPr>
            <w:tcW w:w="0" w:type="dxa"/>
            <w:vAlign w:val="bottom"/>
          </w:tcPr>
          <w:p>
            <w:pPr>
              <w:spacing w:after="0"/>
              <w:rPr>
                <w:sz w:val="1"/>
                <w:szCs w:val="1"/>
                <w:color w:val="auto"/>
              </w:rPr>
            </w:pPr>
          </w:p>
        </w:tc>
      </w:tr>
      <w:tr>
        <w:trPr>
          <w:trHeight w:val="200"/>
        </w:trPr>
        <w:tc>
          <w:tcPr>
            <w:tcW w:w="698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1,647,333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Equity issued to TCCC for KO Energy (11.8 million shares issued)</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1,521,802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KO Energy intangibles - trademarks (non-amortizing)</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325,500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KO Energy intangibles - customer relationships (amortizing)</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KO Energy intangibles - other (non-amortizing)</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13,700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KO Energy inventories</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KO Energy accounts payable</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1,287,777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New and amended U.S. distribution rights transferred to TCCC’s distribution</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network</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304,658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Monster Non-Energy business transferred to TCCC</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198,009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Cash and escrow receivable</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3,671,802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3,671,802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preliminary book value of the KO Energy inventories, prepaid expenses and other current assets and accounts payable approximate fair value. The fair value analysis has yet to progress to a stage where there is sufficient information for a definitive measurement of the respective fair values. Accordingly, the respective fair value allocation is preliminary and is based on valuations derived from estimated fair value assumptions used by management. The Company expects to complete its fair value analysis at a level of detail necessary to finalize the underlying fair value allocations no later than twelve months from the closing of the TCCC Transaction. Any differences between the final respective fair value allocations and the preliminary management estimates may differ materially and potentially have a material impact on the Company’s financial position, results of operations or liquidity.</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goodwill recorded as part of the TCCC Transaction is not deductible for tax purposes. The goodwill includes access to new geographies, access to new sales channels, including vending and specialty accounts, as well as the opportunity for supply chain optimization.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18" w:right="2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determined the estimated fair values of KO Energy trademarks, customer relationships and other intangibles as follows:</w:t>
      </w:r>
    </w:p>
    <w:p>
      <w:pPr>
        <w:spacing w:after="0" w:line="241" w:lineRule="exact"/>
        <w:rPr>
          <w:sz w:val="20"/>
          <w:szCs w:val="20"/>
          <w:color w:val="auto"/>
        </w:rPr>
      </w:pPr>
    </w:p>
    <w:p>
      <w:pPr>
        <w:ind w:left="660" w:hanging="328"/>
        <w:spacing w:after="0" w:line="269" w:lineRule="auto"/>
        <w:tabs>
          <w:tab w:leader="none" w:pos="68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Trademarks—valued using the relief from royalty method. Royalty rates for the different brands were selected based on brand strength and profitability.</w:t>
      </w:r>
    </w:p>
    <w:p>
      <w:pPr>
        <w:spacing w:after="0" w:line="173" w:lineRule="exact"/>
        <w:rPr>
          <w:rFonts w:ascii="Times New Roman" w:cs="Times New Roman" w:eastAsia="Times New Roman" w:hAnsi="Times New Roman"/>
          <w:sz w:val="20"/>
          <w:szCs w:val="20"/>
          <w:color w:val="auto"/>
        </w:rPr>
      </w:pPr>
    </w:p>
    <w:p>
      <w:pPr>
        <w:ind w:left="660" w:hanging="328"/>
        <w:spacing w:after="0" w:line="269" w:lineRule="auto"/>
        <w:tabs>
          <w:tab w:leader="none" w:pos="74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relationships—valued using the with- and-without method assuming that the customer relationships could be rebuilt over a one-year period.</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(Trade Secrets/Formulas)—valued using the cost savings method.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determined the estimated fair value of the “new and amended U.S. distribution rights” transferred to TCCC’s distribution network using the discounted cash flow method. The cash flows were defined as the expected cost savings arising from the new distribution agreements.</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determined the estimated fair value of the Monster Non-Energy brands sold utilizing the discounted cash flow method and market multiple method. Market multiples for each brand were selected based on profitability, size and expected growth for each brand. The resulting business enterprise value derived under the income and market approaches was then adjusted for working capital and fixed assets that were not transferred to TCCC.</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Of the approximately 34.0 million shares of the Company’s common stock issued to TCCC in the TCCC Transaction, approximately 11.8 million shares, or 34.8% of the total shares issued, were allocated to the purchase of KO Energy and approximately 22.2 million shares, or 65.2% of the total shares issued, were issued for cash. The 34.8% allocation was based on the relative fair value of KO Energy to the approximate fair value of the 34.0 million shares of Old Monster’s common stock on August 14, 2014. The remaining shares of the Company’s common stock were deemed to be issued for cash. The $2.15 billion of cash and escrow receivable was first allocated to the new and amended U.S. distribution rights and the Monster Non-Energy business based on their respective preliminary fair values, and the residual cash of $1.6 billion was then allocated to the equity issued for cash. On August 14, 2014, the date on which the terms of the TCCC Transaction were agreed to and announced, the closing market price of Old Monster’s common stock was $71.65 per share. The fair value of KO Energy per ASC 820 is approximately $880.1 million, which approximates the negotiated price for KO Energy based on the closing market price of Old Monster’s common stock on August 14, 2014. However, per ASC 805, equity securities issued as consideration in a business combination are to be recorded at fair value as of the closing date. Therefore, the value of the Company’s common stock issued to TCCC in exchange for KO Energy was $128.39 per share, the closing price of the Company’s common stock on June 12, 2015, resulting in a total consideration value transferred for KO Energy of $1.5 billion.</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The Company recognized a gain of $161.5 million on the disposal of Monster Non-Energy during the second quarter of 2015.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unaudited pro forma condensed combined financial information is presented as if the TCCC Transaction had closed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 2014:</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42"/>
        </w:trPr>
        <w:tc>
          <w:tcPr>
            <w:tcW w:w="2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9"/>
                <w:szCs w:val="19"/>
                <w:color w:val="auto"/>
              </w:rPr>
              <w:t>Three-Months Ended September 30, 2015</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9"/>
                <w:szCs w:val="19"/>
                <w:color w:val="auto"/>
                <w:w w:val="97"/>
              </w:rPr>
              <w:t>Monster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360"/>
              <w:spacing w:after="0" w:line="210" w:lineRule="exact"/>
              <w:rPr>
                <w:sz w:val="20"/>
                <w:szCs w:val="20"/>
                <w:color w:val="auto"/>
              </w:rPr>
            </w:pPr>
            <w:r>
              <w:rPr>
                <w:rFonts w:ascii="Times New Roman" w:cs="Times New Roman" w:eastAsia="Times New Roman" w:hAnsi="Times New Roman"/>
                <w:sz w:val="19"/>
                <w:szCs w:val="19"/>
                <w:color w:val="auto"/>
              </w:rPr>
              <w:t>Pro Forma Adjustments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Beverage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9"/>
                <w:szCs w:val="19"/>
                <w:color w:val="auto"/>
                <w:w w:val="98"/>
              </w:rPr>
              <w:t>Disposal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Corporation</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w w:val="98"/>
              </w:rPr>
              <w:t>Monster Non-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Pro Forma</w:t>
            </w:r>
          </w:p>
        </w:tc>
        <w:tc>
          <w:tcPr>
            <w:tcW w:w="0" w:type="dxa"/>
            <w:vAlign w:val="bottom"/>
          </w:tcPr>
          <w:p>
            <w:pPr>
              <w:spacing w:after="0"/>
              <w:rPr>
                <w:sz w:val="1"/>
                <w:szCs w:val="1"/>
                <w:color w:val="auto"/>
              </w:rPr>
            </w:pPr>
          </w:p>
        </w:tc>
      </w:tr>
      <w:tr>
        <w:trPr>
          <w:trHeight w:val="242"/>
        </w:trPr>
        <w:tc>
          <w:tcPr>
            <w:tcW w:w="2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160" w:type="dxa"/>
            <w:vAlign w:val="bottom"/>
          </w:tcPr>
          <w:p>
            <w:pPr>
              <w:spacing w:after="0"/>
              <w:rPr>
                <w:sz w:val="21"/>
                <w:szCs w:val="21"/>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rPr>
              <w:t>as reported¹</w:t>
            </w:r>
          </w:p>
        </w:tc>
        <w:tc>
          <w:tcPr>
            <w:tcW w:w="180" w:type="dxa"/>
            <w:vAlign w:val="bottom"/>
          </w:tcPr>
          <w:p>
            <w:pPr>
              <w:spacing w:after="0"/>
              <w:rPr>
                <w:sz w:val="21"/>
                <w:szCs w:val="21"/>
                <w:color w:val="auto"/>
              </w:rPr>
            </w:pPr>
          </w:p>
        </w:tc>
        <w:tc>
          <w:tcPr>
            <w:tcW w:w="114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KO Energy</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Energy</w:t>
            </w:r>
          </w:p>
        </w:tc>
        <w:tc>
          <w:tcPr>
            <w:tcW w:w="28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Pr>
          <w:p>
            <w:pPr>
              <w:spacing w:after="0"/>
              <w:rPr>
                <w:sz w:val="21"/>
                <w:szCs w:val="21"/>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Combined</w:t>
            </w:r>
          </w:p>
        </w:tc>
        <w:tc>
          <w:tcPr>
            <w:tcW w:w="0" w:type="dxa"/>
            <w:vAlign w:val="bottom"/>
          </w:tcPr>
          <w:p>
            <w:pPr>
              <w:spacing w:after="0"/>
              <w:rPr>
                <w:sz w:val="1"/>
                <w:szCs w:val="1"/>
                <w:color w:val="auto"/>
              </w:rPr>
            </w:pPr>
          </w:p>
        </w:tc>
      </w:tr>
      <w:tr>
        <w:trPr>
          <w:trHeight w:val="183"/>
        </w:trPr>
        <w:tc>
          <w:tcPr>
            <w:tcW w:w="2060" w:type="dxa"/>
            <w:vAlign w:val="bottom"/>
            <w:vMerge w:val="continue"/>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756,619</w:t>
            </w:r>
          </w:p>
        </w:tc>
        <w:tc>
          <w:tcPr>
            <w:tcW w:w="30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280" w:type="dxa"/>
            <w:vAlign w:val="bottom"/>
            <w:tcBorders>
              <w:top w:val="single" w:sz="8" w:color="auto"/>
            </w:tcBorders>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756,619</w:t>
            </w: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16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174,574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180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174,754</w:t>
            </w:r>
          </w:p>
        </w:tc>
        <w:tc>
          <w:tcPr>
            <w:tcW w:w="0" w:type="dxa"/>
            <w:vAlign w:val="bottom"/>
          </w:tcPr>
          <w:p>
            <w:pPr>
              <w:spacing w:after="0"/>
              <w:rPr>
                <w:sz w:val="1"/>
                <w:szCs w:val="1"/>
                <w:color w:val="auto"/>
              </w:rPr>
            </w:pPr>
          </w:p>
        </w:tc>
      </w:tr>
      <w:tr>
        <w:trPr>
          <w:trHeight w:val="430"/>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9"/>
                <w:szCs w:val="19"/>
                <w:color w:val="auto"/>
              </w:rPr>
              <w:t>Three-Months Ended September 30, 2014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9"/>
                <w:szCs w:val="19"/>
                <w:color w:val="auto"/>
                <w:w w:val="97"/>
              </w:rPr>
              <w:t>Monster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340"/>
              <w:spacing w:after="0" w:line="210" w:lineRule="exact"/>
              <w:rPr>
                <w:sz w:val="20"/>
                <w:szCs w:val="20"/>
                <w:color w:val="auto"/>
              </w:rPr>
            </w:pPr>
            <w:r>
              <w:rPr>
                <w:rFonts w:ascii="Times New Roman" w:cs="Times New Roman" w:eastAsia="Times New Roman" w:hAnsi="Times New Roman"/>
                <w:sz w:val="19"/>
                <w:szCs w:val="19"/>
                <w:color w:val="auto"/>
              </w:rPr>
              <w:t>Pro Forma Adjustments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Beverage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9"/>
                <w:szCs w:val="19"/>
                <w:color w:val="auto"/>
                <w:w w:val="98"/>
              </w:rPr>
              <w:t>Disposal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Corporation</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w w:val="98"/>
              </w:rPr>
              <w:t>Monster Non-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Pro Forma</w:t>
            </w:r>
          </w:p>
        </w:tc>
        <w:tc>
          <w:tcPr>
            <w:tcW w:w="0" w:type="dxa"/>
            <w:vAlign w:val="bottom"/>
          </w:tcPr>
          <w:p>
            <w:pPr>
              <w:spacing w:after="0"/>
              <w:rPr>
                <w:sz w:val="1"/>
                <w:szCs w:val="1"/>
                <w:color w:val="auto"/>
              </w:rPr>
            </w:pPr>
          </w:p>
        </w:tc>
      </w:tr>
      <w:tr>
        <w:trPr>
          <w:trHeight w:val="242"/>
        </w:trPr>
        <w:tc>
          <w:tcPr>
            <w:tcW w:w="2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160" w:type="dxa"/>
            <w:vAlign w:val="bottom"/>
          </w:tcPr>
          <w:p>
            <w:pPr>
              <w:spacing w:after="0"/>
              <w:rPr>
                <w:sz w:val="21"/>
                <w:szCs w:val="21"/>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9"/>
                <w:szCs w:val="19"/>
                <w:color w:val="auto"/>
              </w:rPr>
              <w:t>as reported</w:t>
            </w:r>
          </w:p>
        </w:tc>
        <w:tc>
          <w:tcPr>
            <w:tcW w:w="180" w:type="dxa"/>
            <w:vAlign w:val="bottom"/>
          </w:tcPr>
          <w:p>
            <w:pPr>
              <w:spacing w:after="0"/>
              <w:rPr>
                <w:sz w:val="21"/>
                <w:szCs w:val="21"/>
                <w:color w:val="auto"/>
              </w:rPr>
            </w:pPr>
          </w:p>
        </w:tc>
        <w:tc>
          <w:tcPr>
            <w:tcW w:w="114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KO Energy</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Energy</w:t>
            </w:r>
          </w:p>
        </w:tc>
        <w:tc>
          <w:tcPr>
            <w:tcW w:w="28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Pr>
          <w:p>
            <w:pPr>
              <w:spacing w:after="0"/>
              <w:rPr>
                <w:sz w:val="21"/>
                <w:szCs w:val="21"/>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Combined</w:t>
            </w:r>
          </w:p>
        </w:tc>
        <w:tc>
          <w:tcPr>
            <w:tcW w:w="0" w:type="dxa"/>
            <w:vAlign w:val="bottom"/>
          </w:tcPr>
          <w:p>
            <w:pPr>
              <w:spacing w:after="0"/>
              <w:rPr>
                <w:sz w:val="1"/>
                <w:szCs w:val="1"/>
                <w:color w:val="auto"/>
              </w:rPr>
            </w:pPr>
          </w:p>
        </w:tc>
      </w:tr>
      <w:tr>
        <w:trPr>
          <w:trHeight w:val="183"/>
        </w:trPr>
        <w:tc>
          <w:tcPr>
            <w:tcW w:w="2060" w:type="dxa"/>
            <w:vAlign w:val="bottom"/>
            <w:vMerge w:val="continue"/>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635,972</w:t>
            </w:r>
          </w:p>
        </w:tc>
        <w:tc>
          <w:tcPr>
            <w:tcW w:w="30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85,608</w:t>
            </w:r>
          </w:p>
        </w:tc>
        <w:tc>
          <w:tcPr>
            <w:tcW w:w="28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(41,624)</w:t>
            </w:r>
          </w:p>
        </w:tc>
        <w:tc>
          <w:tcPr>
            <w:tcW w:w="280" w:type="dxa"/>
            <w:vAlign w:val="bottom"/>
          </w:tcPr>
          <w:p>
            <w:pPr>
              <w:spacing w:after="0"/>
              <w:rPr>
                <w:sz w:val="15"/>
                <w:szCs w:val="15"/>
                <w:color w:val="auto"/>
              </w:rPr>
            </w:pPr>
          </w:p>
        </w:tc>
        <w:tc>
          <w:tcPr>
            <w:tcW w:w="280" w:type="dxa"/>
            <w:vAlign w:val="bottom"/>
            <w:tcBorders>
              <w:top w:val="single" w:sz="8" w:color="auto"/>
            </w:tcBorders>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3,840</w:t>
            </w:r>
          </w:p>
        </w:tc>
        <w:tc>
          <w:tcPr>
            <w:tcW w:w="280" w:type="dxa"/>
            <w:vAlign w:val="bottom"/>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683,796</w:t>
            </w: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16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121,600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54,614</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73"/>
              </w:rPr>
              <w:t>²</w:t>
            </w:r>
          </w:p>
        </w:tc>
        <w:tc>
          <w:tcPr>
            <w:tcW w:w="180" w:type="dxa"/>
            <w:vAlign w:val="bottom"/>
          </w:tcPr>
          <w:p>
            <w:pPr>
              <w:spacing w:after="0"/>
              <w:rPr>
                <w:sz w:val="21"/>
                <w:szCs w:val="21"/>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(1,376)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(24,075)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150,763</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40" w:hanging="80"/>
        <w:spacing w:after="0" w:line="298" w:lineRule="auto"/>
        <w:rPr>
          <w:sz w:val="20"/>
          <w:szCs w:val="20"/>
          <w:color w:val="auto"/>
        </w:rPr>
      </w:pPr>
      <w:r>
        <w:rPr>
          <w:rFonts w:ascii="Times New Roman" w:cs="Times New Roman" w:eastAsia="Times New Roman" w:hAnsi="Times New Roman"/>
          <w:sz w:val="16"/>
          <w:szCs w:val="16"/>
          <w:color w:val="auto"/>
        </w:rPr>
        <w:t>¹Includes net sales of $69.9 million and net income of $27.4 million (tax affected) related to the acquired KO Energy assets for the three-months ended September 30, 2015.</w:t>
      </w:r>
    </w:p>
    <w:p>
      <w:pPr>
        <w:sectPr>
          <w:pgSz w:w="11900" w:h="16838" w:orient="portrait"/>
          <w:cols w:equalWidth="0" w:num="1">
            <w:col w:w="11420"/>
          </w:cols>
          <w:pgMar w:left="240" w:top="342" w:right="239" w:bottom="0" w:gutter="0" w:footer="0" w:header="0"/>
        </w:sectPr>
      </w:pPr>
    </w:p>
    <w:bookmarkStart w:id="8" w:name="page9"/>
    <w:bookmarkEnd w:id="8"/>
    <w:p>
      <w:pPr>
        <w:jc w:val="both"/>
        <w:ind w:left="740" w:right="20" w:hanging="80"/>
        <w:spacing w:after="0" w:line="298" w:lineRule="auto"/>
        <w:rPr>
          <w:sz w:val="20"/>
          <w:szCs w:val="20"/>
          <w:color w:val="auto"/>
        </w:rPr>
      </w:pPr>
      <w:r>
        <w:rPr>
          <w:rFonts w:ascii="Times New Roman" w:cs="Times New Roman" w:eastAsia="Times New Roman" w:hAnsi="Times New Roman"/>
          <w:sz w:val="16"/>
          <w:szCs w:val="16"/>
          <w:color w:val="auto"/>
        </w:rPr>
        <w:t>²The $54.6 million of net income for KO Energy for the three-months ended September 30, 2014 is presented before tax. The associated estimated provision for income taxes is included in the “Other” category.</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242"/>
        </w:trPr>
        <w:tc>
          <w:tcPr>
            <w:tcW w:w="2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9"/>
                <w:szCs w:val="19"/>
                <w:color w:val="auto"/>
              </w:rPr>
              <w:t>Nine-Months Ended September 30, 2015</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9"/>
                <w:szCs w:val="19"/>
                <w:color w:val="auto"/>
                <w:w w:val="97"/>
              </w:rPr>
              <w:t>Monster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380"/>
              <w:spacing w:after="0" w:line="210" w:lineRule="exact"/>
              <w:rPr>
                <w:sz w:val="20"/>
                <w:szCs w:val="20"/>
                <w:color w:val="auto"/>
              </w:rPr>
            </w:pPr>
            <w:r>
              <w:rPr>
                <w:rFonts w:ascii="Times New Roman" w:cs="Times New Roman" w:eastAsia="Times New Roman" w:hAnsi="Times New Roman"/>
                <w:sz w:val="19"/>
                <w:szCs w:val="19"/>
                <w:color w:val="auto"/>
              </w:rPr>
              <w:t>Pro Forma Adjustments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Beverage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9"/>
                <w:szCs w:val="19"/>
                <w:color w:val="auto"/>
              </w:rPr>
              <w:t>Disposal of</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Corporation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rPr>
              <w:t>Monster Non-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Pro Forma</w:t>
            </w:r>
          </w:p>
        </w:tc>
        <w:tc>
          <w:tcPr>
            <w:tcW w:w="0" w:type="dxa"/>
            <w:vAlign w:val="bottom"/>
          </w:tcPr>
          <w:p>
            <w:pPr>
              <w:spacing w:after="0"/>
              <w:rPr>
                <w:sz w:val="1"/>
                <w:szCs w:val="1"/>
                <w:color w:val="auto"/>
              </w:rPr>
            </w:pPr>
          </w:p>
        </w:tc>
      </w:tr>
      <w:tr>
        <w:trPr>
          <w:trHeight w:val="242"/>
        </w:trPr>
        <w:tc>
          <w:tcPr>
            <w:tcW w:w="2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9"/>
                <w:szCs w:val="19"/>
                <w:color w:val="auto"/>
              </w:rPr>
              <w:t>as reported¹</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9"/>
                <w:szCs w:val="19"/>
                <w:color w:val="auto"/>
                <w:w w:val="99"/>
              </w:rPr>
              <w:t>KO Energy²</w:t>
            </w:r>
          </w:p>
        </w:tc>
        <w:tc>
          <w:tcPr>
            <w:tcW w:w="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9"/>
                <w:szCs w:val="19"/>
                <w:color w:val="auto"/>
                <w:w w:val="98"/>
              </w:rPr>
              <w:t>Energy³</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color w:val="auto"/>
              </w:rPr>
              <w:t>Other</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Combined</w:t>
            </w:r>
          </w:p>
        </w:tc>
        <w:tc>
          <w:tcPr>
            <w:tcW w:w="0" w:type="dxa"/>
            <w:vAlign w:val="bottom"/>
          </w:tcPr>
          <w:p>
            <w:pPr>
              <w:spacing w:after="0"/>
              <w:rPr>
                <w:sz w:val="1"/>
                <w:szCs w:val="1"/>
                <w:color w:val="auto"/>
              </w:rPr>
            </w:pPr>
          </w:p>
        </w:tc>
      </w:tr>
      <w:tr>
        <w:trPr>
          <w:trHeight w:val="183"/>
        </w:trPr>
        <w:tc>
          <w:tcPr>
            <w:tcW w:w="2060" w:type="dxa"/>
            <w:vAlign w:val="bottom"/>
            <w:vMerge w:val="continue"/>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2,077,131</w:t>
            </w:r>
          </w:p>
        </w:tc>
        <w:tc>
          <w:tcPr>
            <w:tcW w:w="3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138,127</w:t>
            </w: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(60,824)</w:t>
            </w:r>
          </w:p>
        </w:tc>
        <w:tc>
          <w:tcPr>
            <w:tcW w:w="280" w:type="dxa"/>
            <w:vAlign w:val="bottom"/>
          </w:tcPr>
          <w:p>
            <w:pPr>
              <w:spacing w:after="0"/>
              <w:rPr>
                <w:sz w:val="15"/>
                <w:szCs w:val="15"/>
                <w:color w:val="auto"/>
              </w:rPr>
            </w:pPr>
          </w:p>
        </w:tc>
        <w:tc>
          <w:tcPr>
            <w:tcW w:w="28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6,803</w:t>
            </w:r>
          </w:p>
        </w:tc>
        <w:tc>
          <w:tcPr>
            <w:tcW w:w="2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2,161,237</w:t>
            </w: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16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407,991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100,575</w:t>
            </w:r>
          </w:p>
        </w:tc>
        <w:tc>
          <w:tcPr>
            <w:tcW w:w="3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(101,881)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(36,487)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370,198</w:t>
            </w:r>
          </w:p>
        </w:tc>
        <w:tc>
          <w:tcPr>
            <w:tcW w:w="0" w:type="dxa"/>
            <w:vAlign w:val="bottom"/>
          </w:tcPr>
          <w:p>
            <w:pPr>
              <w:spacing w:after="0"/>
              <w:rPr>
                <w:sz w:val="1"/>
                <w:szCs w:val="1"/>
                <w:color w:val="auto"/>
              </w:rPr>
            </w:pPr>
          </w:p>
        </w:tc>
      </w:tr>
      <w:tr>
        <w:trPr>
          <w:trHeight w:val="430"/>
        </w:trPr>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9"/>
                <w:szCs w:val="19"/>
                <w:color w:val="auto"/>
              </w:rPr>
              <w:t>Nine-Months Ended September 30, 2014</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9"/>
                <w:szCs w:val="19"/>
                <w:color w:val="auto"/>
                <w:w w:val="97"/>
              </w:rPr>
              <w:t>Monster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380"/>
              <w:spacing w:after="0" w:line="210" w:lineRule="exact"/>
              <w:rPr>
                <w:sz w:val="20"/>
                <w:szCs w:val="20"/>
                <w:color w:val="auto"/>
              </w:rPr>
            </w:pPr>
            <w:r>
              <w:rPr>
                <w:rFonts w:ascii="Times New Roman" w:cs="Times New Roman" w:eastAsia="Times New Roman" w:hAnsi="Times New Roman"/>
                <w:sz w:val="19"/>
                <w:szCs w:val="19"/>
                <w:color w:val="auto"/>
              </w:rPr>
              <w:t>Pro Forma Adjustments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Beverage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60"/>
              <w:spacing w:after="0" w:line="216" w:lineRule="exact"/>
              <w:rPr>
                <w:sz w:val="20"/>
                <w:szCs w:val="20"/>
                <w:color w:val="auto"/>
              </w:rPr>
            </w:pPr>
            <w:r>
              <w:rPr>
                <w:rFonts w:ascii="Times New Roman" w:cs="Times New Roman" w:eastAsia="Times New Roman" w:hAnsi="Times New Roman"/>
                <w:sz w:val="19"/>
                <w:szCs w:val="19"/>
                <w:color w:val="auto"/>
              </w:rPr>
              <w:t>Disposal of</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9"/>
                <w:szCs w:val="19"/>
                <w:color w:val="auto"/>
              </w:rPr>
              <w:t>Corporation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rPr>
              <w:t>Monster Non-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40"/>
              <w:spacing w:after="0" w:line="216" w:lineRule="exact"/>
              <w:rPr>
                <w:sz w:val="20"/>
                <w:szCs w:val="20"/>
                <w:color w:val="auto"/>
              </w:rPr>
            </w:pPr>
            <w:r>
              <w:rPr>
                <w:rFonts w:ascii="Times New Roman" w:cs="Times New Roman" w:eastAsia="Times New Roman" w:hAnsi="Times New Roman"/>
                <w:sz w:val="19"/>
                <w:szCs w:val="19"/>
                <w:color w:val="auto"/>
              </w:rPr>
              <w:t>Pro Forma</w:t>
            </w:r>
          </w:p>
        </w:tc>
        <w:tc>
          <w:tcPr>
            <w:tcW w:w="0" w:type="dxa"/>
            <w:vAlign w:val="bottom"/>
          </w:tcPr>
          <w:p>
            <w:pPr>
              <w:spacing w:after="0"/>
              <w:rPr>
                <w:sz w:val="1"/>
                <w:szCs w:val="1"/>
                <w:color w:val="auto"/>
              </w:rPr>
            </w:pPr>
          </w:p>
        </w:tc>
      </w:tr>
      <w:tr>
        <w:trPr>
          <w:trHeight w:val="242"/>
        </w:trPr>
        <w:tc>
          <w:tcPr>
            <w:tcW w:w="2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9"/>
                <w:szCs w:val="19"/>
                <w:color w:val="auto"/>
              </w:rPr>
              <w:t>as reported</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9"/>
                <w:szCs w:val="19"/>
                <w:color w:val="auto"/>
              </w:rPr>
              <w:t>KO Energy</w:t>
            </w:r>
          </w:p>
        </w:tc>
        <w:tc>
          <w:tcPr>
            <w:tcW w:w="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9"/>
                <w:szCs w:val="19"/>
                <w:color w:val="auto"/>
              </w:rPr>
              <w:t>Energy</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9"/>
                <w:szCs w:val="19"/>
                <w:color w:val="auto"/>
              </w:rPr>
              <w:t>Other</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Combined</w:t>
            </w:r>
          </w:p>
        </w:tc>
        <w:tc>
          <w:tcPr>
            <w:tcW w:w="0" w:type="dxa"/>
            <w:vAlign w:val="bottom"/>
          </w:tcPr>
          <w:p>
            <w:pPr>
              <w:spacing w:after="0"/>
              <w:rPr>
                <w:sz w:val="1"/>
                <w:szCs w:val="1"/>
                <w:color w:val="auto"/>
              </w:rPr>
            </w:pPr>
          </w:p>
        </w:tc>
      </w:tr>
      <w:tr>
        <w:trPr>
          <w:trHeight w:val="183"/>
        </w:trPr>
        <w:tc>
          <w:tcPr>
            <w:tcW w:w="2060" w:type="dxa"/>
            <w:vAlign w:val="bottom"/>
            <w:vMerge w:val="continue"/>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1,859,301</w:t>
            </w:r>
          </w:p>
        </w:tc>
        <w:tc>
          <w:tcPr>
            <w:tcW w:w="3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256,824</w:t>
            </w: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(119,608)</w:t>
            </w:r>
          </w:p>
        </w:tc>
        <w:tc>
          <w:tcPr>
            <w:tcW w:w="280" w:type="dxa"/>
            <w:vAlign w:val="bottom"/>
          </w:tcPr>
          <w:p>
            <w:pPr>
              <w:spacing w:after="0"/>
              <w:rPr>
                <w:sz w:val="15"/>
                <w:szCs w:val="15"/>
                <w:color w:val="auto"/>
              </w:rPr>
            </w:pPr>
          </w:p>
        </w:tc>
        <w:tc>
          <w:tcPr>
            <w:tcW w:w="280" w:type="dxa"/>
            <w:vAlign w:val="bottom"/>
          </w:tcPr>
          <w:p>
            <w:pPr>
              <w:jc w:val="right"/>
              <w:ind w:right="45"/>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11,393</w:t>
            </w:r>
          </w:p>
        </w:tc>
        <w:tc>
          <w:tcPr>
            <w:tcW w:w="2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5"/>
              <w:spacing w:after="0" w:line="183" w:lineRule="exact"/>
              <w:rPr>
                <w:sz w:val="20"/>
                <w:szCs w:val="20"/>
                <w:color w:val="auto"/>
              </w:rPr>
            </w:pPr>
            <w:r>
              <w:rPr>
                <w:rFonts w:ascii="Times New Roman" w:cs="Times New Roman" w:eastAsia="Times New Roman" w:hAnsi="Times New Roman"/>
                <w:sz w:val="19"/>
                <w:szCs w:val="19"/>
                <w:color w:val="auto"/>
              </w:rPr>
              <w:t>2,007,910</w:t>
            </w: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160" w:type="dxa"/>
            <w:vAlign w:val="bottom"/>
          </w:tcPr>
          <w:p>
            <w:pPr>
              <w:spacing w:after="0"/>
              <w:rPr>
                <w:sz w:val="21"/>
                <w:szCs w:val="21"/>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357,854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163,842</w:t>
            </w:r>
          </w:p>
        </w:tc>
        <w:tc>
          <w:tcPr>
            <w:tcW w:w="3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(4,398)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(74,747)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442,551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700" w:hanging="51"/>
        <w:spacing w:after="0" w:line="269" w:lineRule="auto"/>
        <w:rPr>
          <w:sz w:val="20"/>
          <w:szCs w:val="20"/>
          <w:color w:val="auto"/>
        </w:rPr>
      </w:pPr>
      <w:r>
        <w:rPr>
          <w:rFonts w:ascii="Times New Roman" w:cs="Times New Roman" w:eastAsia="Times New Roman" w:hAnsi="Times New Roman"/>
          <w:sz w:val="16"/>
          <w:szCs w:val="16"/>
          <w:color w:val="auto"/>
        </w:rPr>
        <w:t>¹Includes net sales of $82.9 million and net income of $32.9 million (tax affected) related to the acquired KO Energy assets since the date of acquisition, June 12, 2015.</w:t>
      </w:r>
    </w:p>
    <w:p>
      <w:pPr>
        <w:spacing w:after="0" w:line="200" w:lineRule="exact"/>
        <w:rPr>
          <w:sz w:val="20"/>
          <w:szCs w:val="20"/>
          <w:color w:val="auto"/>
        </w:rPr>
      </w:pPr>
    </w:p>
    <w:p>
      <w:pPr>
        <w:spacing w:after="0" w:line="202" w:lineRule="exact"/>
        <w:rPr>
          <w:sz w:val="20"/>
          <w:szCs w:val="20"/>
          <w:color w:val="auto"/>
        </w:rPr>
      </w:pPr>
    </w:p>
    <w:p>
      <w:pPr>
        <w:jc w:val="both"/>
        <w:ind w:left="700" w:hanging="51"/>
        <w:spacing w:after="0" w:line="281" w:lineRule="auto"/>
        <w:rPr>
          <w:sz w:val="20"/>
          <w:szCs w:val="20"/>
          <w:color w:val="auto"/>
        </w:rPr>
      </w:pPr>
      <w:r>
        <w:rPr>
          <w:rFonts w:ascii="Times New Roman" w:cs="Times New Roman" w:eastAsia="Times New Roman" w:hAnsi="Times New Roman"/>
          <w:sz w:val="16"/>
          <w:szCs w:val="16"/>
          <w:color w:val="auto"/>
        </w:rPr>
        <w:t>²Includes results through June 12, 2015, the date the TCCC Transaction was finalized. Net income for KO Energy includes only net revenues and direct operating expenses, rather than full “carve-out” financial statements, because such financial information would not be meaningful given that it is not possible to provide a meaningful allocation of business unit and corporate costs, interest or tax in respect of KO Energy.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³Includes results through June 12, 2015. Net income includes gain recognized on the sale of Monster Non-Energy of $161.5 million.</w:t>
      </w:r>
    </w:p>
    <w:p>
      <w:pPr>
        <w:spacing w:after="0" w:line="221" w:lineRule="exact"/>
        <w:rPr>
          <w:sz w:val="20"/>
          <w:szCs w:val="20"/>
          <w:color w:val="auto"/>
        </w:rPr>
      </w:pPr>
    </w:p>
    <w:p>
      <w:pPr>
        <w:jc w:val="both"/>
        <w:ind w:left="700" w:hanging="51"/>
        <w:spacing w:after="0" w:line="232"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The $100.6 million of net income for the nine-months ended September 30, 2015 and $163.8 million of net income for KO Energy for the nine-months ended September 30, 2014 are presented before tax. The associated estimated provision for income taxes is included in the “Other” category.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Pro-Forma Adjustments – Other include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9"/>
                <w:szCs w:val="19"/>
                <w:color w:val="auto"/>
                <w:w w:val="99"/>
              </w:rPr>
              <w:t>Three-Months</w:t>
            </w: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9"/>
                <w:szCs w:val="19"/>
                <w:color w:val="auto"/>
                <w:w w:val="99"/>
              </w:rPr>
              <w:t>Three-Months</w:t>
            </w:r>
          </w:p>
        </w:tc>
        <w:tc>
          <w:tcPr>
            <w:tcW w:w="1660" w:type="dxa"/>
            <w:vAlign w:val="bottom"/>
            <w:gridSpan w:val="3"/>
          </w:tcPr>
          <w:p>
            <w:pPr>
              <w:jc w:val="center"/>
              <w:ind w:right="280"/>
              <w:spacing w:after="0"/>
              <w:rPr>
                <w:sz w:val="20"/>
                <w:szCs w:val="20"/>
                <w:color w:val="auto"/>
              </w:rPr>
            </w:pPr>
            <w:r>
              <w:rPr>
                <w:rFonts w:ascii="Times New Roman" w:cs="Times New Roman" w:eastAsia="Times New Roman" w:hAnsi="Times New Roman"/>
                <w:sz w:val="19"/>
                <w:szCs w:val="19"/>
                <w:color w:val="auto"/>
              </w:rPr>
              <w:t>Nine-Months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8"/>
              </w:rPr>
              <w:t>Nine-Months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620"/>
              <w:spacing w:after="0" w:line="216" w:lineRule="exact"/>
              <w:rPr>
                <w:sz w:val="20"/>
                <w:szCs w:val="20"/>
                <w:color w:val="auto"/>
              </w:rPr>
            </w:pPr>
            <w:r>
              <w:rPr>
                <w:rFonts w:ascii="Times New Roman" w:cs="Times New Roman" w:eastAsia="Times New Roman" w:hAnsi="Times New Roman"/>
                <w:sz w:val="19"/>
                <w:szCs w:val="19"/>
                <w:color w:val="auto"/>
                <w:w w:val="98"/>
              </w:rPr>
              <w:t>Ended</w:t>
            </w:r>
          </w:p>
        </w:tc>
        <w:tc>
          <w:tcPr>
            <w:tcW w:w="320" w:type="dxa"/>
            <w:vAlign w:val="bottom"/>
          </w:tcPr>
          <w:p>
            <w:pPr>
              <w:spacing w:after="0"/>
              <w:rPr>
                <w:sz w:val="18"/>
                <w:szCs w:val="18"/>
                <w:color w:val="auto"/>
              </w:rPr>
            </w:pPr>
          </w:p>
        </w:tc>
        <w:tc>
          <w:tcPr>
            <w:tcW w:w="132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19"/>
                <w:szCs w:val="19"/>
                <w:color w:val="auto"/>
                <w:w w:val="98"/>
              </w:rPr>
              <w:t>Ended</w:t>
            </w:r>
          </w:p>
        </w:tc>
        <w:tc>
          <w:tcPr>
            <w:tcW w:w="320" w:type="dxa"/>
            <w:vAlign w:val="bottom"/>
          </w:tcPr>
          <w:p>
            <w:pPr>
              <w:spacing w:after="0"/>
              <w:rPr>
                <w:sz w:val="18"/>
                <w:szCs w:val="18"/>
                <w:color w:val="auto"/>
              </w:rPr>
            </w:pPr>
          </w:p>
        </w:tc>
        <w:tc>
          <w:tcPr>
            <w:tcW w:w="1340" w:type="dxa"/>
            <w:vAlign w:val="bottom"/>
            <w:gridSpan w:val="2"/>
          </w:tcPr>
          <w:p>
            <w:pPr>
              <w:jc w:val="center"/>
              <w:ind w:right="600"/>
              <w:spacing w:after="0" w:line="216" w:lineRule="exact"/>
              <w:rPr>
                <w:sz w:val="20"/>
                <w:szCs w:val="20"/>
                <w:color w:val="auto"/>
              </w:rPr>
            </w:pPr>
            <w:r>
              <w:rPr>
                <w:rFonts w:ascii="Times New Roman" w:cs="Times New Roman" w:eastAsia="Times New Roman" w:hAnsi="Times New Roman"/>
                <w:sz w:val="19"/>
                <w:szCs w:val="19"/>
                <w:color w:val="auto"/>
              </w:rPr>
              <w:t>Ended</w:t>
            </w:r>
          </w:p>
        </w:tc>
        <w:tc>
          <w:tcPr>
            <w:tcW w:w="320" w:type="dxa"/>
            <w:vAlign w:val="bottom"/>
          </w:tcPr>
          <w:p>
            <w:pPr>
              <w:spacing w:after="0"/>
              <w:rPr>
                <w:sz w:val="18"/>
                <w:szCs w:val="18"/>
                <w:color w:val="auto"/>
              </w:rPr>
            </w:pPr>
          </w:p>
        </w:tc>
        <w:tc>
          <w:tcPr>
            <w:tcW w:w="1040" w:type="dxa"/>
            <w:vAlign w:val="bottom"/>
          </w:tcPr>
          <w:p>
            <w:pPr>
              <w:jc w:val="center"/>
              <w:ind w:right="225"/>
              <w:spacing w:after="0" w:line="216" w:lineRule="exact"/>
              <w:rPr>
                <w:sz w:val="20"/>
                <w:szCs w:val="20"/>
                <w:color w:val="auto"/>
              </w:rPr>
            </w:pPr>
            <w:r>
              <w:rPr>
                <w:rFonts w:ascii="Times New Roman" w:cs="Times New Roman" w:eastAsia="Times New Roman" w:hAnsi="Times New Roman"/>
                <w:sz w:val="19"/>
                <w:szCs w:val="19"/>
                <w:color w:val="auto"/>
                <w:w w:val="98"/>
              </w:rPr>
              <w:t>Ended</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700" w:type="dxa"/>
            <w:vAlign w:val="bottom"/>
            <w:gridSpan w:val="3"/>
          </w:tcPr>
          <w:p>
            <w:pPr>
              <w:jc w:val="center"/>
              <w:ind w:right="300"/>
              <w:spacing w:after="0" w:line="216" w:lineRule="exact"/>
              <w:rPr>
                <w:sz w:val="20"/>
                <w:szCs w:val="20"/>
                <w:color w:val="auto"/>
              </w:rPr>
            </w:pPr>
            <w:r>
              <w:rPr>
                <w:rFonts w:ascii="Times New Roman" w:cs="Times New Roman" w:eastAsia="Times New Roman" w:hAnsi="Times New Roman"/>
                <w:sz w:val="19"/>
                <w:szCs w:val="19"/>
                <w:color w:val="auto"/>
                <w:w w:val="98"/>
              </w:rPr>
              <w:t>September 30,</w:t>
            </w:r>
          </w:p>
        </w:tc>
        <w:tc>
          <w:tcPr>
            <w:tcW w:w="164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w w:val="98"/>
              </w:rPr>
              <w:t>September 30,</w:t>
            </w:r>
          </w:p>
        </w:tc>
        <w:tc>
          <w:tcPr>
            <w:tcW w:w="1660" w:type="dxa"/>
            <w:vAlign w:val="bottom"/>
            <w:gridSpan w:val="3"/>
          </w:tcPr>
          <w:p>
            <w:pPr>
              <w:jc w:val="center"/>
              <w:ind w:right="280"/>
              <w:spacing w:after="0" w:line="216" w:lineRule="exact"/>
              <w:rPr>
                <w:sz w:val="20"/>
                <w:szCs w:val="20"/>
                <w:color w:val="auto"/>
              </w:rPr>
            </w:pPr>
            <w:r>
              <w:rPr>
                <w:rFonts w:ascii="Times New Roman" w:cs="Times New Roman" w:eastAsia="Times New Roman" w:hAnsi="Times New Roman"/>
                <w:sz w:val="19"/>
                <w:szCs w:val="19"/>
                <w:color w:val="auto"/>
              </w:rPr>
              <w:t>September 30,</w:t>
            </w:r>
          </w:p>
        </w:tc>
        <w:tc>
          <w:tcPr>
            <w:tcW w:w="13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9"/>
                <w:szCs w:val="19"/>
                <w:color w:val="auto"/>
                <w:w w:val="98"/>
              </w:rPr>
              <w:t>September 30,</w:t>
            </w:r>
          </w:p>
        </w:tc>
        <w:tc>
          <w:tcPr>
            <w:tcW w:w="0" w:type="dxa"/>
            <w:vAlign w:val="bottom"/>
          </w:tcPr>
          <w:p>
            <w:pPr>
              <w:spacing w:after="0"/>
              <w:rPr>
                <w:sz w:val="1"/>
                <w:szCs w:val="1"/>
                <w:color w:val="auto"/>
              </w:rPr>
            </w:pPr>
          </w:p>
        </w:tc>
      </w:tr>
      <w:tr>
        <w:trPr>
          <w:trHeight w:val="242"/>
        </w:trPr>
        <w:tc>
          <w:tcPr>
            <w:tcW w:w="50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sales: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9"/>
                <w:szCs w:val="19"/>
                <w:color w:val="auto"/>
                <w:w w:val="99"/>
              </w:rPr>
              <w:t>2015</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9"/>
                <w:szCs w:val="19"/>
                <w:color w:val="auto"/>
                <w:w w:val="99"/>
              </w:rPr>
              <w:t>2014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25"/>
              <w:spacing w:after="0"/>
              <w:rPr>
                <w:sz w:val="20"/>
                <w:szCs w:val="20"/>
                <w:color w:val="auto"/>
              </w:rPr>
            </w:pPr>
            <w:r>
              <w:rPr>
                <w:rFonts w:ascii="Times New Roman" w:cs="Times New Roman" w:eastAsia="Times New Roman" w:hAnsi="Times New Roman"/>
                <w:sz w:val="19"/>
                <w:szCs w:val="19"/>
                <w:color w:val="auto"/>
                <w:w w:val="95"/>
              </w:rPr>
              <w:t>2015¹</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9"/>
                <w:szCs w:val="19"/>
                <w:color w:val="auto"/>
                <w:w w:val="99"/>
              </w:rPr>
              <w:t>2014</w:t>
            </w:r>
          </w:p>
        </w:tc>
        <w:tc>
          <w:tcPr>
            <w:tcW w:w="0" w:type="dxa"/>
            <w:vAlign w:val="bottom"/>
          </w:tcPr>
          <w:p>
            <w:pPr>
              <w:spacing w:after="0"/>
              <w:rPr>
                <w:sz w:val="1"/>
                <w:szCs w:val="1"/>
                <w:color w:val="auto"/>
              </w:rPr>
            </w:pPr>
          </w:p>
        </w:tc>
      </w:tr>
      <w:tr>
        <w:trPr>
          <w:trHeight w:val="170"/>
        </w:trPr>
        <w:tc>
          <w:tcPr>
            <w:tcW w:w="5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Amortization of deferred revenue</w:t>
            </w:r>
          </w:p>
        </w:tc>
        <w:tc>
          <w:tcPr>
            <w:tcW w:w="3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1"/>
                <w:szCs w:val="21"/>
                <w:color w:val="auto"/>
              </w:rPr>
            </w:pPr>
          </w:p>
        </w:tc>
        <w:tc>
          <w:tcPr>
            <w:tcW w:w="3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3,840</w:t>
            </w:r>
          </w:p>
        </w:tc>
        <w:tc>
          <w:tcPr>
            <w:tcW w:w="280" w:type="dxa"/>
            <w:vAlign w:val="bottom"/>
          </w:tcPr>
          <w:p>
            <w:pPr>
              <w:spacing w:after="0"/>
              <w:rPr>
                <w:sz w:val="21"/>
                <w:szCs w:val="21"/>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6,803</w:t>
            </w:r>
          </w:p>
        </w:tc>
        <w:tc>
          <w:tcPr>
            <w:tcW w:w="280" w:type="dxa"/>
            <w:vAlign w:val="bottom"/>
          </w:tcPr>
          <w:p>
            <w:pPr>
              <w:spacing w:after="0"/>
              <w:rPr>
                <w:sz w:val="21"/>
                <w:szCs w:val="21"/>
                <w:color w:val="auto"/>
              </w:rPr>
            </w:pPr>
          </w:p>
        </w:tc>
        <w:tc>
          <w:tcPr>
            <w:tcW w:w="32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11,393</w:t>
            </w:r>
          </w:p>
        </w:tc>
        <w:tc>
          <w:tcPr>
            <w:tcW w:w="0" w:type="dxa"/>
            <w:vAlign w:val="bottom"/>
          </w:tcPr>
          <w:p>
            <w:pPr>
              <w:spacing w:after="0"/>
              <w:rPr>
                <w:sz w:val="1"/>
                <w:szCs w:val="1"/>
                <w:color w:val="auto"/>
              </w:rPr>
            </w:pPr>
          </w:p>
        </w:tc>
      </w:tr>
      <w:tr>
        <w:trPr>
          <w:trHeight w:val="404"/>
        </w:trPr>
        <w:tc>
          <w:tcPr>
            <w:tcW w:w="506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Amortization of deferred revenue</w:t>
            </w:r>
          </w:p>
        </w:tc>
        <w:tc>
          <w:tcPr>
            <w:tcW w:w="3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3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3,840</w:t>
            </w:r>
          </w:p>
        </w:tc>
        <w:tc>
          <w:tcPr>
            <w:tcW w:w="280" w:type="dxa"/>
            <w:vAlign w:val="bottom"/>
          </w:tcPr>
          <w:p>
            <w:pPr>
              <w:spacing w:after="0"/>
              <w:rPr>
                <w:sz w:val="18"/>
                <w:szCs w:val="18"/>
                <w:color w:val="auto"/>
              </w:rPr>
            </w:pPr>
          </w:p>
        </w:tc>
        <w:tc>
          <w:tcPr>
            <w:tcW w:w="3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6,803</w:t>
            </w:r>
          </w:p>
        </w:tc>
        <w:tc>
          <w:tcPr>
            <w:tcW w:w="280" w:type="dxa"/>
            <w:vAlign w:val="bottom"/>
          </w:tcPr>
          <w:p>
            <w:pPr>
              <w:spacing w:after="0"/>
              <w:rPr>
                <w:sz w:val="18"/>
                <w:szCs w:val="18"/>
                <w:color w:val="auto"/>
              </w:rPr>
            </w:pPr>
          </w:p>
        </w:tc>
        <w:tc>
          <w:tcPr>
            <w:tcW w:w="3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11,393</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To record sales commissions</w:t>
            </w:r>
          </w:p>
        </w:tc>
        <w:tc>
          <w:tcPr>
            <w:tcW w:w="320" w:type="dxa"/>
            <w:vAlign w:val="bottom"/>
          </w:tcPr>
          <w:p>
            <w:pPr>
              <w:spacing w:after="0"/>
              <w:rPr>
                <w:sz w:val="18"/>
                <w:szCs w:val="18"/>
                <w:color w:val="auto"/>
              </w:rPr>
            </w:pPr>
          </w:p>
        </w:tc>
        <w:tc>
          <w:tcPr>
            <w:tcW w:w="10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(9,588)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(15,470)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(28,764)</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To record amortization of definite lived KO Energy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intangibles</w:t>
            </w:r>
          </w:p>
        </w:tc>
        <w:tc>
          <w:tcPr>
            <w:tcW w:w="320" w:type="dxa"/>
            <w:vAlign w:val="bottom"/>
          </w:tcPr>
          <w:p>
            <w:pPr>
              <w:spacing w:after="0"/>
              <w:rPr>
                <w:sz w:val="18"/>
                <w:szCs w:val="18"/>
                <w:color w:val="auto"/>
              </w:rPr>
            </w:pPr>
          </w:p>
        </w:tc>
        <w:tc>
          <w:tcPr>
            <w:tcW w:w="10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(3,126)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(5,236)</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To eliminate TCCC Transaction expenses</w:t>
            </w:r>
          </w:p>
        </w:tc>
        <w:tc>
          <w:tcPr>
            <w:tcW w:w="320" w:type="dxa"/>
            <w:vAlign w:val="bottom"/>
          </w:tcPr>
          <w:p>
            <w:pPr>
              <w:spacing w:after="0"/>
              <w:rPr>
                <w:sz w:val="18"/>
                <w:szCs w:val="18"/>
                <w:color w:val="auto"/>
              </w:rPr>
            </w:pPr>
          </w:p>
        </w:tc>
        <w:tc>
          <w:tcPr>
            <w:tcW w:w="10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292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2,567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15,425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3,635</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Estimated provision for income taxes on pro forma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adjustments</w:t>
            </w:r>
          </w:p>
        </w:tc>
        <w:tc>
          <w:tcPr>
            <w:tcW w:w="3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1,904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7,304</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Estimated provision for income taxes on KO Energy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income</w:t>
            </w:r>
          </w:p>
        </w:tc>
        <w:tc>
          <w:tcPr>
            <w:tcW w:w="320" w:type="dxa"/>
            <w:vAlign w:val="bottom"/>
          </w:tcPr>
          <w:p>
            <w:pPr>
              <w:spacing w:after="0"/>
              <w:rPr>
                <w:sz w:val="18"/>
                <w:szCs w:val="18"/>
                <w:color w:val="auto"/>
              </w:rPr>
            </w:pPr>
          </w:p>
        </w:tc>
        <w:tc>
          <w:tcPr>
            <w:tcW w:w="108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(21,034)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(38,721)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(63,079)</w:t>
            </w:r>
          </w:p>
        </w:tc>
        <w:tc>
          <w:tcPr>
            <w:tcW w:w="0" w:type="dxa"/>
            <w:vAlign w:val="bottom"/>
          </w:tcPr>
          <w:p>
            <w:pPr>
              <w:spacing w:after="0"/>
              <w:rPr>
                <w:sz w:val="1"/>
                <w:szCs w:val="1"/>
                <w:color w:val="auto"/>
              </w:rPr>
            </w:pPr>
          </w:p>
        </w:tc>
      </w:tr>
      <w:tr>
        <w:trPr>
          <w:trHeight w:val="26"/>
        </w:trPr>
        <w:tc>
          <w:tcPr>
            <w:tcW w:w="50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ind w:right="5"/>
              <w:spacing w:after="0" w:line="210" w:lineRule="exact"/>
              <w:rPr>
                <w:sz w:val="20"/>
                <w:szCs w:val="20"/>
                <w:color w:val="auto"/>
              </w:rPr>
            </w:pPr>
            <w:r>
              <w:rPr>
                <w:rFonts w:ascii="Times New Roman" w:cs="Times New Roman" w:eastAsia="Times New Roman" w:hAnsi="Times New Roman"/>
                <w:sz w:val="19"/>
                <w:szCs w:val="19"/>
                <w:color w:val="auto"/>
              </w:rPr>
              <w:t>180</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(24,075)</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(36,487)</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(74,747)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¹Includes amortization of deferred revenue, sales commissions and amortization of intangibles through June 12, 2015, the date the TCCC Transaction was consummated.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w:t>
      </w:r>
    </w:p>
    <w:p>
      <w:pPr>
        <w:sectPr>
          <w:pgSz w:w="11900" w:h="16838" w:orient="portrait"/>
          <w:cols w:equalWidth="0" w:num="1">
            <w:col w:w="11420"/>
          </w:cols>
          <w:pgMar w:left="240" w:top="126" w:right="239" w:bottom="0" w:gutter="0" w:footer="0" w:header="0"/>
        </w:sectPr>
      </w:pPr>
    </w:p>
    <w:bookmarkStart w:id="9" w:name="page10"/>
    <w:bookmarkEnd w:id="9"/>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90"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RECENT ACCOUNTING PRONOUNCEMENTS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July 2015, the FASB issued ASU No. 2015-11, “Inventory (Topic 330): Simplifying the Measurement of Inventory”. ASU 2015-11 requires entities to measure inventory at the lower of cost or net realizable value. Net realizable value is defined as the estimated selling prices in the ordinary course of business, less reasonably predictable costs of completion, disposal and transportation. ASU 2015-11 is effective for annual periods, and interim periods within those years, beginning after December 15, 2016. Early adoption is permitted. The adoption of ASU 2015-11 is not expected to have a material impact on the Company’s financial position, results of operations or liquidity.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contract(s) with a customer; (2) identify the performance obligations in the contract; (3) determine the transaction price;</w:t>
      </w:r>
    </w:p>
    <w:p>
      <w:pPr>
        <w:jc w:val="both"/>
        <w:ind w:firstLine="8"/>
        <w:spacing w:after="0" w:line="241" w:lineRule="auto"/>
        <w:tabs>
          <w:tab w:leader="none" w:pos="3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2014-09 on its financial position, results of operations and liquidity.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5"/>
                <w:szCs w:val="15"/>
                <w:color w:val="auto"/>
              </w:rPr>
              <w:t>Continuous</w:t>
            </w:r>
          </w:p>
        </w:tc>
        <w:tc>
          <w:tcPr>
            <w:tcW w:w="28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Continuous</w:t>
            </w: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23"/>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300" w:type="dxa"/>
            <w:vAlign w:val="bottom"/>
          </w:tcPr>
          <w:p>
            <w:pPr>
              <w:spacing w:after="0"/>
              <w:rPr>
                <w:sz w:val="14"/>
                <w:szCs w:val="14"/>
                <w:color w:val="auto"/>
              </w:rPr>
            </w:pPr>
          </w:p>
        </w:tc>
        <w:tc>
          <w:tcPr>
            <w:tcW w:w="1060" w:type="dxa"/>
            <w:vAlign w:val="bottom"/>
          </w:tcPr>
          <w:p>
            <w:pPr>
              <w:jc w:val="center"/>
              <w:ind w:right="223"/>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8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114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Unrealized</w:t>
            </w: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4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300" w:type="dxa"/>
            <w:vAlign w:val="bottom"/>
          </w:tcPr>
          <w:p>
            <w:pPr>
              <w:spacing w:after="0"/>
              <w:rPr>
                <w:sz w:val="14"/>
                <w:szCs w:val="14"/>
                <w:color w:val="auto"/>
              </w:rPr>
            </w:pPr>
          </w:p>
        </w:tc>
        <w:tc>
          <w:tcPr>
            <w:tcW w:w="1060" w:type="dxa"/>
            <w:vAlign w:val="bottom"/>
          </w:tcPr>
          <w:p>
            <w:pPr>
              <w:jc w:val="center"/>
              <w:ind w:right="22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8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280" w:type="dxa"/>
            <w:vAlign w:val="bottom"/>
          </w:tcPr>
          <w:p>
            <w:pPr>
              <w:spacing w:after="0"/>
              <w:rPr>
                <w:sz w:val="14"/>
                <w:szCs w:val="14"/>
                <w:color w:val="auto"/>
              </w:rPr>
            </w:pPr>
          </w:p>
        </w:tc>
        <w:tc>
          <w:tcPr>
            <w:tcW w:w="114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Loss Position</w:t>
            </w: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43"/>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300" w:type="dxa"/>
            <w:vAlign w:val="bottom"/>
          </w:tcPr>
          <w:p>
            <w:pPr>
              <w:spacing w:after="0"/>
              <w:rPr>
                <w:sz w:val="14"/>
                <w:szCs w:val="14"/>
                <w:color w:val="auto"/>
              </w:rPr>
            </w:pPr>
          </w:p>
        </w:tc>
        <w:tc>
          <w:tcPr>
            <w:tcW w:w="1060" w:type="dxa"/>
            <w:vAlign w:val="bottom"/>
          </w:tcPr>
          <w:p>
            <w:pPr>
              <w:jc w:val="center"/>
              <w:ind w:right="243"/>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400" w:type="dxa"/>
            <w:vAlign w:val="bottom"/>
          </w:tcPr>
          <w:p>
            <w:pPr>
              <w:spacing w:after="0"/>
              <w:rPr>
                <w:sz w:val="14"/>
                <w:szCs w:val="14"/>
                <w:color w:val="auto"/>
              </w:rPr>
            </w:pPr>
          </w:p>
        </w:tc>
        <w:tc>
          <w:tcPr>
            <w:tcW w:w="980" w:type="dxa"/>
            <w:vAlign w:val="bottom"/>
          </w:tcPr>
          <w:p>
            <w:pPr>
              <w:jc w:val="right"/>
              <w:ind w:right="483"/>
              <w:spacing w:after="0" w:line="162" w:lineRule="exact"/>
              <w:rPr>
                <w:sz w:val="20"/>
                <w:szCs w:val="20"/>
                <w:color w:val="auto"/>
              </w:rPr>
            </w:pPr>
            <w:r>
              <w:rPr>
                <w:rFonts w:ascii="Times New Roman" w:cs="Times New Roman" w:eastAsia="Times New Roman" w:hAnsi="Times New Roman"/>
                <w:sz w:val="15"/>
                <w:szCs w:val="15"/>
                <w:color w:val="auto"/>
              </w:rPr>
              <w:t>Fair</w:t>
            </w:r>
          </w:p>
        </w:tc>
        <w:tc>
          <w:tcPr>
            <w:tcW w:w="260" w:type="dxa"/>
            <w:vAlign w:val="bottom"/>
          </w:tcPr>
          <w:p>
            <w:pPr>
              <w:spacing w:after="0"/>
              <w:rPr>
                <w:sz w:val="14"/>
                <w:szCs w:val="14"/>
                <w:color w:val="auto"/>
              </w:rPr>
            </w:pPr>
          </w:p>
        </w:tc>
        <w:tc>
          <w:tcPr>
            <w:tcW w:w="1120" w:type="dxa"/>
            <w:vAlign w:val="bottom"/>
          </w:tcPr>
          <w:p>
            <w:pPr>
              <w:jc w:val="center"/>
              <w:ind w:right="203"/>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280" w:type="dxa"/>
            <w:vAlign w:val="bottom"/>
          </w:tcPr>
          <w:p>
            <w:pPr>
              <w:spacing w:after="0"/>
              <w:rPr>
                <w:sz w:val="14"/>
                <w:szCs w:val="14"/>
                <w:color w:val="auto"/>
              </w:rPr>
            </w:pPr>
          </w:p>
        </w:tc>
        <w:tc>
          <w:tcPr>
            <w:tcW w:w="114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greater than 12</w:t>
            </w:r>
          </w:p>
        </w:tc>
      </w:tr>
      <w:tr>
        <w:trPr>
          <w:trHeight w:val="18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September 30, 2015</w:t>
            </w:r>
          </w:p>
        </w:tc>
        <w:tc>
          <w:tcPr>
            <w:tcW w:w="17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5"/>
                <w:szCs w:val="15"/>
                <w:color w:val="auto"/>
              </w:rPr>
              <w:t>Amortized Cost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5"/>
                <w:szCs w:val="15"/>
                <w:color w:val="auto"/>
              </w:rPr>
              <w:t>Gains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5"/>
                <w:szCs w:val="15"/>
                <w:color w:val="auto"/>
              </w:rPr>
              <w:t>Losses</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Value</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5"/>
                <w:szCs w:val="15"/>
                <w:color w:val="auto"/>
              </w:rPr>
              <w:t>Months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Months</w:t>
            </w:r>
          </w:p>
        </w:tc>
      </w:tr>
      <w:tr>
        <w:trPr>
          <w:trHeight w:val="145"/>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8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80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306,858</w:t>
            </w: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306,858</w:t>
            </w: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8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Treasuries</w:t>
            </w:r>
          </w:p>
        </w:tc>
        <w:tc>
          <w:tcPr>
            <w:tcW w:w="800" w:type="dxa"/>
            <w:vAlign w:val="bottom"/>
          </w:tcPr>
          <w:p>
            <w:pPr>
              <w:spacing w:after="0"/>
              <w:rPr>
                <w:sz w:val="14"/>
                <w:szCs w:val="14"/>
                <w:color w:val="auto"/>
              </w:rPr>
            </w:pPr>
          </w:p>
        </w:tc>
        <w:tc>
          <w:tcPr>
            <w:tcW w:w="90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92,994</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5</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92,999</w:t>
            </w:r>
          </w:p>
        </w:tc>
        <w:tc>
          <w:tcPr>
            <w:tcW w:w="260" w:type="dxa"/>
            <w:vAlign w:val="bottom"/>
          </w:tcPr>
          <w:p>
            <w:pPr>
              <w:spacing w:after="0"/>
              <w:rPr>
                <w:sz w:val="14"/>
                <w:szCs w:val="14"/>
                <w:color w:val="auto"/>
              </w:rPr>
            </w:pPr>
          </w:p>
        </w:tc>
        <w:tc>
          <w:tcPr>
            <w:tcW w:w="112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8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Certificates of deposit</w:t>
            </w:r>
          </w:p>
        </w:tc>
        <w:tc>
          <w:tcPr>
            <w:tcW w:w="800" w:type="dxa"/>
            <w:vAlign w:val="bottom"/>
          </w:tcPr>
          <w:p>
            <w:pPr>
              <w:spacing w:after="0"/>
              <w:rPr>
                <w:sz w:val="14"/>
                <w:szCs w:val="14"/>
                <w:color w:val="auto"/>
              </w:rPr>
            </w:pPr>
          </w:p>
        </w:tc>
        <w:tc>
          <w:tcPr>
            <w:tcW w:w="90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44,506</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44,506</w:t>
            </w:r>
          </w:p>
        </w:tc>
        <w:tc>
          <w:tcPr>
            <w:tcW w:w="260" w:type="dxa"/>
            <w:vAlign w:val="bottom"/>
          </w:tcPr>
          <w:p>
            <w:pPr>
              <w:spacing w:after="0"/>
              <w:rPr>
                <w:sz w:val="14"/>
                <w:szCs w:val="14"/>
                <w:color w:val="auto"/>
              </w:rPr>
            </w:pPr>
          </w:p>
        </w:tc>
        <w:tc>
          <w:tcPr>
            <w:tcW w:w="112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8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800" w:type="dxa"/>
            <w:vAlign w:val="bottom"/>
          </w:tcPr>
          <w:p>
            <w:pPr>
              <w:spacing w:after="0"/>
              <w:rPr>
                <w:sz w:val="14"/>
                <w:szCs w:val="14"/>
                <w:color w:val="auto"/>
              </w:rPr>
            </w:pPr>
          </w:p>
        </w:tc>
        <w:tc>
          <w:tcPr>
            <w:tcW w:w="90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611,370</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319</w:t>
            </w:r>
          </w:p>
        </w:tc>
        <w:tc>
          <w:tcPr>
            <w:tcW w:w="300" w:type="dxa"/>
            <w:vAlign w:val="bottom"/>
          </w:tcPr>
          <w:p>
            <w:pPr>
              <w:spacing w:after="0"/>
              <w:rPr>
                <w:sz w:val="14"/>
                <w:szCs w:val="14"/>
                <w:color w:val="auto"/>
              </w:rPr>
            </w:pPr>
          </w:p>
        </w:tc>
        <w:tc>
          <w:tcPr>
            <w:tcW w:w="106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400" w:type="dxa"/>
            <w:vAlign w:val="bottom"/>
          </w:tcPr>
          <w:p>
            <w:pPr>
              <w:spacing w:after="0"/>
              <w:rPr>
                <w:sz w:val="14"/>
                <w:szCs w:val="14"/>
                <w:color w:val="auto"/>
              </w:rPr>
            </w:pPr>
          </w:p>
        </w:tc>
        <w:tc>
          <w:tcPr>
            <w:tcW w:w="98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611,679</w:t>
            </w:r>
          </w:p>
        </w:tc>
        <w:tc>
          <w:tcPr>
            <w:tcW w:w="260" w:type="dxa"/>
            <w:vAlign w:val="bottom"/>
          </w:tcPr>
          <w:p>
            <w:pPr>
              <w:spacing w:after="0"/>
              <w:rPr>
                <w:sz w:val="14"/>
                <w:szCs w:val="14"/>
                <w:color w:val="auto"/>
              </w:rPr>
            </w:pPr>
          </w:p>
        </w:tc>
        <w:tc>
          <w:tcPr>
            <w:tcW w:w="1120" w:type="dxa"/>
            <w:vAlign w:val="bottom"/>
          </w:tcPr>
          <w:p>
            <w:pPr>
              <w:jc w:val="right"/>
              <w:ind w:right="123"/>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2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98"/>
        </w:trPr>
        <w:tc>
          <w:tcPr>
            <w:tcW w:w="2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U.S. government agency securities</w:t>
            </w:r>
          </w:p>
        </w:tc>
        <w:tc>
          <w:tcPr>
            <w:tcW w:w="800" w:type="dxa"/>
            <w:vAlign w:val="bottom"/>
          </w:tcPr>
          <w:p>
            <w:pPr>
              <w:spacing w:after="0"/>
              <w:rPr>
                <w:sz w:val="17"/>
                <w:szCs w:val="17"/>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487,495</w:t>
            </w:r>
          </w:p>
        </w:tc>
        <w:tc>
          <w:tcPr>
            <w:tcW w:w="30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23</w:t>
            </w:r>
          </w:p>
        </w:tc>
        <w:tc>
          <w:tcPr>
            <w:tcW w:w="30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w:t>
            </w:r>
          </w:p>
        </w:tc>
        <w:tc>
          <w:tcPr>
            <w:tcW w:w="40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487,514</w:t>
            </w:r>
          </w:p>
        </w:tc>
        <w:tc>
          <w:tcPr>
            <w:tcW w:w="26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w:t>
            </w:r>
          </w:p>
        </w:tc>
        <w:tc>
          <w:tcPr>
            <w:tcW w:w="28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bl>
    <w:p>
      <w:pPr>
        <w:sectPr>
          <w:pgSz w:w="11900" w:h="16916" w:orient="portrait"/>
          <w:cols w:equalWidth="0" w:num="1">
            <w:col w:w="11420"/>
          </w:cols>
          <w:pgMar w:left="240" w:top="118" w:right="239" w:bottom="0" w:gutter="0" w:footer="0" w:header="0"/>
        </w:sectPr>
      </w:pPr>
    </w:p>
    <w:bookmarkStart w:id="10" w:name="page11"/>
    <w:bookmarkEnd w:id="10"/>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Long-term:</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32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29,333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29,345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U.S. government agency securities</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5,022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5,019</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324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1,577,578</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363</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1,577,920</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1,487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Auction rate securities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1,579,407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5"/>
                <w:szCs w:val="15"/>
                <w:color w:val="auto"/>
              </w:rPr>
              <w:t>Continuous</w:t>
            </w:r>
          </w:p>
        </w:tc>
        <w:tc>
          <w:tcPr>
            <w:tcW w:w="180" w:type="dxa"/>
            <w:vAlign w:val="bottom"/>
          </w:tcPr>
          <w:p>
            <w:pPr>
              <w:spacing w:after="0" w:line="20" w:lineRule="exact"/>
              <w:rPr>
                <w:sz w:val="1"/>
                <w:szCs w:val="1"/>
                <w:color w:val="auto"/>
              </w:rPr>
            </w:pPr>
          </w:p>
        </w:tc>
        <w:tc>
          <w:tcPr>
            <w:tcW w:w="1140" w:type="dxa"/>
            <w:vAlign w:val="bottom"/>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Continuous</w:t>
            </w:r>
          </w:p>
        </w:tc>
        <w:tc>
          <w:tcPr>
            <w:tcW w:w="0" w:type="dxa"/>
            <w:vAlign w:val="bottom"/>
          </w:tcPr>
          <w:p>
            <w:pPr>
              <w:spacing w:after="0" w:line="20" w:lineRule="exact"/>
              <w:rPr>
                <w:sz w:val="1"/>
                <w:szCs w:val="1"/>
                <w:color w:val="auto"/>
              </w:rPr>
            </w:pPr>
          </w:p>
        </w:tc>
      </w:tr>
      <w:tr>
        <w:trPr>
          <w:trHeight w:val="314"/>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4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80" w:type="dxa"/>
            <w:vAlign w:val="bottom"/>
          </w:tcPr>
          <w:p>
            <w:pPr>
              <w:spacing w:after="0"/>
              <w:rPr>
                <w:sz w:val="14"/>
                <w:szCs w:val="14"/>
                <w:color w:val="auto"/>
              </w:rPr>
            </w:pPr>
          </w:p>
        </w:tc>
        <w:tc>
          <w:tcPr>
            <w:tcW w:w="114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18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80" w:type="dxa"/>
            <w:vAlign w:val="bottom"/>
          </w:tcPr>
          <w:p>
            <w:pPr>
              <w:spacing w:after="0"/>
              <w:rPr>
                <w:sz w:val="14"/>
                <w:szCs w:val="14"/>
                <w:color w:val="auto"/>
              </w:rPr>
            </w:pPr>
          </w:p>
        </w:tc>
        <w:tc>
          <w:tcPr>
            <w:tcW w:w="860" w:type="dxa"/>
            <w:vAlign w:val="bottom"/>
          </w:tcPr>
          <w:p>
            <w:pPr>
              <w:jc w:val="right"/>
              <w:ind w:right="363"/>
              <w:spacing w:after="0" w:line="162" w:lineRule="exact"/>
              <w:rPr>
                <w:sz w:val="20"/>
                <w:szCs w:val="20"/>
                <w:color w:val="auto"/>
              </w:rPr>
            </w:pPr>
            <w:r>
              <w:rPr>
                <w:rFonts w:ascii="Times New Roman" w:cs="Times New Roman" w:eastAsia="Times New Roman" w:hAnsi="Times New Roman"/>
                <w:sz w:val="15"/>
                <w:szCs w:val="15"/>
                <w:color w:val="auto"/>
              </w:rPr>
              <w:t>Fair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80" w:type="dxa"/>
            <w:vAlign w:val="bottom"/>
          </w:tcPr>
          <w:p>
            <w:pPr>
              <w:spacing w:after="0"/>
              <w:rPr>
                <w:sz w:val="14"/>
                <w:szCs w:val="14"/>
                <w:color w:val="auto"/>
              </w:rPr>
            </w:pPr>
          </w:p>
        </w:tc>
        <w:tc>
          <w:tcPr>
            <w:tcW w:w="114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31, 2014</w:t>
            </w:r>
          </w:p>
        </w:tc>
        <w:tc>
          <w:tcPr>
            <w:tcW w:w="13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rPr>
              <w:t>Gains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5"/>
                <w:szCs w:val="15"/>
                <w:color w:val="auto"/>
              </w:rPr>
              <w:t>Losses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Value</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Months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Months</w:t>
            </w:r>
          </w:p>
        </w:tc>
        <w:tc>
          <w:tcPr>
            <w:tcW w:w="0" w:type="dxa"/>
            <w:vAlign w:val="bottom"/>
          </w:tcPr>
          <w:p>
            <w:pPr>
              <w:spacing w:after="0"/>
              <w:rPr>
                <w:sz w:val="1"/>
                <w:szCs w:val="1"/>
                <w:color w:val="auto"/>
              </w:rPr>
            </w:pPr>
          </w:p>
        </w:tc>
      </w:tr>
      <w:tr>
        <w:trPr>
          <w:trHeight w:val="145"/>
        </w:trPr>
        <w:tc>
          <w:tcPr>
            <w:tcW w:w="3240" w:type="dxa"/>
            <w:vAlign w:val="bottom"/>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3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19,482</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4"/>
                <w:szCs w:val="14"/>
                <w:color w:val="auto"/>
              </w:rPr>
            </w:pPr>
          </w:p>
        </w:tc>
        <w:tc>
          <w:tcPr>
            <w:tcW w:w="2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19,480</w:t>
            </w:r>
          </w:p>
        </w:tc>
        <w:tc>
          <w:tcPr>
            <w:tcW w:w="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32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744,542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105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744,647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32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9,199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9,198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tcPr>
          <w:p>
            <w:pPr>
              <w:ind w:left="180"/>
              <w:spacing w:after="0" w:line="158" w:lineRule="exact"/>
              <w:rPr>
                <w:sz w:val="20"/>
                <w:szCs w:val="20"/>
                <w:color w:val="auto"/>
              </w:rPr>
            </w:pPr>
            <w:r>
              <w:rPr>
                <w:rFonts w:ascii="Times New Roman" w:cs="Times New Roman" w:eastAsia="Times New Roman" w:hAnsi="Times New Roman"/>
                <w:sz w:val="15"/>
                <w:szCs w:val="15"/>
                <w:color w:val="auto"/>
              </w:rPr>
              <w:t>Municipal securities</w:t>
            </w:r>
          </w:p>
        </w:tc>
        <w:tc>
          <w:tcPr>
            <w:tcW w:w="320" w:type="dxa"/>
            <w:vAlign w:val="bottom"/>
          </w:tcPr>
          <w:p>
            <w:pPr>
              <w:spacing w:after="0"/>
              <w:rPr>
                <w:sz w:val="13"/>
                <w:szCs w:val="13"/>
                <w:color w:val="auto"/>
              </w:rPr>
            </w:pPr>
          </w:p>
        </w:tc>
        <w:tc>
          <w:tcPr>
            <w:tcW w:w="84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42,940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42,950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line="15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32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Available-for-sale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Variable rate demand notes</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4,001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4,001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324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820,164</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115</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820,276</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Auction rate securities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3,910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Auction rate securities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ind w:left="540"/>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rPr>
              <w:t>824,186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three- and nine-months ended September 30, 2015 and September 30, 2014, realized gains or losses recognized on the sale of investments were not significant. During the three- and nine-months ended September 30, 2015 and September 30, 2014, the net gains recognized on the Company’s trading securities were not significant.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investments at September 30, 2015 and December 31, 2014 in commercial paper, U.S. Treasuries, certificates of deposit,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All of the Company’s investments at September 30, 2015 and December 31, 2014 in municipal, educational or other public body securities with an auction reset feature (“auction rate securities”) also carried investment grade credit ratings.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September 30, 2015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December 31, 2014</w:t>
            </w:r>
          </w:p>
        </w:tc>
        <w:tc>
          <w:tcPr>
            <w:tcW w:w="0" w:type="dxa"/>
            <w:vAlign w:val="bottom"/>
          </w:tcPr>
          <w:p>
            <w:pPr>
              <w:spacing w:after="0"/>
              <w:rPr>
                <w:sz w:val="1"/>
                <w:szCs w:val="1"/>
                <w:color w:val="auto"/>
              </w:rPr>
            </w:pPr>
          </w:p>
        </w:tc>
      </w:tr>
      <w:tr>
        <w:trPr>
          <w:trHeight w:val="426"/>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8"/>
        </w:trPr>
        <w:tc>
          <w:tcPr>
            <w:tcW w:w="462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306,858</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306,858</w:t>
            </w:r>
          </w:p>
        </w:tc>
        <w:tc>
          <w:tcPr>
            <w:tcW w:w="28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19,482</w:t>
            </w: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92,999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 securities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611,370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611,679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744,542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744,647</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487,495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487,514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 securities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29,345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Due 11 - 20 years: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Auction rate securities</w:t>
            </w: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Due 21 - 30 years: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1,579,065</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1,579,407</w:t>
            </w:r>
          </w:p>
        </w:tc>
        <w:tc>
          <w:tcPr>
            <w:tcW w:w="280" w:type="dxa"/>
            <w:vAlign w:val="bottom"/>
          </w:tcPr>
          <w:p>
            <w:pPr>
              <w:spacing w:after="0"/>
              <w:rPr>
                <w:sz w:val="18"/>
                <w:szCs w:val="18"/>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824,074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824,186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ectPr>
          <w:pgSz w:w="11900" w:h="16883" w:orient="portrait"/>
          <w:cols w:equalWidth="0" w:num="1">
            <w:col w:w="11420"/>
          </w:cols>
          <w:pgMar w:left="240" w:top="112" w:right="239" w:bottom="0" w:gutter="0" w:footer="0" w:header="0"/>
        </w:sectPr>
      </w:pPr>
    </w:p>
    <w:bookmarkStart w:id="11" w:name="page12"/>
    <w:bookmarkEnd w:id="11"/>
    <w:p>
      <w:pPr>
        <w:ind w:left="620" w:hanging="288"/>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29" w:lineRule="exact"/>
        <w:rPr>
          <w:rFonts w:ascii="Times New Roman" w:cs="Times New Roman" w:eastAsia="Times New Roman" w:hAnsi="Times New Roman"/>
          <w:sz w:val="20"/>
          <w:szCs w:val="20"/>
          <w:color w:val="auto"/>
        </w:rPr>
      </w:pPr>
    </w:p>
    <w:p>
      <w:pPr>
        <w:jc w:val="both"/>
        <w:ind w:left="660" w:right="40" w:hanging="328"/>
        <w:spacing w:after="0" w:line="256" w:lineRule="auto"/>
        <w:tabs>
          <w:tab w:leader="none" w:pos="64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 prices in markets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active; or other inputs that are observable or can be corroborated by observable market data for substantially the full term of the related assets or liabilities.</w:t>
      </w:r>
    </w:p>
    <w:p>
      <w:pPr>
        <w:spacing w:after="0" w:line="182" w:lineRule="exact"/>
        <w:rPr>
          <w:rFonts w:ascii="Times New Roman" w:cs="Times New Roman" w:eastAsia="Times New Roman" w:hAnsi="Times New Roman"/>
          <w:sz w:val="20"/>
          <w:szCs w:val="20"/>
          <w:color w:val="auto"/>
        </w:rPr>
      </w:pPr>
    </w:p>
    <w:p>
      <w:pPr>
        <w:ind w:left="660" w:right="40" w:hanging="328"/>
        <w:spacing w:after="0" w:line="273" w:lineRule="auto"/>
        <w:tabs>
          <w:tab w:leader="none" w:pos="7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170"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ASC 820 requires the use of observable market inputs (quoted market prices) when measuring fair value and requires a Level 1 quoted price to be used to measure fair value whenever possible.</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tables present the Company’s held-to-maturity investments at amortized cost, available-for-sale investments at fair value and the fair value of the Company’s financial assets and liabilities that are recorded at fair value on a recurring basis, segregated among the appropriate levels within the fair value hierarchy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194,242</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194,242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624,007</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361,833</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111,993</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115,509</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670,186</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740,525</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1,487</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Put option related to auction rate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818,249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1,999,476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1,535</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2,819,260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818,249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422,468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1,543,223</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1,487</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1,544,710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34,355</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818,249</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1,999,476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1,535</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2,819,260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196,090</w:t>
            </w:r>
          </w:p>
        </w:tc>
        <w:tc>
          <w:tcPr>
            <w:tcW w:w="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196,090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106,928</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19,482</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854,787</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9,199</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4,001</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3,910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Put option related to auction rate securities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303,018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887,217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4,160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1,194,395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303,018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67,305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777,224</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3,910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42,940</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303,018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887,217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4,160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1,194,395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5"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commercial paper, U.S. Treasuries, certificates of deposit, municipal securities, U.S. government agency securities and VRDNs,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nine-months ended September 30, 2015 or the year ended December 31, 2014, and there were no changes in the Company’s valuation techniques.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nine-months ended September 30, 2015.</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At September 30, 2015, the Company held auction rate securities with a face value of $1.54 million (amortized cost basis of $1.49 million). A Level 3 valuation was performed on the Company’s auction rate securities as of September 30, 2015 resulting in a fair value of $1.49 million for the Company’s trading auction rate securities (after a $0.05 million impairment), which are included in short-term investments.</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June 2011, the Company entered into an agreement (the “2011 ARS Agreement”), related to $24.5 million of par value auction rate securities (the “2011 ARS Securities”). Under the 2011 ARS Agreement, the Company had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tabs>
          <w:tab w:leader="none" w:pos="30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continued to accrue interest until redeemed through the 2011 Put Option, or as determined by the auction process, or should the auction process have failed, the terms outlined in the prospectus of the respective 2011 ARS Securities. Under the 2011 ARS Agreement, the Company had the obligation, should it have received written notification from the put issuer, to sell the 2011 ARS Securities at par plus all accrued but unpaid interest. During the nine-months ended September 30, 2015, $2.6 million of ARS Securities were redeemed ($13.1 million, $2.3 million, $1.3 million and $3.7 million of par value 2011 ARS Securities were redeemed at par during the years ended December 31, 2014, 2013, 2012 and 2011, respectively). Subsequent to September 30, 2015, the Company’s remaining $1.5 million balance of 2011 ARS Securities were redeemed at par through the exercise of the remaining portion of the 2011 Put Option, which exhausted the Company’s rights under the 2011 ARS Agreement. The 2011 Put Option did not meet the definition of derivative instruments under ASC 815. Therefore, the Company elected the fair value option under ASC 825-10 in accounting for the 2011 Put Option. As of September 30, 2015, the Company recorded $0.05 million as the fair market value of the 2011 Put Option, included in prepaid expenses and other current assets.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provides a summary reconciliation of the Company’s financial assets that are recorded at fair value on a recurring basis using significant unobservable inputs (Level 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Three-Months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Three-Months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September 30, 2015</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September 30, 2014</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w w:val="99"/>
              </w:rPr>
              <w:t>Auction</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9"/>
              </w:rPr>
              <w:t>Auction</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Rate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Rate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Securities</w:t>
            </w: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Put Options</w:t>
            </w:r>
          </w:p>
        </w:tc>
        <w:tc>
          <w:tcPr>
            <w:tcW w:w="20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Securities</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Put Options</w:t>
            </w: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3,246</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12,819</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gains (losses) for the period: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Nine-Months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Nine-Months Ended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September 30, 2015</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September 30, 2014</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3" w:name="page14"/>
    <w:bookmarkEnd w:id="13"/>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Auction</w:t>
            </w: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Put Options</w:t>
            </w:r>
          </w:p>
        </w:tc>
        <w:tc>
          <w:tcPr>
            <w:tcW w:w="20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Auction</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Put Options</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Rate</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Rate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Securities</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3,910</w:t>
            </w:r>
          </w:p>
        </w:tc>
        <w:tc>
          <w:tcPr>
            <w:tcW w:w="280" w:type="dxa"/>
            <w:vAlign w:val="bottom"/>
          </w:tcPr>
          <w:p>
            <w:pPr>
              <w:spacing w:after="0"/>
              <w:rPr>
                <w:sz w:val="16"/>
                <w:szCs w:val="16"/>
                <w:color w:val="auto"/>
              </w:rPr>
            </w:pPr>
          </w:p>
        </w:tc>
        <w:tc>
          <w:tcPr>
            <w:tcW w:w="46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16,184</w:t>
            </w:r>
          </w:p>
        </w:tc>
        <w:tc>
          <w:tcPr>
            <w:tcW w:w="280" w:type="dxa"/>
            <w:vAlign w:val="bottom"/>
          </w:tcPr>
          <w:p>
            <w:pPr>
              <w:spacing w:after="0"/>
              <w:rPr>
                <w:sz w:val="16"/>
                <w:szCs w:val="16"/>
                <w:color w:val="auto"/>
              </w:rPr>
            </w:pPr>
          </w:p>
        </w:tc>
        <w:tc>
          <w:tcPr>
            <w:tcW w:w="42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into Level 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gains (losses) for the period: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nine-months ended September 30, 2015 and the year ended December 31,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2015 have terms of one month or less. The Company does not enter into forward currency exchange contracts for speculation or trading purposes.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ASC 815. Therefore, gains and losses on the Company’s foreign currency exchange contracts are recognized in interest income and other (expense), net, in the condensed consolidated statements of income, and are largely offset by the changes in the fair value of the underlying economically hedged item.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condensed consolidated balance sheets consist of the following 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30, 2015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80" w:type="dxa"/>
            <w:vAlign w:val="bottom"/>
            <w:tcBorders>
              <w:top w:val="single" w:sz="8" w:color="auto"/>
            </w:tcBorders>
          </w:tcPr>
          <w:p>
            <w:pPr>
              <w:jc w:val="center"/>
              <w:ind w:left="1181"/>
              <w:spacing w:after="0" w:line="200"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r>
      <w:tr>
        <w:trPr>
          <w:trHeight w:val="230"/>
        </w:trPr>
        <w:tc>
          <w:tcPr>
            <w:tcW w:w="448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Notional</w:t>
            </w:r>
          </w:p>
        </w:tc>
        <w:tc>
          <w:tcPr>
            <w:tcW w:w="340" w:type="dxa"/>
            <w:vAlign w:val="bottom"/>
          </w:tcPr>
          <w:p>
            <w:pPr>
              <w:spacing w:after="0"/>
              <w:rPr>
                <w:sz w:val="19"/>
                <w:szCs w:val="19"/>
                <w:color w:val="auto"/>
              </w:rPr>
            </w:pPr>
          </w:p>
        </w:tc>
        <w:tc>
          <w:tcPr>
            <w:tcW w:w="90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Fair</w:t>
            </w: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2"/>
        </w:trPr>
        <w:tc>
          <w:tcPr>
            <w:tcW w:w="448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FASB ASC 815-20</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21"/>
                <w:szCs w:val="21"/>
                <w:color w:val="auto"/>
              </w:rPr>
            </w:pPr>
          </w:p>
        </w:tc>
        <w:tc>
          <w:tcPr>
            <w:tcW w:w="90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2"/>
              </w:rPr>
              <w:t>Value</w:t>
            </w:r>
          </w:p>
        </w:tc>
        <w:tc>
          <w:tcPr>
            <w:tcW w:w="28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Balance Sheet Location</w:t>
            </w:r>
          </w:p>
        </w:tc>
      </w:tr>
      <w:tr>
        <w:trPr>
          <w:trHeight w:val="430"/>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Assets:</w:t>
            </w:r>
          </w:p>
        </w:tc>
        <w:tc>
          <w:tcPr>
            <w:tcW w:w="12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r>
      <w:tr>
        <w:trPr>
          <w:trHeight w:val="230"/>
        </w:trPr>
        <w:tc>
          <w:tcPr>
            <w:tcW w:w="4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GBP</w:t>
            </w: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9,410</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36</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258"/>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JPY</w:t>
            </w: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5,389</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12</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4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4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EUR/pay USD</w:t>
            </w: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26,749</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(160)</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AUD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7,263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ZAR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14,921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(243)</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MXN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7,442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(72)</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RUB</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1,736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BRL</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2,284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CLP</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1,631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58"/>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COP</w:t>
            </w: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1,120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453"/>
        </w:trPr>
        <w:tc>
          <w:tcPr>
            <w:tcW w:w="4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20"/>
                <w:szCs w:val="20"/>
                <w:color w:val="auto"/>
              </w:rPr>
              <w:t>December 31, 2014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00"/>
        </w:trPr>
        <w:tc>
          <w:tcPr>
            <w:tcW w:w="4480" w:type="dxa"/>
            <w:vAlign w:val="bottom"/>
          </w:tcPr>
          <w:p>
            <w:pPr>
              <w:jc w:val="center"/>
              <w:ind w:left="1181"/>
              <w:spacing w:after="0" w:line="200" w:lineRule="exact"/>
              <w:rPr>
                <w:sz w:val="20"/>
                <w:szCs w:val="20"/>
                <w:color w:val="auto"/>
              </w:rPr>
            </w:pPr>
            <w:r>
              <w:rPr>
                <w:rFonts w:ascii="Times New Roman" w:cs="Times New Roman" w:eastAsia="Times New Roman" w:hAnsi="Times New Roman"/>
                <w:sz w:val="20"/>
                <w:szCs w:val="20"/>
                <w:color w:val="auto"/>
                <w:w w:val="98"/>
              </w:rPr>
              <w:t>Derivatives not designated as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30"/>
        </w:trPr>
        <w:tc>
          <w:tcPr>
            <w:tcW w:w="448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Notional</w:t>
            </w:r>
          </w:p>
        </w:tc>
        <w:tc>
          <w:tcPr>
            <w:tcW w:w="340" w:type="dxa"/>
            <w:vAlign w:val="bottom"/>
          </w:tcPr>
          <w:p>
            <w:pPr>
              <w:spacing w:after="0"/>
              <w:rPr>
                <w:sz w:val="19"/>
                <w:szCs w:val="19"/>
                <w:color w:val="auto"/>
              </w:rPr>
            </w:pPr>
          </w:p>
        </w:tc>
        <w:tc>
          <w:tcPr>
            <w:tcW w:w="90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Fair</w:t>
            </w: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2"/>
        </w:trPr>
        <w:tc>
          <w:tcPr>
            <w:tcW w:w="448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7"/>
              </w:rPr>
              <w:t>FASB ASC 815-20</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21"/>
                <w:szCs w:val="21"/>
                <w:color w:val="auto"/>
              </w:rPr>
            </w:pPr>
          </w:p>
        </w:tc>
        <w:tc>
          <w:tcPr>
            <w:tcW w:w="90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2"/>
              </w:rPr>
              <w:t>Value</w:t>
            </w:r>
          </w:p>
        </w:tc>
        <w:tc>
          <w:tcPr>
            <w:tcW w:w="28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Balance Sheet Location</w:t>
            </w:r>
          </w:p>
        </w:tc>
      </w:tr>
      <w:tr>
        <w:trPr>
          <w:trHeight w:val="430"/>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Assets:</w:t>
            </w:r>
          </w:p>
        </w:tc>
        <w:tc>
          <w:tcPr>
            <w:tcW w:w="12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r>
      <w:tr>
        <w:trPr>
          <w:trHeight w:val="230"/>
        </w:trPr>
        <w:tc>
          <w:tcPr>
            <w:tcW w:w="4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8"/>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CAD/pay USD</w:t>
            </w: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19,940</w:t>
            </w:r>
          </w:p>
        </w:tc>
        <w:tc>
          <w:tcPr>
            <w:tcW w:w="2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83</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r>
      <w:tr>
        <w:trPr>
          <w:trHeight w:val="4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44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EUR/pay USD</w:t>
            </w: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13,265</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(75)</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AUD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8,343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(48)</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58"/>
        </w:trPr>
        <w:tc>
          <w:tcPr>
            <w:tcW w:w="44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JPY</w:t>
            </w: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10,620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(84)</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r>
    </w:tbl>
    <w:p>
      <w:pPr>
        <w:sectPr>
          <w:pgSz w:w="11900" w:h="16863" w:orient="portrait"/>
          <w:cols w:equalWidth="0" w:num="1">
            <w:col w:w="11420"/>
          </w:cols>
          <w:pgMar w:left="240" w:top="12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ZAR</w:t>
            </w:r>
          </w:p>
        </w:tc>
        <w:tc>
          <w:tcPr>
            <w:tcW w:w="358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auto"/>
              </w:rPr>
              <w:t>14,760</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(105)</w:t>
            </w:r>
          </w:p>
        </w:tc>
        <w:tc>
          <w:tcPr>
            <w:tcW w:w="2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1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MXN</w:t>
            </w:r>
          </w:p>
        </w:tc>
        <w:tc>
          <w:tcPr>
            <w:tcW w:w="358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auto"/>
              </w:rPr>
              <w:t>4,961</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w:t>
            </w:r>
          </w:p>
        </w:tc>
        <w:tc>
          <w:tcPr>
            <w:tcW w:w="2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30"/>
        </w:trPr>
        <w:tc>
          <w:tcPr>
            <w:tcW w:w="41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CLP</w:t>
            </w:r>
          </w:p>
        </w:tc>
        <w:tc>
          <w:tcPr>
            <w:tcW w:w="358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auto"/>
              </w:rPr>
              <w:t>2,685</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w:t>
            </w:r>
          </w:p>
        </w:tc>
        <w:tc>
          <w:tcPr>
            <w:tcW w:w="2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258"/>
        </w:trPr>
        <w:tc>
          <w:tcPr>
            <w:tcW w:w="41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Receive USD/pay COP</w:t>
            </w:r>
          </w:p>
        </w:tc>
        <w:tc>
          <w:tcPr>
            <w:tcW w:w="358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auto"/>
              </w:rPr>
              <w:t>2,845</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2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r>
      <w:tr>
        <w:trPr>
          <w:trHeight w:val="426"/>
        </w:trPr>
        <w:tc>
          <w:tcPr>
            <w:tcW w:w="4160" w:type="dxa"/>
            <w:vAlign w:val="bottom"/>
          </w:tcPr>
          <w:p>
            <w:pPr>
              <w:spacing w:after="0"/>
              <w:rPr>
                <w:sz w:val="24"/>
                <w:szCs w:val="24"/>
                <w:color w:val="auto"/>
              </w:rPr>
            </w:pPr>
          </w:p>
        </w:tc>
        <w:tc>
          <w:tcPr>
            <w:tcW w:w="3580" w:type="dxa"/>
            <w:vAlign w:val="bottom"/>
          </w:tcPr>
          <w:p>
            <w:pPr>
              <w:jc w:val="right"/>
              <w:ind w:right="1843"/>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32"/>
        </w:trPr>
        <w:tc>
          <w:tcPr>
            <w:tcW w:w="416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8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losses on derivative instruments in the condensed consolidated statements of income were as follows:</w:t>
      </w:r>
    </w:p>
    <w:p>
      <w:pPr>
        <w:spacing w:after="0" w:line="229"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20"/>
          <w:szCs w:val="20"/>
          <w:color w:val="auto"/>
        </w:rPr>
        <w:t>Amount of gain</w:t>
      </w:r>
    </w:p>
    <w:p>
      <w:pPr>
        <w:spacing w:after="0" w:line="2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20"/>
          <w:szCs w:val="20"/>
          <w:color w:val="auto"/>
        </w:rPr>
        <w:t>recognized in income on</w:t>
      </w:r>
    </w:p>
    <w:p>
      <w:pPr>
        <w:jc w:val="center"/>
        <w:ind w:left="8240"/>
        <w:spacing w:after="0"/>
        <w:rPr>
          <w:sz w:val="20"/>
          <w:szCs w:val="20"/>
          <w:color w:val="auto"/>
        </w:rPr>
      </w:pPr>
      <w:r>
        <w:rPr>
          <w:rFonts w:ascii="Times New Roman" w:cs="Times New Roman" w:eastAsia="Times New Roman" w:hAnsi="Times New Roman"/>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0</wp:posOffset>
            </wp:positionV>
            <wp:extent cx="1878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9020"/>
        <w:spacing w:after="0"/>
        <w:rPr>
          <w:sz w:val="20"/>
          <w:szCs w:val="20"/>
          <w:color w:val="auto"/>
        </w:rPr>
      </w:pPr>
      <w:r>
        <w:rPr>
          <w:rFonts w:ascii="Times New Roman" w:cs="Times New Roman" w:eastAsia="Times New Roman" w:hAnsi="Times New Roman"/>
          <w:sz w:val="20"/>
          <w:szCs w:val="20"/>
          <w:color w:val="auto"/>
        </w:rPr>
        <w:t>Three-months ended</w:t>
      </w:r>
    </w:p>
    <w:tbl>
      <w:tblPr>
        <w:tblLayout w:type="fixed"/>
        <w:tblInd w:w="0" w:type="dxa"/>
        <w:tblCellMar>
          <w:top w:w="0" w:type="dxa"/>
          <w:left w:w="0" w:type="dxa"/>
          <w:bottom w:w="0" w:type="dxa"/>
          <w:right w:w="0" w:type="dxa"/>
        </w:tblCellMar>
      </w:tblPr>
      <w:tr>
        <w:trPr>
          <w:trHeight w:val="194"/>
        </w:trPr>
        <w:tc>
          <w:tcPr>
            <w:tcW w:w="40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20"/>
                <w:szCs w:val="20"/>
                <w:color w:val="auto"/>
                <w:w w:val="99"/>
              </w:rPr>
              <w:t>Derivatives not designated as</w:t>
            </w:r>
          </w:p>
        </w:tc>
        <w:tc>
          <w:tcPr>
            <w:tcW w:w="43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20"/>
                <w:szCs w:val="20"/>
                <w:color w:val="auto"/>
                <w:w w:val="98"/>
              </w:rPr>
              <w:t>Location of gain</w:t>
            </w: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30"/>
        </w:trPr>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September 30,</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September 30,</w:t>
            </w:r>
          </w:p>
        </w:tc>
      </w:tr>
      <w:tr>
        <w:trPr>
          <w:trHeight w:val="25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FASB ASC 815-20</w:t>
            </w:r>
          </w:p>
        </w:tc>
        <w:tc>
          <w:tcPr>
            <w:tcW w:w="220" w:type="dxa"/>
            <w:vAlign w:val="bottom"/>
          </w:tcPr>
          <w:p>
            <w:pPr>
              <w:spacing w:after="0"/>
              <w:rPr>
                <w:sz w:val="21"/>
                <w:szCs w:val="21"/>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derivatives</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2015</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r>
      <w:tr>
        <w:trPr>
          <w:trHeight w:val="453"/>
        </w:trPr>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Foreign currency exchange contracts</w:t>
            </w: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Interest income and other (expense), net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3,552</w:t>
            </w:r>
          </w:p>
        </w:tc>
        <w:tc>
          <w:tcPr>
            <w:tcW w:w="220" w:type="dxa"/>
            <w:vAlign w:val="bottom"/>
          </w:tcPr>
          <w:p>
            <w:pPr>
              <w:spacing w:after="0"/>
              <w:rPr>
                <w:sz w:val="24"/>
                <w:szCs w:val="24"/>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960</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20"/>
          <w:szCs w:val="20"/>
          <w:color w:val="auto"/>
        </w:rPr>
        <w:t>Amount of gain</w:t>
      </w:r>
    </w:p>
    <w:p>
      <w:pPr>
        <w:spacing w:after="0" w:line="2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20"/>
          <w:szCs w:val="20"/>
          <w:color w:val="auto"/>
        </w:rPr>
        <w:t>recognized in income on</w:t>
      </w:r>
    </w:p>
    <w:p>
      <w:pPr>
        <w:jc w:val="center"/>
        <w:ind w:left="8240"/>
        <w:spacing w:after="0"/>
        <w:rPr>
          <w:sz w:val="20"/>
          <w:szCs w:val="20"/>
          <w:color w:val="auto"/>
        </w:rPr>
      </w:pPr>
      <w:r>
        <w:rPr>
          <w:rFonts w:ascii="Times New Roman" w:cs="Times New Roman" w:eastAsia="Times New Roman" w:hAnsi="Times New Roman"/>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0</wp:posOffset>
            </wp:positionV>
            <wp:extent cx="1878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9060"/>
        <w:spacing w:after="0"/>
        <w:rPr>
          <w:sz w:val="20"/>
          <w:szCs w:val="20"/>
          <w:color w:val="auto"/>
        </w:rPr>
      </w:pPr>
      <w:r>
        <w:rPr>
          <w:rFonts w:ascii="Times New Roman" w:cs="Times New Roman" w:eastAsia="Times New Roman" w:hAnsi="Times New Roman"/>
          <w:sz w:val="20"/>
          <w:szCs w:val="20"/>
          <w:color w:val="auto"/>
        </w:rPr>
        <w:t>Nine-months ended</w:t>
      </w:r>
    </w:p>
    <w:tbl>
      <w:tblPr>
        <w:tblLayout w:type="fixed"/>
        <w:tblInd w:w="0" w:type="dxa"/>
        <w:tblCellMar>
          <w:top w:w="0" w:type="dxa"/>
          <w:left w:w="0" w:type="dxa"/>
          <w:bottom w:w="0" w:type="dxa"/>
          <w:right w:w="0" w:type="dxa"/>
        </w:tblCellMar>
      </w:tblPr>
      <w:tr>
        <w:trPr>
          <w:trHeight w:val="194"/>
        </w:trPr>
        <w:tc>
          <w:tcPr>
            <w:tcW w:w="40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20"/>
                <w:szCs w:val="20"/>
                <w:color w:val="auto"/>
                <w:w w:val="99"/>
              </w:rPr>
              <w:t>Derivatives not designated as</w:t>
            </w:r>
          </w:p>
        </w:tc>
        <w:tc>
          <w:tcPr>
            <w:tcW w:w="43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20"/>
                <w:szCs w:val="20"/>
                <w:color w:val="auto"/>
                <w:w w:val="98"/>
              </w:rPr>
              <w:t>Location of gain</w:t>
            </w: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30"/>
        </w:trPr>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September 30,</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September 30,</w:t>
            </w:r>
          </w:p>
        </w:tc>
      </w:tr>
      <w:tr>
        <w:trPr>
          <w:trHeight w:val="25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FASB ASC 815-20</w:t>
            </w:r>
          </w:p>
        </w:tc>
        <w:tc>
          <w:tcPr>
            <w:tcW w:w="220" w:type="dxa"/>
            <w:vAlign w:val="bottom"/>
          </w:tcPr>
          <w:p>
            <w:pPr>
              <w:spacing w:after="0"/>
              <w:rPr>
                <w:sz w:val="21"/>
                <w:szCs w:val="21"/>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derivatives</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2015</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r>
      <w:tr>
        <w:trPr>
          <w:trHeight w:val="453"/>
        </w:trPr>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Foreign currency exchange contracts</w:t>
            </w:r>
          </w:p>
        </w:tc>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9"/>
              </w:rPr>
              <w:t>Interest income and other (expense), net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1,634</w:t>
            </w:r>
          </w:p>
        </w:tc>
        <w:tc>
          <w:tcPr>
            <w:tcW w:w="220" w:type="dxa"/>
            <w:vAlign w:val="bottom"/>
          </w:tcPr>
          <w:p>
            <w:pPr>
              <w:spacing w:after="0"/>
              <w:rPr>
                <w:sz w:val="24"/>
                <w:szCs w:val="24"/>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194</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September 30,</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52"/>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6700" w:type="dxa"/>
            <w:vAlign w:val="bottom"/>
            <w:vMerge w:val="continue"/>
          </w:tcPr>
          <w:p>
            <w:pPr>
              <w:spacing w:after="0"/>
              <w:rPr>
                <w:sz w:val="17"/>
                <w:szCs w:val="17"/>
                <w:color w:val="auto"/>
              </w:rPr>
            </w:pPr>
          </w:p>
        </w:tc>
        <w:tc>
          <w:tcPr>
            <w:tcW w:w="3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56,578</w:t>
            </w:r>
          </w:p>
        </w:tc>
        <w:tc>
          <w:tcPr>
            <w:tcW w:w="280" w:type="dxa"/>
            <w:vAlign w:val="bottom"/>
          </w:tcPr>
          <w:p>
            <w:pPr>
              <w:spacing w:after="0"/>
              <w:rPr>
                <w:sz w:val="17"/>
                <w:szCs w:val="17"/>
                <w:color w:val="auto"/>
              </w:rPr>
            </w:pPr>
          </w:p>
        </w:tc>
        <w:tc>
          <w:tcPr>
            <w:tcW w:w="3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59,938</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103,113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114,635</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159,691</w:t>
            </w:r>
          </w:p>
        </w:tc>
        <w:tc>
          <w:tcPr>
            <w:tcW w:w="280" w:type="dxa"/>
            <w:vAlign w:val="bottom"/>
          </w:tcPr>
          <w:p>
            <w:pPr>
              <w:spacing w:after="0"/>
              <w:rPr>
                <w:sz w:val="19"/>
                <w:szCs w:val="19"/>
                <w:color w:val="auto"/>
              </w:rPr>
            </w:pPr>
          </w:p>
        </w:tc>
        <w:tc>
          <w:tcPr>
            <w:tcW w:w="3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174,573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September 30,</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December 31,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8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auto"/>
              </w:rPr>
              <w:t>Land</w:t>
            </w:r>
          </w:p>
        </w:tc>
        <w:tc>
          <w:tcPr>
            <w:tcW w:w="2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0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6,792</w:t>
            </w:r>
          </w:p>
        </w:tc>
        <w:tc>
          <w:tcPr>
            <w:tcW w:w="280" w:type="dxa"/>
            <w:vAlign w:val="bottom"/>
          </w:tcPr>
          <w:p>
            <w:pPr>
              <w:spacing w:after="0"/>
              <w:rPr>
                <w:sz w:val="17"/>
                <w:szCs w:val="17"/>
                <w:color w:val="auto"/>
              </w:rPr>
            </w:pPr>
          </w:p>
        </w:tc>
        <w:tc>
          <w:tcPr>
            <w:tcW w:w="3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6,792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Leasehold improvements</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Furniture and fixtures</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Office and computer equipment</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Computer software</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Equipment</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99,874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84,263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Buildings</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Vehicles</w:t>
            </w:r>
          </w:p>
        </w:tc>
        <w:tc>
          <w:tcPr>
            <w:tcW w:w="2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28,391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27,813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193,867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173,735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(99,140)</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(83,579)</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94,727</w:t>
            </w:r>
          </w:p>
        </w:tc>
        <w:tc>
          <w:tcPr>
            <w:tcW w:w="280" w:type="dxa"/>
            <w:vAlign w:val="bottom"/>
          </w:tcPr>
          <w:p>
            <w:pPr>
              <w:spacing w:after="0"/>
              <w:rPr>
                <w:sz w:val="19"/>
                <w:szCs w:val="19"/>
                <w:color w:val="auto"/>
              </w:rPr>
            </w:pPr>
          </w:p>
        </w:tc>
        <w:tc>
          <w:tcPr>
            <w:tcW w:w="34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90,156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8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16" w:right="199" w:bottom="23"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a roll-forward of goodwill for the nine-months ended September 30, 2015 by reportable segment:</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8"/>
                <w:szCs w:val="18"/>
                <w:color w:val="auto"/>
              </w:rPr>
              <w:t>Finished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2014</w:t>
            </w:r>
          </w:p>
        </w:tc>
        <w:tc>
          <w:tcPr>
            <w:tcW w:w="280" w:type="dxa"/>
            <w:vAlign w:val="bottom"/>
          </w:tcPr>
          <w:p>
            <w:pPr>
              <w:spacing w:after="0"/>
              <w:rPr>
                <w:sz w:val="20"/>
                <w:szCs w:val="20"/>
                <w:color w:val="auto"/>
              </w:rPr>
            </w:pPr>
          </w:p>
        </w:tc>
        <w:tc>
          <w:tcPr>
            <w:tcW w:w="1080" w:type="dxa"/>
            <w:vAlign w:val="bottom"/>
          </w:tcPr>
          <w:p>
            <w:pPr>
              <w:jc w:val="right"/>
              <w:ind w:right="265"/>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Concentrate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ind w:right="5"/>
              <w:spacing w:after="0" w:line="201"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gridSpan w:val="2"/>
          </w:tcPr>
          <w:p>
            <w:pPr>
              <w:jc w:val="right"/>
              <w:ind w:right="81"/>
              <w:spacing w:after="0" w:line="20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ind w:right="2"/>
              <w:spacing w:after="0" w:line="201"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28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785,277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1,287,777</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September 30, 2015</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5"/>
              <w:spacing w:after="0" w:line="223" w:lineRule="exact"/>
              <w:rPr>
                <w:sz w:val="20"/>
                <w:szCs w:val="20"/>
                <w:color w:val="auto"/>
              </w:rPr>
            </w:pPr>
            <w:r>
              <w:rPr>
                <w:rFonts w:ascii="Times New Roman" w:cs="Times New Roman" w:eastAsia="Times New Roman" w:hAnsi="Times New Roman"/>
                <w:sz w:val="20"/>
                <w:szCs w:val="20"/>
                <w:color w:val="auto"/>
              </w:rPr>
              <w:t>785,277</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502,500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1,287,777</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 assets consist of the following at:</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8"/>
              </w:rPr>
              <w:t>September 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52"/>
        </w:trPr>
        <w:tc>
          <w:tcPr>
            <w:tcW w:w="5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Amortizing intangibles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color w:val="auto"/>
                <w:w w:val="99"/>
              </w:rPr>
              <w:t>2015</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rPr>
              <w:t>2014</w:t>
            </w:r>
          </w:p>
        </w:tc>
        <w:tc>
          <w:tcPr>
            <w:tcW w:w="36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rPr>
              <w:t>35,264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rPr>
              <w:t>233</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rPr>
              <w:t>33,116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rPr>
              <w:t>183</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Non-amortizing intangibles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395,085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50,565</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428,201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50,748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4"/>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76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w:t>
            </w:r>
          </w:p>
        </w:tc>
        <w:tc>
          <w:tcPr>
            <w:tcW w:w="0" w:type="dxa"/>
            <w:vAlign w:val="bottom"/>
          </w:tcPr>
          <w:p>
            <w:pPr>
              <w:spacing w:after="0"/>
              <w:rPr>
                <w:sz w:val="1"/>
                <w:szCs w:val="1"/>
                <w:color w:val="auto"/>
              </w:rPr>
            </w:pPr>
          </w:p>
        </w:tc>
      </w:tr>
    </w:tbl>
    <w:p>
      <w:pPr>
        <w:jc w:val="both"/>
        <w:spacing w:after="0" w:line="241" w:lineRule="auto"/>
        <w:rPr>
          <w:sz w:val="20"/>
          <w:szCs w:val="20"/>
          <w:color w:val="auto"/>
        </w:rPr>
      </w:pPr>
      <w:r>
        <w:rPr>
          <w:rFonts w:ascii="Times New Roman" w:cs="Times New Roman" w:eastAsia="Times New Roman" w:hAnsi="Times New Roman"/>
          <w:sz w:val="20"/>
          <w:szCs w:val="20"/>
          <w:color w:val="auto"/>
        </w:rPr>
        <w:t>useful life and such intangibles are amortized on a straight-line basis over the number of years that approximate their respective useful lives, generally 5 years. Total amortization expense recorded was $1.8 million and $0.1 million for the three-months ended September 30, 2015 and 2014, respectively. Total amortization expense recorded was $2.1 million and $0.4 million for the nine-months ended September 30, 2015 and 2014, respectively. Non-amortizing intangibles primarily consist of indefinite-lived tradenames.</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20"/>
          <w:szCs w:val="20"/>
          <w:color w:val="auto"/>
        </w:rPr>
        <w:t>DISTRIBUTION AGREEMENTS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part of the TCCC Transaction, the amended distribution coordination agreements entered into with TCCC provided for the transition of third parties’ rights to distribute the Company’s products in most territories in the U.S. and Canada to members of TCCC’s distribution network, which consists of owned or controlled bottlers/distributors and independent bottling/distribution partners. In February 2015, in accordance with its then existing agreements with certain affected third-party distributors, Old Monster sent notices of termination to the applicable affected third-party distributors in the U.S., providing for the termination of their respective distribution agreements. The associated distribution rights relating to such terminated distribution agreements were transitioned to the TCCC distribution network as of the effective date of termination of the affected third-party distributors’ rights in the applicable territories. As of November 6, 2015, distribution rights in the U.S. representing approximately 89% of the target case sales (see Note 2) have been transitioned to TCCC’s distribution network.</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accordance with ASC No. 420 “Exit or Disposal Cost Obligations”, the Company expenses distributor termination costs in the period in which the written notification of termination occurs. As a result, the Company incurred termination costs of $2.5 million and $220.7 million for the three- and nine-months ended September 30, 2015. Such termination costs have been expensed in full and are included in operating expenses for the three- and nine-months ended September 30, 2015.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$5.5 million and $1.9 million for the three-months ended September 30, 2015 and 2014, respectively. Revenue recognized was $45.1 million and $5.8 million for the nine-months ended September 30, 2015 and 2014, respectively. Included in the $45.1 million of revenue recognized for the nine-months ended September 30, 2015 was $39.8 million related to the accelerated amortization of the deferred revenue balances associated with certain of the Company’s prior distributors who were sent notices of termination during the first quarter of 2015, as described above.</w:t>
      </w:r>
    </w:p>
    <w:p>
      <w:pPr>
        <w:spacing w:after="0" w:line="190" w:lineRule="exact"/>
        <w:rPr>
          <w:sz w:val="20"/>
          <w:szCs w:val="20"/>
          <w:color w:val="auto"/>
        </w:rPr>
      </w:pPr>
    </w:p>
    <w:p>
      <w:pPr>
        <w:ind w:left="620" w:hanging="612"/>
        <w:spacing w:after="0"/>
        <w:tabs>
          <w:tab w:leader="none" w:pos="6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had purchase commitments aggregating approximately $37.5 million at September 30, 2015, which represented commitments made by the Company and its subsidiaries to various suppliers of raw materials for the production of its products. These obligations vary in terms, but are generally satisfied within one year.</w:t>
      </w:r>
    </w:p>
    <w:p>
      <w:pPr>
        <w:sectPr>
          <w:pgSz w:w="11900" w:h="16838" w:orient="portrait"/>
          <w:cols w:equalWidth="0" w:num="1">
            <w:col w:w="11420"/>
          </w:cols>
          <w:pgMar w:left="240" w:top="114" w:right="239" w:bottom="0" w:gutter="0" w:footer="0" w:header="0"/>
        </w:sectPr>
      </w:pPr>
    </w:p>
    <w:bookmarkStart w:id="16" w:name="page17"/>
    <w:bookmarkEnd w:id="16"/>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The Company had contractual obligations aggregating approximately $77.6 million at September 30, 2015, which related primarily to sponsorships and other marketing activities.</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had operating lease commitments aggregating approximately $10.6 million at September 30, 2015, which related primarily to warehouse and office space.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Legal Proceedings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has been named a defendant in various personal injury lawsuits, claiming that the death or other serious injury of the plaintiffs was caused by consumption of Monster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State Attorney General Inquiry </w:t>
      </w:r>
      <w:r>
        <w:rPr>
          <w:rFonts w:ascii="Times New Roman" w:cs="Times New Roman" w:eastAsia="Times New Roman" w:hAnsi="Times New Roman"/>
          <w:sz w:val="20"/>
          <w:szCs w:val="20"/>
          <w:color w:val="auto"/>
        </w:rPr>
        <w:t>– In July 2012, the Company received a subpoena from the Attorney General for the State of New York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San Francisco City Attorney Litigation </w:t>
      </w:r>
      <w:r>
        <w:rPr>
          <w:rFonts w:ascii="Times New Roman" w:cs="Times New Roman" w:eastAsia="Times New Roman" w:hAnsi="Times New Roman"/>
          <w:sz w:val="20"/>
          <w:szCs w:val="20"/>
          <w:color w:val="auto"/>
        </w:rPr>
        <w:t>– On October 31, 2012, the Company received a written request for information from the City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City Attorney threatened to bring suit against the Company if it did not agree to take the following five steps immediately: (i) “Reformulate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75" w:lineRule="exact"/>
        <w:rPr>
          <w:sz w:val="20"/>
          <w:szCs w:val="20"/>
          <w:color w:val="auto"/>
        </w:rPr>
      </w:pPr>
    </w:p>
    <w:p>
      <w:pPr>
        <w:jc w:val="both"/>
        <w:ind w:firstLine="656"/>
        <w:spacing w:after="0" w:line="242" w:lineRule="auto"/>
        <w:tabs>
          <w:tab w:leader="none" w:pos="91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Times New Roman" w:cs="Times New Roman" w:eastAsia="Times New Roman" w:hAnsi="Times New Roman"/>
          <w:sz w:val="20"/>
          <w:szCs w:val="20"/>
          <w:i w:val="1"/>
          <w:iCs w:val="1"/>
          <w:color w:val="auto"/>
        </w:rPr>
        <w:t>Monster Beverage Corp., et al. v. Dennis Herrera</w:t>
      </w:r>
      <w:r>
        <w:rPr>
          <w:rFonts w:ascii="Times New Roman" w:cs="Times New Roman" w:eastAsia="Times New Roman" w:hAnsi="Times New Roman"/>
          <w:sz w:val="20"/>
          <w:szCs w:val="20"/>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is fully briefed but has not yet been set for argument.</w:t>
      </w:r>
    </w:p>
    <w:p>
      <w:pPr>
        <w:spacing w:after="0" w:line="188" w:lineRule="exact"/>
        <w:rPr>
          <w:rFonts w:ascii="Times New Roman" w:cs="Times New Roman" w:eastAsia="Times New Roman" w:hAnsi="Times New Roman"/>
          <w:sz w:val="20"/>
          <w:szCs w:val="20"/>
          <w:color w:val="auto"/>
        </w:rPr>
      </w:pPr>
    </w:p>
    <w:p>
      <w:pPr>
        <w:jc w:val="both"/>
        <w:ind w:firstLine="656"/>
        <w:spacing w:after="0" w:line="257" w:lineRule="auto"/>
        <w:tabs>
          <w:tab w:leader="none" w:pos="959"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Times New Roman" w:cs="Times New Roman" w:eastAsia="Times New Roman" w:hAnsi="Times New Roman"/>
          <w:sz w:val="19"/>
          <w:szCs w:val="19"/>
          <w:i w:val="1"/>
          <w:iCs w:val="1"/>
          <w:color w:val="auto"/>
        </w:rPr>
        <w:t>et seq., styled People Of The State Of California ex rel. Dennis Herrera, San Francisco City Attorney v. Monster Beverage Corporation</w:t>
      </w:r>
      <w:r>
        <w:rPr>
          <w:rFonts w:ascii="Times New Roman" w:cs="Times New Roman" w:eastAsia="Times New Roman" w:hAnsi="Times New Roman"/>
          <w:sz w:val="19"/>
          <w:szCs w:val="19"/>
          <w:color w:val="auto"/>
        </w:rPr>
        <w:t>, in San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jc w:val="both"/>
        <w:ind w:firstLine="8"/>
        <w:spacing w:after="0"/>
        <w:tabs>
          <w:tab w:leader="none" w:pos="30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w:t>
      </w:r>
    </w:p>
    <w:p>
      <w:pPr>
        <w:sectPr>
          <w:pgSz w:w="11900" w:h="16838" w:orient="portrait"/>
          <w:cols w:equalWidth="0" w:num="1">
            <w:col w:w="11420"/>
          </w:cols>
          <w:pgMar w:left="240" w:top="118" w:right="239" w:bottom="0" w:gutter="0" w:footer="0" w:header="0"/>
        </w:sectPr>
      </w:pPr>
    </w:p>
    <w:bookmarkStart w:id="17" w:name="page18"/>
    <w:bookmarkEnd w:id="17"/>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Court has set the case for a two-week bench trial beginning on February 8, 2016.</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2015, the Company’s consolidated balance sheet includes accrued loss contingencies of approximately $2.8 million.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16" w:lineRule="exact"/>
        <w:rPr>
          <w:sz w:val="20"/>
          <w:szCs w:val="20"/>
          <w:color w:val="auto"/>
        </w:rPr>
      </w:pPr>
    </w:p>
    <w:p>
      <w:pPr>
        <w:ind w:right="520" w:firstLine="648"/>
        <w:spacing w:after="0" w:line="269" w:lineRule="auto"/>
        <w:rPr>
          <w:sz w:val="20"/>
          <w:szCs w:val="20"/>
          <w:color w:val="auto"/>
        </w:rPr>
      </w:pPr>
      <w:r>
        <w:rPr>
          <w:rFonts w:ascii="Times New Roman" w:cs="Times New Roman" w:eastAsia="Times New Roman" w:hAnsi="Times New Roman"/>
          <w:sz w:val="20"/>
          <w:szCs w:val="20"/>
          <w:color w:val="auto"/>
        </w:rPr>
        <w:t>Changes in accumulated other comprehensive loss by component, after tax, for the nine-months ended September 30, 2015 are as follows:</w:t>
      </w:r>
    </w:p>
    <w:p>
      <w:pPr>
        <w:spacing w:after="0" w:line="15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23"/>
              <w:spacing w:after="0"/>
              <w:rPr>
                <w:sz w:val="20"/>
                <w:szCs w:val="20"/>
                <w:color w:val="auto"/>
              </w:rPr>
            </w:pPr>
            <w:r>
              <w:rPr>
                <w:rFonts w:ascii="Times New Roman" w:cs="Times New Roman" w:eastAsia="Times New Roman" w:hAnsi="Times New Roman"/>
                <w:sz w:val="20"/>
                <w:szCs w:val="20"/>
                <w:color w:val="auto"/>
                <w:w w:val="99"/>
              </w:rPr>
              <w:t>Currency</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23"/>
              <w:spacing w:after="0"/>
              <w:rPr>
                <w:sz w:val="20"/>
                <w:szCs w:val="20"/>
                <w:color w:val="auto"/>
              </w:rPr>
            </w:pPr>
            <w:r>
              <w:rPr>
                <w:rFonts w:ascii="Times New Roman" w:cs="Times New Roman" w:eastAsia="Times New Roman" w:hAnsi="Times New Roman"/>
                <w:sz w:val="20"/>
                <w:szCs w:val="20"/>
                <w:color w:val="auto"/>
                <w:w w:val="98"/>
              </w:rPr>
              <w:t>Translation</w:t>
            </w:r>
          </w:p>
        </w:tc>
        <w:tc>
          <w:tcPr>
            <w:tcW w:w="0" w:type="dxa"/>
            <w:vAlign w:val="bottom"/>
          </w:tcPr>
          <w:p>
            <w:pPr>
              <w:spacing w:after="0"/>
              <w:rPr>
                <w:sz w:val="1"/>
                <w:szCs w:val="1"/>
                <w:color w:val="auto"/>
              </w:rPr>
            </w:pPr>
          </w:p>
        </w:tc>
      </w:tr>
      <w:tr>
        <w:trPr>
          <w:trHeight w:val="252"/>
        </w:trPr>
        <w:tc>
          <w:tcPr>
            <w:tcW w:w="6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20"/>
                <w:szCs w:val="20"/>
                <w:color w:val="auto"/>
                <w:w w:val="99"/>
              </w:rPr>
              <w:t>Losses</w:t>
            </w:r>
          </w:p>
        </w:tc>
        <w:tc>
          <w:tcPr>
            <w:tcW w:w="0" w:type="dxa"/>
            <w:vAlign w:val="bottom"/>
          </w:tcPr>
          <w:p>
            <w:pPr>
              <w:spacing w:after="0"/>
              <w:rPr>
                <w:sz w:val="1"/>
                <w:szCs w:val="1"/>
                <w:color w:val="auto"/>
              </w:rPr>
            </w:pPr>
          </w:p>
        </w:tc>
      </w:tr>
      <w:tr>
        <w:trPr>
          <w:trHeight w:val="281"/>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2014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11,453</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comprehensive loss before reclassifications</w:t>
            </w:r>
          </w:p>
        </w:tc>
        <w:tc>
          <w:tcPr>
            <w:tcW w:w="22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w:t>
            </w:r>
          </w:p>
        </w:tc>
        <w:tc>
          <w:tcPr>
            <w:tcW w:w="22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current-period other comprehensive loss</w:t>
            </w:r>
          </w:p>
        </w:tc>
        <w:tc>
          <w:tcPr>
            <w:tcW w:w="22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9,398</w:t>
            </w:r>
          </w:p>
        </w:tc>
        <w:tc>
          <w:tcPr>
            <w:tcW w:w="0" w:type="dxa"/>
            <w:vAlign w:val="bottom"/>
          </w:tcPr>
          <w:p>
            <w:pPr>
              <w:spacing w:after="0"/>
              <w:rPr>
                <w:sz w:val="1"/>
                <w:szCs w:val="1"/>
                <w:color w:val="auto"/>
              </w:rPr>
            </w:pPr>
          </w:p>
        </w:tc>
      </w:tr>
      <w:tr>
        <w:trPr>
          <w:trHeight w:val="23"/>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September 30, 2015</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800" w:type="dxa"/>
            <w:vAlign w:val="bottom"/>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20,851</w:t>
            </w:r>
          </w:p>
        </w:tc>
        <w:tc>
          <w:tcPr>
            <w:tcW w:w="0" w:type="dxa"/>
            <w:vAlign w:val="bottom"/>
          </w:tcPr>
          <w:p>
            <w:pPr>
              <w:spacing w:after="0"/>
              <w:rPr>
                <w:sz w:val="1"/>
                <w:szCs w:val="1"/>
                <w:color w:val="auto"/>
              </w:rPr>
            </w:pPr>
          </w:p>
        </w:tc>
      </w:tr>
    </w:tbl>
    <w:p>
      <w:pPr>
        <w:sectPr>
          <w:pgSz w:w="11900" w:h="16940" w:orient="portrait"/>
          <w:cols w:equalWidth="0" w:num="1">
            <w:col w:w="11420"/>
          </w:cols>
          <w:pgMar w:left="240" w:top="118" w:right="239" w:bottom="0" w:gutter="0" w:footer="0" w:header="0"/>
        </w:sectPr>
      </w:pPr>
    </w:p>
    <w:bookmarkStart w:id="18" w:name="page19"/>
    <w:bookmarkEnd w:id="18"/>
    <w:p>
      <w:pPr>
        <w:ind w:left="640" w:hanging="632"/>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5294630</wp:posOffset>
            </wp:positionH>
            <wp:positionV relativeFrom="page">
              <wp:posOffset>88900</wp:posOffset>
            </wp:positionV>
            <wp:extent cx="900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106045</wp:posOffset>
            </wp:positionV>
            <wp:extent cx="900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0430" cy="8890"/>
                    </a:xfrm>
                    <a:prstGeom prst="rect">
                      <a:avLst/>
                    </a:prstGeom>
                    <a:noFill/>
                  </pic:spPr>
                </pic:pic>
              </a:graphicData>
            </a:graphic>
          </wp:anchor>
        </w:drawing>
        <w:t>TREASURY STOCK</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June 12, 2015, as part of the TCCC Transaction, the Company cancelled 41.5 million shares of treasury stock owned by the Company. The cancelled stock had a carrying value of approximately $1,482.6 million. The Company’s accounting policy upon the formal retirement of treasury stock is to deduct its par value from common stock and to reflect any excess of cost over par as a deduction from retained earnings.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April 7, 2013, the Company’s Board of Directors authorized a new share repurchase program for the repurchase of up to $200.0 million of the Company’s outstanding common stock (the “April 2013 Repurchase Plan”). During the three-months ended September 30, 2015, the Company purchased 1.1 million shares of common stock at an average purchase price of $134.71 per share, for a total amount of $145.7 million (excluding broker commissions), which exhausted the availability under the April 2013 Repurchase Plan.</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September 11, 2015, the Company’s Board of Directors authorized a new share repurchase program for the repurchase of up to $500.0 million of the Company’s outstanding common stock (the “September 2015 Repurchase Plan”). During the three-months ended September 30, 2015, the Company purchased 1.8 million shares of common stock at an average purchase price of $134.27 per share, for a total amount of $241.8 million (excluding broker commissions), under the September 2015 Repurchase Plan.</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During the three-months ended September 30, 2015, 75 shares were purchased from employees in lieu of cash payments for options exercised or withholding taxes due for a total amount of $0.01 million. While such purchases are considered common stock repurchases, they are not counted as purchases against the Company’s authorized share repurchase programs, including the September 2015 Repurchase Plan or the April 2013 Repurchase Plan. Such shares are included in common stock in treasury in the accompanying condensed consolidated balance sheet at September 30, 2015.</w:t>
      </w:r>
    </w:p>
    <w:p>
      <w:pPr>
        <w:spacing w:after="0" w:line="181"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1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September 30, 2015: the Monster Beverage Corporation 2011 Omnibus Incentive Plan (the “2011 Omnibus Incentive Plan”) and the 2009 Monster Beverage Corporation Stock Incentive Plan for Non-Employee Directors (the “2009 Directors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recorded $8.9 million and $7.4 million of compensation expense relating to outstanding options, restricted stock awards, stock appreciation rights and restricted stock units during the three-months ended September 30, 2015 and 2014, respectively. The Company recorded $23.7 million and $22.5 million of compensation expense relating to outstanding options, restricted stock awards, stock appreciation rights and restricted stock units during the nine-months ended September 30, 2015 and 2014, respectively.</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excess tax benefit realized for tax deductions from non-qualified stock option exercises, disqualifying dispositions of incentive stock options, vesting of restricted stock units and restricted stock awards for the three-months ended September 30, 2015 and 2014 was $3.6 million and $8.2 million, respectively. The excess tax benefit realized for tax deductions from non-qualified stock option exercises, disqualifying dispositions of incentive stock options, vesting of restricted stock units and restricted stock awards for the nine-months ended September 30, 2015 and 2014 was $303.9 million and $11.5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as of September 30, 2015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3300" w:type="dxa"/>
            <w:vAlign w:val="bottom"/>
          </w:tcPr>
          <w:p>
            <w:pPr>
              <w:spacing w:after="0"/>
              <w:rPr>
                <w:sz w:val="21"/>
                <w:szCs w:val="21"/>
                <w:color w:val="auto"/>
              </w:rPr>
            </w:pPr>
          </w:p>
        </w:tc>
        <w:tc>
          <w:tcPr>
            <w:tcW w:w="3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Three-Months Ended September 30,</w:t>
            </w: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6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Nine-Months Ended September 30,</w:t>
            </w:r>
          </w:p>
        </w:tc>
        <w:tc>
          <w:tcPr>
            <w:tcW w:w="0" w:type="dxa"/>
            <w:vAlign w:val="bottom"/>
          </w:tcPr>
          <w:p>
            <w:pPr>
              <w:spacing w:after="0"/>
              <w:rPr>
                <w:sz w:val="1"/>
                <w:szCs w:val="1"/>
                <w:color w:val="auto"/>
              </w:rPr>
            </w:pPr>
          </w:p>
        </w:tc>
      </w:tr>
      <w:tr>
        <w:trPr>
          <w:trHeight w:val="223"/>
        </w:trPr>
        <w:tc>
          <w:tcPr>
            <w:tcW w:w="3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700" w:type="dxa"/>
            <w:vAlign w:val="bottom"/>
            <w:tcBorders>
              <w:bottom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19"/>
                <w:szCs w:val="19"/>
                <w:color w:val="auto"/>
              </w:rPr>
            </w:pPr>
          </w:p>
        </w:tc>
        <w:tc>
          <w:tcPr>
            <w:tcW w:w="134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2014¹</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Borders>
              <w:bottom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19"/>
                <w:szCs w:val="19"/>
                <w:color w:val="auto"/>
              </w:rPr>
            </w:pPr>
          </w:p>
        </w:tc>
        <w:tc>
          <w:tcPr>
            <w:tcW w:w="1680" w:type="dxa"/>
            <w:vAlign w:val="bottom"/>
            <w:tcBorders>
              <w:bottom w:val="single" w:sz="8" w:color="auto"/>
            </w:tcBorders>
          </w:tcPr>
          <w:p>
            <w:pPr>
              <w:jc w:val="right"/>
              <w:ind w:right="5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3300" w:type="dxa"/>
            <w:vAlign w:val="bottom"/>
            <w:vMerge w:val="continue"/>
          </w:tcPr>
          <w:p>
            <w:pPr>
              <w:spacing w:after="0"/>
              <w:rPr>
                <w:sz w:val="17"/>
                <w:szCs w:val="17"/>
                <w:color w:val="auto"/>
              </w:rPr>
            </w:pPr>
          </w:p>
        </w:tc>
        <w:tc>
          <w:tcPr>
            <w:tcW w:w="170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0.0%</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7"/>
                <w:szCs w:val="17"/>
                <w:color w:val="auto"/>
              </w:rPr>
            </w:pPr>
          </w:p>
        </w:tc>
        <w:tc>
          <w:tcPr>
            <w:tcW w:w="170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0.0%</w:t>
            </w:r>
          </w:p>
        </w:tc>
        <w:tc>
          <w:tcPr>
            <w:tcW w:w="280" w:type="dxa"/>
            <w:vAlign w:val="bottom"/>
          </w:tcPr>
          <w:p>
            <w:pPr>
              <w:spacing w:after="0"/>
              <w:rPr>
                <w:sz w:val="17"/>
                <w:szCs w:val="17"/>
                <w:color w:val="auto"/>
              </w:rPr>
            </w:pPr>
          </w:p>
        </w:tc>
        <w:tc>
          <w:tcPr>
            <w:tcW w:w="168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36.7%</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37.1%</w:t>
            </w:r>
          </w:p>
        </w:tc>
        <w:tc>
          <w:tcPr>
            <w:tcW w:w="280" w:type="dxa"/>
            <w:vAlign w:val="bottom"/>
          </w:tcPr>
          <w:p>
            <w:pPr>
              <w:spacing w:after="0"/>
              <w:rPr>
                <w:sz w:val="19"/>
                <w:szCs w:val="19"/>
                <w:color w:val="auto"/>
              </w:rPr>
            </w:pPr>
          </w:p>
        </w:tc>
        <w:tc>
          <w:tcPr>
            <w:tcW w:w="16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42.4%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1.5%</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1.6%</w:t>
            </w:r>
          </w:p>
        </w:tc>
        <w:tc>
          <w:tcPr>
            <w:tcW w:w="280" w:type="dxa"/>
            <w:vAlign w:val="bottom"/>
          </w:tcPr>
          <w:p>
            <w:pPr>
              <w:spacing w:after="0"/>
              <w:rPr>
                <w:sz w:val="19"/>
                <w:szCs w:val="19"/>
                <w:color w:val="auto"/>
              </w:rPr>
            </w:pPr>
          </w:p>
        </w:tc>
        <w:tc>
          <w:tcPr>
            <w:tcW w:w="16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6.1 years</w:t>
            </w:r>
          </w:p>
        </w:tc>
        <w:tc>
          <w:tcPr>
            <w:tcW w:w="1340" w:type="dxa"/>
            <w:vAlign w:val="bottom"/>
          </w:tcPr>
          <w:p>
            <w:pPr>
              <w:spacing w:after="0"/>
              <w:rPr>
                <w:sz w:val="22"/>
                <w:szCs w:val="22"/>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5.8 years</w:t>
            </w:r>
          </w:p>
        </w:tc>
        <w:tc>
          <w:tcPr>
            <w:tcW w:w="16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5.8 years</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¹ No options were granted during the three-months ended September 30, 2014.</w:t>
      </w:r>
    </w:p>
    <w:p>
      <w:pPr>
        <w:sectPr>
          <w:pgSz w:w="11900" w:h="16838" w:orient="portrait"/>
          <w:cols w:equalWidth="0" w:num="1">
            <w:col w:w="11420"/>
          </w:cols>
          <w:pgMar w:left="240" w:top="373" w:right="239" w:bottom="0" w:gutter="0" w:footer="0" w:header="0"/>
        </w:sectPr>
      </w:pPr>
    </w:p>
    <w:bookmarkStart w:id="19" w:name="page20"/>
    <w:bookmarkEnd w:id="19"/>
    <w:p>
      <w:pPr>
        <w:jc w:val="both"/>
        <w:ind w:firstLine="648"/>
        <w:spacing w:after="0" w:line="272"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 volatility.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is based on the most recent volatility of the stock price over a period of time equivalent to the expected term of the option.</w:t>
      </w:r>
    </w:p>
    <w:p>
      <w:pPr>
        <w:spacing w:after="0" w:line="15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 coupon yield curve in effect at the time of grant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expected term of the option.</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 options are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Weighted-</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7"/>
              </w:rPr>
              <w:t>Weighted-</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Average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4"/>
              </w:rPr>
              <w:t>Average</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Remaining</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Exercise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Contractual</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Shares (In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8"/>
              </w:rPr>
              <w:t>Price Per</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Term (In</w:t>
            </w:r>
          </w:p>
        </w:tc>
        <w:tc>
          <w:tcPr>
            <w:tcW w:w="160" w:type="dxa"/>
            <w:vAlign w:val="bottom"/>
          </w:tcPr>
          <w:p>
            <w:pPr>
              <w:spacing w:after="0"/>
              <w:rPr>
                <w:sz w:val="19"/>
                <w:szCs w:val="19"/>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Aggregate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6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Options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6"/>
              </w:rPr>
              <w:t>Share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years)</w:t>
            </w:r>
          </w:p>
        </w:tc>
        <w:tc>
          <w:tcPr>
            <w:tcW w:w="160" w:type="dxa"/>
            <w:vAlign w:val="bottom"/>
          </w:tcPr>
          <w:p>
            <w:pPr>
              <w:spacing w:after="0"/>
              <w:rPr>
                <w:sz w:val="21"/>
                <w:szCs w:val="21"/>
                <w:color w:val="auto"/>
              </w:rPr>
            </w:pPr>
          </w:p>
        </w:tc>
        <w:tc>
          <w:tcPr>
            <w:tcW w:w="1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5"/>
              </w:rPr>
              <w:t>Intrinsic Value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January 1, 2015</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13,066</w:t>
            </w:r>
          </w:p>
        </w:tc>
        <w:tc>
          <w:tcPr>
            <w:tcW w:w="26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19.73</w:t>
            </w:r>
          </w:p>
        </w:tc>
        <w:tc>
          <w:tcPr>
            <w:tcW w:w="260" w:type="dxa"/>
            <w:vAlign w:val="bottom"/>
          </w:tcPr>
          <w:p>
            <w:pPr>
              <w:spacing w:after="0"/>
              <w:rPr>
                <w:sz w:val="17"/>
                <w:szCs w:val="17"/>
                <w:color w:val="auto"/>
              </w:rPr>
            </w:pPr>
          </w:p>
        </w:tc>
        <w:tc>
          <w:tcPr>
            <w:tcW w:w="138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3.1</w:t>
            </w:r>
          </w:p>
        </w:tc>
        <w:tc>
          <w:tcPr>
            <w:tcW w:w="280" w:type="dxa"/>
            <w:vAlign w:val="bottom"/>
          </w:tcPr>
          <w:p>
            <w:pPr>
              <w:spacing w:after="0"/>
              <w:rPr>
                <w:sz w:val="17"/>
                <w:szCs w:val="17"/>
                <w:color w:val="auto"/>
              </w:rPr>
            </w:pPr>
          </w:p>
        </w:tc>
        <w:tc>
          <w:tcPr>
            <w:tcW w:w="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1,158,412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01/01/15 - 03/31/15</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133.68</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04/01/15 - 06/30/15</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133.43</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Granted 07/01/15 - 09/30/15</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135.00</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6.11</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Cancelled or 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64.62</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Outstanding at September 30, 2015</w:t>
            </w: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50.05</w:t>
            </w:r>
          </w:p>
        </w:tc>
        <w:tc>
          <w:tcPr>
            <w:tcW w:w="260" w:type="dxa"/>
            <w:vAlign w:val="bottom"/>
            <w:vMerge w:val="restart"/>
          </w:tcPr>
          <w:p>
            <w:pPr>
              <w:spacing w:after="0" w:line="20" w:lineRule="exact"/>
              <w:rPr>
                <w:sz w:val="1"/>
                <w:szCs w:val="1"/>
                <w:color w:val="auto"/>
              </w:rPr>
            </w:pPr>
          </w:p>
        </w:tc>
        <w:tc>
          <w:tcPr>
            <w:tcW w:w="1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5.8</w:t>
            </w:r>
          </w:p>
        </w:tc>
        <w:tc>
          <w:tcPr>
            <w:tcW w:w="28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581,663</w:t>
            </w:r>
          </w:p>
        </w:tc>
        <w:tc>
          <w:tcPr>
            <w:tcW w:w="0" w:type="dxa"/>
            <w:vAlign w:val="bottom"/>
          </w:tcPr>
          <w:p>
            <w:pPr>
              <w:spacing w:after="0"/>
              <w:rPr>
                <w:sz w:val="1"/>
                <w:szCs w:val="1"/>
                <w:color w:val="auto"/>
              </w:rPr>
            </w:pPr>
          </w:p>
        </w:tc>
      </w:tr>
      <w:tr>
        <w:trPr>
          <w:trHeight w:val="200"/>
        </w:trPr>
        <w:tc>
          <w:tcPr>
            <w:tcW w:w="4980" w:type="dxa"/>
            <w:vAlign w:val="bottom"/>
            <w:gridSpan w:val="3"/>
            <w:vMerge w:val="continue"/>
          </w:tcPr>
          <w:p>
            <w:pPr>
              <w:spacing w:after="0"/>
              <w:rPr>
                <w:sz w:val="17"/>
                <w:szCs w:val="17"/>
                <w:color w:val="auto"/>
              </w:rPr>
            </w:pPr>
          </w:p>
        </w:tc>
        <w:tc>
          <w:tcPr>
            <w:tcW w:w="1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6,832</w:t>
            </w:r>
          </w:p>
        </w:tc>
        <w:tc>
          <w:tcPr>
            <w:tcW w:w="4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Vested and expected to vest in the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future at September 30, 2015</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6,428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47.00</w:t>
            </w:r>
          </w:p>
        </w:tc>
        <w:tc>
          <w:tcPr>
            <w:tcW w:w="260" w:type="dxa"/>
            <w:vAlign w:val="bottom"/>
          </w:tcPr>
          <w:p>
            <w:pPr>
              <w:spacing w:after="0"/>
              <w:rPr>
                <w:sz w:val="19"/>
                <w:szCs w:val="19"/>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566,879</w:t>
            </w:r>
          </w:p>
        </w:tc>
        <w:tc>
          <w:tcPr>
            <w:tcW w:w="0" w:type="dxa"/>
            <w:vAlign w:val="bottom"/>
          </w:tcPr>
          <w:p>
            <w:pPr>
              <w:spacing w:after="0"/>
              <w:rPr>
                <w:sz w:val="1"/>
                <w:szCs w:val="1"/>
                <w:color w:val="auto"/>
              </w:rPr>
            </w:pPr>
          </w:p>
        </w:tc>
      </w:tr>
      <w:tr>
        <w:trPr>
          <w:trHeight w:val="258"/>
        </w:trPr>
        <w:tc>
          <w:tcPr>
            <w:tcW w:w="4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Exercisable at September 30, 2015</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4,005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23.74</w:t>
            </w:r>
          </w:p>
        </w:tc>
        <w:tc>
          <w:tcPr>
            <w:tcW w:w="26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446,159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three-months ended September 30, 2015 was $51.14 per share. No options awards were granted during the three-months ended September 30, 2014. The weighted-average grant-date fair value of options granted during the nine-months ended September 30, 2015 and 2014 was $50.20 per share and $29.33 per share, respectively. The total intrinsic value of options exercised during the three-months ended September 30, 2015 and 2014 was $11.9 million and $25.4 million, respectively. The total intrinsic value of options exercised during the nine-months ended September 30, 2015 and 2014 was $841.5 million and $40.4 million, respectively.</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three-months ended September 30, 2015 and 2014 was approximately $1.9 million and $7.3 million, respectively. Cash received from option exercises under all plans for the nine-months ended September 30, 2015 and 2014 was approximately $43.6 million and $15.0 million, respectively.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September 30, 2015, there was $76.7 million of total unrecognized compensation expense related to non-vested options granted to employees under the Company’s share-based payment plans. That cost is expected to be recognized over a weighted-average period of 2.9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awards and non-vested restricted stock units as follows:</w:t>
      </w:r>
    </w:p>
    <w:p>
      <w:pPr>
        <w:sectPr>
          <w:pgSz w:w="11900" w:h="16838" w:orient="portrait"/>
          <w:cols w:equalWidth="0" w:num="1">
            <w:col w:w="11420"/>
          </w:cols>
          <w:pgMar w:left="240" w:top="114" w:right="239" w:bottom="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Weighted</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Shares (in</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7"/>
              </w:rPr>
              <w:t>Average</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Grant-Date</w:t>
            </w:r>
          </w:p>
        </w:tc>
        <w:tc>
          <w:tcPr>
            <w:tcW w:w="0" w:type="dxa"/>
            <w:vAlign w:val="bottom"/>
          </w:tcPr>
          <w:p>
            <w:pPr>
              <w:spacing w:after="0"/>
              <w:rPr>
                <w:sz w:val="1"/>
                <w:szCs w:val="1"/>
                <w:color w:val="auto"/>
              </w:rPr>
            </w:pPr>
          </w:p>
        </w:tc>
      </w:tr>
      <w:tr>
        <w:trPr>
          <w:trHeight w:val="252"/>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January 1, 2015</w:t>
            </w:r>
          </w:p>
        </w:tc>
        <w:tc>
          <w:tcPr>
            <w:tcW w:w="15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6"/>
              </w:rPr>
              <w:t>Fair Value</w:t>
            </w:r>
          </w:p>
        </w:tc>
        <w:tc>
          <w:tcPr>
            <w:tcW w:w="0" w:type="dxa"/>
            <w:vAlign w:val="bottom"/>
          </w:tcPr>
          <w:p>
            <w:pPr>
              <w:spacing w:after="0"/>
              <w:rPr>
                <w:sz w:val="1"/>
                <w:szCs w:val="1"/>
                <w:color w:val="auto"/>
              </w:rPr>
            </w:pPr>
          </w:p>
        </w:tc>
      </w:tr>
      <w:tr>
        <w:trPr>
          <w:trHeight w:val="200"/>
        </w:trPr>
        <w:tc>
          <w:tcPr>
            <w:tcW w:w="5080" w:type="dxa"/>
            <w:vAlign w:val="bottom"/>
            <w:vMerge w:val="continue"/>
          </w:tcPr>
          <w:p>
            <w:pPr>
              <w:spacing w:after="0"/>
              <w:rPr>
                <w:sz w:val="17"/>
                <w:szCs w:val="17"/>
                <w:color w:val="auto"/>
              </w:rPr>
            </w:pPr>
          </w:p>
        </w:tc>
        <w:tc>
          <w:tcPr>
            <w:tcW w:w="15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149</w:t>
            </w:r>
          </w:p>
        </w:tc>
        <w:tc>
          <w:tcPr>
            <w:tcW w:w="300" w:type="dxa"/>
            <w:vAlign w:val="bottom"/>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61.09</w:t>
            </w: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Granted 01/01/15 - 03/31/15</w:t>
            </w: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135.48</w:t>
            </w: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Granted 04/01/15 - 06/30/15</w:t>
            </w: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Granted 07/01/15 - 09/30/15</w:t>
            </w: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147.36</w:t>
            </w: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57.57</w:t>
            </w:r>
          </w:p>
        </w:tc>
        <w:tc>
          <w:tcPr>
            <w:tcW w:w="0" w:type="dxa"/>
            <w:vAlign w:val="bottom"/>
          </w:tcPr>
          <w:p>
            <w:pPr>
              <w:spacing w:after="0"/>
              <w:rPr>
                <w:sz w:val="1"/>
                <w:szCs w:val="1"/>
                <w:color w:val="auto"/>
              </w:rPr>
            </w:pPr>
          </w:p>
        </w:tc>
      </w:tr>
      <w:tr>
        <w:trPr>
          <w:trHeight w:val="230"/>
        </w:trPr>
        <w:tc>
          <w:tcPr>
            <w:tcW w:w="50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Forfeited/cancelled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63.57</w:t>
            </w:r>
          </w:p>
        </w:tc>
        <w:tc>
          <w:tcPr>
            <w:tcW w:w="0" w:type="dxa"/>
            <w:vAlign w:val="bottom"/>
          </w:tcPr>
          <w:p>
            <w:pPr>
              <w:spacing w:after="0"/>
              <w:rPr>
                <w:sz w:val="1"/>
                <w:szCs w:val="1"/>
                <w:color w:val="auto"/>
              </w:rPr>
            </w:pPr>
          </w:p>
        </w:tc>
      </w:tr>
      <w:tr>
        <w:trPr>
          <w:trHeight w:val="23"/>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September 30, 2015</w:t>
            </w: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98.95</w:t>
            </w: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183</w:t>
            </w:r>
          </w:p>
        </w:tc>
        <w:tc>
          <w:tcPr>
            <w:tcW w:w="4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and restricted stock awards granted during the three-months ended September 30, 2015 was $147.36 per share. No restricted stock units or restricted stock awards were granted during the three-months ended September 30, 2014. The weighted-average grant-date fair value of restricted stock units and restricted stock awards granted during the nine-months ended September 30, 2015 and 2014 was $136.50 and $69.00 per share, respectively. As of September 30, 2015, 0.2 million of restricted stock units and restricted stock awards are expected to vest over their respective terms.</w:t>
      </w:r>
    </w:p>
    <w:p>
      <w:pPr>
        <w:spacing w:after="0" w:line="19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At September 30, 2015, total unrecognized compensation expense relating to non-vested restricted stock awards and non-vested restricted stock units was $13.7 million, which is expected to be recognized over a weighted-average period of 2.0 years.</w:t>
      </w:r>
    </w:p>
    <w:p>
      <w:pPr>
        <w:spacing w:after="0" w:line="173"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nine-months ended September 30, 2015:</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ind w:right="244"/>
              <w:spacing w:after="0"/>
              <w:rPr>
                <w:sz w:val="20"/>
                <w:szCs w:val="20"/>
                <w:color w:val="auto"/>
              </w:rPr>
            </w:pPr>
            <w:r>
              <w:rPr>
                <w:rFonts w:ascii="Times New Roman" w:cs="Times New Roman" w:eastAsia="Times New Roman" w:hAnsi="Times New Roman"/>
                <w:sz w:val="18"/>
                <w:szCs w:val="18"/>
                <w:color w:val="auto"/>
              </w:rPr>
              <w:t>Gross Unrecognized Tax</w:t>
            </w:r>
          </w:p>
        </w:tc>
        <w:tc>
          <w:tcPr>
            <w:tcW w:w="0" w:type="dxa"/>
            <w:vAlign w:val="bottom"/>
          </w:tcPr>
          <w:p>
            <w:pPr>
              <w:spacing w:after="0"/>
              <w:rPr>
                <w:sz w:val="1"/>
                <w:szCs w:val="1"/>
                <w:color w:val="auto"/>
              </w:rPr>
            </w:pPr>
          </w:p>
        </w:tc>
      </w:tr>
      <w:tr>
        <w:trPr>
          <w:trHeight w:val="234"/>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2014</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8"/>
                <w:szCs w:val="18"/>
                <w:color w:val="auto"/>
              </w:rPr>
              <w:t>Benefits</w:t>
            </w:r>
          </w:p>
        </w:tc>
        <w:tc>
          <w:tcPr>
            <w:tcW w:w="0" w:type="dxa"/>
            <w:vAlign w:val="bottom"/>
          </w:tcPr>
          <w:p>
            <w:pPr>
              <w:spacing w:after="0"/>
              <w:rPr>
                <w:sz w:val="1"/>
                <w:szCs w:val="1"/>
                <w:color w:val="auto"/>
              </w:rPr>
            </w:pPr>
          </w:p>
        </w:tc>
      </w:tr>
      <w:tr>
        <w:trPr>
          <w:trHeight w:val="200"/>
        </w:trPr>
        <w:tc>
          <w:tcPr>
            <w:tcW w:w="4680" w:type="dxa"/>
            <w:vAlign w:val="bottom"/>
            <w:vMerge w:val="continue"/>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180" w:type="dxa"/>
            <w:vAlign w:val="bottom"/>
          </w:tcPr>
          <w:p>
            <w:pPr>
              <w:jc w:val="right"/>
              <w:ind w:right="4"/>
              <w:spacing w:after="0" w:line="200"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200" w:type="dxa"/>
            <w:vAlign w:val="bottom"/>
          </w:tcPr>
          <w:p>
            <w:pPr>
              <w:spacing w:after="0"/>
              <w:rPr>
                <w:sz w:val="19"/>
                <w:szCs w:val="19"/>
                <w:color w:val="auto"/>
              </w:rPr>
            </w:pPr>
          </w:p>
        </w:tc>
        <w:tc>
          <w:tcPr>
            <w:tcW w:w="2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200" w:type="dxa"/>
            <w:vAlign w:val="bottom"/>
          </w:tcPr>
          <w:p>
            <w:pPr>
              <w:spacing w:after="0"/>
              <w:rPr>
                <w:sz w:val="19"/>
                <w:szCs w:val="19"/>
                <w:color w:val="auto"/>
              </w:rPr>
            </w:pPr>
          </w:p>
        </w:tc>
        <w:tc>
          <w:tcPr>
            <w:tcW w:w="2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settlement with taxing authority</w:t>
            </w:r>
          </w:p>
        </w:tc>
        <w:tc>
          <w:tcPr>
            <w:tcW w:w="200" w:type="dxa"/>
            <w:vAlign w:val="bottom"/>
          </w:tcPr>
          <w:p>
            <w:pPr>
              <w:spacing w:after="0"/>
              <w:rPr>
                <w:sz w:val="19"/>
                <w:szCs w:val="19"/>
                <w:color w:val="auto"/>
              </w:rPr>
            </w:pPr>
          </w:p>
        </w:tc>
        <w:tc>
          <w:tcPr>
            <w:tcW w:w="2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September 30, 2015</w:t>
            </w: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bottom w:val="single" w:sz="8" w:color="auto"/>
            </w:tcBorders>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condensed consolidated financial statements. As of September 30, 2015, the Company had accrued approximately $0.5 million in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August 7, 2015, the Internal Revenue Service (the “IRS”) began its examination of the Company’s U.S. federal income tax returns for the years ended December 31, 2012 and 2013.</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is in various stages of examination with certain states and certain foreign jurisdictions. The 2012, 2013 and 2014 U.S. federal income tax returns are subject to examination by the IRS. State income tax returns are subject to examination for the 2011 through 2014 tax years.</w:t>
      </w:r>
    </w:p>
    <w:p>
      <w:pPr>
        <w:spacing w:after="0" w:line="188"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weighted-average shares used in the basic and diluted earnings per common share computations is presented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328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0" w:type="dxa"/>
            <w:vAlign w:val="bottom"/>
          </w:tcPr>
          <w:p>
            <w:pPr>
              <w:spacing w:after="0"/>
              <w:rPr>
                <w:sz w:val="1"/>
                <w:szCs w:val="1"/>
                <w:color w:val="auto"/>
              </w:rPr>
            </w:pPr>
          </w:p>
        </w:tc>
      </w:tr>
      <w:tr>
        <w:trPr>
          <w:trHeight w:val="252"/>
        </w:trPr>
        <w:tc>
          <w:tcPr>
            <w:tcW w:w="430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20"/>
                <w:szCs w:val="20"/>
                <w:color w:val="auto"/>
                <w:w w:val="98"/>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20"/>
                <w:szCs w:val="20"/>
                <w:color w:val="auto"/>
                <w:w w:val="98"/>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136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w w:val="99"/>
              </w:rPr>
              <w:t>2014</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43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205,051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167,346</w:t>
            </w:r>
          </w:p>
        </w:tc>
        <w:tc>
          <w:tcPr>
            <w:tcW w:w="28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184,098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167,116</w:t>
            </w:r>
          </w:p>
        </w:tc>
        <w:tc>
          <w:tcPr>
            <w:tcW w:w="0" w:type="dxa"/>
            <w:vAlign w:val="bottom"/>
          </w:tcPr>
          <w:p>
            <w:pPr>
              <w:spacing w:after="0"/>
              <w:rPr>
                <w:sz w:val="1"/>
                <w:szCs w:val="1"/>
                <w:color w:val="auto"/>
              </w:rPr>
            </w:pPr>
          </w:p>
        </w:tc>
      </w:tr>
      <w:tr>
        <w:trPr>
          <w:trHeight w:val="252"/>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Dilutive securities</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3,043</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6,924</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4,033</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6,900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21" w:name="page22"/>
    <w:bookmarkEnd w:id="21"/>
    <w:p>
      <w:pPr>
        <w:spacing w:after="0" w:line="38" w:lineRule="exact"/>
        <w:rPr>
          <w:sz w:val="20"/>
          <w:szCs w:val="20"/>
          <w:color w:val="auto"/>
        </w:rPr>
      </w:pPr>
    </w:p>
    <w:tbl>
      <w:tblPr>
        <w:tblLayout w:type="fixed"/>
        <w:tblInd w:w="640" w:type="dxa"/>
        <w:tblCellMar>
          <w:top w:w="0" w:type="dxa"/>
          <w:left w:w="0" w:type="dxa"/>
          <w:bottom w:w="0" w:type="dxa"/>
          <w:right w:w="0" w:type="dxa"/>
        </w:tblCellMar>
      </w:tblPr>
      <w:tr>
        <w:trPr>
          <w:trHeight w:val="252"/>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208,094</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174,270</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188,131</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174,016</w:t>
            </w:r>
          </w:p>
        </w:tc>
      </w:tr>
      <w:tr>
        <w:trPr>
          <w:trHeight w:val="20"/>
        </w:trPr>
        <w:tc>
          <w:tcPr>
            <w:tcW w:w="4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the three-months ended September 30, 2015 and 2014, options and awards outstanding totaling 1.1 million shares and 0.8 million shares, respectively, were excluded from the calculations as their effect would have been antidilutive. For the nine-months ended September 30, 2015 and 2014, options and awards outstanding totaling 0.9 million shares and 0.8 million shares, respectively, were excluded from the calculations as their effect would have been antidilutive.</w:t>
      </w:r>
    </w:p>
    <w:p>
      <w:pPr>
        <w:spacing w:after="0" w:line="194"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second quarter of 2015, as a result of the acquisitions and divestitures in connection with the TCCC Transaction, the Company revised its reportable segments to reflect managements’ current view of the business and to align its external financial reporting with its new operating and internal financial reporting model. Historical segment information has been revised to reflect the effect of this change.</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Company has three operating and reportable segments, (i) Finished Products, which is comprised of the Company’s Monster Energy® drink products (previously comprising the majority of the former Direct Store Delivery segment) (“Finished Products”),</w:t>
      </w:r>
    </w:p>
    <w:p>
      <w:pPr>
        <w:jc w:val="both"/>
        <w:ind w:firstLine="8"/>
        <w:spacing w:after="0" w:line="242" w:lineRule="auto"/>
        <w:tabs>
          <w:tab w:leader="none" w:pos="32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Concentrate, the principal products of which include the various energy drink brands acquired from TCCC as a result of the TCCC Transaction (“Concentrate”) and (iii) Other, the principal products of which include the brands disposed of as a result of the TCCC Transaction (previously comprising the majority of the former Warehouse segment and the Peace Tea® brand).</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Finished Product segment generates net operating revenues by selling finished energy drinks to full service beverage distributors, retail grocery and specialty chains, wholesalers, club stores, drug chains, mass merchandisers, convenience chains, health food distributors, food service customers and the military.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jc w:val="both"/>
        <w:ind w:firstLine="689"/>
        <w:spacing w:after="0" w:line="249" w:lineRule="auto"/>
        <w:rPr>
          <w:sz w:val="20"/>
          <w:szCs w:val="20"/>
          <w:color w:val="auto"/>
        </w:rPr>
      </w:pPr>
      <w:r>
        <w:rPr>
          <w:rFonts w:ascii="Times New Roman" w:cs="Times New Roman" w:eastAsia="Times New Roman" w:hAnsi="Times New Roman"/>
          <w:sz w:val="20"/>
          <w:szCs w:val="20"/>
          <w:color w:val="auto"/>
        </w:rPr>
        <w:t>The Company’s Concentrate segment generates net operating revenues by selling “concentrates” and/or “beverage bases” to authorized bottling and canning operations. Such bottlers generally combine the concentrates and/or beverage bases with sweeteners and water to produce finished beverages. The finished energy drinks are packaged in authorized containers bearing the Company’s respective trademarks, such as cans and bottles, and are then sold to retailers directly or, in some cases, through wholesalers or other bottlers.</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Finished Products segment generates higher net operating revenues but lower gross profit margins than the Concentrate segment.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three- and nine-months ended September 30, 2015 and 2014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gridSpan w:val="10"/>
          </w:tcPr>
          <w:p>
            <w:pPr>
              <w:ind w:left="420"/>
              <w:spacing w:after="0"/>
              <w:rPr>
                <w:sz w:val="20"/>
                <w:szCs w:val="20"/>
                <w:color w:val="auto"/>
              </w:rPr>
            </w:pPr>
            <w:r>
              <w:rPr>
                <w:rFonts w:ascii="Times New Roman" w:cs="Times New Roman" w:eastAsia="Times New Roman" w:hAnsi="Times New Roman"/>
                <w:sz w:val="20"/>
                <w:szCs w:val="20"/>
                <w:color w:val="auto"/>
              </w:rPr>
              <w:t>Three-Months Ended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741"/>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33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9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color w:val="auto"/>
                <w:w w:val="99"/>
              </w:rPr>
              <w:t>2014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33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Finished Products</w:t>
            </w:r>
            <w:r>
              <w:rPr>
                <w:rFonts w:ascii="Times New Roman" w:cs="Times New Roman" w:eastAsia="Times New Roman" w:hAnsi="Times New Roman"/>
                <w:sz w:val="12"/>
                <w:szCs w:val="12"/>
                <w:color w:val="auto"/>
              </w:rPr>
              <w:t>(1)</w:t>
            </w:r>
          </w:p>
        </w:tc>
        <w:tc>
          <w:tcPr>
            <w:tcW w:w="3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686,684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594,348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1,933,467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1,739,693</w:t>
            </w: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Concentrate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69,935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82,913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41,624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60,751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119,608</w:t>
            </w:r>
          </w:p>
        </w:tc>
        <w:tc>
          <w:tcPr>
            <w:tcW w:w="0" w:type="dxa"/>
            <w:vAlign w:val="bottom"/>
          </w:tcPr>
          <w:p>
            <w:pPr>
              <w:spacing w:after="0"/>
              <w:rPr>
                <w:sz w:val="1"/>
                <w:szCs w:val="1"/>
                <w:color w:val="auto"/>
              </w:rPr>
            </w:pPr>
          </w:p>
        </w:tc>
      </w:tr>
      <w:tr>
        <w:trPr>
          <w:trHeight w:val="252"/>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756,619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gridSpan w:val="3"/>
          </w:tcPr>
          <w:p>
            <w:pPr>
              <w:jc w:val="right"/>
              <w:ind w:right="2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635,972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gridSpan w:val="3"/>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2,077,131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2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1,859,301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10"/>
          </w:tcPr>
          <w:p>
            <w:pPr>
              <w:jc w:val="center"/>
              <w:ind w:right="58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201"/>
              <w:spacing w:after="0"/>
              <w:rPr>
                <w:sz w:val="20"/>
                <w:szCs w:val="20"/>
                <w:color w:val="auto"/>
              </w:rPr>
            </w:pPr>
            <w:r>
              <w:rPr>
                <w:rFonts w:ascii="Times New Roman" w:cs="Times New Roman" w:eastAsia="Times New Roman" w:hAnsi="Times New Roman"/>
                <w:sz w:val="20"/>
                <w:szCs w:val="20"/>
                <w:color w:val="auto"/>
                <w:w w:val="98"/>
              </w:rPr>
              <w:t>Nine-Months Ended</w:t>
            </w:r>
          </w:p>
        </w:tc>
        <w:tc>
          <w:tcPr>
            <w:tcW w:w="0" w:type="dxa"/>
            <w:vAlign w:val="bottom"/>
          </w:tcPr>
          <w:p>
            <w:pPr>
              <w:spacing w:after="0"/>
              <w:rPr>
                <w:sz w:val="1"/>
                <w:szCs w:val="1"/>
                <w:color w:val="auto"/>
              </w:rPr>
            </w:pPr>
          </w:p>
        </w:tc>
      </w:tr>
      <w:tr>
        <w:trPr>
          <w:trHeight w:val="252"/>
        </w:trPr>
        <w:tc>
          <w:tcPr>
            <w:tcW w:w="3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ind w:left="601"/>
              <w:spacing w:after="0"/>
              <w:rPr>
                <w:sz w:val="20"/>
                <w:szCs w:val="20"/>
                <w:color w:val="auto"/>
              </w:rPr>
            </w:pPr>
            <w:r>
              <w:rPr>
                <w:rFonts w:ascii="Times New Roman" w:cs="Times New Roman" w:eastAsia="Times New Roman" w:hAnsi="Times New Roman"/>
                <w:sz w:val="20"/>
                <w:szCs w:val="20"/>
                <w:color w:val="auto"/>
                <w:w w:val="98"/>
              </w:rPr>
              <w:t>September 30,</w:t>
            </w:r>
          </w:p>
        </w:tc>
        <w:tc>
          <w:tcPr>
            <w:tcW w:w="9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left="581"/>
              <w:spacing w:after="0"/>
              <w:rPr>
                <w:sz w:val="20"/>
                <w:szCs w:val="20"/>
                <w:color w:val="auto"/>
              </w:rPr>
            </w:pPr>
            <w:r>
              <w:rPr>
                <w:rFonts w:ascii="Times New Roman" w:cs="Times New Roman" w:eastAsia="Times New Roman" w:hAnsi="Times New Roman"/>
                <w:sz w:val="20"/>
                <w:szCs w:val="20"/>
                <w:color w:val="auto"/>
                <w:w w:val="98"/>
              </w:rPr>
              <w:t>September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33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Finished Products</w:t>
            </w:r>
            <w:r>
              <w:rPr>
                <w:rFonts w:ascii="Times New Roman" w:cs="Times New Roman" w:eastAsia="Times New Roman" w:hAnsi="Times New Roman"/>
                <w:sz w:val="12"/>
                <w:szCs w:val="12"/>
                <w:color w:val="auto"/>
              </w:rPr>
              <w:t>(1) (2)</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231,032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596,716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670,349</w:t>
            </w: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Concentrate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54,375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12"/>
                <w:szCs w:val="12"/>
                <w:color w:val="auto"/>
              </w:rPr>
              <w:t>(3)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165,377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7,152</w:t>
            </w:r>
          </w:p>
        </w:tc>
        <w:tc>
          <w:tcPr>
            <w:tcW w:w="0" w:type="dxa"/>
            <w:vAlign w:val="bottom"/>
          </w:tcPr>
          <w:p>
            <w:pPr>
              <w:spacing w:after="0"/>
              <w:rPr>
                <w:sz w:val="1"/>
                <w:szCs w:val="1"/>
                <w:color w:val="auto"/>
              </w:rPr>
            </w:pPr>
          </w:p>
        </w:tc>
      </w:tr>
      <w:tr>
        <w:trPr>
          <w:trHeight w:val="252"/>
        </w:trPr>
        <w:tc>
          <w:tcPr>
            <w:tcW w:w="3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(43,114)</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(43,363)</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(151,263)</w:t>
            </w:r>
          </w:p>
        </w:tc>
        <w:tc>
          <w:tcPr>
            <w:tcW w:w="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(122,917)</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291,438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189,907</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665,205</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554,584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10"/>
          </w:tcPr>
          <w:p>
            <w:pPr>
              <w:jc w:val="center"/>
              <w:ind w:right="58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right="221"/>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0" w:type="dxa"/>
            <w:vAlign w:val="bottom"/>
          </w:tcPr>
          <w:p>
            <w:pPr>
              <w:spacing w:after="0"/>
              <w:rPr>
                <w:sz w:val="1"/>
                <w:szCs w:val="1"/>
                <w:color w:val="auto"/>
              </w:rPr>
            </w:pPr>
          </w:p>
        </w:tc>
      </w:tr>
      <w:tr>
        <w:trPr>
          <w:trHeight w:val="252"/>
        </w:trPr>
        <w:tc>
          <w:tcPr>
            <w:tcW w:w="3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7"/>
          </w:tcPr>
          <w:p>
            <w:pPr>
              <w:jc w:val="center"/>
              <w:ind w:left="581"/>
              <w:spacing w:after="0"/>
              <w:rPr>
                <w:sz w:val="20"/>
                <w:szCs w:val="20"/>
                <w:color w:val="auto"/>
              </w:rPr>
            </w:pPr>
            <w:r>
              <w:rPr>
                <w:rFonts w:ascii="Times New Roman" w:cs="Times New Roman" w:eastAsia="Times New Roman" w:hAnsi="Times New Roman"/>
                <w:sz w:val="20"/>
                <w:szCs w:val="20"/>
                <w:color w:val="auto"/>
              </w:rPr>
              <w:t>September 30,</w:t>
            </w:r>
          </w:p>
        </w:tc>
        <w:tc>
          <w:tcPr>
            <w:tcW w:w="9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left="581"/>
              <w:spacing w:after="0"/>
              <w:rPr>
                <w:sz w:val="20"/>
                <w:szCs w:val="20"/>
                <w:color w:val="auto"/>
              </w:rPr>
            </w:pPr>
            <w:r>
              <w:rPr>
                <w:rFonts w:ascii="Times New Roman" w:cs="Times New Roman" w:eastAsia="Times New Roman" w:hAnsi="Times New Roman"/>
                <w:sz w:val="20"/>
                <w:szCs w:val="20"/>
                <w:color w:val="auto"/>
                <w:w w:val="98"/>
              </w:rPr>
              <w:t>September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tax:</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76" w:orient="portrait"/>
          <w:cols w:equalWidth="0" w:num="1">
            <w:col w:w="11420"/>
          </w:cols>
          <w:pgMar w:left="240" w:top="118" w:right="239" w:bottom="0" w:gutter="0" w:footer="0" w:header="0"/>
        </w:sectPr>
      </w:pPr>
    </w:p>
    <w:bookmarkStart w:id="22" w:name="page23"/>
    <w:bookmarkEnd w:id="22"/>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Finished Products</w:t>
            </w:r>
            <w:r>
              <w:rPr>
                <w:rFonts w:ascii="Times New Roman" w:cs="Times New Roman" w:eastAsia="Times New Roman" w:hAnsi="Times New Roman"/>
                <w:sz w:val="12"/>
                <w:szCs w:val="12"/>
                <w:color w:val="auto"/>
              </w:rPr>
              <w:t>(1) (2)</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289,649</w:t>
            </w:r>
          </w:p>
        </w:tc>
        <w:tc>
          <w:tcPr>
            <w:tcW w:w="300" w:type="dxa"/>
            <w:vAlign w:val="bottom"/>
          </w:tcPr>
          <w:p>
            <w:pPr>
              <w:spacing w:after="0"/>
              <w:rPr>
                <w:sz w:val="19"/>
                <w:szCs w:val="19"/>
                <w:color w:val="auto"/>
              </w:rPr>
            </w:pP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231,263</w:t>
            </w:r>
          </w:p>
        </w:tc>
        <w:tc>
          <w:tcPr>
            <w:tcW w:w="28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597,084</w:t>
            </w:r>
          </w:p>
        </w:tc>
        <w:tc>
          <w:tcPr>
            <w:tcW w:w="300" w:type="dxa"/>
            <w:vAlign w:val="bottom"/>
          </w:tcPr>
          <w:p>
            <w:pPr>
              <w:spacing w:after="0"/>
              <w:rPr>
                <w:sz w:val="19"/>
                <w:szCs w:val="19"/>
                <w:color w:val="auto"/>
              </w:rPr>
            </w:pP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670,878</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Concentrate</w:t>
            </w:r>
          </w:p>
        </w:tc>
        <w:tc>
          <w:tcPr>
            <w:tcW w:w="4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45,275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54,359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12"/>
                <w:szCs w:val="12"/>
                <w:color w:val="auto"/>
              </w:rPr>
              <w:t>(3)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2,237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165,376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7,151</w:t>
            </w:r>
          </w:p>
        </w:tc>
      </w:tr>
      <w:tr>
        <w:trPr>
          <w:trHeight w:val="252"/>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unallocated</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(46,564)</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(44,631)</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(154,758)</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(124,152)</w:t>
            </w:r>
          </w:p>
        </w:tc>
      </w:tr>
      <w:tr>
        <w:trPr>
          <w:trHeight w:val="223"/>
        </w:trPr>
        <w:tc>
          <w:tcPr>
            <w:tcW w:w="3120" w:type="dxa"/>
            <w:vAlign w:val="bottom"/>
          </w:tcPr>
          <w:p>
            <w:pPr>
              <w:spacing w:after="0"/>
              <w:rPr>
                <w:sz w:val="19"/>
                <w:szCs w:val="19"/>
                <w:color w:val="auto"/>
              </w:rPr>
            </w:pPr>
          </w:p>
        </w:tc>
        <w:tc>
          <w:tcPr>
            <w:tcW w:w="46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288,076</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188,869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662,061</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553,877</w:t>
            </w:r>
          </w:p>
        </w:tc>
      </w:tr>
      <w:tr>
        <w:trPr>
          <w:trHeight w:val="20"/>
        </w:trPr>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60" w:hanging="328"/>
        <w:spacing w:after="0" w:line="265" w:lineRule="auto"/>
        <w:tabs>
          <w:tab w:leader="none" w:pos="69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$8.2 million and $3.8 million for the three-months ended September 30, 2015 and 2014, respectively, related to the recognition of deferred revenue. Includes $54.7 million and $11.2 million for the nine-months ended September 30, 2015 and 2014, respectively, related to the recognition of deferred revenue.</w:t>
      </w:r>
    </w:p>
    <w:p>
      <w:pPr>
        <w:spacing w:after="0" w:line="90" w:lineRule="exact"/>
        <w:rPr>
          <w:rFonts w:ascii="Times New Roman" w:cs="Times New Roman" w:eastAsia="Times New Roman" w:hAnsi="Times New Roman"/>
          <w:sz w:val="14"/>
          <w:szCs w:val="14"/>
          <w:color w:val="auto"/>
        </w:rPr>
      </w:pPr>
    </w:p>
    <w:p>
      <w:pPr>
        <w:ind w:left="660" w:hanging="328"/>
        <w:spacing w:after="0" w:line="265" w:lineRule="auto"/>
        <w:tabs>
          <w:tab w:leader="none" w:pos="63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$2.5 million and ($0.7) million for the three-months ended September 30, 2015 and 2014, respectively, related to distributor termination costs. Includes $220.7 million and ($0.2) million for the nine-months ended September 30, 2015 and 2014, respectively, related to distributor termination costs.</w:t>
      </w:r>
    </w:p>
    <w:p>
      <w:pPr>
        <w:spacing w:after="0" w:line="90"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$161.5 million gain on the sale of Monster Non-Energy for the nine-months ended September 30, 2015.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6"/>
          </w:tcPr>
          <w:p>
            <w:pPr>
              <w:jc w:val="center"/>
              <w:ind w:left="201"/>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gridSpan w:val="5"/>
          </w:tcPr>
          <w:p>
            <w:pPr>
              <w:jc w:val="right"/>
              <w:ind w:right="601"/>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0" w:type="dxa"/>
            <w:vAlign w:val="bottom"/>
          </w:tcPr>
          <w:p>
            <w:pPr>
              <w:spacing w:after="0"/>
              <w:rPr>
                <w:sz w:val="1"/>
                <w:szCs w:val="1"/>
                <w:color w:val="auto"/>
              </w:rPr>
            </w:pPr>
          </w:p>
        </w:tc>
      </w:tr>
      <w:tr>
        <w:trPr>
          <w:trHeight w:val="252"/>
        </w:trPr>
        <w:tc>
          <w:tcPr>
            <w:tcW w:w="3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20"/>
                <w:szCs w:val="20"/>
                <w:color w:val="auto"/>
              </w:rPr>
              <w:t>September 30,</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19"/>
                <w:szCs w:val="19"/>
                <w:color w:val="auto"/>
              </w:rPr>
            </w:pPr>
          </w:p>
        </w:tc>
        <w:tc>
          <w:tcPr>
            <w:tcW w:w="980" w:type="dxa"/>
            <w:vAlign w:val="bottom"/>
            <w:gridSpan w:val="2"/>
          </w:tcPr>
          <w:p>
            <w:pPr>
              <w:jc w:val="right"/>
              <w:ind w:right="32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1740" w:type="dxa"/>
            <w:vAlign w:val="bottom"/>
            <w:gridSpan w:val="6"/>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19"/>
                <w:szCs w:val="19"/>
                <w:color w:val="auto"/>
              </w:rPr>
            </w:pPr>
          </w:p>
        </w:tc>
        <w:tc>
          <w:tcPr>
            <w:tcW w:w="1340" w:type="dxa"/>
            <w:vAlign w:val="bottom"/>
            <w:gridSpan w:val="3"/>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w w:val="99"/>
              </w:rPr>
              <w:t>2014</w:t>
            </w:r>
          </w:p>
        </w:tc>
        <w:tc>
          <w:tcPr>
            <w:tcW w:w="0" w:type="dxa"/>
            <w:vAlign w:val="bottom"/>
          </w:tcPr>
          <w:p>
            <w:pPr>
              <w:spacing w:after="0"/>
              <w:rPr>
                <w:sz w:val="1"/>
                <w:szCs w:val="1"/>
                <w:color w:val="auto"/>
              </w:rPr>
            </w:pPr>
          </w:p>
        </w:tc>
      </w:tr>
      <w:tr>
        <w:trPr>
          <w:trHeight w:val="187"/>
        </w:trPr>
        <w:tc>
          <w:tcPr>
            <w:tcW w:w="362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Finished Products</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w w:val="97"/>
              </w:rPr>
              <w:t>5,366</w:t>
            </w:r>
          </w:p>
        </w:tc>
        <w:tc>
          <w:tcPr>
            <w:tcW w:w="960" w:type="dxa"/>
            <w:vAlign w:val="bottom"/>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4,576</w:t>
            </w:r>
          </w:p>
        </w:tc>
        <w:tc>
          <w:tcPr>
            <w:tcW w:w="94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15,514</w:t>
            </w:r>
          </w:p>
        </w:tc>
        <w:tc>
          <w:tcPr>
            <w:tcW w:w="300" w:type="dxa"/>
            <w:vAlign w:val="bottom"/>
          </w:tcPr>
          <w:p>
            <w:pPr>
              <w:spacing w:after="0"/>
              <w:rPr>
                <w:sz w:val="19"/>
                <w:szCs w:val="19"/>
                <w:color w:val="auto"/>
              </w:rPr>
            </w:pP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14,446</w:t>
            </w: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Concentrate</w:t>
            </w:r>
          </w:p>
        </w:tc>
        <w:tc>
          <w:tcPr>
            <w:tcW w:w="32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w w:val="97"/>
              </w:rPr>
              <w:t>1,759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135</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390</w:t>
            </w:r>
          </w:p>
        </w:tc>
        <w:tc>
          <w:tcPr>
            <w:tcW w:w="0" w:type="dxa"/>
            <w:vAlign w:val="bottom"/>
          </w:tcPr>
          <w:p>
            <w:pPr>
              <w:spacing w:after="0"/>
              <w:rPr>
                <w:sz w:val="1"/>
                <w:szCs w:val="1"/>
                <w:color w:val="auto"/>
              </w:rPr>
            </w:pPr>
          </w:p>
        </w:tc>
      </w:tr>
      <w:tr>
        <w:trPr>
          <w:trHeight w:val="252"/>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20"/>
                <w:szCs w:val="20"/>
                <w:color w:val="auto"/>
                <w:w w:val="97"/>
              </w:rPr>
              <w:t>1,382</w:t>
            </w:r>
          </w:p>
        </w:tc>
        <w:tc>
          <w:tcPr>
            <w:tcW w:w="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1,419</w:t>
            </w:r>
          </w:p>
        </w:tc>
        <w:tc>
          <w:tcPr>
            <w:tcW w:w="2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3,908</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4,288</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gridSpan w:val="2"/>
          </w:tcPr>
          <w:p>
            <w:pPr>
              <w:ind w:left="520"/>
              <w:spacing w:after="0" w:line="223" w:lineRule="exact"/>
              <w:rPr>
                <w:sz w:val="20"/>
                <w:szCs w:val="20"/>
                <w:color w:val="auto"/>
              </w:rPr>
            </w:pPr>
            <w:r>
              <w:rPr>
                <w:rFonts w:ascii="Times New Roman" w:cs="Times New Roman" w:eastAsia="Times New Roman" w:hAnsi="Times New Roman"/>
                <w:sz w:val="20"/>
                <w:szCs w:val="20"/>
                <w:color w:val="auto"/>
                <w:w w:val="97"/>
              </w:rPr>
              <w:t>8,507</w:t>
            </w: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ind w:right="3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6,130</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21,757</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19,124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color w:val="auto"/>
                <w:w w:val="98"/>
              </w:rPr>
              <w:t>September 30,</w:t>
            </w:r>
          </w:p>
        </w:tc>
        <w:tc>
          <w:tcPr>
            <w:tcW w:w="120" w:type="dxa"/>
            <w:vAlign w:val="bottom"/>
          </w:tcPr>
          <w:p>
            <w:pPr>
              <w:spacing w:after="0"/>
              <w:rPr>
                <w:sz w:val="24"/>
                <w:szCs w:val="24"/>
                <w:color w:val="auto"/>
              </w:rPr>
            </w:pPr>
          </w:p>
        </w:tc>
        <w:tc>
          <w:tcPr>
            <w:tcW w:w="14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December 31,</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center"/>
              <w:ind w:right="401"/>
              <w:spacing w:after="0"/>
              <w:rPr>
                <w:sz w:val="20"/>
                <w:szCs w:val="20"/>
                <w:color w:val="auto"/>
              </w:rPr>
            </w:pPr>
            <w:r>
              <w:rPr>
                <w:rFonts w:ascii="Times New Roman" w:cs="Times New Roman" w:eastAsia="Times New Roman" w:hAnsi="Times New Roman"/>
                <w:sz w:val="20"/>
                <w:szCs w:val="20"/>
                <w:color w:val="auto"/>
                <w:w w:val="94"/>
              </w:rPr>
              <w:t>2015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2014</w:t>
            </w:r>
          </w:p>
        </w:tc>
        <w:tc>
          <w:tcPr>
            <w:tcW w:w="4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6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Finished Products</w:t>
            </w:r>
          </w:p>
        </w:tc>
        <w:tc>
          <w:tcPr>
            <w:tcW w:w="32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841,373</w:t>
            </w:r>
          </w:p>
        </w:tc>
        <w:tc>
          <w:tcPr>
            <w:tcW w:w="160" w:type="dxa"/>
            <w:vAlign w:val="bottom"/>
          </w:tcPr>
          <w:p>
            <w:pPr>
              <w:spacing w:after="0"/>
              <w:rPr>
                <w:sz w:val="19"/>
                <w:szCs w:val="19"/>
                <w:color w:val="auto"/>
              </w:rPr>
            </w:pPr>
          </w:p>
        </w:tc>
        <w:tc>
          <w:tcPr>
            <w:tcW w:w="6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50,748</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Concentrate</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874,605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18,079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gridSpan w:val="3"/>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1,715,978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68,827</w:t>
            </w: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Corporate and unallocated expenses for the three-months ended September 30, 2015 include $27.1 million of payroll costs, of which $8.9 million was attributable to stock-based compensation expense (see Note 14, “Stock-Based Compensation”), as well as $10.0 million attributable to professional service expenses, including accounting and legal costs, and $6.0 million of other operating expenses. Corporate and unallocated expenses for the three-months ended September 30, 2014 include $21.9 million of payroll costs, of which $7.4 million was attributable to stock-based compensation expense (see Note 14, “Stock-Based Compensation”), as well as $10.1 million attributable to professional service expenses, including accounting and legal costs, and $11.4 million attributable to other operating expenses.</w:t>
      </w:r>
    </w:p>
    <w:p>
      <w:pPr>
        <w:spacing w:after="0" w:line="1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Corporate and unallocated expenses for the nine-months ended September 30, 2015 include $83.9 million of payroll costs, of which $23.7 million was attributable to stock-based compensation expense (see Note 14, “Stock-Based Compensation”), as well as $31.2 million attributable to professional service expenses, including accounting and legal costs, and $36.2 million attributable to other operating expenses. Corporate and unallocated expenses for the nine-months ended September 30, 2014 include $64.6 million of payroll costs, of which $22.5 million was attributable to stock-based compensation expense (see Note 14, “Stock-Based Compensation”), as well as $30.2 million attributable to professional service expenses, including accounting and legal costs, and $28.1 million attributable to other operating expenses.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Coca-Cola Refreshments USA Inc. (“CCR”) accounted for approximately 41% and 28% of the Company’s net sales for the three-months ended September 30, 2015 and 2014, respectively. CCR accounted for approximately 41% and 29% of the Company’s net sales for the nine-months ended September 30, 2015 and 2014,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49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Net sales to customers outside the United States amounted to $170.6 million and $136.3 million for the three-months ended September 30, 2015 and 2014, respectively. Net sales to customers outside the United States amounted to $435.1 million and $400.4 million</w:t>
      </w:r>
    </w:p>
    <w:p>
      <w:pPr>
        <w:sectPr>
          <w:pgSz w:w="11900" w:h="16838" w:orient="portrait"/>
          <w:cols w:equalWidth="0" w:num="1">
            <w:col w:w="11420"/>
          </w:cols>
          <w:pgMar w:left="240" w:top="116" w:right="2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for the nine-months ended September 30, 2015 and 2014, respectively.</w:t>
      </w:r>
    </w:p>
    <w:p>
      <w:pPr>
        <w:spacing w:after="0" w:line="228"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As a result of the TCCC Transaction, TCCC controls more than 10% of the voting interests of the Company. TCCC, through certain wholly-owned subsidiaries (the “TCCC Subsidiaries”) and through certain affiliated companies (the “TCCC Affiliates”) purchases and distributes certain of the Company’s products both domestically and in certain international territories. The Company also pays TCCC a sales commission based on certain sales within the TCCC bottling network. TCCC commissions based on sales to the TCCC Affiliates for the three-months ended September 30, 2015 and 2014 were $7.7 million and $0.7 million, respectively. TCCC commissions based on sales to the TCCC Affiliates for the nine-months ended September 30, 2015 and 2014 were $9.4 million and $1.6 million, respectively. TCCC commissions based on sales to the TCCC Subsidiaries are accounted for as a reduction to revenue and are reported in net sales to the TCCC Subsidiaries. Net sales to the TCCC Subsidiaries for the three-months ended September 30, 2015 and 2014 were $313.1 million and $176.6 million, respectively. Net Sales to the TCCC Subsidiaries for the nine-months ended September 30, 2015 and 2014 were $842.9 million and $540.0 million, respectively. Accounts receivable, accounts payable and accrued promotional allowances related to the TCCC Subsidiaries are as follows at:</w:t>
      </w:r>
    </w:p>
    <w:p>
      <w:pPr>
        <w:spacing w:after="0" w:line="186"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December 31,</w:t>
            </w:r>
          </w:p>
        </w:tc>
      </w:tr>
      <w:tr>
        <w:trPr>
          <w:trHeight w:val="252"/>
        </w:trPr>
        <w:tc>
          <w:tcPr>
            <w:tcW w:w="4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2014</w:t>
            </w:r>
          </w:p>
        </w:tc>
      </w:tr>
      <w:tr>
        <w:trPr>
          <w:trHeight w:val="430"/>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167,989</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79,404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2,854</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14,353</w:t>
            </w:r>
          </w:p>
        </w:tc>
      </w:tr>
      <w:tr>
        <w:trPr>
          <w:trHeight w:val="258"/>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Accrued promotional allowances</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37,518</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23,776</w:t>
            </w:r>
          </w:p>
        </w:tc>
      </w:tr>
    </w:tbl>
    <w:p>
      <w:pPr>
        <w:spacing w:after="0" w:line="200" w:lineRule="exact"/>
        <w:rPr>
          <w:sz w:val="20"/>
          <w:szCs w:val="20"/>
          <w:color w:val="auto"/>
        </w:rPr>
      </w:pPr>
    </w:p>
    <w:p>
      <w:pPr>
        <w:spacing w:after="0" w:line="3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both the three-months ended September 30, 2015 and 2014 were $0.3 million. Expenses incurred with such company in connection with promotional materials purchased during the nine-months ended September 30, 2015 and 2014 were $1.5 million and $0.5 million,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Monster Beverage 1990 Corporation (formerly Monster Beverage Corporation) (“Old Monster”) was incorporated in Delaware on April 25, 1990. As a result of the TCCC Transaction (as defined and described below), Old Monster effected a holding company reorganization on June 12, 2015, pursuant to which it became a wholly owned subsidiary of New Laser Corporation, which then changed its name to “Monster Beverage Corporation”.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principal place of business is located at 1 Monster Way, Corona, California 92879 and our telephone number is (951) 739-6200. When this report uses the words “the Company” “we”, “us”, and “our”, these words refer to Monster Beverage Corporation and its subsidiaries, unless the context otherwise requires. We are a holding company and conduct no operating business except through our consolidated subsidiaries.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June 12, 2015, Old Monster, now a wholly owned subsidiary of the Company,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Also, on June 12, 2015, Old Monster effected a holding company reorganization in connection with the TCCC Transaction by merging New Laser Merger Corp., a wholly owned subsidiary of the Company into Old Monster, with Old Monster surviving as a wholly owned subsidiary of the Company (the “Holding Company Reorganization”), and the Company changed its name from New Laser Corporation to “Monster Beverage Corporation.”</w:t>
      </w:r>
    </w:p>
    <w:p>
      <w:pPr>
        <w:spacing w:after="0" w:line="194"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In the Holding Company Reorganization, each Old Monster common share, par value $0.005 per share, outstanding immediately prior to consummation of the Holding Company Reorganization (other than any Old Monster common shares owned by Old Monster immediately prior to the closing of the TCCC Transaction, which were cancelled) was converted automatically into the right to receive one Company common share, par value $0.005 per share. In addition, upon consummation of the Holding Company Reorganization:</w:t>
      </w:r>
    </w:p>
    <w:p>
      <w:pPr>
        <w:spacing w:after="0" w:line="194" w:lineRule="exact"/>
        <w:rPr>
          <w:sz w:val="20"/>
          <w:szCs w:val="20"/>
          <w:color w:val="auto"/>
        </w:rPr>
      </w:pPr>
    </w:p>
    <w:p>
      <w:pPr>
        <w:jc w:val="both"/>
        <w:ind w:left="660" w:hanging="328"/>
        <w:spacing w:after="0" w:line="249" w:lineRule="auto"/>
        <w:tabs>
          <w:tab w:leader="none" w:pos="64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193"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77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w:t>
      </w:r>
    </w:p>
    <w:p>
      <w:pPr>
        <w:sectPr>
          <w:pgSz w:w="11900" w:h="16838" w:orient="portrait"/>
          <w:cols w:equalWidth="0" w:num="1">
            <w:col w:w="11420"/>
          </w:cols>
          <w:pgMar w:left="240" w:top="118" w:right="239" w:bottom="0" w:gutter="0" w:footer="0" w:header="0"/>
        </w:sectPr>
      </w:pPr>
    </w:p>
    <w:bookmarkStart w:id="24" w:name="page25"/>
    <w:bookmarkEnd w:id="24"/>
    <w:p>
      <w:pPr>
        <w:spacing w:after="0" w:line="78"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20"/>
          <w:szCs w:val="20"/>
          <w:color w:val="auto"/>
        </w:rPr>
        <w:t>(including the vesting or other lapse restrictions (without acceleration thereof by virtue of the Holding Company Reorganization and the TCCC Transaction)).</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including NOS®, Full Throttle®, Burn®, Mother®, Play®, Power Play®, Relentless®, Nalu® and other brands (the “Strategic Brands”) to the Company, (3) Old Monster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is currently held in escrow as described below pursuant to an escrow agreement (the “Escrow Agreement”), subject to release upon the achievement of milestones relating to the transition of distribution rights to TCCC’s distribution network.</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Under the terms of the Escrow Agreement and the transition payment agreement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7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Percentage Transitioned</w:t>
            </w: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7"/>
        </w:trPr>
        <w:tc>
          <w:tcPr>
            <w:tcW w:w="1920" w:type="dxa"/>
            <w:vAlign w:val="bottom"/>
          </w:tcPr>
          <w:p>
            <w:pPr>
              <w:jc w:val="right"/>
              <w:ind w:right="1121"/>
              <w:spacing w:after="0" w:line="228" w:lineRule="exact"/>
              <w:rPr>
                <w:sz w:val="20"/>
                <w:szCs w:val="20"/>
                <w:color w:val="auto"/>
              </w:rPr>
            </w:pPr>
            <w:r>
              <w:rPr>
                <w:rFonts w:ascii="Times New Roman" w:cs="Times New Roman" w:eastAsia="Times New Roman" w:hAnsi="Times New Roman"/>
                <w:sz w:val="20"/>
                <w:szCs w:val="20"/>
                <w:color w:val="auto"/>
              </w:rPr>
              <w:t>40%</w:t>
            </w:r>
          </w:p>
        </w:tc>
        <w:tc>
          <w:tcPr>
            <w:tcW w:w="980" w:type="dxa"/>
            <w:vAlign w:val="bottom"/>
          </w:tcPr>
          <w:p>
            <w:pPr>
              <w:spacing w:after="0"/>
              <w:rPr>
                <w:sz w:val="19"/>
                <w:szCs w:val="19"/>
                <w:color w:val="auto"/>
              </w:rPr>
            </w:pPr>
          </w:p>
        </w:tc>
        <w:tc>
          <w:tcPr>
            <w:tcW w:w="3900" w:type="dxa"/>
            <w:vAlign w:val="bottom"/>
            <w:gridSpan w:val="3"/>
          </w:tcPr>
          <w:p>
            <w:pPr>
              <w:ind w:left="960"/>
              <w:spacing w:after="0" w:line="228" w:lineRule="exact"/>
              <w:rPr>
                <w:sz w:val="20"/>
                <w:szCs w:val="20"/>
                <w:color w:val="auto"/>
              </w:rPr>
            </w:pPr>
            <w:r>
              <w:rPr>
                <w:rFonts w:ascii="Times New Roman" w:cs="Times New Roman" w:eastAsia="Times New Roman" w:hAnsi="Times New Roman"/>
                <w:sz w:val="20"/>
                <w:szCs w:val="20"/>
                <w:color w:val="auto"/>
              </w:rPr>
              <w:t>Amounts in excess of $375 million</w:t>
            </w:r>
          </w:p>
        </w:tc>
      </w:tr>
      <w:tr>
        <w:trPr>
          <w:trHeight w:val="230"/>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50%</w:t>
            </w:r>
          </w:p>
        </w:tc>
        <w:tc>
          <w:tcPr>
            <w:tcW w:w="980" w:type="dxa"/>
            <w:vAlign w:val="bottom"/>
          </w:tcPr>
          <w:p>
            <w:pPr>
              <w:spacing w:after="0"/>
              <w:rPr>
                <w:sz w:val="19"/>
                <w:szCs w:val="19"/>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w w:val="98"/>
              </w:rPr>
              <w:t>Amounts in excess of $312.5 million</w:t>
            </w:r>
          </w:p>
        </w:tc>
      </w:tr>
      <w:tr>
        <w:trPr>
          <w:trHeight w:val="230"/>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60%</w:t>
            </w:r>
          </w:p>
        </w:tc>
        <w:tc>
          <w:tcPr>
            <w:tcW w:w="980" w:type="dxa"/>
            <w:vAlign w:val="bottom"/>
          </w:tcPr>
          <w:p>
            <w:pPr>
              <w:spacing w:after="0"/>
              <w:rPr>
                <w:sz w:val="19"/>
                <w:szCs w:val="19"/>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Amounts in excess of $250 million</w:t>
            </w:r>
          </w:p>
        </w:tc>
      </w:tr>
      <w:tr>
        <w:trPr>
          <w:trHeight w:val="230"/>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70%</w:t>
            </w:r>
          </w:p>
        </w:tc>
        <w:tc>
          <w:tcPr>
            <w:tcW w:w="980" w:type="dxa"/>
            <w:vAlign w:val="bottom"/>
          </w:tcPr>
          <w:p>
            <w:pPr>
              <w:spacing w:after="0"/>
              <w:rPr>
                <w:sz w:val="19"/>
                <w:szCs w:val="19"/>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w w:val="98"/>
              </w:rPr>
              <w:t>Amounts in excess of $187.5 million</w:t>
            </w:r>
          </w:p>
        </w:tc>
      </w:tr>
      <w:tr>
        <w:trPr>
          <w:trHeight w:val="230"/>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80%</w:t>
            </w:r>
          </w:p>
        </w:tc>
        <w:tc>
          <w:tcPr>
            <w:tcW w:w="980" w:type="dxa"/>
            <w:vAlign w:val="bottom"/>
          </w:tcPr>
          <w:p>
            <w:pPr>
              <w:spacing w:after="0"/>
              <w:rPr>
                <w:sz w:val="19"/>
                <w:szCs w:val="19"/>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Amounts in excess of $125 million</w:t>
            </w:r>
          </w:p>
        </w:tc>
      </w:tr>
      <w:tr>
        <w:trPr>
          <w:trHeight w:val="230"/>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90%</w:t>
            </w:r>
          </w:p>
        </w:tc>
        <w:tc>
          <w:tcPr>
            <w:tcW w:w="980" w:type="dxa"/>
            <w:vAlign w:val="bottom"/>
          </w:tcPr>
          <w:p>
            <w:pPr>
              <w:spacing w:after="0"/>
              <w:rPr>
                <w:sz w:val="19"/>
                <w:szCs w:val="19"/>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Amounts in excess of $62.5 million</w:t>
            </w:r>
          </w:p>
        </w:tc>
      </w:tr>
      <w:tr>
        <w:trPr>
          <w:trHeight w:val="258"/>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95%</w:t>
            </w:r>
          </w:p>
        </w:tc>
        <w:tc>
          <w:tcPr>
            <w:tcW w:w="980" w:type="dxa"/>
            <w:vAlign w:val="bottom"/>
          </w:tcPr>
          <w:p>
            <w:pPr>
              <w:spacing w:after="0"/>
              <w:rPr>
                <w:sz w:val="22"/>
                <w:szCs w:val="22"/>
                <w:color w:val="auto"/>
              </w:rPr>
            </w:pPr>
          </w:p>
        </w:tc>
        <w:tc>
          <w:tcPr>
            <w:tcW w:w="39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All remaining amounts</w:t>
            </w:r>
          </w:p>
        </w:tc>
      </w:tr>
    </w:tbl>
    <w:p>
      <w:pPr>
        <w:spacing w:after="0" w:line="20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On the one-year anniversary of the closing of the TCCC Transaction, the then-remaining escrow amount, less an amount sufficient to cover any unresolved claims, will be released to TCCC. Any amount described above that becomes payable following the one-year anniversary will be paid directly from TCCC to the Company.</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TCCC is contractually obligated to authorize payment to the Company of the funds in escrow upon achievement of the milestones referred to above. As of November 6, 2015, distribution rights in the U.S. representing approximately 89% of the target case sales have been transitioned to TCCC’s distribution network. As a result, $125 million is currently held in escrow. The Company expects to commence steps to transition sufficient additional distribution rights, which will, in due course, result in the release of all remaining amounts held in escrow. Therefore, the Company believes that achievement of the milestones is probable.</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accordance with ASC No. 420 “Exit or Disposal Cost Obligations”, the Company expenses distributor termination costs in the period in which the written notification of termination occurs. As a result, the Company incurred termination amounts of $2.5 million and $220.7 million for the three- and nine-months ended September 30, 2015 related to the distribution rights transferred to TCCC’s distribution network. Such termination amounts have been expensed in full and are included in operating expenses for the three- and nine-months ended September 30, 2015. In addition, the Company recognized as income $39.8 million in the first quarter of 2015, related to the accelerated amortization of the deferred revenue balances associated with certain of the Company’s prior distributors who were sent notices of termination during the first quarter of 2015.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selected items discussed above for the three- and nine-months ended September 30, 2015:</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8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Three-Months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7"/>
              </w:rPr>
              <w:t>Nine-Months</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8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7"/>
              </w:rPr>
              <w:t>Ended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rPr>
              <w:t>Ended</w:t>
            </w:r>
          </w:p>
        </w:tc>
        <w:tc>
          <w:tcPr>
            <w:tcW w:w="0" w:type="dxa"/>
            <w:vAlign w:val="bottom"/>
          </w:tcPr>
          <w:p>
            <w:pPr>
              <w:spacing w:after="0"/>
              <w:rPr>
                <w:sz w:val="1"/>
                <w:szCs w:val="1"/>
                <w:color w:val="auto"/>
              </w:rPr>
            </w:pPr>
          </w:p>
        </w:tc>
      </w:tr>
      <w:tr>
        <w:trPr>
          <w:trHeight w:val="230"/>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8"/>
              </w:rPr>
              <w:t>Income Statement Items (in thousands):</w:t>
            </w:r>
          </w:p>
        </w:tc>
        <w:tc>
          <w:tcPr>
            <w:tcW w:w="1940" w:type="dxa"/>
            <w:vAlign w:val="bottom"/>
            <w:vMerge w:val="restart"/>
          </w:tcPr>
          <w:p>
            <w:pPr>
              <w:spacing w:after="0"/>
              <w:rPr>
                <w:sz w:val="19"/>
                <w:szCs w:val="19"/>
                <w:color w:val="auto"/>
              </w:rPr>
            </w:pPr>
          </w:p>
        </w:tc>
        <w:tc>
          <w:tcPr>
            <w:tcW w:w="148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8"/>
              </w:rPr>
              <w:t>September 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auto"/>
            </w:tcBorders>
            <w:vMerge w:val="continue"/>
          </w:tcPr>
          <w:p>
            <w:pPr>
              <w:spacing w:after="0"/>
              <w:rPr>
                <w:sz w:val="18"/>
                <w:szCs w:val="18"/>
                <w:color w:val="auto"/>
              </w:rPr>
            </w:pPr>
          </w:p>
        </w:tc>
        <w:tc>
          <w:tcPr>
            <w:tcW w:w="1940" w:type="dxa"/>
            <w:vAlign w:val="bottom"/>
            <w:vMerge w:val="continue"/>
          </w:tcPr>
          <w:p>
            <w:pPr>
              <w:spacing w:after="0"/>
              <w:rPr>
                <w:sz w:val="18"/>
                <w:szCs w:val="18"/>
                <w:color w:val="auto"/>
              </w:rPr>
            </w:pPr>
          </w:p>
        </w:tc>
        <w:tc>
          <w:tcPr>
            <w:tcW w:w="1480" w:type="dxa"/>
            <w:vAlign w:val="bottom"/>
          </w:tcPr>
          <w:p>
            <w:pPr>
              <w:jc w:val="center"/>
              <w:ind w:left="121"/>
              <w:spacing w:after="0" w:line="212" w:lineRule="exact"/>
              <w:rPr>
                <w:sz w:val="20"/>
                <w:szCs w:val="20"/>
                <w:color w:val="auto"/>
              </w:rPr>
            </w:pPr>
            <w:r>
              <w:rPr>
                <w:rFonts w:ascii="Times New Roman" w:cs="Times New Roman" w:eastAsia="Times New Roman" w:hAnsi="Times New Roman"/>
                <w:sz w:val="20"/>
                <w:szCs w:val="20"/>
                <w:color w:val="auto"/>
                <w:w w:val="94"/>
              </w:rPr>
              <w:t>2015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141"/>
              <w:spacing w:after="0" w:line="212" w:lineRule="exact"/>
              <w:rPr>
                <w:sz w:val="20"/>
                <w:szCs w:val="20"/>
                <w:color w:val="auto"/>
              </w:rPr>
            </w:pPr>
            <w:r>
              <w:rPr>
                <w:rFonts w:ascii="Times New Roman" w:cs="Times New Roman" w:eastAsia="Times New Roman" w:hAnsi="Times New Roman"/>
                <w:sz w:val="20"/>
                <w:szCs w:val="20"/>
                <w:color w:val="auto"/>
                <w:w w:val="99"/>
              </w:rPr>
              <w:t>2015</w:t>
            </w:r>
          </w:p>
        </w:tc>
        <w:tc>
          <w:tcPr>
            <w:tcW w:w="0" w:type="dxa"/>
            <w:vAlign w:val="bottom"/>
          </w:tcPr>
          <w:p>
            <w:pPr>
              <w:spacing w:after="0"/>
              <w:rPr>
                <w:sz w:val="1"/>
                <w:szCs w:val="1"/>
                <w:color w:val="auto"/>
              </w:rPr>
            </w:pPr>
          </w:p>
        </w:tc>
      </w:tr>
      <w:tr>
        <w:trPr>
          <w:trHeight w:val="21"/>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Included in Net Sales:</w:t>
            </w: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3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Accelerated recognition of deferred revenue</w:t>
            </w:r>
          </w:p>
        </w:tc>
        <w:tc>
          <w:tcPr>
            <w:tcW w:w="148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39,761</w:t>
            </w:r>
          </w:p>
        </w:tc>
        <w:tc>
          <w:tcPr>
            <w:tcW w:w="0" w:type="dxa"/>
            <w:vAlign w:val="bottom"/>
          </w:tcPr>
          <w:p>
            <w:pPr>
              <w:spacing w:after="0"/>
              <w:rPr>
                <w:sz w:val="1"/>
                <w:szCs w:val="1"/>
                <w:color w:val="auto"/>
              </w:rPr>
            </w:pPr>
          </w:p>
        </w:tc>
      </w:tr>
    </w:tbl>
    <w:p>
      <w:pPr>
        <w:sectPr>
          <w:pgSz w:w="11900" w:h="16917" w:orient="portrait"/>
          <w:cols w:equalWidth="0" w:num="1">
            <w:col w:w="11420"/>
          </w:cols>
          <w:pgMar w:left="240" w:top="118" w:right="239" w:bottom="0" w:gutter="0" w:footer="0" w:header="0"/>
        </w:sectPr>
      </w:pPr>
    </w:p>
    <w:bookmarkStart w:id="25" w:name="page26"/>
    <w:bookmarkEnd w:id="25"/>
    <w:p>
      <w:pPr>
        <w:spacing w:after="0" w:line="7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jc w:val="center"/>
              <w:ind w:right="2641"/>
              <w:spacing w:after="0"/>
              <w:rPr>
                <w:sz w:val="20"/>
                <w:szCs w:val="20"/>
                <w:color w:val="auto"/>
              </w:rPr>
            </w:pPr>
            <w:r>
              <w:rPr>
                <w:rFonts w:ascii="Times New Roman" w:cs="Times New Roman" w:eastAsia="Times New Roman" w:hAnsi="Times New Roman"/>
                <w:sz w:val="20"/>
                <w:szCs w:val="20"/>
                <w:color w:val="auto"/>
                <w:w w:val="98"/>
              </w:rPr>
              <w:t>Included in Operating Expenses:</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jc w:val="center"/>
              <w:ind w:right="2581"/>
              <w:spacing w:after="0"/>
              <w:rPr>
                <w:sz w:val="20"/>
                <w:szCs w:val="20"/>
                <w:color w:val="auto"/>
              </w:rPr>
            </w:pPr>
            <w:r>
              <w:rPr>
                <w:rFonts w:ascii="Times New Roman" w:cs="Times New Roman" w:eastAsia="Times New Roman" w:hAnsi="Times New Roman"/>
                <w:sz w:val="20"/>
                <w:szCs w:val="20"/>
                <w:color w:val="auto"/>
                <w:w w:val="99"/>
              </w:rPr>
              <w:t>Distributor termination costs</w:t>
            </w:r>
          </w:p>
        </w:tc>
        <w:tc>
          <w:tcPr>
            <w:tcW w:w="6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2,471</w:t>
            </w:r>
          </w:p>
        </w:tc>
        <w:tc>
          <w:tcPr>
            <w:tcW w:w="280" w:type="dxa"/>
            <w:vAlign w:val="bottom"/>
          </w:tcPr>
          <w:p>
            <w:pPr>
              <w:spacing w:after="0"/>
              <w:rPr>
                <w:sz w:val="19"/>
                <w:szCs w:val="19"/>
                <w:color w:val="auto"/>
              </w:rPr>
            </w:pPr>
          </w:p>
        </w:tc>
        <w:tc>
          <w:tcPr>
            <w:tcW w:w="5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220,658</w:t>
            </w:r>
          </w:p>
        </w:tc>
        <w:tc>
          <w:tcPr>
            <w:tcW w:w="0" w:type="dxa"/>
            <w:vAlign w:val="bottom"/>
          </w:tcPr>
          <w:p>
            <w:pPr>
              <w:spacing w:after="0"/>
              <w:rPr>
                <w:sz w:val="1"/>
                <w:szCs w:val="1"/>
                <w:color w:val="auto"/>
              </w:rPr>
            </w:pPr>
          </w:p>
        </w:tc>
      </w:tr>
      <w:tr>
        <w:trPr>
          <w:trHeight w:val="258"/>
        </w:trPr>
        <w:tc>
          <w:tcPr>
            <w:tcW w:w="5320" w:type="dxa"/>
            <w:vAlign w:val="bottom"/>
          </w:tcPr>
          <w:p>
            <w:pPr>
              <w:jc w:val="center"/>
              <w:ind w:right="2601"/>
              <w:spacing w:after="0"/>
              <w:rPr>
                <w:sz w:val="20"/>
                <w:szCs w:val="20"/>
                <w:color w:val="auto"/>
              </w:rPr>
            </w:pPr>
            <w:r>
              <w:rPr>
                <w:rFonts w:ascii="Times New Roman" w:cs="Times New Roman" w:eastAsia="Times New Roman" w:hAnsi="Times New Roman"/>
                <w:sz w:val="20"/>
                <w:szCs w:val="20"/>
                <w:color w:val="auto"/>
                <w:w w:val="98"/>
              </w:rPr>
              <w:t>TCCC Transaction expenses</w:t>
            </w:r>
          </w:p>
        </w:tc>
        <w:tc>
          <w:tcPr>
            <w:tcW w:w="6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292</w:t>
            </w:r>
          </w:p>
        </w:tc>
        <w:tc>
          <w:tcPr>
            <w:tcW w:w="28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15,426</w:t>
            </w: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Monster Non-Energy</w:t>
            </w:r>
          </w:p>
        </w:tc>
        <w:tc>
          <w:tcPr>
            <w:tcW w:w="6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5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161,470</w:t>
            </w:r>
          </w:p>
        </w:tc>
        <w:tc>
          <w:tcPr>
            <w:tcW w:w="0" w:type="dxa"/>
            <w:vAlign w:val="bottom"/>
          </w:tcPr>
          <w:p>
            <w:pPr>
              <w:spacing w:after="0"/>
              <w:rPr>
                <w:sz w:val="1"/>
                <w:szCs w:val="1"/>
                <w:color w:val="auto"/>
              </w:rPr>
            </w:pPr>
          </w:p>
        </w:tc>
      </w:tr>
      <w:tr>
        <w:trPr>
          <w:trHeight w:val="224"/>
        </w:trPr>
        <w:tc>
          <w:tcPr>
            <w:tcW w:w="5320" w:type="dxa"/>
            <w:vAlign w:val="bottom"/>
            <w:vMerge w:val="restart"/>
          </w:tcPr>
          <w:p>
            <w:pPr>
              <w:jc w:val="center"/>
              <w:ind w:right="2601"/>
              <w:spacing w:after="0"/>
              <w:rPr>
                <w:sz w:val="20"/>
                <w:szCs w:val="20"/>
                <w:color w:val="auto"/>
              </w:rPr>
            </w:pPr>
            <w:r>
              <w:rPr>
                <w:rFonts w:ascii="Times New Roman" w:cs="Times New Roman" w:eastAsia="Times New Roman" w:hAnsi="Times New Roman"/>
                <w:sz w:val="20"/>
                <w:szCs w:val="20"/>
                <w:color w:val="auto"/>
                <w:w w:val="99"/>
              </w:rPr>
              <w:t>Net Impact on Operating Income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640" w:type="dxa"/>
            <w:vAlign w:val="bottom"/>
            <w:tcBorders>
              <w:bottom w:val="single" w:sz="8" w:color="auto"/>
            </w:tcBorders>
          </w:tcPr>
          <w:p>
            <w:pPr>
              <w:jc w:val="right"/>
              <w:ind w:right="3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(2,763)</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(34,853)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develop, market, sell and distribute “alternative” beverage category beverages primarily under the following brand names: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Monster Energy®</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Monster Rehab®</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Monster Energy Extra Strength Nitrous Technology®</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Java Monster®</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Muscle Monster®</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Mega Monster Energy®</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Ultra®</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Punch Monster®</w:t>
            </w:r>
          </w:p>
        </w:tc>
        <w:tc>
          <w:tcPr>
            <w:tcW w:w="322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   Play® and Power Play®</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Juice Monster®</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M3®</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Übermonster®</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Samurai®</w:t>
            </w:r>
          </w:p>
        </w:tc>
      </w:tr>
      <w:tr>
        <w:trPr>
          <w:trHeight w:val="258"/>
        </w:trPr>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5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BPM®</w:t>
            </w:r>
          </w:p>
        </w:tc>
      </w:tr>
    </w:tbl>
    <w:p>
      <w:pPr>
        <w:spacing w:after="0" w:line="201"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Our Monster Energy® drinks, which represented 90.8% and 93.5% of our net sales for the three-months ended September 30, 2015 and 2014, respectively, include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Energy®</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Java Monster® Kona Blend</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Lo-Carb Monster Energy®</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Java Monster® Loca Moca®</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Assault®</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Java Monster® Mean Bean®</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Juice Monster® Khaos®</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Java Monster® Vanilla Light</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Juice Monster® Ripper®</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Java Monster® Irish Blend®</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Juice Monster® Pipeline Punch™</w:t>
            </w:r>
          </w:p>
        </w:tc>
        <w:tc>
          <w:tcPr>
            <w:tcW w:w="15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Java Monster® Cappuccino</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Energy® Absolutely Zero</w:t>
            </w:r>
          </w:p>
        </w:tc>
        <w:tc>
          <w:tcPr>
            <w:tcW w:w="15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Mega Monster Energy®</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Energy® Import</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Monster Energy Extra Strength Nitrous</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Punch Monster® Baller’s Blend® (formerly Dub Edition)</w:t>
            </w:r>
          </w:p>
        </w:tc>
        <w:tc>
          <w:tcPr>
            <w:tcW w:w="1500" w:type="dxa"/>
            <w:vAlign w:val="bottom"/>
          </w:tcPr>
          <w:p>
            <w:pPr>
              <w:spacing w:after="0"/>
              <w:rPr>
                <w:sz w:val="19"/>
                <w:szCs w:val="19"/>
                <w:color w:val="auto"/>
              </w:rPr>
            </w:pPr>
          </w:p>
        </w:tc>
        <w:tc>
          <w:tcPr>
            <w:tcW w:w="43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Technology® Super Dry™</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Punch Monster® Mad Dog (formerly Dub Edition)</w:t>
            </w:r>
          </w:p>
        </w:tc>
        <w:tc>
          <w:tcPr>
            <w:tcW w:w="58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   Monster Energy Extra Strength Nitrous</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Rehab® Tea + Lemonade + Energy</w:t>
            </w:r>
          </w:p>
        </w:tc>
        <w:tc>
          <w:tcPr>
            <w:tcW w:w="1500" w:type="dxa"/>
            <w:vAlign w:val="bottom"/>
          </w:tcPr>
          <w:p>
            <w:pPr>
              <w:spacing w:after="0"/>
              <w:rPr>
                <w:sz w:val="19"/>
                <w:szCs w:val="19"/>
                <w:color w:val="auto"/>
              </w:rPr>
            </w:pPr>
          </w:p>
        </w:tc>
        <w:tc>
          <w:tcPr>
            <w:tcW w:w="43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Technology® Anti-Gravity®</w:t>
            </w:r>
          </w:p>
        </w:tc>
      </w:tr>
      <w:tr>
        <w:trPr>
          <w:trHeight w:val="258"/>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9"/>
              </w:rPr>
              <w:t>Monster Rehab® Raspberry Tea + Energy (formerly Rojo)</w:t>
            </w:r>
          </w:p>
        </w:tc>
        <w:tc>
          <w:tcPr>
            <w:tcW w:w="15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Monster Cuba-Lima®</w:t>
            </w:r>
          </w:p>
        </w:tc>
      </w:tr>
      <w:tr>
        <w:trPr>
          <w:trHeight w:val="426"/>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438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r>
      <w:tr>
        <w:trPr>
          <w:trHeight w:val="523"/>
        </w:trPr>
        <w:tc>
          <w:tcPr>
            <w:tcW w:w="55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5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443"/>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Rehab® Green Tea + Energy</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Zero Ultra</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Rehab® Tea + Orangeade + Energy</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Ultra Blue™</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Rehab® Tea + Pink Lemonade + Energy</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Ultra Red™</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Rehab® Peach Tea + Energy</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Ultra Black™</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Vanilla</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Ultra Sunrise®</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Chocolate</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Ultra Citron™</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Coffee</w:t>
            </w: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Monster Energy® Unleaded™</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Strawberry</w:t>
            </w: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Übermonster® Energy Brew™</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Peanut Butter Cup</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M3® Monster Energy® Super Concentrate</w:t>
            </w:r>
          </w:p>
        </w:tc>
      </w:tr>
      <w:tr>
        <w:trPr>
          <w:trHeight w:val="230"/>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Muscle Monster® Banana</w:t>
            </w:r>
          </w:p>
        </w:tc>
        <w:tc>
          <w:tcPr>
            <w:tcW w:w="5880" w:type="dxa"/>
            <w:vAlign w:val="bottom"/>
            <w:gridSpan w:val="2"/>
          </w:tcPr>
          <w:p>
            <w:pPr>
              <w:ind w:left="1220"/>
              <w:spacing w:after="0"/>
              <w:rPr>
                <w:sz w:val="20"/>
                <w:szCs w:val="20"/>
                <w:color w:val="auto"/>
              </w:rPr>
            </w:pPr>
            <w:r>
              <w:rPr>
                <w:rFonts w:ascii="Times New Roman" w:cs="Times New Roman" w:eastAsia="Times New Roman" w:hAnsi="Times New Roman"/>
                <w:sz w:val="20"/>
                <w:szCs w:val="20"/>
                <w:color w:val="auto"/>
              </w:rPr>
              <w:t>·   Monster Energy® Valentino Rossi</w:t>
            </w:r>
          </w:p>
        </w:tc>
      </w:tr>
      <w:tr>
        <w:trPr>
          <w:trHeight w:val="258"/>
        </w:trPr>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49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Monster Ghost™ M-100™</w:t>
            </w: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Monster Phantom™ M-100™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-2132330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-2132330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The Company has three operating and reportable segments, (i) Finished Products, which is comprised of our Monster Energy® drink products (previously comprising the majority of the former Direct Store Delivery segment) (“Finished Products”), (ii) Concentrate, the principal products of which include the Strategic Brands of energy drinks acquired from TCCC (“Concentrate”) and (iii) Other, the principal products of which include the brands disposed of as a result of the TCCC Transaction (previously comprising the majority of the former Warehouse segment and the Peace Tea® brand).</w:t>
      </w:r>
    </w:p>
    <w:p>
      <w:pPr>
        <w:spacing w:after="0" w:line="194"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During the nine-months ended September 30, 2015, we continued to expand our existing product lines and flavors and further developed our markets. In particular, we continued to focus on developing and marketing beverages that fall within the category generally described as the “alternative” beverage category. During the nine-months ended September 30, 2015, we introduced the following products (in addition to those acquired as part of the TCCC Transaction):</w:t>
      </w:r>
    </w:p>
    <w:p>
      <w:pPr>
        <w:spacing w:after="0" w:line="194" w:lineRule="exact"/>
        <w:rPr>
          <w:sz w:val="20"/>
          <w:szCs w:val="20"/>
          <w:color w:val="auto"/>
        </w:rPr>
      </w:pPr>
    </w:p>
    <w:p>
      <w:pPr>
        <w:ind w:left="700" w:hanging="368"/>
        <w:spacing w:after="0"/>
        <w:tabs>
          <w:tab w:leader="none" w:pos="7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Citron™, a carbonated energy drink which contains zero calories and zero sugar (January 2015).</w:t>
      </w:r>
    </w:p>
    <w:p>
      <w:pPr>
        <w:spacing w:after="0" w:line="21" w:lineRule="exact"/>
        <w:rPr>
          <w:rFonts w:ascii="Times New Roman" w:cs="Times New Roman" w:eastAsia="Times New Roman" w:hAnsi="Times New Roman"/>
          <w:sz w:val="20"/>
          <w:szCs w:val="20"/>
          <w:color w:val="auto"/>
        </w:rPr>
      </w:pPr>
    </w:p>
    <w:p>
      <w:pPr>
        <w:ind w:left="700" w:hanging="368"/>
        <w:spacing w:after="0"/>
        <w:tabs>
          <w:tab w:leader="none" w:pos="7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Rehab® Peach Tea + Energy (January 2015).</w:t>
      </w:r>
    </w:p>
    <w:p>
      <w:pPr>
        <w:ind w:left="700" w:hanging="368"/>
        <w:spacing w:after="0"/>
        <w:tabs>
          <w:tab w:leader="none" w:pos="7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Mega Monster Energy® (January 2015).</w:t>
      </w:r>
    </w:p>
    <w:p>
      <w:pPr>
        <w:sectPr>
          <w:pgSz w:w="11900" w:h="16910" w:orient="portrait"/>
          <w:cols w:equalWidth="0" w:num="1">
            <w:col w:w="11460"/>
          </w:cols>
          <w:pgMar w:left="240" w:top="346" w:right="199" w:bottom="0" w:gutter="0" w:footer="0" w:header="0"/>
        </w:sectPr>
      </w:pPr>
    </w:p>
    <w:bookmarkStart w:id="26" w:name="page27"/>
    <w:bookmarkEnd w:id="26"/>
    <w:p>
      <w:pPr>
        <w:spacing w:after="0" w:line="85" w:lineRule="exact"/>
        <w:rPr>
          <w:sz w:val="20"/>
          <w:szCs w:val="20"/>
          <w:color w:val="auto"/>
        </w:rPr>
      </w:pPr>
    </w:p>
    <w:p>
      <w:pPr>
        <w:ind w:left="700" w:hanging="368"/>
        <w:spacing w:after="0"/>
        <w:tabs>
          <w:tab w:leader="none" w:pos="7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Juice Monster® Pipeline Punch™ (July 2015).</w:t>
      </w:r>
    </w:p>
    <w:p>
      <w:pPr>
        <w:spacing w:after="0" w:line="20" w:lineRule="exact"/>
        <w:rPr>
          <w:rFonts w:ascii="Times New Roman" w:cs="Times New Roman" w:eastAsia="Times New Roman" w:hAnsi="Times New Roman"/>
          <w:sz w:val="20"/>
          <w:szCs w:val="20"/>
          <w:color w:val="auto"/>
        </w:rPr>
      </w:pPr>
    </w:p>
    <w:p>
      <w:pPr>
        <w:ind w:left="700" w:hanging="368"/>
        <w:spacing w:after="0"/>
        <w:tabs>
          <w:tab w:leader="none" w:pos="7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Muscle Monster® Banana (July 2015).</w:t>
      </w:r>
    </w:p>
    <w:p>
      <w:pPr>
        <w:ind w:left="700" w:hanging="368"/>
        <w:spacing w:after="0"/>
        <w:tabs>
          <w:tab w:leader="none" w:pos="7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Ghost™ M-100™, an exclusive limited time listing with a convenience customer (July 2015).</w:t>
      </w:r>
    </w:p>
    <w:p>
      <w:pPr>
        <w:ind w:left="700" w:hanging="368"/>
        <w:spacing w:after="0"/>
        <w:tabs>
          <w:tab w:leader="none" w:pos="7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Phantom™ M-100™, an exclusive limited time listing with certain convenience customers (July 2015).</w:t>
      </w:r>
    </w:p>
    <w:p>
      <w:pPr>
        <w:ind w:left="700" w:hanging="368"/>
        <w:spacing w:after="0"/>
        <w:tabs>
          <w:tab w:leader="none" w:pos="7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Rehab® Raspberry Tea + Energy (August 2015).</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during the nine-months ended September 30, 2015 (other than those disposed of as part of the TCCC Transaction), either individually or in aggregate, did not have a material adverse impact on our financial position, results of operations or liquidity.</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net sales of $756.6 million for the three-months ended September 30, 2015 represented record sales for our third fiscal quarter. The vast majority of our net sales are derived from our Monster Energy® brand energy drinks. Net sales of our Monster Energy® brand energy drinks were $686.7 million for the three-months ended September 30, 2015. Net sales of our Strategic Brands acquired as part of the TCCC Transaction were $69.9 million for the three-months ended September 30, 2015.</w:t>
      </w:r>
    </w:p>
    <w:p>
      <w:pPr>
        <w:spacing w:after="0" w:line="194" w:lineRule="exact"/>
        <w:rPr>
          <w:sz w:val="20"/>
          <w:szCs w:val="20"/>
          <w:color w:val="auto"/>
        </w:rPr>
      </w:pPr>
    </w:p>
    <w:p>
      <w:pPr>
        <w:jc w:val="both"/>
        <w:ind w:firstLine="689"/>
        <w:spacing w:after="0" w:line="249" w:lineRule="auto"/>
        <w:rPr>
          <w:sz w:val="20"/>
          <w:szCs w:val="20"/>
          <w:color w:val="auto"/>
        </w:rPr>
      </w:pPr>
      <w:r>
        <w:rPr>
          <w:rFonts w:ascii="Times New Roman" w:cs="Times New Roman" w:eastAsia="Times New Roman" w:hAnsi="Times New Roman"/>
          <w:sz w:val="20"/>
          <w:szCs w:val="20"/>
          <w:color w:val="auto"/>
        </w:rPr>
        <w:t>Our net sales of $756.6 million for the three-months ended September 30, 2015 were impacted by advance purchases made by our customers due to a pre-announced price increase that became effective on August 31, 2015 on certain of our Monster Energy® brand energy drinks. We estimate that net sales for the three-months ended September 30, 2015 were increased by approximately $11.0 million as a result of such advance purchases.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Changes in foreign currency exchange rates had an unfavorable impact on net sales in the Finished Products segment of approximately $23.1 million for the three-months ended September 30, 2015, which was primarily due to a stronger U.S. dollar compared to certain local currencies in which we conduct certain of our international business. Changes in foreign currency exchange rates had an unfavorable impact on net sales in the Concentrate segment of approximately $5.5 million for the three-months ended September 30, 2015, which was primarily due to a stronger U.S. dollar compared to certain local currencies in which we conduct certain of our international business.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Finished Products segment represented 90.8% and 93.5% of our consolidated net sales for the three-months ended September 30, 2015 and 2014, respectively. Our Concentrate segment represented 9.2% of our consolidated net sales for the three-months ended September 30, 2015. There were no net sales for the Concentrate segment for the three-months ended September 30, 2014. Our Other segment represented 6.5% of our consolidated net sales for the three-months ended September 30, 2014. There were no net sales for the Other segment during the three-months ended September 30, 2015.</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 We are currently evaluating our future strategy for the positioning of our Strategic Brands.</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of our beverage products are manufactured by various third party bottlers and co-packers situated throughout the United States and abroad, under separate arrangements with each party.</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growth strategy includes expanding our international business. Gross sales to customers outside the United States amounted to $207.8 million and $173.2 million for the three-months ended September 30, 2015 and 2014, respectively. Such sales were approximately 24% of gross sales for both the three-months ended September 30, 2015 and 2014, respectively. Changes in foreign currency exchange rates had an unfavorable impact on gross sales to customers outside the United States of approximately 16% for the three-months ended September 30, 2015, which was primarily due to a stronger U.S. dollar compared to certain local currencies in which we conduct certain of our international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three- and nine-months ended September 30, 2015 and 2014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w:t>
      </w:r>
    </w:p>
    <w:p>
      <w:pPr>
        <w:sectPr>
          <w:pgSz w:w="11900" w:h="16924" w:orient="portrait"/>
          <w:cols w:equalWidth="0" w:num="1">
            <w:col w:w="11420"/>
          </w:cols>
          <w:pgMar w:left="240" w:top="118" w:right="239" w:bottom="0" w:gutter="0" w:footer="0" w:header="0"/>
        </w:sectPr>
      </w:pPr>
    </w:p>
    <w:bookmarkStart w:id="27" w:name="page28"/>
    <w:bookmarkEnd w:id="27"/>
    <w:p>
      <w:pPr>
        <w:spacing w:after="0" w:line="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description of our customer types to include only our sales to our full service bottlers/distributors without reference to such distributors’ sales to their own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300" w:type="dxa"/>
            <w:vAlign w:val="bottom"/>
            <w:gridSpan w:val="5"/>
          </w:tcPr>
          <w:p>
            <w:pPr>
              <w:jc w:val="center"/>
              <w:ind w:right="30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0" w:type="dxa"/>
            <w:vAlign w:val="bottom"/>
            <w:gridSpan w:val="4"/>
          </w:tcPr>
          <w:p>
            <w:pPr>
              <w:jc w:val="center"/>
              <w:ind w:right="1180"/>
              <w:spacing w:after="0"/>
              <w:rPr>
                <w:sz w:val="20"/>
                <w:szCs w:val="20"/>
                <w:color w:val="auto"/>
              </w:rPr>
            </w:pPr>
            <w:r>
              <w:rPr>
                <w:rFonts w:ascii="Times New Roman" w:cs="Times New Roman" w:eastAsia="Times New Roman" w:hAnsi="Times New Roman"/>
                <w:sz w:val="20"/>
                <w:szCs w:val="20"/>
                <w:color w:val="auto"/>
                <w:w w:val="98"/>
              </w:rPr>
              <w:t>September 30,</w:t>
            </w:r>
          </w:p>
        </w:tc>
        <w:tc>
          <w:tcPr>
            <w:tcW w:w="900" w:type="dxa"/>
            <w:vAlign w:val="bottom"/>
          </w:tcPr>
          <w:p>
            <w:pPr>
              <w:spacing w:after="0"/>
              <w:rPr>
                <w:sz w:val="21"/>
                <w:szCs w:val="21"/>
                <w:color w:val="auto"/>
              </w:rPr>
            </w:pPr>
          </w:p>
        </w:tc>
        <w:tc>
          <w:tcPr>
            <w:tcW w:w="2120" w:type="dxa"/>
            <w:vAlign w:val="bottom"/>
            <w:gridSpan w:val="3"/>
          </w:tcPr>
          <w:p>
            <w:pPr>
              <w:jc w:val="center"/>
              <w:ind w:right="801"/>
              <w:spacing w:after="0"/>
              <w:rPr>
                <w:sz w:val="20"/>
                <w:szCs w:val="20"/>
                <w:color w:val="auto"/>
              </w:rPr>
            </w:pPr>
            <w:r>
              <w:rPr>
                <w:rFonts w:ascii="Times New Roman" w:cs="Times New Roman" w:eastAsia="Times New Roman" w:hAnsi="Times New Roman"/>
                <w:sz w:val="20"/>
                <w:szCs w:val="20"/>
                <w:color w:val="auto"/>
                <w:w w:val="98"/>
              </w:rPr>
              <w:t>September 30,</w:t>
            </w: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Full service bottlers/distributors</w:t>
            </w:r>
          </w:p>
        </w:tc>
        <w:tc>
          <w:tcPr>
            <w:tcW w:w="900" w:type="dxa"/>
            <w:vAlign w:val="bottom"/>
            <w:tcBorders>
              <w:top w:val="single" w:sz="8" w:color="auto"/>
            </w:tcBorders>
          </w:tcPr>
          <w:p>
            <w:pPr>
              <w:jc w:val="center"/>
              <w:ind w:left="361"/>
              <w:spacing w:after="0" w:line="223" w:lineRule="exact"/>
              <w:rPr>
                <w:sz w:val="20"/>
                <w:szCs w:val="20"/>
                <w:color w:val="auto"/>
              </w:rPr>
            </w:pPr>
            <w:r>
              <w:rPr>
                <w:rFonts w:ascii="Times New Roman" w:cs="Times New Roman" w:eastAsia="Times New Roman" w:hAnsi="Times New Roman"/>
                <w:sz w:val="20"/>
                <w:szCs w:val="20"/>
                <w:color w:val="auto"/>
                <w:w w:val="99"/>
              </w:rPr>
              <w:t>2015</w:t>
            </w:r>
          </w:p>
        </w:tc>
        <w:tc>
          <w:tcPr>
            <w:tcW w:w="2120" w:type="dxa"/>
            <w:vAlign w:val="bottom"/>
            <w:tcBorders>
              <w:top w:val="single" w:sz="8" w:color="auto"/>
            </w:tcBorders>
            <w:gridSpan w:val="3"/>
          </w:tcPr>
          <w:p>
            <w:pPr>
              <w:jc w:val="center"/>
              <w:ind w:left="661"/>
              <w:spacing w:after="0" w:line="223" w:lineRule="exact"/>
              <w:rPr>
                <w:sz w:val="20"/>
                <w:szCs w:val="20"/>
                <w:color w:val="auto"/>
              </w:rPr>
            </w:pPr>
            <w:r>
              <w:rPr>
                <w:rFonts w:ascii="Times New Roman" w:cs="Times New Roman" w:eastAsia="Times New Roman" w:hAnsi="Times New Roman"/>
                <w:sz w:val="20"/>
                <w:szCs w:val="20"/>
                <w:color w:val="auto"/>
                <w:w w:val="99"/>
              </w:rPr>
              <w:t>2014</w:t>
            </w:r>
          </w:p>
        </w:tc>
        <w:tc>
          <w:tcPr>
            <w:tcW w:w="280" w:type="dxa"/>
            <w:vAlign w:val="bottom"/>
          </w:tcPr>
          <w:p>
            <w:pPr>
              <w:spacing w:after="0"/>
              <w:rPr>
                <w:sz w:val="19"/>
                <w:szCs w:val="19"/>
                <w:color w:val="auto"/>
              </w:rPr>
            </w:pPr>
          </w:p>
        </w:tc>
        <w:tc>
          <w:tcPr>
            <w:tcW w:w="900" w:type="dxa"/>
            <w:vAlign w:val="bottom"/>
            <w:tcBorders>
              <w:top w:val="single" w:sz="8" w:color="auto"/>
            </w:tcBorders>
          </w:tcPr>
          <w:p>
            <w:pPr>
              <w:jc w:val="center"/>
              <w:ind w:left="361"/>
              <w:spacing w:after="0" w:line="223" w:lineRule="exact"/>
              <w:rPr>
                <w:sz w:val="20"/>
                <w:szCs w:val="20"/>
                <w:color w:val="auto"/>
              </w:rPr>
            </w:pPr>
            <w:r>
              <w:rPr>
                <w:rFonts w:ascii="Times New Roman" w:cs="Times New Roman" w:eastAsia="Times New Roman" w:hAnsi="Times New Roman"/>
                <w:sz w:val="20"/>
                <w:szCs w:val="20"/>
                <w:color w:val="auto"/>
                <w:w w:val="99"/>
              </w:rPr>
              <w:t>2015</w:t>
            </w:r>
          </w:p>
        </w:tc>
        <w:tc>
          <w:tcPr>
            <w:tcW w:w="2120" w:type="dxa"/>
            <w:vAlign w:val="bottom"/>
            <w:tcBorders>
              <w:top w:val="single" w:sz="8" w:color="auto"/>
            </w:tcBorders>
            <w:gridSpan w:val="3"/>
          </w:tcPr>
          <w:p>
            <w:pPr>
              <w:jc w:val="center"/>
              <w:ind w:left="641"/>
              <w:spacing w:after="0" w:line="223" w:lineRule="exact"/>
              <w:rPr>
                <w:sz w:val="20"/>
                <w:szCs w:val="20"/>
                <w:color w:val="auto"/>
              </w:rPr>
            </w:pPr>
            <w:r>
              <w:rPr>
                <w:rFonts w:ascii="Times New Roman" w:cs="Times New Roman" w:eastAsia="Times New Roman" w:hAnsi="Times New Roman"/>
                <w:sz w:val="20"/>
                <w:szCs w:val="20"/>
                <w:color w:val="auto"/>
                <w:w w:val="94"/>
              </w:rPr>
              <w:t>2014</w:t>
            </w:r>
          </w:p>
        </w:tc>
        <w:tc>
          <w:tcPr>
            <w:tcW w:w="0" w:type="dxa"/>
            <w:vAlign w:val="bottom"/>
          </w:tcPr>
          <w:p>
            <w:pPr>
              <w:spacing w:after="0"/>
              <w:rPr>
                <w:sz w:val="1"/>
                <w:szCs w:val="1"/>
                <w:color w:val="auto"/>
              </w:rPr>
            </w:pPr>
          </w:p>
        </w:tc>
      </w:tr>
      <w:tr>
        <w:trPr>
          <w:trHeight w:val="200"/>
        </w:trPr>
        <w:tc>
          <w:tcPr>
            <w:tcW w:w="5000" w:type="dxa"/>
            <w:vAlign w:val="bottom"/>
            <w:vMerge w:val="continue"/>
          </w:tcPr>
          <w:p>
            <w:pPr>
              <w:spacing w:after="0"/>
              <w:rPr>
                <w:sz w:val="17"/>
                <w:szCs w:val="17"/>
                <w:color w:val="auto"/>
              </w:rPr>
            </w:pPr>
          </w:p>
        </w:tc>
        <w:tc>
          <w:tcPr>
            <w:tcW w:w="900" w:type="dxa"/>
            <w:vAlign w:val="bottom"/>
            <w:tcBorders>
              <w:top w:val="single" w:sz="8" w:color="auto"/>
            </w:tcBorders>
          </w:tcPr>
          <w:p>
            <w:pPr>
              <w:jc w:val="center"/>
              <w:ind w:left="361"/>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62%</w:t>
            </w:r>
          </w:p>
        </w:tc>
        <w:tc>
          <w:tcPr>
            <w:tcW w:w="280" w:type="dxa"/>
            <w:vAlign w:val="bottom"/>
          </w:tcPr>
          <w:p>
            <w:pPr>
              <w:spacing w:after="0"/>
              <w:rPr>
                <w:sz w:val="17"/>
                <w:szCs w:val="17"/>
                <w:color w:val="auto"/>
              </w:rPr>
            </w:pPr>
          </w:p>
        </w:tc>
        <w:tc>
          <w:tcPr>
            <w:tcW w:w="900" w:type="dxa"/>
            <w:vAlign w:val="bottom"/>
            <w:tcBorders>
              <w:top w:val="single" w:sz="8" w:color="auto"/>
            </w:tcBorders>
          </w:tcPr>
          <w:p>
            <w:pPr>
              <w:jc w:val="center"/>
              <w:ind w:left="361"/>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Club stores, drug chains &amp; mass merchandisers</w:t>
            </w: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rPr>
              <w:t>9%</w:t>
            </w:r>
          </w:p>
        </w:tc>
        <w:tc>
          <w:tcPr>
            <w:tcW w:w="212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10%</w:t>
            </w:r>
          </w:p>
        </w:tc>
        <w:tc>
          <w:tcPr>
            <w:tcW w:w="28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9%</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Outside the U.S.</w:t>
            </w: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24%</w:t>
            </w:r>
          </w:p>
        </w:tc>
        <w:tc>
          <w:tcPr>
            <w:tcW w:w="212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24%</w:t>
            </w:r>
          </w:p>
        </w:tc>
        <w:tc>
          <w:tcPr>
            <w:tcW w:w="280" w:type="dxa"/>
            <w:vAlign w:val="bottom"/>
          </w:tcPr>
          <w:p>
            <w:pPr>
              <w:spacing w:after="0"/>
              <w:rPr>
                <w:sz w:val="19"/>
                <w:szCs w:val="19"/>
                <w:color w:val="auto"/>
              </w:rPr>
            </w:pP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8"/>
              </w:rPr>
              <w:t>23%</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rPr>
              <w:t>1%</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7"/>
              </w:rPr>
              <w:t>3%</w:t>
            </w:r>
          </w:p>
        </w:tc>
        <w:tc>
          <w:tcPr>
            <w:tcW w:w="28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2%</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7"/>
              </w:rPr>
              <w:t>4%</w:t>
            </w: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rPr>
              <w:t>1%</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7"/>
              </w:rPr>
              <w:t>1%</w:t>
            </w:r>
          </w:p>
        </w:tc>
        <w:tc>
          <w:tcPr>
            <w:tcW w:w="280" w:type="dxa"/>
            <w:vAlign w:val="bottom"/>
          </w:tcPr>
          <w:p>
            <w:pPr>
              <w:spacing w:after="0"/>
              <w:rPr>
                <w:sz w:val="22"/>
                <w:szCs w:val="22"/>
                <w:color w:val="auto"/>
              </w:rPr>
            </w:pPr>
          </w:p>
        </w:tc>
        <w:tc>
          <w:tcPr>
            <w:tcW w:w="90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7"/>
              </w:rPr>
              <w:t>1%</w:t>
            </w:r>
          </w:p>
        </w:tc>
        <w:tc>
          <w:tcPr>
            <w:tcW w:w="2120" w:type="dxa"/>
            <w:vAlign w:val="bottom"/>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7"/>
              </w:rPr>
              <w:t>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Coca-Cola Amatil, Ltd., and certain other TCCC independent bottlers, Anheuser Busch (“AB”), select independent AB distributors, Asahi, Kalil Bottling Group, Wal-Mart, Inc. (including Sam’s Club) and Costco. In February 2015, in accordance with its then existing agreements with the applicable AB Distributors, Old Monster sent notices of termination to the majority of the AB Distributors in the U.S.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November 6, 2015, distribution rights in the U.S. representing approximately 89% of the target case sales have been transitioned to TCCC’s distribution network. A decision by any large customer to decrease amounts purchased from us or to cease carrying our products could have a material negative effect on our financial condition and consolidated results of operations. CCR accounted for approximately 41% and 28% of our net sales for the three-months ended September 30, 2015 and 2014, respectively. CCR accounted for approximately 41% and 29% of our net sales for the nine-months ended September 30, 2015 and 2014, respectively.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three- and nine-months ended September 30, 2015 and 2014,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w:t>
            </w:r>
          </w:p>
        </w:tc>
        <w:tc>
          <w:tcPr>
            <w:tcW w:w="25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Nine-Months Ended</w:t>
            </w:r>
          </w:p>
        </w:tc>
        <w:tc>
          <w:tcPr>
            <w:tcW w:w="2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amounts)</w:t>
            </w:r>
          </w:p>
        </w:tc>
        <w:tc>
          <w:tcPr>
            <w:tcW w:w="25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1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r>
              <w:rPr>
                <w:rFonts w:ascii="Arial" w:cs="Arial" w:eastAsia="Arial" w:hAnsi="Arial"/>
                <w:sz w:val="18"/>
                <w:szCs w:val="18"/>
                <w:color w:val="auto"/>
              </w:rPr>
              <w:t>¹</w:t>
            </w: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15 vs. 14</w:t>
            </w:r>
          </w:p>
        </w:tc>
        <w:tc>
          <w:tcPr>
            <w:tcW w:w="13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 vs. 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40" w:type="dxa"/>
            <w:vAlign w:val="bottom"/>
            <w:vMerge w:val="continue"/>
          </w:tcPr>
          <w:p>
            <w:pPr>
              <w:spacing w:after="0"/>
              <w:rPr>
                <w:sz w:val="16"/>
                <w:szCs w:val="16"/>
                <w:color w:val="auto"/>
              </w:rPr>
            </w:pPr>
          </w:p>
        </w:tc>
        <w:tc>
          <w:tcPr>
            <w:tcW w:w="11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$ 756,619</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$ 635,972</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6"/>
                <w:szCs w:val="16"/>
                <w:color w:val="auto"/>
              </w:rPr>
            </w:pPr>
          </w:p>
        </w:tc>
        <w:tc>
          <w:tcPr>
            <w:tcW w:w="13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$ 2,077,131</w:t>
            </w:r>
          </w:p>
        </w:tc>
        <w:tc>
          <w:tcPr>
            <w:tcW w:w="22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1,859,301</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291,143</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294,052</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848,191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851,274</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r>
              <w:rPr>
                <w:rFonts w:ascii="Arial" w:cs="Arial" w:eastAsia="Arial" w:hAnsi="Arial"/>
                <w:sz w:val="18"/>
                <w:szCs w:val="18"/>
                <w:color w:val="auto"/>
              </w:rPr>
              <w:t>¹</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040" w:type="dxa"/>
            <w:vAlign w:val="bottom"/>
            <w:vMerge w:val="continue"/>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465,476</w:t>
            </w:r>
          </w:p>
        </w:tc>
        <w:tc>
          <w:tcPr>
            <w:tcW w:w="22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341,920</w:t>
            </w:r>
          </w:p>
        </w:tc>
        <w:tc>
          <w:tcPr>
            <w:tcW w:w="13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1,228,940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1,008,027</w:t>
            </w:r>
          </w:p>
        </w:tc>
        <w:tc>
          <w:tcPr>
            <w:tcW w:w="136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r>
              <w:rPr>
                <w:rFonts w:ascii="Arial" w:cs="Arial" w:eastAsia="Arial" w:hAnsi="Arial"/>
                <w:sz w:val="18"/>
                <w:szCs w:val="18"/>
                <w:color w:val="auto"/>
              </w:rPr>
              <w:t>¹</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Arial" w:cs="Arial" w:eastAsia="Arial" w:hAnsi="Arial"/>
                <w:sz w:val="18"/>
                <w:szCs w:val="18"/>
                <w:color w:val="auto"/>
              </w:rPr>
              <w:t>²</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174,038</w:t>
            </w:r>
          </w:p>
        </w:tc>
        <w:tc>
          <w:tcPr>
            <w:tcW w:w="2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725,205</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453,443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Monster Non-Energy</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161,470</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Arial" w:cs="Arial" w:eastAsia="Arial" w:hAnsi="Arial"/>
                <w:sz w:val="18"/>
                <w:szCs w:val="18"/>
                <w:color w:val="auto"/>
              </w:rPr>
              <w:t>¹‚²</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291,438</w:t>
            </w:r>
          </w:p>
        </w:tc>
        <w:tc>
          <w:tcPr>
            <w:tcW w:w="2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189,907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665,205</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554,584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(expense),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r>
              <w:rPr>
                <w:rFonts w:ascii="Arial" w:cs="Arial" w:eastAsia="Arial" w:hAnsi="Arial"/>
                <w:sz w:val="18"/>
                <w:szCs w:val="18"/>
                <w:color w:val="auto"/>
              </w:rPr>
              <w:t>¹‚²</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288,076</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188,869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662,061</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553,877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113,502</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254,070</w:t>
            </w: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r>
              <w:rPr>
                <w:rFonts w:ascii="Arial" w:cs="Arial" w:eastAsia="Arial" w:hAnsi="Arial"/>
                <w:sz w:val="18"/>
                <w:szCs w:val="18"/>
                <w:color w:val="auto"/>
              </w:rPr>
              <w:t>¹‚²</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$ 174,574</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$ 121,600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407,991</w:t>
            </w: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357,854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as a percentage of net</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sales (in thousands)</w:t>
      </w:r>
    </w:p>
    <w:p>
      <w:pPr>
        <w:sectPr>
          <w:pgSz w:w="11900" w:h="16883" w:orient="portrait"/>
          <w:cols w:equalWidth="0" w:num="1">
            <w:col w:w="11420"/>
          </w:cols>
          <w:pgMar w:left="240" w:top="118" w:right="239" w:bottom="0" w:gutter="0" w:footer="0" w:header="0"/>
        </w:sectPr>
      </w:pPr>
    </w:p>
    <w:bookmarkStart w:id="28" w:name="page29"/>
    <w:bookmarkEnd w:id="28"/>
    <w:tbl>
      <w:tblPr>
        <w:tblLayout w:type="fixed"/>
        <w:tblInd w:w="1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 192-ounce case equivalents)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81,274</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62,204</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30.7%</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207,090</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179,717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¹</w:t>
      </w:r>
      <w:r>
        <w:rPr>
          <w:rFonts w:ascii="Times New Roman" w:cs="Times New Roman" w:eastAsia="Times New Roman" w:hAnsi="Times New Roman"/>
          <w:sz w:val="16"/>
          <w:szCs w:val="16"/>
          <w:i w:val="1"/>
          <w:iCs w:val="1"/>
          <w:color w:val="auto"/>
        </w:rPr>
        <w:t>Includes $8.2 million and $3.8 million for the three-months ended September 30, 2015 and 2014, respectively, related to the recognition of deferred revenue. Includes $54.7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i w:val="1"/>
          <w:iCs w:val="1"/>
          <w:color w:val="auto"/>
        </w:rPr>
        <w:t>million and $11.2 million for the nine-months ended September 30, 2015 and 2014, respectively, related to the recognition of deferred revenue. Included in the $54.7 million recognition of deferred revenue for the nine-months ended September 30, 2015, is $39.8 million related to the accelerated amortization of the deferred revenue balances associated with certain of the Company’s prior distributors who were sent notices of termination during the first quarter of 2015.</w:t>
      </w:r>
    </w:p>
    <w:p>
      <w:pPr>
        <w:spacing w:after="0" w:line="191"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²Includes $2.5 million and ($0.7) million for the three-months ended September 30, 2015 and 2014, respectively, related to distributor termination costs. Includes $220.7 million and ($0.2) million for the nine-months ended September 30, 2015 and 2014, respectively, related to distributor termination costs.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Three-Months Ended September 30, 2015 Compared to the Three-Months Ended September 30, 2014.</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Net Sales. </w:t>
      </w:r>
      <w:r>
        <w:rPr>
          <w:rFonts w:ascii="Times New Roman" w:cs="Times New Roman" w:eastAsia="Times New Roman" w:hAnsi="Times New Roman"/>
          <w:sz w:val="19"/>
          <w:szCs w:val="19"/>
          <w:color w:val="auto"/>
        </w:rPr>
        <w:t>Net sales were $756.6 million for the three-months ended September 30, 2015, an increase of approximately $120.6 million,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19.0% higher than net sales of $636.0 million for the three-months ended September 30, 2014. The increase in net sales of our Monster Energy® brand energy drinks represented approximately $92.3 million of the overall increase in net sales. Net sales of our Monster Energy® brand energy drinks increased partially due to increased sales by volume as a result of increased domestic and international consumer demand. Net sales of our Strategic Brands were $69.9 million for the three-months ended September 30, 2015. There were no net sales for the Other segment, the principal products of which include the brands disposed of as a result of the TCCC Transaction on June 12, 2015 (previously comprising the majority of the former Warehouse segment and the Peace Tea® brand), which resulted in a decrease in net sales for the Other segment of $41.6 million for the three-months ended September 30, 2015 from the three-months ended September 30, 2014. Our net sales of $756.6 million for the three-months ended September 30, 2015 were impacted by advance purchases made by our customers due to a pre-announced price increase that became effective on August 31, 2015 on certain of our Monster Energy® brand energy drinks. We estimate that net sales for the three-months ended September 30, 2015 were increased by approximately $11.0 million as a result of such advance purchases. Other than for the advance purchases, this price increase did not have a material impact on the overall increase in net sales.</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Changes in foreign currency exchange rates had an unfavorable impact on net sales in the Finished Products segment of approximately $23.1 million for the three-months ended September 30, 2015, which was primarily due to a stronger U.S. dollar compared to certain local currencies in which we conduct certain of our international business. Changes in foreign currency exchange rates had an unfavorable impact on net sales in the Concentrate segment of approximately $5.5 million for the three-months ended September 30, 2015, which was primarily due to a stronger U.S. dollar compared to certain local currencies in which we conduct certain of our international business.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in 192-ounce case equivalents, were 81.3 million cases for the three-months ended September 30, 2015, an increase of approximately19.1 million cases or 30.7% higher than case sales of 62.2 million cases for the three-months ended September 30, 2014. The overall average net sales per case decreased to $9.31 for the three-months ended September 30, 2015, which was 8.9% lower than the average net sales per case of $10.22 for the three-months ended September 30, 2014. The lower net sales per case was primarily attributable to sales of concentrates and/or beverage bases in the Concentrate segment, which generally generate lower net operating revenues than those products within the Finished Products segment.</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Finished Products segment were $686.7 million for the three-months ended September 30, 2015, an increase of approximately $92.3 million, or 15.5% higher than net sales of $594.3 million for the three-months ended September 30, 2014. Our net sales for the Finished Products segment of $686.7 million for the three-months ended September 30, 2015 were impacted by advance purchases made by our customers due to a pre-announced price increase that became effective on August 31, 2015 on certain of our Monster Energy® brand energy drinks. We estimate that net sales of the Finished Products segment for the three-months ended September 30, 2015 were increased by approximately $11.0 million as a result of such advance purchases. Other than for the advance purchases, this price increase did not have a material impact on the overall increase in net sales for the Finished Products segment.</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Net sales for the Concentrate segment were $69.9 million for the three-months ended September 30, 2015. There were no net sales for the Concentrate segment for the three-months ended September 30, 2014.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$465.5 million for the three-months ended September 30, 2015, an increase of approximately $123.6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36.1% higher than the gross profit of $341.9 million for the three-months ended September 30, 2014. Gross profit as a percentage of net sales increased to 61.5% for the three-months ended September 30, 2015 from 53.8% for the three-months ended September 30, 2014. The increase in gross profit dollars was primarily the result of the $92.3 million increase in net sales of our Monster Energy® brand energy drinks as well as the $69.9 million of net sales for the Concentrate segment. The increase in gross profit as a percentage of net sales was primarily attributable to the Concentrate segment, which generally has higher gross margins than the Finished Products segment, as well as to the disposal of the Other segment, which generally has lower gross margins than the Finished Products segment, lower costs of certain raw materials, the price increase described above and changes in product sales mix.</w:t>
      </w:r>
    </w:p>
    <w:p>
      <w:pPr>
        <w:sectPr>
          <w:pgSz w:w="11900" w:h="16838" w:orient="portrait"/>
          <w:cols w:equalWidth="0" w:num="1">
            <w:col w:w="11420"/>
          </w:cols>
          <w:pgMar w:left="240" w:top="121" w:right="239" w:bottom="83" w:gutter="0" w:footer="0" w:header="0"/>
        </w:sectPr>
      </w:pPr>
    </w:p>
    <w:bookmarkStart w:id="29" w:name="page30"/>
    <w:bookmarkEnd w:id="29"/>
    <w:p>
      <w:pPr>
        <w:spacing w:after="0" w:line="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$174.0 million for the three-months ended September 30, 2015,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$22.0 million, or 14.5% higher than total operating expenses of $152.0 million for the three-months ended September 30, 2014. The increase in operating expenses was primarily due to increased payroll expenses of $7.0 million, increased expenditures of $4.8 million for advertising, increased expenditures of $3.2 million for sponsorships and endorsements, increased expenditures of $3.2 million for commissions and increased costs of $3.1 million associated with terminating certain existing distributors.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Finished Products segment was $289.5 million for the three-months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30, 2015, an increase of approximately $58.5 million, or 25.3% higher than contribution margin of $231.0 million for the three-months ended September 30, 2014. The increase in contribution margin for the Finished Products segment was primarily the result of the $92.3 million increase in net sales of our Monster Energy® brand energy drinks. Contribution margin for the Concentrate segment was $45.3 million for the three-months ended September 30, 2015. There was no contribution margin for the Concentrate segment for the three-months ended September 30, 2014. Contribution margin for the Other segment was ($0.3) million for the three-months ended September 30, 2015, as compared to $2.2 million for the three-months ended September 30, 2014.</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$291.4 million for the three-months ended September 30, 2015,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$101.5 million, or 53.5% higher than operating income of $189.9 million for the three-months ended September 30, 2014. Operating income as a percentage of net sales increased to 38.5% for the three-months ended September 30, 2015 from 29.9% for the three-months ended September 30, 2014. The increase in operating income in dollars was primarily due to the $123.6 million increase in gross profit. The increase in operating income in dollars was partially offset by an increase of $22.0 million in operating expenses. Operating income was $17.3 million and $9.4 million for the three-months ended September 30, 2015 and 2014, respectively, in relation to our operations in Africa, Asia, Australia, Europe, the Middle East and South America.</w:t>
      </w:r>
    </w:p>
    <w:p>
      <w:pPr>
        <w:spacing w:after="0" w:line="193" w:lineRule="exact"/>
        <w:rPr>
          <w:sz w:val="20"/>
          <w:szCs w:val="20"/>
          <w:color w:val="auto"/>
        </w:rPr>
      </w:pPr>
    </w:p>
    <w:p>
      <w:pPr>
        <w:ind w:left="660"/>
        <w:spacing w:after="0"/>
        <w:tabs>
          <w:tab w:leader="none" w:pos="4220" w:val="left"/>
        </w:tabs>
        <w:rPr>
          <w:sz w:val="20"/>
          <w:szCs w:val="20"/>
          <w:color w:val="auto"/>
        </w:rPr>
      </w:pPr>
      <w:r>
        <w:rPr>
          <w:rFonts w:ascii="Times New Roman" w:cs="Times New Roman" w:eastAsia="Times New Roman" w:hAnsi="Times New Roman"/>
          <w:sz w:val="20"/>
          <w:szCs w:val="20"/>
          <w:i w:val="1"/>
          <w:iCs w:val="1"/>
          <w:color w:val="auto"/>
        </w:rPr>
        <w:t>Interest Income and Other (Expense), net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Interest income and other (expense), net was ($3.4) million for the three-months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30, 2015, as compared to interest income and other (expense), net of ($1.0) million for the three-months ended September 30, 2014.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currency transaction losses were $4.2 million and $1.5 million for the three-months ended September 30, 2015 and 2014, respectively.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income was $0.8 million and $0.3 million for the three-months ended September 30, 2015 and 2014, respectively.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auto"/>
        </w:rPr>
        <w:t>Provision for Income Taxes</w:t>
      </w:r>
      <w:r>
        <w:rPr>
          <w:rFonts w:ascii="Times New Roman" w:cs="Times New Roman" w:eastAsia="Times New Roman" w:hAnsi="Times New Roman"/>
          <w:sz w:val="19"/>
          <w:szCs w:val="19"/>
          <w:color w:val="auto"/>
        </w:rPr>
        <w:t>. Provision for income taxes was $113.5 million for the three-months ended September 30, 2015,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increase of $46.2 million or 68.7% higher than the provision for income taxes of $67.3 million for the three-months ended September 30, 2014. The effective combined federal, state and foreign tax rate increased to 39.4% from 35.6% for the three-months ended September 30, 2015 and 2014, respectively. The increase in the effective tax rate was primarily due to the decrease in tax benefits relating to the domestic production deduction for the three-months ended September 30, 2015. In addition, the profits earned in certain foreign subsidiaries during the three-months ended September 30, 2014 had no related tax expense as a result of the prior establishment of valuation allowances on their deferred tax assets.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$174.6 million for the three-months ended September 30, 2015, an increase of $53.0 million or 43.6%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than net income of $121.6 million for the three-months ended September 30, 2014. The increase in net income was primarily attributable to the increase in gross profit of $123.6 million. The increase in net income was partially offset by an increase in the provision of income taxes of $46.2 million and an increase in operating expenses of $22.0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Nine-Months Ended September 30, 2015 Compared to the Nine-Months Ended September 30, 2014.</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$2,077.1 million for the nine-months ended September 30, 2015, an increase of approximately $217.8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11.7% higher than net sales of $1,859.3 million for the nine-months ended September 30, 2014. The increase in net sales of our Monster Energy® brand energy drinks represented approximately $193.8 million of the overall increase in net sales. Net sales of our Monster Energy® brand energy drinks increased partially due to increased sales by volume as a result of increased domestic and international consumer demand. Net sales of our Strategic Brands were $82.9 million for the nine-months ended September 30, 2015. Net sales for the Other segment, the principal products of which include the brands disposed of as a result of the TCCC Transaction on June 12, 2015 (previously comprising the majority of the former Warehouse segment and the Peace Tea® brand), decreased $58.9 million for the nine-months ended September 30, 2015. Net sales for the nine-months ended September 30, 2015 included $39.8 million related to the accelerated amortization of the deferred revenue balances associated with certain of the Company’s prior distributors. No other individual product line contributed either a material increase or decrease to net sales for the nine-months ended September 30, 2015.</w:t>
      </w:r>
    </w:p>
    <w:p>
      <w:pPr>
        <w:spacing w:after="0" w:line="20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Changes in foreign currency exchange rates had an unfavorable impact on net sales in the Finished Products segment of approximately $58.1 million for the nine-months ended September 30, 2015, which was primarily due to a stronger U.S. dollar compared to certain local currencies in which we conduct certain of our international business. Changes in foreign currency exchange rates had an unfavorable impact on net sales in the Concentrate segment of approximately $6.5 million for the nine-months ended September 30, 2015, which was primarily due to a stronger U.S. dollar compared to certain local currencies in which we conduct certain of our international business.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in 192-ounce case equivalents, were 207.1 million cases for the nine-months ended September 30, 2015, an increase of approximately 27.4 million cases or 15.2% higher than case sales of 179.7 million cases for the nine-months ended September 30, 2014. The overall average net sales per case decreased to $10.03 for the nine-months ended September 30, 2015, which was 3.1% lower than the average net sales per case of $10.35 for the nine-months ended September 30, 2014. The lower average net sales per case was primarily attributable to sales of concentrates and/or beverage bases in the Concentrate segment, which generally generate lower net operating revenues than those products within the Finished Products segment.</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Finished Products segment were $1,933.5 million for the nine-months ended September 30, 2015, an increase of approximately $193.8 million, or 11.1% higher than net sales of $1,739.7 million for the nine-months ended September 30, 2014.</w:t>
      </w:r>
    </w:p>
    <w:p>
      <w:pPr>
        <w:sectPr>
          <w:pgSz w:w="11900" w:h="16917" w:orient="portrait"/>
          <w:cols w:equalWidth="0" w:num="1">
            <w:col w:w="11420"/>
          </w:cols>
          <w:pgMar w:left="240" w:top="114" w:right="239" w:bottom="0" w:gutter="0" w:footer="0" w:header="0"/>
        </w:sectPr>
      </w:pPr>
    </w:p>
    <w:bookmarkStart w:id="30" w:name="page31"/>
    <w:bookmarkEnd w:id="30"/>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Concentrate segment were $82.9 million for the nine-months ended September 30, 2015 (effectively from June 13 to September 30). There were no net sales for the Concentrate segment for the nine-months ended September 30, 2014.</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for the Other segment, the principal products of which include the brands disposed of as a result of the TCCC Transaction (previously comprising the majority of the former Warehouse segment and the Peace Tea® brand), were $60.8 million for the nine-months ended September 30, 2015, a decrease of approximately $58.9 million, or 49.2% lower than net sales of $119.6 million for the nine-months ended September 30, 2014.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$1,228.9 million for the nine-months ended September 30, 2015, an increase of approximately $220.9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21.9% higher than the gross profit of $1,008.0 million for the nine-months ended September 30, 2014. Gross profit as a percentage of net sales increased to 59.2% for the nine-months ended September 30, 2015 from 54.2% for the nine-months ended September 30, 2014. The increase in gross profit dollars was primarily the result of the $193.8 million increase in net sales of our Monster Energy® brand energy drinks, the $82.9 million of net sales for the Concentrate segment as well as the $39.8 million accelerated amortization of the deferred revenue balances associated with certain of the Company’s prior distributors. The increase in gross profit as a percentage of net sales was primarily attributable to the Concentrate segment, which generally has higher gross margins than the Finished Products segment, the decrease in the net sales of the Other segment, which generally has lower gross margins than the Finished Products segment, and the $39.8 million accelerated amortization of the deferred revenue balances associated with certain of the Company’s prior distributors, as well as due to changes in product sales mix and lower costs of certain sweeteners and other raw materials.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$725.2 million for the nine-months ended September 30, 2015,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$271.8 million, or 59.9% higher than total operating expenses of $453.4 million for the nine-months ended September 30, 2014. The increase in operating expenses was primarily due to increased costs of $220.8 million associated with terminating certain existing distributors. To a lesser extent, the increase in operating expenses was attributable to increased payroll expenses of $23.9 million (of which $11.7 million was related to payroll taxes in connection with the exercise of certain stock options), increased expenditures of $11.8 million for professional service costs and transaction expenses related to the TCCC Transaction and increased expenditures of $10.5 million for sponsorships and endorsements.</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Finished Products segment was $596.7 million for the nine-months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30, 2015, a decrease of approximately $73.6 million, or 11.0% lower than contribution margin of $670.3 million for the nine-months ended September 30, 2014. The decrease in the contribution margin for the Finished Products segment was primarily the result of the increased expenditures of $220.8 million relating to the costs associated with terminating certain existing distributors. Contribution margin for the Concentrate segment was $54.4 million for the nine-months ended September 30, 2015. There was no contribution margin for the Concentrate segment for the nine-months ended September 30, 2014. Contribution margin for the Other segment was $165.4 million for the nine-months ended September 30, 2015 (effectively from January 1 to June 12), as compared to $7.2 million for the nine-months ended September 30, 2014. The increase in contribution margin for the Other segment was primarily the result of the $161.5 million gain on the sale of Monster Non-Energy.</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$665.2 million for the nine-months ended September 30, 2015, an increase of approximately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$110.6 million, or 19.9% higher than operating income of $554.6 million for the nine-months ended September 30, 2014. Operating income as a percentage of net sales increased to 32.0% for the nine-months ended September 30, 2015 from 29.8% for the nine-months ended September 30, 2014, primarily due to the $220.9 million increase in gross profit as well as the $161.5 million gain on the sale of Monster Non-Energy. The increase in operating income in dollars was offset by increased costs of $220.8 million associated with terminating certain existing distributors as well as the increase in other operating expenses. Operating income was $33.5 million and $24.0 million for the nine-months ended September 30, 2015 and 2014, respectively, in relation to our operations in Africa, Asia, Australia, Europe, the Middle East and South America.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left="660"/>
        <w:spacing w:after="0"/>
        <w:tabs>
          <w:tab w:leader="none" w:pos="4240" w:val="left"/>
        </w:tabs>
        <w:rPr>
          <w:sz w:val="20"/>
          <w:szCs w:val="20"/>
          <w:color w:val="auto"/>
        </w:rPr>
      </w:pPr>
      <w:r>
        <w:rPr>
          <w:rFonts w:ascii="Times New Roman" w:cs="Times New Roman" w:eastAsia="Times New Roman" w:hAnsi="Times New Roman"/>
          <w:sz w:val="20"/>
          <w:szCs w:val="20"/>
          <w:i w:val="1"/>
          <w:iCs w:val="1"/>
          <w:color w:val="auto"/>
        </w:rPr>
        <w:t>Interest Income and Other (Expense), net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Interest income and other (expense), net was ($3.1) million for the nine-months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2015, as compared to interest income and other (expense), net of ($0.7) million for the nine-months ended September 30, 2014.</w:t>
      </w:r>
    </w:p>
    <w:p>
      <w:pPr>
        <w:spacing w:after="0"/>
        <w:rPr>
          <w:sz w:val="20"/>
          <w:szCs w:val="20"/>
          <w:color w:val="auto"/>
        </w:rPr>
      </w:pPr>
      <w:r>
        <w:rPr>
          <w:rFonts w:ascii="Times New Roman" w:cs="Times New Roman" w:eastAsia="Times New Roman" w:hAnsi="Times New Roman"/>
          <w:sz w:val="20"/>
          <w:szCs w:val="20"/>
          <w:color w:val="auto"/>
        </w:rPr>
        <w:t>Foreign currency transaction losses were $5.0 million and $2.1 million for the nine-months ended September 30, 2015 and 2014, respectively.</w:t>
      </w:r>
    </w:p>
    <w:p>
      <w:pPr>
        <w:spacing w:after="0"/>
        <w:rPr>
          <w:sz w:val="20"/>
          <w:szCs w:val="20"/>
          <w:color w:val="auto"/>
        </w:rPr>
      </w:pPr>
      <w:r>
        <w:rPr>
          <w:rFonts w:ascii="Times New Roman" w:cs="Times New Roman" w:eastAsia="Times New Roman" w:hAnsi="Times New Roman"/>
          <w:sz w:val="20"/>
          <w:szCs w:val="20"/>
          <w:color w:val="auto"/>
        </w:rPr>
        <w:t>Interest income was $1.5 million and $0.9 million for the nine-months ended September 30, 2015 and 2014, respectively.</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$254.1 million for the nine-months ended September 30, 2015,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 of $58.0 million or 29.6% higher than the provision for income taxes of $196.0 million for the nine-months ended September 30, 2014. The effective combined federal, state and foreign tax rate increased to 38.4% from 35.4% for the nine-months ended September 30, 2015 and 2014, respectively. The increase in the effective tax rate was primarily due to the disallowance for tax purposes of certain costs related to the TCCC Transaction as well as the decrease in tax benefits relating to the domestic production deduction. In addition, the profits earned in certain foreign subsidiaries during the three-months ended September 30, 2014 had no related tax expense as a result of the prior establishment of valuation allowances on their deferred tax assets. The increase in the effective tax rate for the nine-months ended September 30, 2015 was partially offset by the release of the valuation allowances against the deferred tax assets of certain foreign jurisdictions.</w:t>
      </w:r>
    </w:p>
    <w:p>
      <w:pPr>
        <w:sectPr>
          <w:pgSz w:w="11900" w:h="16838" w:orient="portrait"/>
          <w:cols w:equalWidth="0" w:num="1">
            <w:col w:w="11420"/>
          </w:cols>
          <w:pgMar w:left="240" w:top="346" w:right="239" w:bottom="29" w:gutter="0" w:footer="0" w:header="0"/>
        </w:sectPr>
      </w:pPr>
    </w:p>
    <w:bookmarkStart w:id="31" w:name="page32"/>
    <w:bookmarkEnd w:id="31"/>
    <w:p>
      <w:pPr>
        <w:jc w:val="both"/>
        <w:ind w:firstLine="648"/>
        <w:spacing w:after="0" w:line="272"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$408.0 million for the nine-months ended September 30, 2015, an increase of $50.1 million or 14.0%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higher than net income of $357.9 million for the nine-months ended September 30, 2014.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$862.4 million for the three-months ended September 30, 2015, an increase of approximately $124.2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16.8% higher than gross sales of $738.1 million for the three-months ended September 30, 2014. The increase in gross sales of our Monster Energy® brand energy drinks represented approximately $88.2 million of the overall increase in gross sales. Gross sales of our Monster Energy® brand energy drinks increased partially due to increased sales by volume as a result of increased domestic and international consumer demand. Gross sales of our Strategic Brands were $77.7 million for the three-months ended September 30, 2015. There were no gross sales for the Other segment, the principal products of which include the brands disposed of as a result of the TCCC Transaction on June 12, 2015 (previously comprising the majority of the former Warehouse segment and the Peace Tea® brand), which resulted in a decrease in gross sales for the Other segment of $46.8 million for the three-months ended September 30, 2015 from the three-months ended September 30, 2014. Promotional and other allowances, as described in the footnote below, were $105.7 million for the three-months ended September 30, 2015, an increase of $3.6 million, or 3.5% higher than promotional and other allowances of $102.2 million for the three-months ended September 30, 2014. Promotional and other allowances as a percentage of gross sales decreased to 12.3% from 13.8% for the three-months ended September 30, 2015 and 2014, respectively. Our gross sales of $862.4 million for the three-months ended September 30, 2015 were impacted by advance purchases made by our customers due to a pre-announced price increase that became effective on August 31, 2015 on certain of our Monster Energy® brand energy drinks. We estimate that gross sales for the three-months ended September 30, 2015 were increased by approximately $12.0 million as a result of such advance purchases. Other than for the advance purchases, this price increase did not have a material impact on the overall increase in gross sales.</w:t>
      </w:r>
    </w:p>
    <w:p>
      <w:pPr>
        <w:spacing w:after="0" w:line="212" w:lineRule="exact"/>
        <w:rPr>
          <w:sz w:val="20"/>
          <w:szCs w:val="20"/>
          <w:color w:val="auto"/>
        </w:rPr>
      </w:pPr>
    </w:p>
    <w:p>
      <w:pPr>
        <w:jc w:val="both"/>
        <w:ind w:firstLine="689"/>
        <w:spacing w:after="0" w:line="245" w:lineRule="auto"/>
        <w:rPr>
          <w:sz w:val="20"/>
          <w:szCs w:val="20"/>
          <w:color w:val="auto"/>
        </w:rPr>
      </w:pPr>
      <w:r>
        <w:rPr>
          <w:rFonts w:ascii="Times New Roman" w:cs="Times New Roman" w:eastAsia="Times New Roman" w:hAnsi="Times New Roman"/>
          <w:sz w:val="20"/>
          <w:szCs w:val="20"/>
          <w:color w:val="auto"/>
        </w:rPr>
        <w:t>Changes in foreign currency exchange rates had an unfavorable impact on gross sales in the Finished Products segment of approximately $28.7 million for the three-months ended September 30, 2015, which was primarily due to a stronger U.S. dollar compared to certain local currencies in which we conduct certain of our international business. Changes in foreign currency exchange rates had an unfavorable impact on gross sales in the Concentrate segment of approximately $5.4 million for the three-months ended September 30, 2015, which was primarily due to a stronger U.S. dollar compared to certain local currencies in which we conduct certain of our international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Gross sales were $2,362.5 million for the nine-months ended September 30, 2015, an increase of approximately $231.7 million, or 10.9% higher than gross sales of $2,130.8 million for the nine-months ended September 30, 2014. The increase in the gross sales of our Monster Energy® brand energy drinks represented approximately $163.5 million, or 70.6%, of the overall increase in gross sales. Gross sales of our Monster Energy® brand energy drinks increased primarily due to increased sales by volume as a result of increased domestic and international consumer demand. Gross sales of our Strategic Brands were $90.9 million for the nine-months ended September 30, 2015. Gross sales for the Other segment, the principal products of which include the brands disposed of as a result of the TCCC Transaction on June 12, 2015 (previously comprising the majority of the former Warehouse segment and the Peace Tea® brand), decreased $64.9 million for the nine-months ended September 30, 2015 from the nine-months ended September 30, 2014. Gross sales for the nine-months ended September 30, 2015 included $39.8 million related to the accelerated amortization of the deferred revenue balances associated with certain of the Company’s prior distributors, which represented 17.2% of our overall increase in gross sales. No other individual product line contributed either a material increase or decrease to gross sales for the nine-months ended September 30, 2015. Promotional and other allowances, as described in the footnote below, were $285.3 million for the nine-months ended September 30, 2015, an increase of $13.8 million, or 5.1% higher than promotional and other allowances of $271.5 million for the nine-months ended September 30, 2014. Promotional and other allowances as a percentage of gross sales decreased to 12.1% from 12.7% for the nine-months ended September 30, 2015 and 2014, respectively.</w:t>
      </w:r>
    </w:p>
    <w:p>
      <w:pPr>
        <w:spacing w:after="0" w:line="211" w:lineRule="exact"/>
        <w:rPr>
          <w:sz w:val="20"/>
          <w:szCs w:val="20"/>
          <w:color w:val="auto"/>
        </w:rPr>
      </w:pPr>
    </w:p>
    <w:p>
      <w:pPr>
        <w:jc w:val="both"/>
        <w:ind w:firstLine="689"/>
        <w:spacing w:after="0" w:line="245" w:lineRule="auto"/>
        <w:rPr>
          <w:sz w:val="20"/>
          <w:szCs w:val="20"/>
          <w:color w:val="auto"/>
        </w:rPr>
      </w:pPr>
      <w:r>
        <w:rPr>
          <w:rFonts w:ascii="Times New Roman" w:cs="Times New Roman" w:eastAsia="Times New Roman" w:hAnsi="Times New Roman"/>
          <w:sz w:val="20"/>
          <w:szCs w:val="20"/>
          <w:color w:val="auto"/>
        </w:rPr>
        <w:t>Changes in foreign currency exchange rates had an unfavorable impact on gross sales in the Finished Products segment of approximately $72.8 million for the nine-months ended September 30, 2015, which was primarily due to a stronger U.S. dollar compared to certain local currencies in which we conduct certain of our international business. Changes in foreign currency exchange rates had an unfavorable impact on gross sales in the Concentrate segment of approximately $6.5 million for the nine-months ended September 30, 2015, which was primarily due to a stronger U.S. dollar compared to certain local currencies in which we conduct certain of our international businesses.</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non-GAAP financial measure of gross sales with the most directly comparable GAAP financial measure of net sales: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(In thousands, except per share</w:t>
            </w:r>
          </w:p>
        </w:tc>
        <w:tc>
          <w:tcPr>
            <w:tcW w:w="286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Percentage</w:t>
            </w:r>
          </w:p>
        </w:tc>
        <w:tc>
          <w:tcPr>
            <w:tcW w:w="306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Percentage</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amounts)</w:t>
            </w:r>
          </w:p>
        </w:tc>
        <w:tc>
          <w:tcPr>
            <w:tcW w:w="286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September 30,</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Change</w:t>
            </w:r>
          </w:p>
        </w:tc>
        <w:tc>
          <w:tcPr>
            <w:tcW w:w="306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color w:val="auto"/>
                <w:w w:val="98"/>
              </w:rPr>
              <w:t>September 30,</w:t>
            </w: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Change</w:t>
            </w:r>
          </w:p>
        </w:tc>
        <w:tc>
          <w:tcPr>
            <w:tcW w:w="0" w:type="dxa"/>
            <w:vAlign w:val="bottom"/>
          </w:tcPr>
          <w:p>
            <w:pPr>
              <w:spacing w:after="0"/>
              <w:rPr>
                <w:sz w:val="1"/>
                <w:szCs w:val="1"/>
                <w:color w:val="auto"/>
              </w:rPr>
            </w:pPr>
          </w:p>
        </w:tc>
      </w:tr>
      <w:tr>
        <w:trPr>
          <w:trHeight w:val="223"/>
        </w:trPr>
        <w:tc>
          <w:tcPr>
            <w:tcW w:w="2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sales, net of discounts and</w:t>
            </w:r>
          </w:p>
        </w:tc>
        <w:tc>
          <w:tcPr>
            <w:tcW w:w="1200" w:type="dxa"/>
            <w:vAlign w:val="bottom"/>
            <w:tcBorders>
              <w:top w:val="single" w:sz="8" w:color="auto"/>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2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220" w:type="dxa"/>
            <w:vAlign w:val="bottom"/>
          </w:tcPr>
          <w:p>
            <w:pPr>
              <w:spacing w:after="0"/>
              <w:rPr>
                <w:sz w:val="19"/>
                <w:szCs w:val="19"/>
                <w:color w:val="auto"/>
              </w:rPr>
            </w:pPr>
          </w:p>
        </w:tc>
        <w:tc>
          <w:tcPr>
            <w:tcW w:w="1380" w:type="dxa"/>
            <w:vAlign w:val="bottom"/>
            <w:tcBorders>
              <w:top w:val="single" w:sz="8" w:color="auto"/>
            </w:tcBorders>
            <w:gridSpan w:val="2"/>
          </w:tcPr>
          <w:p>
            <w:pPr>
              <w:jc w:val="center"/>
              <w:ind w:right="220"/>
              <w:spacing w:after="0" w:line="223" w:lineRule="exact"/>
              <w:rPr>
                <w:sz w:val="20"/>
                <w:szCs w:val="20"/>
                <w:color w:val="auto"/>
              </w:rPr>
            </w:pPr>
            <w:r>
              <w:rPr>
                <w:rFonts w:ascii="Times New Roman" w:cs="Times New Roman" w:eastAsia="Times New Roman" w:hAnsi="Times New Roman"/>
                <w:sz w:val="20"/>
                <w:szCs w:val="20"/>
                <w:color w:val="auto"/>
                <w:w w:val="98"/>
              </w:rPr>
              <w:t>15 vs. 14</w:t>
            </w:r>
          </w:p>
        </w:tc>
        <w:tc>
          <w:tcPr>
            <w:tcW w:w="1320" w:type="dxa"/>
            <w:vAlign w:val="bottom"/>
            <w:tcBorders>
              <w:top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15 vs. 14</w:t>
            </w: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returns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$ 862,363</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$ 738,123</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$ 2,362,478</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$ 2,130,802</w:t>
            </w:r>
          </w:p>
        </w:tc>
        <w:tc>
          <w:tcPr>
            <w:tcW w:w="22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Less: Promotional and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105,744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102,151</w:t>
            </w:r>
          </w:p>
        </w:tc>
        <w:tc>
          <w:tcPr>
            <w:tcW w:w="16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3.5%</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285,347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271,501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allowances***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color w:val="auto"/>
              </w:rPr>
              <w:t>19.0%</w:t>
            </w: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$ 756,619</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$ 635,972</w:t>
            </w:r>
          </w:p>
        </w:tc>
        <w:tc>
          <w:tcPr>
            <w:tcW w:w="160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$ 2,077,131</w:t>
            </w: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$ 1,859,301</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1"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discounts granted off list prices to support price promotions to end-consumers by retailers; (ii) reimbursements given to the</w:t>
      </w:r>
    </w:p>
    <w:p>
      <w:pPr>
        <w:spacing w:after="0" w:line="235" w:lineRule="exact"/>
        <w:rPr>
          <w:rFonts w:ascii="Times New Roman" w:cs="Times New Roman" w:eastAsia="Times New Roman" w:hAnsi="Times New Roman"/>
          <w:sz w:val="16"/>
          <w:szCs w:val="16"/>
          <w:i w:val="1"/>
          <w:iCs w:val="1"/>
          <w:color w:val="auto"/>
        </w:rPr>
      </w:pPr>
    </w:p>
    <w:p>
      <w:pPr>
        <w:ind w:left="56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w:t>
      </w:r>
    </w:p>
    <w:p>
      <w:pPr>
        <w:spacing w:after="0" w:line="3" w:lineRule="exact"/>
        <w:rPr>
          <w:sz w:val="20"/>
          <w:szCs w:val="20"/>
          <w:color w:val="auto"/>
        </w:rPr>
      </w:pPr>
    </w:p>
    <w:p>
      <w:pPr>
        <w:jc w:val="both"/>
        <w:ind w:firstLine="8"/>
        <w:spacing w:after="0" w:line="269" w:lineRule="auto"/>
        <w:tabs>
          <w:tab w:leader="none" w:pos="36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nine-months ended September 30, 2015 and 2014 were (i) to increase sales volume and trial, (ii) to address market conditions, and (iii) to secure shelf and display space at retail.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$47.8 million for the nine-months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30, 2015, as compared with net cash provided by operating activities of $407.0 million for the nine-months ended September 30, 2014. The decrease of $359.2 million in cash flows from operations was primarily the result of an increase in the excess tax benefit from stock-based compensation of $303.9 million.</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nine-months ended September 30, 2015, cash provided by operating activities was primarily attributable to net income earned of $408.0 million and adjustments for certain non-cash expenses, consisting of $23.7 million of stock-based compensation and $21.8 million of depreciation and other amortization. For the nine-months ended September 30, 2015, cash provided by operating activities also increased due to a $312.8 million increase in income taxes payable, a $75.1 million increase in accounts payable, a $29.3 million increase in accrued liabilities, a $15.2 million increase in accrued promotional allowances, a $7.7 million increase in accrued distributor terminations and a $2.4 million increase in accrued compensation. For the nine-months ended September 30, 2015, cash used in operating activities was due to a $303.9 million excess tax benefit from stock option exercises, a $115.1 million change in deferred income taxes, a $132.6 million increase in accounts receivable, an $83.3 million increase in prepaid income taxes, a $36.0 million decrease in deferred revenue, a $9.1 million increase in inventories, and a $6.9 million increase in prepaid expenses and other current assets.</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nine-months ended September 30, 2014, cash provided by operating activities was primarily attributable to net income earned of $357.9 million and adjustments for certain non-cash expenses, consisting of $22.5 million of stock-based compensation and $19.1 million of depreciation and other amortization. For the nine-months ended September 30, 2014, cash provided by operating activities also increased due to a $32.4 million increase in accrued promotional allowances, a $30.0 million increase in accounts payable, a $13.3 million decrease in inventory, a $12.4 million increase in accrued liabilities, a $4.9 million increase in income taxes payable and a $2.0 million decrease in distributor receivables. For the nine-months ended September 30, 2014, cash provided by operating activities was reduced due to a $45.8 million increase in accounts receivable, an $11.5 million tax benefit from the exercise of stock options, a $8.7 million increase in prepaid income taxes, a $7.9 million increase in deferred income taxes, a $5.9 million decrease in deferred revenue, a $4.6 million increase in prepaid expenses and other current assets, and a $2.3 million decrease in distributor terminations.</w:t>
      </w:r>
    </w:p>
    <w:p>
      <w:pPr>
        <w:spacing w:after="0" w:line="19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used in investing activities. </w:t>
      </w:r>
      <w:r>
        <w:rPr>
          <w:rFonts w:ascii="Times New Roman" w:cs="Times New Roman" w:eastAsia="Times New Roman" w:hAnsi="Times New Roman"/>
          <w:sz w:val="20"/>
          <w:szCs w:val="20"/>
          <w:color w:val="auto"/>
        </w:rPr>
        <w:t>We used $408.7 million of cash from investing activities for the nine-months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30, 2015 as compared to cash used of $223.0 million for the nine-months ended September 30, 2014.</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the nine-months ended September 30, 2015, cash used in investing activities was primarily attributable to purchases of held-to-maturity investments, purchases of property and equipment, and additions to intangibles. For the nine-months ended September 30, 2014, cash used in investing activities was primarily attributable to purchases of held-to-maturity investments and to purchases of property and equipment. For the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nine-months ended September 30, 2015, cash provided by investing activities also included $198.0 million from the sale of Monster Non-Energy and $179.7 million from the transfer of distribution rights pursuant to the TCCC Transaction. For both the nine-months ended September 30, 2015 and 2014, cash provided by investing activities was also attributable to maturities of held-to-maturity investments. For both the nine-months ended September 30, 2015 and 2014,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w:t>
      </w:r>
    </w:p>
    <w:p>
      <w:pPr>
        <w:sectPr>
          <w:pgSz w:w="11900" w:h="16838" w:orient="portrait"/>
          <w:cols w:equalWidth="0" w:num="1">
            <w:col w:w="11420"/>
          </w:cols>
          <w:pgMar w:left="240" w:top="116" w:right="239" w:bottom="0" w:gutter="0" w:footer="0" w:header="0"/>
        </w:sectPr>
      </w:pPr>
    </w:p>
    <w:bookmarkStart w:id="33" w:name="page34"/>
    <w:bookmarkEnd w:id="33"/>
    <w:p>
      <w:pPr>
        <w:jc w:val="both"/>
        <w:spacing w:after="0" w:line="246" w:lineRule="auto"/>
        <w:rPr>
          <w:sz w:val="20"/>
          <w:szCs w:val="20"/>
          <w:color w:val="auto"/>
        </w:rPr>
      </w:pPr>
      <w:r>
        <w:rPr>
          <w:rFonts w:ascii="Times New Roman" w:cs="Times New Roman" w:eastAsia="Times New Roman" w:hAnsi="Times New Roman"/>
          <w:sz w:val="20"/>
          <w:szCs w:val="20"/>
          <w:color w:val="auto"/>
        </w:rPr>
        <w:t>short-term and long-term investments, and for other corporate purposes,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financing activities. </w:t>
      </w:r>
      <w:r>
        <w:rPr>
          <w:rFonts w:ascii="Times New Roman" w:cs="Times New Roman" w:eastAsia="Times New Roman" w:hAnsi="Times New Roman"/>
          <w:sz w:val="20"/>
          <w:szCs w:val="20"/>
          <w:color w:val="auto"/>
        </w:rPr>
        <w:t>We generated $1,235.2 million of cash in financing activities for the nine-months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September 30, 2015 as compared to cash provided by financing activities of $17.1 million for the nine-months ended September 30, 2014. The increase in cash flows provided by financing activities of $1,218.0 million was primarily the result of the issuance of our common stock to TCCC during the nine-months ended September 30, 2015 in connection with the TCCC Transaction.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w:t>
      </w:r>
      <w:r>
        <w:rPr>
          <w:rFonts w:ascii="Times New Roman" w:cs="Times New Roman" w:eastAsia="Times New Roman" w:hAnsi="Times New Roman"/>
          <w:sz w:val="20"/>
          <w:szCs w:val="20"/>
          <w:color w:val="auto"/>
        </w:rPr>
        <w:t>At September 30, 2015, we had $1,240.7 million in cash and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and $1,579.1 million in short-term and long-term investments. We have historically invested these amounts in U.S. Treasury bills, U.S. government agency securities and municipal securities (which may have an auction reset feature),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Of our $1,240.7 million of cash and cash equivalents held at September 30, 2015, $142.7 million was held by our foreign subsidiaries. No short-term or long-term investments were held by our foreign subsidiaries at September 30, 2015.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$120.0 million through September 30, 2016.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represents a summary of the Company’s contractual commitments and related scheduled maturities as of September 30,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66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22"/>
                <w:szCs w:val="22"/>
                <w:color w:val="auto"/>
              </w:rPr>
              <w:t>Payments due by period (in thousands)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09"/>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60"/>
              <w:spacing w:after="0" w:line="209" w:lineRule="exact"/>
              <w:rPr>
                <w:sz w:val="20"/>
                <w:szCs w:val="20"/>
                <w:color w:val="auto"/>
              </w:rPr>
            </w:pPr>
            <w:r>
              <w:rPr>
                <w:rFonts w:ascii="Times New Roman" w:cs="Times New Roman" w:eastAsia="Times New Roman" w:hAnsi="Times New Roman"/>
                <w:sz w:val="22"/>
                <w:szCs w:val="22"/>
                <w:color w:val="auto"/>
              </w:rPr>
              <w:t>Less than</w:t>
            </w:r>
          </w:p>
        </w:tc>
        <w:tc>
          <w:tcPr>
            <w:tcW w:w="360" w:type="dxa"/>
            <w:vAlign w:val="bottom"/>
          </w:tcPr>
          <w:p>
            <w:pPr>
              <w:spacing w:after="0"/>
              <w:rPr>
                <w:sz w:val="18"/>
                <w:szCs w:val="18"/>
                <w:color w:val="auto"/>
              </w:rPr>
            </w:pPr>
          </w:p>
        </w:tc>
        <w:tc>
          <w:tcPr>
            <w:tcW w:w="1120" w:type="dxa"/>
            <w:vAlign w:val="bottom"/>
          </w:tcPr>
          <w:p>
            <w:pPr>
              <w:jc w:val="right"/>
              <w:ind w:right="492"/>
              <w:spacing w:after="0" w:line="209" w:lineRule="exact"/>
              <w:rPr>
                <w:sz w:val="20"/>
                <w:szCs w:val="20"/>
                <w:color w:val="auto"/>
              </w:rPr>
            </w:pPr>
            <w:r>
              <w:rPr>
                <w:rFonts w:ascii="Times New Roman" w:cs="Times New Roman" w:eastAsia="Times New Roman" w:hAnsi="Times New Roman"/>
                <w:sz w:val="22"/>
                <w:szCs w:val="22"/>
                <w:color w:val="auto"/>
              </w:rPr>
              <w:t>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72"/>
              <w:spacing w:after="0" w:line="209" w:lineRule="exact"/>
              <w:rPr>
                <w:sz w:val="20"/>
                <w:szCs w:val="20"/>
                <w:color w:val="auto"/>
              </w:rPr>
            </w:pPr>
            <w:r>
              <w:rPr>
                <w:rFonts w:ascii="Times New Roman" w:cs="Times New Roman" w:eastAsia="Times New Roman" w:hAnsi="Times New Roman"/>
                <w:sz w:val="22"/>
                <w:szCs w:val="22"/>
                <w:color w:val="auto"/>
              </w:rPr>
              <w:t>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72"/>
              <w:spacing w:after="0" w:line="209" w:lineRule="exact"/>
              <w:rPr>
                <w:sz w:val="20"/>
                <w:szCs w:val="20"/>
                <w:color w:val="auto"/>
              </w:rPr>
            </w:pPr>
            <w:r>
              <w:rPr>
                <w:rFonts w:ascii="Times New Roman" w:cs="Times New Roman" w:eastAsia="Times New Roman" w:hAnsi="Times New Roman"/>
                <w:sz w:val="22"/>
                <w:szCs w:val="22"/>
                <w:color w:val="auto"/>
              </w:rPr>
              <w:t>More than</w:t>
            </w:r>
          </w:p>
        </w:tc>
      </w:tr>
      <w:tr>
        <w:trPr>
          <w:trHeight w:val="271"/>
        </w:trPr>
        <w:tc>
          <w:tcPr>
            <w:tcW w:w="30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2"/>
                <w:szCs w:val="22"/>
                <w:color w:val="auto"/>
              </w:rPr>
              <w:t>Obligations</w:t>
            </w:r>
          </w:p>
        </w:tc>
        <w:tc>
          <w:tcPr>
            <w:tcW w:w="3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 year</w:t>
            </w:r>
          </w:p>
        </w:tc>
        <w:tc>
          <w:tcPr>
            <w:tcW w:w="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years</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years</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5 years</w:t>
            </w:r>
          </w:p>
        </w:tc>
      </w:tr>
      <w:tr>
        <w:trPr>
          <w:trHeight w:val="425"/>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Contractual Obligations¹</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77,595</w:t>
            </w: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51,639</w:t>
            </w:r>
          </w:p>
        </w:tc>
        <w:tc>
          <w:tcPr>
            <w:tcW w:w="18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25,621</w:t>
            </w:r>
          </w:p>
        </w:tc>
        <w:tc>
          <w:tcPr>
            <w:tcW w:w="16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335</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Capital Leases</w:t>
            </w: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10,578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5,312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3,498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852</w:t>
            </w:r>
          </w:p>
        </w:tc>
      </w:tr>
      <w:tr>
        <w:trPr>
          <w:trHeight w:val="271"/>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 Commitments²</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37,498</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37,498</w:t>
            </w:r>
          </w:p>
        </w:tc>
        <w:tc>
          <w:tcPr>
            <w:tcW w:w="1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126,365</w:t>
            </w:r>
          </w:p>
        </w:tc>
        <w:tc>
          <w:tcPr>
            <w:tcW w:w="180" w:type="dxa"/>
            <w:vAlign w:val="bottom"/>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95,143</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29,119</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1,251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852</w:t>
            </w: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¹Contractual obligations include our obligations related to sponsorships and other commitments.</w:t>
      </w:r>
    </w:p>
    <w:p>
      <w:pPr>
        <w:spacing w:after="0" w:line="7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approximately $0.9 million of unrecognized tax benefits have been recorded as liabilities as of September 30, 2015. It is expected that the amount of unrecognized tax benefits will not significantly change within the next 12 months. We have also recorded a liability for potential penalties and interest of $0.5 million as of September 30,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below discloses selected quarterly data regarding sales for the three- and nine-months ended September 30, 2015 and 2014, respectively. Data from any one or more quarters or periods is not necessarily indicative of annual results or continuing trends.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w:t>
      </w:r>
    </w:p>
    <w:p>
      <w:pPr>
        <w:sectPr>
          <w:pgSz w:w="11900" w:h="16838" w:orient="portrait"/>
          <w:cols w:equalWidth="0" w:num="1">
            <w:col w:w="11420"/>
          </w:cols>
          <w:pgMar w:left="240" w:top="118" w:right="2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or concentrates as if converted into finished products, sold by us.</w:t>
      </w:r>
    </w:p>
    <w:p>
      <w:pPr>
        <w:spacing w:after="0" w:line="22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expected from traditional beverages. In addition, our continued growth in countries located in the southern hemisphere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thousands, except average</w:t>
            </w:r>
          </w:p>
        </w:tc>
        <w:tc>
          <w:tcPr>
            <w:tcW w:w="380" w:type="dxa"/>
            <w:vAlign w:val="bottom"/>
          </w:tcPr>
          <w:p>
            <w:pPr>
              <w:spacing w:after="0"/>
              <w:rPr>
                <w:sz w:val="24"/>
                <w:szCs w:val="24"/>
                <w:color w:val="auto"/>
              </w:rPr>
            </w:pPr>
          </w:p>
        </w:tc>
        <w:tc>
          <w:tcPr>
            <w:tcW w:w="316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Three-Months Ended</w:t>
            </w:r>
          </w:p>
        </w:tc>
        <w:tc>
          <w:tcPr>
            <w:tcW w:w="380" w:type="dxa"/>
            <w:vAlign w:val="bottom"/>
          </w:tcPr>
          <w:p>
            <w:pPr>
              <w:spacing w:after="0"/>
              <w:rPr>
                <w:sz w:val="24"/>
                <w:szCs w:val="24"/>
                <w:color w:val="auto"/>
              </w:rPr>
            </w:pPr>
          </w:p>
        </w:tc>
        <w:tc>
          <w:tcPr>
            <w:tcW w:w="2840" w:type="dxa"/>
            <w:vAlign w:val="bottom"/>
            <w:gridSpan w:val="4"/>
          </w:tcPr>
          <w:p>
            <w:pPr>
              <w:jc w:val="right"/>
              <w:ind w:right="701"/>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4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 sales per case)</w:t>
            </w: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September 30,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3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459"/>
        </w:trPr>
        <w:tc>
          <w:tcPr>
            <w:tcW w:w="4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sales</w:t>
            </w:r>
            <w:r>
              <w:rPr>
                <w:rFonts w:ascii="Times New Roman" w:cs="Times New Roman" w:eastAsia="Times New Roman" w:hAnsi="Times New Roman"/>
                <w:sz w:val="12"/>
                <w:szCs w:val="12"/>
                <w:color w:val="auto"/>
              </w:rPr>
              <w:t>1</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756,619</w:t>
            </w:r>
          </w:p>
        </w:tc>
        <w:tc>
          <w:tcPr>
            <w:tcW w:w="300" w:type="dxa"/>
            <w:vAlign w:val="bottom"/>
          </w:tcPr>
          <w:p>
            <w:pPr>
              <w:spacing w:after="0"/>
              <w:rPr>
                <w:sz w:val="24"/>
                <w:szCs w:val="24"/>
                <w:color w:val="auto"/>
              </w:rPr>
            </w:pP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635,972</w:t>
            </w:r>
          </w:p>
        </w:tc>
        <w:tc>
          <w:tcPr>
            <w:tcW w:w="28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2,077,131</w:t>
            </w:r>
          </w:p>
        </w:tc>
        <w:tc>
          <w:tcPr>
            <w:tcW w:w="280" w:type="dxa"/>
            <w:vAlign w:val="bottom"/>
          </w:tcPr>
          <w:p>
            <w:pPr>
              <w:spacing w:after="0"/>
              <w:rPr>
                <w:sz w:val="24"/>
                <w:szCs w:val="24"/>
                <w:color w:val="auto"/>
              </w:rPr>
            </w:pPr>
          </w:p>
        </w:tc>
        <w:tc>
          <w:tcPr>
            <w:tcW w:w="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1,859,301</w:t>
            </w:r>
          </w:p>
        </w:tc>
        <w:tc>
          <w:tcPr>
            <w:tcW w:w="0" w:type="dxa"/>
            <w:vAlign w:val="bottom"/>
          </w:tcPr>
          <w:p>
            <w:pPr>
              <w:spacing w:after="0"/>
              <w:rPr>
                <w:sz w:val="1"/>
                <w:szCs w:val="1"/>
                <w:color w:val="auto"/>
              </w:rPr>
            </w:pPr>
          </w:p>
        </w:tc>
      </w:tr>
      <w:tr>
        <w:trPr>
          <w:trHeight w:val="309"/>
        </w:trPr>
        <w:tc>
          <w:tcPr>
            <w:tcW w:w="4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Case sales by segment: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Finished Products</w:t>
            </w: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63,564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54,700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175,543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157,825</w:t>
            </w:r>
          </w:p>
        </w:tc>
        <w:tc>
          <w:tcPr>
            <w:tcW w:w="0" w:type="dxa"/>
            <w:vAlign w:val="bottom"/>
          </w:tcPr>
          <w:p>
            <w:pPr>
              <w:spacing w:after="0"/>
              <w:rPr>
                <w:sz w:val="1"/>
                <w:szCs w:val="1"/>
                <w:color w:val="auto"/>
              </w:rPr>
            </w:pPr>
          </w:p>
        </w:tc>
      </w:tr>
      <w:tr>
        <w:trPr>
          <w:trHeight w:val="230"/>
        </w:trPr>
        <w:tc>
          <w:tcPr>
            <w:tcW w:w="4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Concentrate</w:t>
            </w: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17,710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20,346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11,201</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21,892</w:t>
            </w:r>
          </w:p>
        </w:tc>
        <w:tc>
          <w:tcPr>
            <w:tcW w:w="0" w:type="dxa"/>
            <w:vAlign w:val="bottom"/>
          </w:tcPr>
          <w:p>
            <w:pPr>
              <w:spacing w:after="0"/>
              <w:rPr>
                <w:sz w:val="1"/>
                <w:szCs w:val="1"/>
                <w:color w:val="auto"/>
              </w:rPr>
            </w:pPr>
          </w:p>
        </w:tc>
      </w:tr>
      <w:tr>
        <w:trPr>
          <w:trHeight w:val="23"/>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 case sales</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6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81,274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62,204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207,090</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179,717</w:t>
            </w:r>
          </w:p>
        </w:tc>
        <w:tc>
          <w:tcPr>
            <w:tcW w:w="0" w:type="dxa"/>
            <w:vAlign w:val="bottom"/>
          </w:tcPr>
          <w:p>
            <w:pPr>
              <w:spacing w:after="0"/>
              <w:rPr>
                <w:sz w:val="1"/>
                <w:szCs w:val="1"/>
                <w:color w:val="auto"/>
              </w:rPr>
            </w:pPr>
          </w:p>
        </w:tc>
      </w:tr>
      <w:tr>
        <w:trPr>
          <w:trHeight w:val="23"/>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Average net sales per case</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9.31</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10.22</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10.03</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6"/>
          <w:szCs w:val="16"/>
          <w:i w:val="1"/>
          <w:iCs w:val="1"/>
          <w:color w:val="auto"/>
        </w:rPr>
        <w:t>¹Includes $39.8 million for the nine-months ended September 30, 2015, related to the accelerated amortization of the deferred revenue balances associated with certain of the Company’s prior distributors who were sent notices of termination during the first quarter of 2015. Excluding the acceleration of deferred revenue, the average net sales price per case decreased to $9.84 for the nine-months ended September 30, 2015, which was 4.9% lower than the average net sales per case of $10.35 for the nine-months ended September 30, 2014.</w:t>
      </w:r>
    </w:p>
    <w:p>
      <w:pPr>
        <w:spacing w:after="0" w:line="17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See Item 2, “Management’s Discussion and Analysis of Financial Condition and Results of Operations - Our Business” for additional information related to the increase in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There have been no material changes to our critical accounting policies from the information provided in Item 7, “Management’s Discussion and Analysis of Financial Condition and Results of Operations”, included in our Form 10-K other than those included in Note 2 of our Quarterly Report on Form 10-Q for the period ended June 30,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July 2015, the FASB issued ASU No. 2015-11, “Inventory (Topic 330): Simplifying the Measurement of Inventory”. ASU 2015-11 requires entities to measure inventory at the lower of cost or net realizable value. Net realizable value is defined as the estimated selling prices in the ordinary course of business, less reasonably predictable costs of completion, disposal and transportation. ASU 2015-11 is effective for annual periods, and interim periods within those years, beginning after December 15, 2016. Early adoption is permitted. The adoption of ASU 2015-11 is not expected to have a material impact on the Company’s financial position, results of operations or liquidity.</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interim periods within those years, beginning after December 15, 2015. Early adoption is permitted. ASU 2014-12 may be applied either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prospectively to all awards granted or modified after the effective date or (b) retrospectively to all awards with performance targets that are</w:t>
      </w:r>
    </w:p>
    <w:p>
      <w:pPr>
        <w:sectPr>
          <w:pgSz w:w="11900" w:h="16838" w:orient="portrait"/>
          <w:cols w:equalWidth="0" w:num="1">
            <w:col w:w="11420"/>
          </w:cols>
          <w:pgMar w:left="240" w:top="118" w:right="239" w:bottom="0" w:gutter="0" w:footer="0" w:header="0"/>
          <w:type w:val="continuous"/>
        </w:sectPr>
      </w:pPr>
    </w:p>
    <w:bookmarkStart w:id="35" w:name="page36"/>
    <w:bookmarkEnd w:id="35"/>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 as of the beginning of the earliest annual period presented in the financial statements and to all new or modified awards thereafter.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adoption of ASU 2014-12 is not expected to have a material impact on the Company’s financial position, results of operations or liquidity.</w:t>
      </w:r>
    </w:p>
    <w:p>
      <w:pPr>
        <w:spacing w:after="0" w:line="21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ind w:left="320" w:hanging="312"/>
        <w:spacing w:after="0"/>
        <w:tabs>
          <w:tab w:leader="none" w:pos="3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contract(s) with a customer; (2) identify the performance obligations in the contract; (3) determine the transaction price;</w:t>
      </w:r>
    </w:p>
    <w:p>
      <w:pPr>
        <w:jc w:val="both"/>
        <w:ind w:firstLine="8"/>
        <w:spacing w:after="0" w:line="241" w:lineRule="auto"/>
        <w:tabs>
          <w:tab w:leader="none" w:pos="31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2014-09 on its financial position, results of operations and liquidity.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inflation did not have a significant impact on our results of operations for the periods presented.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188"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recognize any benefits from the TCCC Transaction;</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our extensive commercial arrangements with TCCC on our future performance;</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becoming one of our significant shareholders and the potential divergence of TCCC’s interests from those of our other shareholders;</w:t>
      </w:r>
    </w:p>
    <w:p>
      <w:pPr>
        <w:spacing w:after="0" w:line="1"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transfer the distribution of our Monster Energy® brand energy drinks in certain existing international territories to bottlers/distributors within the TCCC distribution system;</w:t>
      </w:r>
    </w:p>
    <w:p>
      <w:pPr>
        <w:spacing w:after="0" w:line="1"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distribution or sales and/or decline in sales due to the termination and/or appointment of existing and/or new domestic and/or international distributors;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regulations, including taxation requirements, product registration requirements, tariffs and/or trade restrictions;</w:t>
      </w:r>
    </w:p>
    <w:p>
      <w:pPr>
        <w:spacing w:after="0" w:line="40"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4"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from our operations outside the United States;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produce our products in international markets in which they are sold, thereby reducing freight costs and/or product damages;</w:t>
      </w:r>
    </w:p>
    <w:p>
      <w:pPr>
        <w:spacing w:after="0" w:line="5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or other governmental agencies or bodies;</w:t>
      </w:r>
    </w:p>
    <w:p>
      <w:pPr>
        <w:spacing w:after="0" w:line="1"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of future shareholder derivative actions or shareholder securities litigation filed against us;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litigation and/or class action litigation regarding the safety of our products and/or the ingredients in</w:t>
      </w:r>
    </w:p>
    <w:p>
      <w:pPr>
        <w:sectPr>
          <w:pgSz w:w="11900" w:h="16861" w:orient="portrait"/>
          <w:cols w:equalWidth="0" w:num="1">
            <w:col w:w="11420"/>
          </w:cols>
          <w:pgMar w:left="240" w:top="118" w:right="239" w:bottom="0" w:gutter="0" w:footer="0" w:header="0"/>
        </w:sectPr>
      </w:pPr>
    </w:p>
    <w:bookmarkStart w:id="36" w:name="page37"/>
    <w:bookmarkEnd w:id="36"/>
    <w:p>
      <w:pPr>
        <w:ind w:left="380" w:right="20"/>
        <w:spacing w:after="0" w:line="260" w:lineRule="auto"/>
        <w:rPr>
          <w:sz w:val="20"/>
          <w:szCs w:val="20"/>
          <w:color w:val="auto"/>
        </w:rPr>
      </w:pPr>
      <w:r>
        <w:rPr>
          <w:rFonts w:ascii="Times New Roman" w:cs="Times New Roman" w:eastAsia="Times New Roman" w:hAnsi="Times New Roman"/>
          <w:sz w:val="20"/>
          <w:szCs w:val="20"/>
          <w:color w:val="auto"/>
        </w:rPr>
        <w:t>and/or claims made in connection with our products and/or alleging false advertising, marketing and/or promotion, and the possibility of future product liability and/or class action lawsuits;</w:t>
      </w:r>
    </w:p>
    <w:p>
      <w:pPr>
        <w:spacing w:after="0" w:line="1"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uncertainty and volatility in the national and global economy;</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capital expansion plans and general operating activities;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related;</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products and pricing pressures and our ability to gain or maintain our share of sales in the marketplace as a result of actions by competitors;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380" w:hanging="372"/>
        <w:spacing w:after="0" w:line="242"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FFD&amp;C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7" w:lineRule="exact"/>
        <w:rPr>
          <w:rFonts w:ascii="Times New Roman" w:cs="Times New Roman" w:eastAsia="Times New Roman" w:hAnsi="Times New Roman"/>
          <w:sz w:val="20"/>
          <w:szCs w:val="20"/>
          <w:color w:val="auto"/>
        </w:rPr>
      </w:pPr>
    </w:p>
    <w:p>
      <w:pPr>
        <w:jc w:val="both"/>
        <w:ind w:left="380" w:right="20" w:hanging="372"/>
        <w:spacing w:after="0" w:line="253"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due to port strikes and related labor issues;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and/or press and/or articles, comments and/or media attention;</w:t>
      </w:r>
    </w:p>
    <w:p>
      <w:pPr>
        <w:spacing w:after="0" w:line="40" w:lineRule="exact"/>
        <w:rPr>
          <w:rFonts w:ascii="Times New Roman" w:cs="Times New Roman" w:eastAsia="Times New Roman" w:hAnsi="Times New Roman"/>
          <w:sz w:val="20"/>
          <w:szCs w:val="20"/>
          <w:color w:val="auto"/>
        </w:rPr>
      </w:pPr>
    </w:p>
    <w:p>
      <w:pPr>
        <w:jc w:val="both"/>
        <w:ind w:left="380" w:hanging="372"/>
        <w:spacing w:after="0" w:line="253"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the Mid 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corporate activity among the limited number of suppliers from whom we purchase certain raw materials on our cost of sales;</w:t>
      </w:r>
    </w:p>
    <w:p>
      <w:pPr>
        <w:spacing w:after="0" w:line="51" w:lineRule="exact"/>
        <w:rPr>
          <w:rFonts w:ascii="Times New Roman" w:cs="Times New Roman" w:eastAsia="Times New Roman" w:hAnsi="Times New Roman"/>
          <w:sz w:val="19"/>
          <w:szCs w:val="19"/>
          <w:color w:val="auto"/>
        </w:rPr>
      </w:pPr>
    </w:p>
    <w:p>
      <w:pPr>
        <w:ind w:left="380" w:hanging="372"/>
        <w:spacing w:after="0" w:line="26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Times New Roman" w:cs="Times New Roman" w:eastAsia="Times New Roman" w:hAnsi="Times New Roman"/>
          <w:sz w:val="20"/>
          <w:szCs w:val="20"/>
          <w:color w:val="auto"/>
        </w:rPr>
      </w:pPr>
    </w:p>
    <w:p>
      <w:pPr>
        <w:jc w:val="both"/>
        <w:ind w:left="380" w:hanging="372"/>
        <w:spacing w:after="0" w:line="253"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or political instability in one or more of our international markets;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of distributors of our products, most of which distribute products that are competitive with our products;</w:t>
      </w:r>
    </w:p>
    <w:p>
      <w:pPr>
        <w:spacing w:after="0" w:line="1" w:lineRule="exact"/>
        <w:rPr>
          <w:rFonts w:ascii="Times New Roman" w:cs="Times New Roman" w:eastAsia="Times New Roman" w:hAnsi="Times New Roman"/>
          <w:sz w:val="20"/>
          <w:szCs w:val="20"/>
          <w:color w:val="auto"/>
        </w:rPr>
      </w:pPr>
    </w:p>
    <w:p>
      <w:pPr>
        <w:jc w:val="both"/>
        <w:ind w:left="380" w:right="20" w:hanging="372"/>
        <w:spacing w:after="0" w:line="253"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distributors, convenience chains, grocery chains, mass merchandisers,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product category consumption;</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economic and political changes;</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recalls of our products and/or defective production;</w:t>
      </w:r>
    </w:p>
    <w:p>
      <w:pPr>
        <w:spacing w:after="0" w:line="40" w:lineRule="exact"/>
        <w:rPr>
          <w:rFonts w:ascii="Times New Roman" w:cs="Times New Roman" w:eastAsia="Times New Roman" w:hAnsi="Times New Roman"/>
          <w:sz w:val="20"/>
          <w:szCs w:val="20"/>
          <w:color w:val="auto"/>
        </w:rPr>
      </w:pPr>
    </w:p>
    <w:p>
      <w:pPr>
        <w:ind w:left="380" w:right="20" w:hanging="372"/>
        <w:spacing w:after="0" w:line="26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spacing w:after="0" w:line="40" w:lineRule="exact"/>
        <w:rPr>
          <w:rFonts w:ascii="Times New Roman" w:cs="Times New Roman" w:eastAsia="Times New Roman" w:hAnsi="Times New Roman"/>
          <w:sz w:val="20"/>
          <w:szCs w:val="20"/>
          <w:color w:val="auto"/>
        </w:rPr>
      </w:pPr>
    </w:p>
    <w:p>
      <w:pPr>
        <w:ind w:left="380" w:right="20" w:hanging="372"/>
        <w:spacing w:after="0" w:line="26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w:t>
      </w:r>
    </w:p>
    <w:p>
      <w:pPr>
        <w:sectPr>
          <w:pgSz w:w="11900" w:h="16838" w:orient="portrait"/>
          <w:cols w:equalWidth="0" w:num="1">
            <w:col w:w="11420"/>
          </w:cols>
          <w:pgMar w:left="240" w:top="118" w:right="239" w:bottom="0" w:gutter="0" w:footer="0" w:header="0"/>
        </w:sectPr>
      </w:pPr>
    </w:p>
    <w:bookmarkStart w:id="37" w:name="page38"/>
    <w:bookmarkEnd w:id="37"/>
    <w:p>
      <w:pPr>
        <w:ind w:left="380" w:right="20" w:hanging="372"/>
        <w:spacing w:after="0" w:line="268" w:lineRule="auto"/>
        <w:tabs>
          <w:tab w:leader="none" w:pos="3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 contract packers to manufacture our products on a timely basis or at all;</w:t>
      </w:r>
    </w:p>
    <w:p>
      <w:pPr>
        <w:spacing w:after="0" w:line="4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w:t>
      </w:r>
    </w:p>
    <w:p>
      <w:pPr>
        <w:spacing w:after="0" w:line="40" w:lineRule="exact"/>
        <w:rPr>
          <w:rFonts w:ascii="Times New Roman" w:cs="Times New Roman" w:eastAsia="Times New Roman" w:hAnsi="Times New Roman"/>
          <w:sz w:val="20"/>
          <w:szCs w:val="20"/>
          <w:color w:val="auto"/>
        </w:rPr>
      </w:pPr>
    </w:p>
    <w:p>
      <w:pPr>
        <w:ind w:left="380" w:hanging="372"/>
        <w:spacing w:after="0" w:line="260"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breaches of cyber security, that disrupts our business or negatively impacts customer relationships; 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in our market risk during the three-months ended September 30, 2015 compared with the disclosures in Part II, Item 7A of our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Evaluation of Disclosure Controls and Procedures </w:t>
      </w:r>
      <w:r>
        <w:rPr>
          <w:rFonts w:ascii="Times New Roman" w:cs="Times New Roman" w:eastAsia="Times New Roman" w:hAnsi="Times New Roman"/>
          <w:sz w:val="20"/>
          <w:szCs w:val="20"/>
          <w:color w:val="auto"/>
        </w:rPr>
        <w:t>— Under the supervision and with the participation of the Company’s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September 30, 2015,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Notes to Condensed Consolidated Financial Statements —Note 11. Commitments and Contingencies: Legal Proceedings in Part I, Item 1, of this Quarterly Report on Form 10-Q.</w:t>
      </w:r>
    </w:p>
    <w:p>
      <w:pPr>
        <w:spacing w:after="0" w:line="16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Risk Factors are discussed in our Form 10-K. There have been no material changes with respect to the risk factors disclosed in our Form 10-K other than those disclosed in Item 1A of Part II of our Quarterly Report on Form 10-Q for the period ended June 30, 2015.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April 7, 2013, the Company’s Board of Directors authorized a new share repurchase program for the repurchase of up to $200.0 million of the Company’s outstanding common stock (the “April 2013 Repurchase Plan”).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three-months ended September 30, 2015, the Company purchased 1.1 million shares of common stock at an average purchase price of $134.71 per share, for a total amount of $145.7 million (excluding broker commissions), which exhausted the availability under the April 2013 Repurchase Plan.</w:t>
      </w:r>
    </w:p>
    <w:p>
      <w:pPr>
        <w:sectPr>
          <w:pgSz w:w="11900" w:h="16838" w:orient="portrait"/>
          <w:cols w:equalWidth="0" w:num="1">
            <w:col w:w="11420"/>
          </w:cols>
          <w:pgMar w:left="240" w:top="118" w:right="239" w:bottom="0" w:gutter="0" w:footer="0" w:header="0"/>
        </w:sectPr>
      </w:pPr>
    </w:p>
    <w:bookmarkStart w:id="38" w:name="page39"/>
    <w:bookmarkEnd w:id="38"/>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On September 11, 2015, the Company’s Board of Directors authorized a new share repurchase program for the repurchase of up to $500.0 million of the Company’s outstanding common stock (the “September 2015 Repurchase Plan”).</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three-months ended September 30, 2015, the Company purchased 1.8 million shares of common stock at an average purchase price of $134.27 per share, for a total amount of $241.8 million (excluding broker commissions), under the September 2015 Repurchase Plan.</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three-months ended September 30, 2015, 75 shares were purchased from employees in lieu of cash payments for options exercised or withholding taxes due for a total amount of $0.01 million. While such purchases are considered common stock repurchases, they are not counted as purchases against the Company’s authorized share repurchase programs, including the April 2013 Repurchase Plan. Such shares are included in common stock in treasury in the accompanying condensed consolidated balance sheet at September 30, 2015.</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September 30,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8"/>
              </w:rPr>
              <w:t>Maximum Number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8"/>
              </w:rPr>
              <w:t>Approximate Dollar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Total Number of</w:t>
            </w:r>
          </w:p>
        </w:tc>
        <w:tc>
          <w:tcPr>
            <w:tcW w:w="260" w:type="dxa"/>
            <w:vAlign w:val="bottom"/>
          </w:tcPr>
          <w:p>
            <w:pPr>
              <w:spacing w:after="0"/>
              <w:rPr>
                <w:sz w:val="19"/>
                <w:szCs w:val="19"/>
                <w:color w:val="auto"/>
              </w:rPr>
            </w:pPr>
          </w:p>
        </w:tc>
        <w:tc>
          <w:tcPr>
            <w:tcW w:w="214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7"/>
              </w:rPr>
              <w:t>Value) of Shares that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Shares Purchased</w:t>
            </w:r>
          </w:p>
        </w:tc>
        <w:tc>
          <w:tcPr>
            <w:tcW w:w="260" w:type="dxa"/>
            <w:vAlign w:val="bottom"/>
          </w:tcPr>
          <w:p>
            <w:pPr>
              <w:spacing w:after="0"/>
              <w:rPr>
                <w:sz w:val="19"/>
                <w:szCs w:val="19"/>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7"/>
              </w:rPr>
              <w:t>May Yet Be 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Total Number</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as Part of Publicly</w:t>
            </w:r>
          </w:p>
        </w:tc>
        <w:tc>
          <w:tcPr>
            <w:tcW w:w="260" w:type="dxa"/>
            <w:vAlign w:val="bottom"/>
          </w:tcPr>
          <w:p>
            <w:pPr>
              <w:spacing w:after="0"/>
              <w:rPr>
                <w:sz w:val="19"/>
                <w:szCs w:val="19"/>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9"/>
              </w:rPr>
              <w:t>Under the 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Shares</w:t>
            </w:r>
          </w:p>
        </w:tc>
        <w:tc>
          <w:tcPr>
            <w:tcW w:w="280" w:type="dxa"/>
            <w:vAlign w:val="bottom"/>
          </w:tcPr>
          <w:p>
            <w:pPr>
              <w:spacing w:after="0"/>
              <w:rPr>
                <w:sz w:val="19"/>
                <w:szCs w:val="19"/>
                <w:color w:val="auto"/>
              </w:rPr>
            </w:pPr>
          </w:p>
        </w:tc>
        <w:tc>
          <w:tcPr>
            <w:tcW w:w="166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6"/>
              </w:rPr>
              <w:t>Average Price</w:t>
            </w:r>
          </w:p>
        </w:tc>
        <w:tc>
          <w:tcPr>
            <w:tcW w:w="2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Announced Plans</w:t>
            </w:r>
          </w:p>
        </w:tc>
        <w:tc>
          <w:tcPr>
            <w:tcW w:w="260" w:type="dxa"/>
            <w:vAlign w:val="bottom"/>
          </w:tcPr>
          <w:p>
            <w:pPr>
              <w:spacing w:after="0"/>
              <w:rPr>
                <w:sz w:val="19"/>
                <w:szCs w:val="19"/>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9"/>
              </w:rPr>
              <w:t>Programs (In</w:t>
            </w:r>
          </w:p>
        </w:tc>
        <w:tc>
          <w:tcPr>
            <w:tcW w:w="0" w:type="dxa"/>
            <w:vAlign w:val="bottom"/>
          </w:tcPr>
          <w:p>
            <w:pPr>
              <w:spacing w:after="0"/>
              <w:rPr>
                <w:sz w:val="1"/>
                <w:szCs w:val="1"/>
                <w:color w:val="auto"/>
              </w:rPr>
            </w:pPr>
          </w:p>
        </w:tc>
      </w:tr>
      <w:tr>
        <w:trPr>
          <w:trHeight w:val="252"/>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Purchased</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9"/>
              </w:rPr>
              <w:t>per Share¹</w:t>
            </w:r>
          </w:p>
        </w:tc>
        <w:tc>
          <w:tcPr>
            <w:tcW w:w="2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or Programs</w:t>
            </w:r>
          </w:p>
        </w:tc>
        <w:tc>
          <w:tcPr>
            <w:tcW w:w="260" w:type="dxa"/>
            <w:vAlign w:val="bottom"/>
          </w:tcPr>
          <w:p>
            <w:pPr>
              <w:spacing w:after="0"/>
              <w:rPr>
                <w:sz w:val="21"/>
                <w:szCs w:val="21"/>
                <w:color w:val="auto"/>
              </w:rPr>
            </w:pPr>
          </w:p>
        </w:tc>
        <w:tc>
          <w:tcPr>
            <w:tcW w:w="214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9"/>
              </w:rPr>
              <w:t>thousands)²</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Jul 1 - Jul 31</w:t>
            </w:r>
          </w:p>
        </w:tc>
        <w:tc>
          <w:tcPr>
            <w:tcW w:w="28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7"/>
                <w:szCs w:val="17"/>
                <w:color w:val="auto"/>
              </w:rPr>
            </w:pPr>
          </w:p>
        </w:tc>
        <w:tc>
          <w:tcPr>
            <w:tcW w:w="20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1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145,814</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Aug 1 - Aug 31</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368,436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134.82</w:t>
            </w:r>
          </w:p>
        </w:tc>
        <w:tc>
          <w:tcPr>
            <w:tcW w:w="300" w:type="dxa"/>
            <w:vAlign w:val="bottom"/>
          </w:tcPr>
          <w:p>
            <w:pPr>
              <w:spacing w:after="0"/>
              <w:rPr>
                <w:sz w:val="19"/>
                <w:szCs w:val="19"/>
                <w:color w:val="auto"/>
              </w:rPr>
            </w:pPr>
          </w:p>
        </w:tc>
        <w:tc>
          <w:tcPr>
            <w:tcW w:w="2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368,436</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96,133</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Sept 1 - Sept 10</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712,818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134.65</w:t>
            </w:r>
          </w:p>
        </w:tc>
        <w:tc>
          <w:tcPr>
            <w:tcW w:w="300" w:type="dxa"/>
            <w:vAlign w:val="bottom"/>
          </w:tcPr>
          <w:p>
            <w:pPr>
              <w:spacing w:after="0"/>
              <w:rPr>
                <w:sz w:val="19"/>
                <w:szCs w:val="19"/>
                <w:color w:val="auto"/>
              </w:rPr>
            </w:pPr>
          </w:p>
        </w:tc>
        <w:tc>
          <w:tcPr>
            <w:tcW w:w="2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1,081,254</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Sept 11 authorization</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Sept 11 - Sept 30</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1,800,580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134.27</w:t>
            </w:r>
          </w:p>
        </w:tc>
        <w:tc>
          <w:tcPr>
            <w:tcW w:w="300" w:type="dxa"/>
            <w:vAlign w:val="bottom"/>
          </w:tcPr>
          <w:p>
            <w:pPr>
              <w:spacing w:after="0"/>
              <w:rPr>
                <w:sz w:val="19"/>
                <w:szCs w:val="19"/>
                <w:color w:val="auto"/>
              </w:rPr>
            </w:pPr>
          </w:p>
        </w:tc>
        <w:tc>
          <w:tcPr>
            <w:tcW w:w="2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2,881,834</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258,203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140" w:type="dxa"/>
            <w:vAlign w:val="bottom"/>
            <w:gridSpan w:val="2"/>
            <w:vMerge w:val="restart"/>
          </w:tcPr>
          <w:p>
            <w:pPr>
              <w:ind w:left="1220"/>
              <w:spacing w:after="0"/>
              <w:rPr>
                <w:sz w:val="20"/>
                <w:szCs w:val="20"/>
                <w:color w:val="auto"/>
              </w:rPr>
            </w:pPr>
            <w:r>
              <w:rPr>
                <w:rFonts w:ascii="Times New Roman" w:cs="Times New Roman" w:eastAsia="Times New Roman" w:hAnsi="Times New Roman"/>
                <w:sz w:val="20"/>
                <w:szCs w:val="20"/>
                <w:color w:val="auto"/>
              </w:rPr>
              <w:t>Total</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40" w:type="dxa"/>
            <w:vAlign w:val="bottom"/>
            <w:gridSpan w:val="2"/>
            <w:vMerge w:val="continue"/>
          </w:tcPr>
          <w:p>
            <w:pPr>
              <w:spacing w:after="0"/>
              <w:rPr>
                <w:sz w:val="19"/>
                <w:szCs w:val="19"/>
                <w:color w:val="auto"/>
              </w:rPr>
            </w:pPr>
          </w:p>
        </w:tc>
        <w:tc>
          <w:tcPr>
            <w:tcW w:w="16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2,881,834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¹Excluding broker commissions paid.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²Net of broker commissions paid.</w:t>
      </w:r>
    </w:p>
    <w:p>
      <w:pPr>
        <w:spacing w:after="0" w:line="21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DEFAULTS UPON SENIOR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INFORMATION</w:t>
            </w:r>
          </w:p>
        </w:tc>
      </w:tr>
      <w:tr>
        <w:trPr>
          <w:trHeight w:val="459"/>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None.</w:t>
            </w:r>
          </w:p>
        </w:tc>
        <w:tc>
          <w:tcPr>
            <w:tcW w:w="978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68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4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 to Section 906 of the</w:t>
            </w:r>
          </w:p>
        </w:tc>
      </w:tr>
      <w:tr>
        <w:trPr>
          <w:trHeight w:val="258"/>
        </w:trPr>
        <w:tc>
          <w:tcPr>
            <w:tcW w:w="1180" w:type="dxa"/>
            <w:vAlign w:val="bottom"/>
          </w:tcPr>
          <w:p>
            <w:pPr>
              <w:spacing w:after="0"/>
              <w:rPr>
                <w:sz w:val="22"/>
                <w:szCs w:val="22"/>
                <w:color w:val="auto"/>
              </w:rPr>
            </w:pPr>
          </w:p>
        </w:tc>
        <w:tc>
          <w:tcPr>
            <w:tcW w:w="97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Sarbanes-Oxley Act of 2002</w:t>
            </w:r>
          </w:p>
        </w:tc>
      </w:tr>
      <w:tr>
        <w:trPr>
          <w:trHeight w:val="4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by Chief Financial Officer Pursuant to 18 U.S.C. Section 1350, as Adopted Pursuant to Section 906 of the</w:t>
            </w:r>
          </w:p>
        </w:tc>
      </w:tr>
      <w:tr>
        <w:trPr>
          <w:trHeight w:val="258"/>
        </w:trPr>
        <w:tc>
          <w:tcPr>
            <w:tcW w:w="1180" w:type="dxa"/>
            <w:vAlign w:val="bottom"/>
          </w:tcPr>
          <w:p>
            <w:pPr>
              <w:spacing w:after="0"/>
              <w:rPr>
                <w:sz w:val="22"/>
                <w:szCs w:val="22"/>
                <w:color w:val="auto"/>
              </w:rPr>
            </w:pPr>
          </w:p>
        </w:tc>
        <w:tc>
          <w:tcPr>
            <w:tcW w:w="97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Sarbanes-Oxley Act of 2002</w:t>
            </w:r>
          </w:p>
        </w:tc>
      </w:tr>
      <w:tr>
        <w:trPr>
          <w:trHeight w:val="4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7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The following financial information from Monster Beverage Corporation’s Quarterly Report on Form 10-Q for the quarter</w:t>
            </w:r>
          </w:p>
        </w:tc>
      </w:tr>
      <w:tr>
        <w:trPr>
          <w:trHeight w:val="252"/>
        </w:trPr>
        <w:tc>
          <w:tcPr>
            <w:tcW w:w="1180" w:type="dxa"/>
            <w:vAlign w:val="bottom"/>
          </w:tcPr>
          <w:p>
            <w:pPr>
              <w:spacing w:after="0"/>
              <w:rPr>
                <w:sz w:val="21"/>
                <w:szCs w:val="21"/>
                <w:color w:val="auto"/>
              </w:rPr>
            </w:pPr>
          </w:p>
        </w:tc>
        <w:tc>
          <w:tcPr>
            <w:tcW w:w="97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ended September 30, 2015, formatted in XBRL (eXtensible Business Reporting Language): (i) Condensed Consolidated</w:t>
            </w:r>
          </w:p>
        </w:tc>
      </w:tr>
    </w:tbl>
    <w:p>
      <w:pPr>
        <w:ind w:left="1300" w:right="80"/>
        <w:spacing w:after="0" w:line="241" w:lineRule="auto"/>
        <w:rPr>
          <w:sz w:val="20"/>
          <w:szCs w:val="20"/>
          <w:color w:val="auto"/>
        </w:rPr>
      </w:pPr>
      <w:r>
        <w:rPr>
          <w:rFonts w:ascii="Times New Roman" w:cs="Times New Roman" w:eastAsia="Times New Roman" w:hAnsi="Times New Roman"/>
          <w:sz w:val="20"/>
          <w:szCs w:val="20"/>
          <w:color w:val="auto"/>
        </w:rPr>
        <w:t>Balance Sheets as of September 30, 2015 and December 31, 2014, (ii) Condensed Consolidated Statements of Income for the three- and nine-months ended September 30, 2015 and 2014, (iii) Condensed Consolidated Statements of Comprehensive Income for the three- and nine- months ended September 30, 2015 and 2014, (iv) Condensed Consolidated Statements of Cash Flows for the nine-months ended September 30, 2015 and 2014, and (v) the Notes to Condensed Consolidated Financial Statements.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Filed herewith</w:t>
      </w:r>
    </w:p>
    <w:p>
      <w:pPr>
        <w:sectPr>
          <w:pgSz w:w="11900" w:h="16838" w:orient="portrait"/>
          <w:cols w:equalWidth="0" w:num="1">
            <w:col w:w="11420"/>
          </w:cols>
          <w:pgMar w:left="240" w:top="118" w:right="239" w:bottom="0" w:gutter="0" w:footer="0" w:header="0"/>
          <w:type w:val="continuous"/>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MONSTER BEVERAGE CORPORATION</w:t>
            </w:r>
          </w:p>
        </w:tc>
        <w:tc>
          <w:tcPr>
            <w:tcW w:w="40" w:type="dxa"/>
            <w:vAlign w:val="bottom"/>
          </w:tcPr>
          <w:p>
            <w:pPr>
              <w:spacing w:after="0"/>
              <w:rPr>
                <w:sz w:val="19"/>
                <w:szCs w:val="19"/>
                <w:color w:val="auto"/>
              </w:rPr>
            </w:pPr>
          </w:p>
        </w:tc>
      </w:tr>
      <w:tr>
        <w:trPr>
          <w:trHeight w:val="258"/>
        </w:trPr>
        <w:tc>
          <w:tcPr>
            <w:tcW w:w="38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Registrant</w:t>
            </w:r>
          </w:p>
        </w:tc>
        <w:tc>
          <w:tcPr>
            <w:tcW w:w="40" w:type="dxa"/>
            <w:vAlign w:val="bottom"/>
          </w:tcPr>
          <w:p>
            <w:pPr>
              <w:spacing w:after="0"/>
              <w:rPr>
                <w:sz w:val="22"/>
                <w:szCs w:val="22"/>
                <w:color w:val="auto"/>
              </w:rPr>
            </w:pPr>
          </w:p>
        </w:tc>
      </w:tr>
      <w:tr>
        <w:trPr>
          <w:trHeight w:val="683"/>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6, 2015</w:t>
            </w:r>
          </w:p>
        </w:tc>
        <w:tc>
          <w:tcPr>
            <w:tcW w:w="19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4"/>
                <w:szCs w:val="24"/>
                <w:color w:val="auto"/>
              </w:rPr>
            </w:pPr>
          </w:p>
        </w:tc>
      </w:tr>
      <w:tr>
        <w:trPr>
          <w:trHeight w:val="200"/>
        </w:trPr>
        <w:tc>
          <w:tcPr>
            <w:tcW w:w="3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7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38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440"/>
        </w:trPr>
        <w:tc>
          <w:tcPr>
            <w:tcW w:w="3800" w:type="dxa"/>
            <w:vAlign w:val="bottom"/>
          </w:tcPr>
          <w:p>
            <w:pPr>
              <w:spacing w:after="0"/>
              <w:rPr>
                <w:sz w:val="24"/>
                <w:szCs w:val="24"/>
                <w:color w:val="auto"/>
              </w:rPr>
            </w:pPr>
          </w:p>
        </w:tc>
        <w:tc>
          <w:tcPr>
            <w:tcW w:w="7620" w:type="dxa"/>
            <w:vAlign w:val="bottom"/>
            <w:gridSpan w:val="2"/>
          </w:tcPr>
          <w:p>
            <w:pPr>
              <w:jc w:val="right"/>
              <w:ind w:right="5521"/>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type w:val="continuous"/>
        </w:sectPr>
      </w:pPr>
    </w:p>
    <w:bookmarkStart w:id="40" w:name="page41"/>
    <w:bookmarkEnd w:id="40"/>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9"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November 6, 2015</w:t>
            </w:r>
          </w:p>
        </w:tc>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/s/Rodney C. Sacks</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55"/>
        </w:trPr>
        <w:tc>
          <w:tcPr>
            <w:tcW w:w="90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November 6, 2015</w:t>
            </w:r>
          </w:p>
        </w:tc>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55"/>
        </w:trPr>
        <w:tc>
          <w:tcPr>
            <w:tcW w:w="90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42" w:name="page43"/>
    <w:bookmarkEnd w:id="42"/>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September 30, 2015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November 6, 2015</w:t>
            </w:r>
          </w:p>
        </w:tc>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42"/>
        </w:trPr>
        <w:tc>
          <w:tcPr>
            <w:tcW w:w="90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43" w:name="page44"/>
    <w:bookmarkEnd w:id="43"/>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September 30, 2015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November 6, 2015</w:t>
            </w:r>
          </w:p>
        </w:tc>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9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55"/>
        </w:trPr>
        <w:tc>
          <w:tcPr>
            <w:tcW w:w="90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1."/>
      <w:numFmt w:val="decimal"/>
      <w:start w:val="5"/>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1."/>
      <w:numFmt w:val="decimal"/>
      <w:start w:val="6"/>
    </w:lvl>
  </w:abstractNum>
  <w:abstractNum w:abstractNumId="12">
    <w:nsid w:val="836C40E"/>
    <w:multiLevelType w:val="hybridMultilevel"/>
    <w:lvl w:ilvl="0">
      <w:lvlJc w:val="left"/>
      <w:lvlText w:val="%1."/>
      <w:numFmt w:val="decimal"/>
      <w:start w:val="7"/>
    </w:lvl>
  </w:abstractNum>
  <w:abstractNum w:abstractNumId="13">
    <w:nsid w:val="2901D82"/>
    <w:multiLevelType w:val="hybridMultilevel"/>
    <w:lvl w:ilvl="0">
      <w:lvlJc w:val="left"/>
      <w:lvlText w:val="%1."/>
      <w:numFmt w:val="decimal"/>
      <w:start w:val="8"/>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1."/>
      <w:numFmt w:val="decimal"/>
      <w:start w:val="11"/>
    </w:lvl>
  </w:abstractNum>
  <w:abstractNum w:abstractNumId="16">
    <w:nsid w:val="1E7FF521"/>
    <w:multiLevelType w:val="hybridMultilevel"/>
    <w:lvl w:ilvl="0">
      <w:lvlJc w:val="left"/>
      <w:lvlText w:val="%1"/>
      <w:numFmt w:val="decimal"/>
      <w:start w:val="1"/>
    </w:lvl>
    <w:lvl w:ilvl="1">
      <w:lvlJc w:val="left"/>
      <w:lvlText w:val="(%2)"/>
      <w:numFmt w:val="lowerRoman"/>
      <w:start w:val="1"/>
    </w:lvl>
  </w:abstractNum>
  <w:abstractNum w:abstractNumId="17">
    <w:nsid w:val="7C3DBD3D"/>
    <w:multiLevelType w:val="hybridMultilevel"/>
    <w:lvl w:ilvl="0">
      <w:lvlJc w:val="left"/>
      <w:lvlText w:val="(%1)"/>
      <w:numFmt w:val="decimal"/>
      <w:start w:val="2"/>
    </w:lvl>
    <w:lvl w:ilvl="1">
      <w:lvlJc w:val="left"/>
      <w:lvlText w:val="%2"/>
      <w:numFmt w:val="lowerRoman"/>
      <w:start w:val="1"/>
    </w:lvl>
  </w:abstractNum>
  <w:abstractNum w:abstractNumId="18">
    <w:nsid w:val="737B8DDC"/>
    <w:multiLevelType w:val="hybridMultilevel"/>
    <w:lvl w:ilvl="0">
      <w:lvlJc w:val="left"/>
      <w:lvlText w:val="%1."/>
      <w:numFmt w:val="decimal"/>
      <w:start w:val="12"/>
    </w:lvl>
  </w:abstractNum>
  <w:abstractNum w:abstractNumId="19">
    <w:nsid w:val="6CEAF087"/>
    <w:multiLevelType w:val="hybridMultilevel"/>
    <w:lvl w:ilvl="0">
      <w:lvlJc w:val="left"/>
      <w:lvlText w:val="%1."/>
      <w:numFmt w:val="decimal"/>
      <w:start w:val="13"/>
    </w:lvl>
  </w:abstractNum>
  <w:abstractNum w:abstractNumId="20">
    <w:nsid w:val="22221A70"/>
    <w:multiLevelType w:val="hybridMultilevel"/>
    <w:lvl w:ilvl="0">
      <w:lvlJc w:val="left"/>
      <w:lvlText w:val="%1."/>
      <w:numFmt w:val="decimal"/>
      <w:start w:val="14"/>
    </w:lvl>
  </w:abstractNum>
  <w:abstractNum w:abstractNumId="21">
    <w:nsid w:val="4516DDE9"/>
    <w:multiLevelType w:val="hybridMultilevel"/>
    <w:lvl w:ilvl="0">
      <w:lvlJc w:val="left"/>
      <w:lvlText w:val="%1."/>
      <w:numFmt w:val="decimal"/>
      <w:start w:val="15"/>
    </w:lvl>
  </w:abstractNum>
  <w:abstractNum w:abstractNumId="22">
    <w:nsid w:val="3006C83E"/>
    <w:multiLevelType w:val="hybridMultilevel"/>
    <w:lvl w:ilvl="0">
      <w:lvlJc w:val="left"/>
      <w:lvlText w:val="%1."/>
      <w:numFmt w:val="decimal"/>
      <w:start w:val="16"/>
    </w:lvl>
  </w:abstractNum>
  <w:abstractNum w:abstractNumId="23">
    <w:nsid w:val="614FD4A1"/>
    <w:multiLevelType w:val="hybridMultilevel"/>
    <w:lvl w:ilvl="0">
      <w:lvlJc w:val="left"/>
      <w:lvlText w:val="%1."/>
      <w:numFmt w:val="decimal"/>
      <w:start w:val="17"/>
    </w:lvl>
  </w:abstractNum>
  <w:abstractNum w:abstractNumId="24">
    <w:nsid w:val="419AC241"/>
    <w:multiLevelType w:val="hybridMultilevel"/>
    <w:lvl w:ilvl="0">
      <w:lvlJc w:val="left"/>
      <w:lvlText w:val="(%1)"/>
      <w:numFmt w:val="lowerRoman"/>
      <w:start w:val="2"/>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8"/>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lowerRoman"/>
      <w:start w:val="8"/>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4"/>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2019-12-29T15:29:26Z</dcterms:created>
  <dcterms:modified xsi:type="dcterms:W3CDTF">2019-12-29T15:29:26Z</dcterms:modified>
</cp:coreProperties>
</file>