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58" w:lineRule="exact"/>
        <w:rPr>
          <w:sz w:val="24"/>
          <w:szCs w:val="24"/>
          <w:color w:val="auto"/>
        </w:rPr>
      </w:pPr>
    </w:p>
    <w:p>
      <w:pPr>
        <w:spacing w:after="0"/>
        <w:tabs>
          <w:tab w:leader="none" w:pos="8380" w:val="left"/>
        </w:tabs>
        <w:rPr>
          <w:sz w:val="20"/>
          <w:szCs w:val="20"/>
          <w:color w:val="auto"/>
        </w:rPr>
      </w:pPr>
      <w:r>
        <w:rPr>
          <w:rFonts w:ascii="Arial" w:cs="Arial" w:eastAsia="Arial" w:hAnsi="Arial"/>
          <w:sz w:val="22"/>
          <w:szCs w:val="22"/>
          <w:color w:val="auto"/>
        </w:rPr>
        <w:t>For the quarterly period ended September 30, 2013</w:t>
      </w:r>
      <w:r>
        <w:rPr>
          <w:sz w:val="20"/>
          <w:szCs w:val="20"/>
          <w:color w:val="auto"/>
        </w:rPr>
        <w:tab/>
      </w:r>
      <w:r>
        <w:rPr>
          <w:rFonts w:ascii="Arial" w:cs="Arial" w:eastAsia="Arial" w:hAnsi="Arial"/>
          <w:sz w:val="19"/>
          <w:szCs w:val="19"/>
          <w:color w:val="auto"/>
        </w:rPr>
        <w:t>Commission File Number 0-18761</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72" w:orient="portrait"/>
          <w:cols w:equalWidth="0" w:num="1">
            <w:col w:w="11420"/>
          </w:cols>
          <w:pgMar w:left="240" w:top="233" w:right="239" w:bottom="0" w:gutter="0" w:footer="0" w:header="0"/>
        </w:sectPr>
      </w:pPr>
    </w:p>
    <w:p>
      <w:pPr>
        <w:spacing w:after="0" w:line="189" w:lineRule="exact"/>
        <w:rPr>
          <w:sz w:val="24"/>
          <w:szCs w:val="24"/>
          <w:color w:val="auto"/>
        </w:rPr>
      </w:pPr>
    </w:p>
    <w:p>
      <w:pPr>
        <w:ind w:left="2840"/>
        <w:spacing w:after="0"/>
        <w:rPr>
          <w:sz w:val="20"/>
          <w:szCs w:val="20"/>
          <w:color w:val="auto"/>
        </w:rPr>
      </w:pPr>
      <w:r>
        <w:rPr>
          <w:rFonts w:ascii="Arial" w:cs="Arial" w:eastAsia="Arial" w:hAnsi="Arial"/>
          <w:sz w:val="19"/>
          <w:szCs w:val="19"/>
          <w:color w:val="auto"/>
        </w:rPr>
        <w:t>Delaware</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9"/>
          <w:szCs w:val="19"/>
          <w:color w:val="auto"/>
        </w:rPr>
        <w:t>39-1679918</w:t>
      </w:r>
    </w:p>
    <w:p>
      <w:pPr>
        <w:spacing w:after="0" w:line="27" w:lineRule="exact"/>
        <w:rPr>
          <w:sz w:val="24"/>
          <w:szCs w:val="24"/>
          <w:color w:val="auto"/>
        </w:rPr>
      </w:pPr>
    </w:p>
    <w:p>
      <w:pPr>
        <w:sectPr>
          <w:pgSz w:w="11900" w:h="16872" w:orient="portrait"/>
          <w:cols w:equalWidth="0" w:num="2">
            <w:col w:w="6600" w:space="720"/>
            <w:col w:w="4100"/>
          </w:cols>
          <w:pgMar w:left="240" w:top="233" w:right="239" w:bottom="0" w:gutter="0" w:footer="0" w:header="0"/>
          <w:type w:val="continuous"/>
        </w:sectPr>
      </w:pPr>
    </w:p>
    <w:p>
      <w:pPr>
        <w:spacing w:after="0" w:line="11" w:lineRule="exact"/>
        <w:rPr>
          <w:sz w:val="24"/>
          <w:szCs w:val="24"/>
          <w:color w:val="auto"/>
        </w:rPr>
      </w:pPr>
    </w:p>
    <w:p>
      <w:pPr>
        <w:ind w:left="2840"/>
        <w:spacing w:after="0"/>
        <w:rPr>
          <w:sz w:val="20"/>
          <w:szCs w:val="20"/>
          <w:color w:val="auto"/>
        </w:rPr>
      </w:pPr>
      <w:r>
        <w:rPr>
          <w:rFonts w:ascii="Arial" w:cs="Arial" w:eastAsia="Arial" w:hAnsi="Arial"/>
          <w:sz w:val="13"/>
          <w:szCs w:val="13"/>
          <w:color w:val="auto"/>
        </w:rPr>
        <w:t>(State or other jurisdiction of</w:t>
      </w:r>
    </w:p>
    <w:p>
      <w:pPr>
        <w:ind w:left="28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72" w:orient="portrait"/>
          <w:cols w:equalWidth="0" w:num="2">
            <w:col w:w="6600" w:space="720"/>
            <w:col w:w="4100"/>
          </w:cols>
          <w:pgMar w:left="240" w:top="233" w:right="239" w:bottom="0" w:gutter="0" w:footer="0" w:header="0"/>
          <w:type w:val="continuous"/>
        </w:sectPr>
      </w:pPr>
    </w:p>
    <w:p>
      <w:pPr>
        <w:jc w:val="center"/>
        <w:spacing w:after="0"/>
        <w:rPr>
          <w:sz w:val="20"/>
          <w:szCs w:val="20"/>
          <w:color w:val="auto"/>
        </w:rPr>
      </w:pPr>
      <w:r>
        <w:rPr>
          <w:rFonts w:ascii="Arial" w:cs="Arial" w:eastAsia="Arial" w:hAnsi="Arial"/>
          <w:sz w:val="22"/>
          <w:szCs w:val="22"/>
          <w:color w:val="auto"/>
        </w:rPr>
        <w:t>1 Monster Way</w:t>
      </w:r>
    </w:p>
    <w:p>
      <w:pPr>
        <w:jc w:val="center"/>
        <w:spacing w:after="0" w:line="235" w:lineRule="auto"/>
        <w:rPr>
          <w:sz w:val="20"/>
          <w:szCs w:val="20"/>
          <w:color w:val="auto"/>
        </w:rPr>
      </w:pPr>
      <w:r>
        <w:rPr>
          <w:rFonts w:ascii="Arial" w:cs="Arial" w:eastAsia="Arial" w:hAnsi="Arial"/>
          <w:sz w:val="22"/>
          <w:szCs w:val="22"/>
          <w:color w:val="auto"/>
        </w:rPr>
        <w:t>Corona, California 92879</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(951) 739 – 6200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2" w:lineRule="exact"/>
        <w:rPr>
          <w:sz w:val="24"/>
          <w:szCs w:val="24"/>
          <w:color w:val="auto"/>
        </w:rPr>
      </w:pPr>
    </w:p>
    <w:p>
      <w:pPr>
        <w:ind w:left="5100"/>
        <w:spacing w:after="0"/>
        <w:tabs>
          <w:tab w:leader="none" w:pos="582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2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05"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00" w:lineRule="exact"/>
        <w:rPr>
          <w:sz w:val="24"/>
          <w:szCs w:val="24"/>
          <w:color w:val="auto"/>
        </w:rPr>
      </w:pPr>
    </w:p>
    <w:p>
      <w:pPr>
        <w:spacing w:after="0" w:line="25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72" w:orient="portrait"/>
          <w:cols w:equalWidth="0" w:num="1">
            <w:col w:w="11420"/>
          </w:cols>
          <w:pgMar w:left="240" w:top="233" w:right="239" w:bottom="0" w:gutter="0" w:footer="0" w:header="0"/>
          <w:type w:val="continuous"/>
        </w:sectPr>
      </w:pP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44" w:lineRule="exact"/>
        <w:rPr>
          <w:sz w:val="24"/>
          <w:szCs w:val="24"/>
          <w:color w:val="auto"/>
        </w:rPr>
      </w:pPr>
    </w:p>
    <w:p>
      <w:pPr>
        <w:sectPr>
          <w:pgSz w:w="11900" w:h="16872" w:orient="portrait"/>
          <w:cols w:equalWidth="0" w:num="2">
            <w:col w:w="6880" w:space="720"/>
            <w:col w:w="3820"/>
          </w:cols>
          <w:pgMar w:left="240" w:top="233" w:right="239" w:bottom="0" w:gutter="0" w:footer="0" w:header="0"/>
          <w:type w:val="continuous"/>
        </w:sectPr>
      </w:pPr>
    </w:p>
    <w:p>
      <w:pPr>
        <w:spacing w:after="0"/>
        <w:rPr>
          <w:sz w:val="20"/>
          <w:szCs w:val="20"/>
          <w:color w:val="auto"/>
        </w:rPr>
      </w:pPr>
      <w:r>
        <w:rPr>
          <w:rFonts w:ascii="Arial" w:cs="Arial" w:eastAsia="Arial" w:hAnsi="Arial"/>
          <w:sz w:val="18"/>
          <w:szCs w:val="18"/>
          <w:color w:val="auto"/>
        </w:rPr>
        <w:t>Non-accelerated filer o (Do not check if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Smaller reporting company o</w:t>
      </w:r>
    </w:p>
    <w:p>
      <w:pPr>
        <w:spacing w:after="0" w:line="200" w:lineRule="exact"/>
        <w:rPr>
          <w:sz w:val="24"/>
          <w:szCs w:val="24"/>
          <w:color w:val="auto"/>
        </w:rPr>
      </w:pPr>
    </w:p>
    <w:p>
      <w:pPr>
        <w:sectPr>
          <w:pgSz w:w="11900" w:h="16872" w:orient="portrait"/>
          <w:cols w:equalWidth="0" w:num="2">
            <w:col w:w="6880" w:space="720"/>
            <w:col w:w="3820"/>
          </w:cols>
          <w:pgMar w:left="240" w:top="233" w:right="239" w:bottom="0" w:gutter="0" w:footer="0" w:header="0"/>
          <w:type w:val="continuous"/>
        </w:sectPr>
      </w:pPr>
    </w:p>
    <w:p>
      <w:pPr>
        <w:spacing w:after="0" w:line="282"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2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9"/>
          <w:szCs w:val="19"/>
          <w:color w:val="auto"/>
        </w:rPr>
        <w:t>The Registrant had 167,673,196 shares of common stock, par value $0.005 per share, outstanding as of October 24,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229870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MONSTER BEVERAGE CORPORATION AND SUBSIDIARIES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SEPTEMBER 30, 2013</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INDEX</w:t>
      </w:r>
    </w:p>
    <w:p>
      <w:pPr>
        <w:spacing w:after="0" w:line="233" w:lineRule="exact"/>
        <w:rPr>
          <w:sz w:val="24"/>
          <w:szCs w:val="24"/>
          <w:color w:val="auto"/>
        </w:rPr>
      </w:pPr>
    </w:p>
    <w:p>
      <w:pPr>
        <w:spacing w:after="0"/>
        <w:tabs>
          <w:tab w:leader="none" w:pos="1480" w:val="left"/>
          <w:tab w:leader="none" w:pos="10580" w:val="left"/>
        </w:tabs>
        <w:rPr>
          <w:rFonts w:ascii="Arial" w:cs="Arial" w:eastAsia="Arial" w:hAnsi="Arial"/>
          <w:sz w:val="22"/>
          <w:szCs w:val="22"/>
          <w:b w:val="1"/>
          <w:bCs w:val="1"/>
          <w:u w:val="single" w:color="auto"/>
          <w:color w:val="0000EE"/>
        </w:rPr>
      </w:pPr>
      <w:hyperlink w:anchor="page2">
        <w:r>
          <w:rPr>
            <w:rFonts w:ascii="Arial" w:cs="Arial" w:eastAsia="Arial" w:hAnsi="Arial"/>
            <w:sz w:val="22"/>
            <w:szCs w:val="22"/>
            <w:b w:val="1"/>
            <w:bCs w:val="1"/>
            <w:u w:val="single" w:color="auto"/>
            <w:color w:val="0000EE"/>
          </w:rPr>
          <w:t>Part I.</w:t>
        </w:r>
      </w:hyperlink>
      <w:r>
        <w:rPr>
          <w:rFonts w:ascii="Arial" w:cs="Arial" w:eastAsia="Arial" w:hAnsi="Arial"/>
          <w:sz w:val="22"/>
          <w:szCs w:val="22"/>
          <w:b w:val="1"/>
          <w:bCs w:val="1"/>
          <w:u w:val="single" w:color="auto"/>
          <w:color w:val="0000EE"/>
        </w:rPr>
        <w:tab/>
      </w:r>
      <w:hyperlink w:anchor="page2">
        <w:r>
          <w:rPr>
            <w:rFonts w:ascii="Arial" w:cs="Arial" w:eastAsia="Arial" w:hAnsi="Arial"/>
            <w:sz w:val="22"/>
            <w:szCs w:val="22"/>
            <w:b w:val="1"/>
            <w:bCs w:val="1"/>
            <w:u w:val="single" w:color="auto"/>
            <w:color w:val="0000EE"/>
          </w:rPr>
          <w:t>FINANCIAL INFORMATION</w:t>
        </w:r>
      </w:hyperlink>
      <w:r>
        <w:rPr>
          <w:rFonts w:ascii="Arial" w:cs="Arial" w:eastAsia="Arial" w:hAnsi="Arial"/>
          <w:sz w:val="22"/>
          <w:szCs w:val="22"/>
          <w:b w:val="1"/>
          <w:bCs w:val="1"/>
          <w:u w:val="single" w:color="auto"/>
          <w:color w:val="0000EE"/>
        </w:rPr>
        <w:tab/>
      </w:r>
      <w:r>
        <w:rPr>
          <w:rFonts w:ascii="Arial" w:cs="Arial" w:eastAsia="Arial" w:hAnsi="Arial"/>
          <w:sz w:val="19"/>
          <w:szCs w:val="19"/>
          <w:b w:val="1"/>
          <w:bCs w:val="1"/>
          <w:u w:val="single" w:color="auto"/>
          <w:color w:val="0000EE"/>
        </w:rPr>
        <w:t>Page No.</w:t>
      </w:r>
    </w:p>
    <w:p>
      <w:pPr>
        <w:spacing w:after="0" w:line="239" w:lineRule="exact"/>
        <w:rPr>
          <w:sz w:val="20"/>
          <w:szCs w:val="20"/>
          <w:color w:val="auto"/>
        </w:rPr>
      </w:pPr>
    </w:p>
    <w:p>
      <w:pPr>
        <w:spacing w:after="0"/>
        <w:tabs>
          <w:tab w:leader="none" w:pos="1480" w:val="left"/>
        </w:tabs>
        <w:rPr>
          <w:rFonts w:ascii="Arial" w:cs="Arial" w:eastAsia="Arial" w:hAnsi="Arial"/>
          <w:sz w:val="19"/>
          <w:szCs w:val="19"/>
          <w:u w:val="single" w:color="auto"/>
          <w:color w:val="0000EE"/>
        </w:rPr>
      </w:pPr>
      <w:hyperlink w:anchor="page2">
        <w:r>
          <w:rPr>
            <w:rFonts w:ascii="Arial" w:cs="Arial" w:eastAsia="Arial" w:hAnsi="Arial"/>
            <w:sz w:val="22"/>
            <w:szCs w:val="22"/>
            <w:u w:val="single" w:color="auto"/>
            <w:color w:val="0000EE"/>
          </w:rPr>
          <w:t>Item 1.</w:t>
        </w:r>
      </w:hyperlink>
      <w:r>
        <w:rPr>
          <w:rFonts w:ascii="Arial" w:cs="Arial" w:eastAsia="Arial" w:hAnsi="Arial"/>
          <w:sz w:val="22"/>
          <w:szCs w:val="22"/>
          <w:u w:val="single" w:color="auto"/>
          <w:color w:val="0000EE"/>
        </w:rPr>
        <w:tab/>
      </w:r>
      <w:hyperlink w:anchor="page2">
        <w:r>
          <w:rPr>
            <w:rFonts w:ascii="Arial" w:cs="Arial" w:eastAsia="Arial" w:hAnsi="Arial"/>
            <w:sz w:val="19"/>
            <w:szCs w:val="19"/>
            <w:u w:val="single" w:color="auto"/>
            <w:color w:val="0000EE"/>
          </w:rPr>
          <w:t>Condensed Consolidated Financial Statements (Unaudited)</w:t>
        </w:r>
      </w:hyperlink>
    </w:p>
    <w:p>
      <w:pPr>
        <w:sectPr>
          <w:pgSz w:w="11900" w:h="16872" w:orient="portrait"/>
          <w:cols w:equalWidth="0" w:num="1">
            <w:col w:w="11420"/>
          </w:cols>
          <w:pgMar w:left="240" w:top="233"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940" w:type="dxa"/>
            <w:vAlign w:val="bottom"/>
            <w:gridSpan w:val="18"/>
          </w:tcPr>
          <w:p>
            <w:pPr>
              <w:spacing w:after="0"/>
              <w:rPr>
                <w:rFonts w:ascii="Arial" w:cs="Arial" w:eastAsia="Arial" w:hAnsi="Arial"/>
                <w:sz w:val="22"/>
                <w:szCs w:val="22"/>
                <w:color w:val="0000EE"/>
                <w:w w:val="98"/>
              </w:rPr>
            </w:pPr>
            <w:hyperlink w:anchor="page2">
              <w:r>
                <w:rPr>
                  <w:rFonts w:ascii="Arial" w:cs="Arial" w:eastAsia="Arial" w:hAnsi="Arial"/>
                  <w:sz w:val="22"/>
                  <w:szCs w:val="22"/>
                  <w:color w:val="0000EE"/>
                  <w:w w:val="98"/>
                </w:rPr>
                <w:t>Condensed Consolidated Balance Sheets as of September 30, 2013 and December 31, 2012</w:t>
              </w:r>
            </w:hyperlink>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540" w:type="dxa"/>
            <w:vAlign w:val="bottom"/>
            <w:tcBorders>
              <w:top w:val="single" w:sz="8" w:color="0000EE"/>
              <w:bottom w:val="single" w:sz="8" w:color="0000EE"/>
            </w:tcBorders>
            <w:gridSpan w:val="13"/>
          </w:tcPr>
          <w:p>
            <w:pPr>
              <w:spacing w:after="0"/>
              <w:rPr>
                <w:rFonts w:ascii="Arial" w:cs="Arial" w:eastAsia="Arial" w:hAnsi="Arial"/>
                <w:sz w:val="22"/>
                <w:szCs w:val="22"/>
                <w:color w:val="0000EE"/>
                <w:w w:val="88"/>
              </w:rPr>
            </w:pPr>
            <w:hyperlink w:anchor="page3">
              <w:r>
                <w:rPr>
                  <w:rFonts w:ascii="Arial" w:cs="Arial" w:eastAsia="Arial" w:hAnsi="Arial"/>
                  <w:sz w:val="22"/>
                  <w:szCs w:val="22"/>
                  <w:color w:val="0000EE"/>
                  <w:w w:val="88"/>
                </w:rPr>
                <w:t>Condensed Consolidated Statements of Income for the Three- and Nine-Months Ended</w:t>
              </w:r>
            </w:hyperlink>
          </w:p>
        </w:tc>
        <w:tc>
          <w:tcPr>
            <w:tcW w:w="360" w:type="dxa"/>
            <w:vAlign w:val="bottom"/>
            <w:tcBorders>
              <w:top w:val="single" w:sz="8" w:color="0000EE"/>
            </w:tcBorders>
            <w:gridSpan w:val="2"/>
          </w:tcPr>
          <w:p>
            <w:pPr>
              <w:spacing w:after="0"/>
              <w:rPr>
                <w:sz w:val="24"/>
                <w:szCs w:val="24"/>
                <w:color w:val="auto"/>
              </w:rPr>
            </w:pPr>
          </w:p>
        </w:tc>
        <w:tc>
          <w:tcPr>
            <w:tcW w:w="1040" w:type="dxa"/>
            <w:vAlign w:val="bottom"/>
            <w:gridSpan w:val="3"/>
          </w:tcPr>
          <w:p>
            <w:pPr>
              <w:spacing w:after="0"/>
              <w:rPr>
                <w:sz w:val="24"/>
                <w:szCs w:val="24"/>
                <w:color w:val="auto"/>
              </w:rPr>
            </w:pPr>
          </w:p>
        </w:tc>
        <w:tc>
          <w:tcPr>
            <w:tcW w:w="1020" w:type="dxa"/>
            <w:vAlign w:val="bottom"/>
            <w:vMerge w:val="restart"/>
          </w:tcPr>
          <w:p>
            <w:pPr>
              <w:jc w:val="right"/>
              <w:ind w:right="92"/>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0" w:type="dxa"/>
            <w:vAlign w:val="bottom"/>
            <w:tcBorders>
              <w:bottom w:val="single" w:sz="8" w:color="0000EE"/>
            </w:tcBorders>
            <w:gridSpan w:val="8"/>
          </w:tcPr>
          <w:p>
            <w:pPr>
              <w:spacing w:after="0" w:line="223" w:lineRule="exact"/>
              <w:rPr>
                <w:rFonts w:ascii="Arial" w:cs="Arial" w:eastAsia="Arial" w:hAnsi="Arial"/>
                <w:sz w:val="22"/>
                <w:szCs w:val="22"/>
                <w:color w:val="0000EE"/>
                <w:w w:val="86"/>
              </w:rPr>
            </w:pPr>
            <w:hyperlink w:anchor="page3">
              <w:r>
                <w:rPr>
                  <w:rFonts w:ascii="Arial" w:cs="Arial" w:eastAsia="Arial" w:hAnsi="Arial"/>
                  <w:sz w:val="22"/>
                  <w:szCs w:val="22"/>
                  <w:color w:val="0000EE"/>
                  <w:w w:val="86"/>
                </w:rPr>
                <w:t>September 30, 2013 and 2012</w:t>
              </w:r>
            </w:hyperlink>
          </w:p>
        </w:tc>
        <w:tc>
          <w:tcPr>
            <w:tcW w:w="6340" w:type="dxa"/>
            <w:vAlign w:val="bottom"/>
            <w:gridSpan w:val="10"/>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40" w:type="dxa"/>
            <w:vAlign w:val="bottom"/>
            <w:tcBorders>
              <w:bottom w:val="single" w:sz="8" w:color="0000EE"/>
            </w:tcBorders>
            <w:gridSpan w:val="17"/>
          </w:tcPr>
          <w:p>
            <w:pPr>
              <w:spacing w:after="0"/>
              <w:rPr>
                <w:rFonts w:ascii="Arial" w:cs="Arial" w:eastAsia="Arial" w:hAnsi="Arial"/>
                <w:sz w:val="22"/>
                <w:szCs w:val="22"/>
                <w:color w:val="0000EE"/>
                <w:w w:val="88"/>
              </w:rPr>
            </w:pPr>
            <w:hyperlink w:anchor="page4">
              <w:r>
                <w:rPr>
                  <w:rFonts w:ascii="Arial" w:cs="Arial" w:eastAsia="Arial" w:hAnsi="Arial"/>
                  <w:sz w:val="22"/>
                  <w:szCs w:val="22"/>
                  <w:color w:val="0000EE"/>
                  <w:w w:val="88"/>
                </w:rPr>
                <w:t>Condensed Consolidated Statements of Comprehensive Income for the Three- and Nine-Months</w:t>
              </w:r>
            </w:hyperlink>
          </w:p>
        </w:tc>
        <w:tc>
          <w:tcPr>
            <w:tcW w:w="600" w:type="dxa"/>
            <w:vAlign w:val="bottom"/>
          </w:tcPr>
          <w:p>
            <w:pPr>
              <w:spacing w:after="0"/>
              <w:rPr>
                <w:sz w:val="24"/>
                <w:szCs w:val="24"/>
                <w:color w:val="auto"/>
              </w:rPr>
            </w:pPr>
          </w:p>
        </w:tc>
        <w:tc>
          <w:tcPr>
            <w:tcW w:w="1020" w:type="dxa"/>
            <w:vAlign w:val="bottom"/>
            <w:vMerge w:val="restart"/>
          </w:tcPr>
          <w:p>
            <w:pPr>
              <w:jc w:val="right"/>
              <w:ind w:right="92"/>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0" w:type="dxa"/>
            <w:vAlign w:val="bottom"/>
            <w:tcBorders>
              <w:bottom w:val="single" w:sz="8" w:color="0000EE"/>
            </w:tcBorders>
            <w:gridSpan w:val="10"/>
          </w:tcPr>
          <w:p>
            <w:pPr>
              <w:spacing w:after="0" w:line="223" w:lineRule="exact"/>
              <w:rPr>
                <w:rFonts w:ascii="Arial" w:cs="Arial" w:eastAsia="Arial" w:hAnsi="Arial"/>
                <w:sz w:val="22"/>
                <w:szCs w:val="22"/>
                <w:color w:val="0000EE"/>
                <w:w w:val="86"/>
              </w:rPr>
            </w:pPr>
            <w:hyperlink w:anchor="page4">
              <w:r>
                <w:rPr>
                  <w:rFonts w:ascii="Arial" w:cs="Arial" w:eastAsia="Arial" w:hAnsi="Arial"/>
                  <w:sz w:val="22"/>
                  <w:szCs w:val="22"/>
                  <w:color w:val="0000EE"/>
                  <w:w w:val="86"/>
                </w:rPr>
                <w:t>Ended September 30, 2013 and 2012</w:t>
              </w:r>
            </w:hyperlink>
          </w:p>
        </w:tc>
        <w:tc>
          <w:tcPr>
            <w:tcW w:w="5740" w:type="dxa"/>
            <w:vAlign w:val="bottom"/>
            <w:gridSpan w:val="8"/>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940" w:type="dxa"/>
            <w:vAlign w:val="bottom"/>
            <w:gridSpan w:val="18"/>
          </w:tcPr>
          <w:p>
            <w:pPr>
              <w:spacing w:after="0"/>
              <w:rPr>
                <w:rFonts w:ascii="Arial" w:cs="Arial" w:eastAsia="Arial" w:hAnsi="Arial"/>
                <w:sz w:val="22"/>
                <w:szCs w:val="22"/>
                <w:color w:val="0000EE"/>
                <w:w w:val="95"/>
              </w:rPr>
            </w:pPr>
            <w:hyperlink w:anchor="page4">
              <w:r>
                <w:rPr>
                  <w:rFonts w:ascii="Arial" w:cs="Arial" w:eastAsia="Arial" w:hAnsi="Arial"/>
                  <w:sz w:val="22"/>
                  <w:szCs w:val="22"/>
                  <w:color w:val="0000EE"/>
                  <w:w w:val="95"/>
                </w:rPr>
                <w:t>Condensed Consolidated Statements of Cash Flows for the Nine-Months Ended September 30,</w:t>
              </w:r>
            </w:hyperlink>
          </w:p>
        </w:tc>
        <w:tc>
          <w:tcPr>
            <w:tcW w:w="1020" w:type="dxa"/>
            <w:vAlign w:val="bottom"/>
            <w:vMerge w:val="restart"/>
          </w:tcPr>
          <w:p>
            <w:pPr>
              <w:jc w:val="right"/>
              <w:ind w:right="92"/>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Borders>
              <w:top w:val="single" w:sz="8" w:color="0000EE"/>
              <w:bottom w:val="single" w:sz="8" w:color="0000EE"/>
            </w:tcBorders>
            <w:gridSpan w:val="4"/>
          </w:tcPr>
          <w:p>
            <w:pPr>
              <w:spacing w:after="0" w:line="223" w:lineRule="exact"/>
              <w:rPr>
                <w:rFonts w:ascii="Arial" w:cs="Arial" w:eastAsia="Arial" w:hAnsi="Arial"/>
                <w:sz w:val="22"/>
                <w:szCs w:val="22"/>
                <w:color w:val="0000EE"/>
                <w:w w:val="87"/>
              </w:rPr>
            </w:pPr>
            <w:hyperlink w:anchor="page4">
              <w:r>
                <w:rPr>
                  <w:rFonts w:ascii="Arial" w:cs="Arial" w:eastAsia="Arial" w:hAnsi="Arial"/>
                  <w:sz w:val="22"/>
                  <w:szCs w:val="22"/>
                  <w:color w:val="0000EE"/>
                  <w:w w:val="87"/>
                </w:rPr>
                <w:t>2013 and 2012</w:t>
              </w:r>
            </w:hyperlink>
          </w:p>
        </w:tc>
        <w:tc>
          <w:tcPr>
            <w:tcW w:w="6900" w:type="dxa"/>
            <w:vAlign w:val="bottom"/>
            <w:tcBorders>
              <w:top w:val="single" w:sz="8" w:color="0000EE"/>
            </w:tcBorders>
            <w:gridSpan w:val="12"/>
          </w:tcPr>
          <w:p>
            <w:pPr>
              <w:spacing w:after="0"/>
              <w:rPr>
                <w:sz w:val="19"/>
                <w:szCs w:val="19"/>
                <w:color w:val="auto"/>
              </w:rPr>
            </w:pPr>
          </w:p>
        </w:tc>
        <w:tc>
          <w:tcPr>
            <w:tcW w:w="740" w:type="dxa"/>
            <w:vAlign w:val="bottom"/>
            <w:gridSpan w:val="2"/>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940" w:type="dxa"/>
            <w:vAlign w:val="bottom"/>
            <w:gridSpan w:val="18"/>
          </w:tcPr>
          <w:p>
            <w:pPr>
              <w:spacing w:after="0"/>
              <w:rPr>
                <w:rFonts w:ascii="Arial" w:cs="Arial" w:eastAsia="Arial" w:hAnsi="Arial"/>
                <w:sz w:val="22"/>
                <w:szCs w:val="22"/>
                <w:color w:val="0000EE"/>
              </w:rPr>
            </w:pPr>
            <w:hyperlink w:anchor="page5">
              <w:r>
                <w:rPr>
                  <w:rFonts w:ascii="Arial" w:cs="Arial" w:eastAsia="Arial" w:hAnsi="Arial"/>
                  <w:sz w:val="22"/>
                  <w:szCs w:val="22"/>
                  <w:color w:val="0000EE"/>
                </w:rPr>
                <w:t>Notes to Condensed Consolidated Financial Statements</w:t>
              </w:r>
            </w:hyperlink>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00" w:type="dxa"/>
            <w:vAlign w:val="bottom"/>
            <w:gridSpan w:val="4"/>
          </w:tcPr>
          <w:p>
            <w:pPr>
              <w:spacing w:after="0"/>
              <w:rPr>
                <w:rFonts w:ascii="Arial" w:cs="Arial" w:eastAsia="Arial" w:hAnsi="Arial"/>
                <w:sz w:val="22"/>
                <w:szCs w:val="22"/>
                <w:color w:val="0000EE"/>
              </w:rPr>
            </w:pPr>
            <w:hyperlink w:anchor="page20">
              <w:r>
                <w:rPr>
                  <w:rFonts w:ascii="Arial" w:cs="Arial" w:eastAsia="Arial" w:hAnsi="Arial"/>
                  <w:sz w:val="22"/>
                  <w:szCs w:val="22"/>
                  <w:color w:val="0000EE"/>
                </w:rPr>
                <w:t>Item 2.</w:t>
              </w:r>
            </w:hyperlink>
          </w:p>
        </w:tc>
        <w:tc>
          <w:tcPr>
            <w:tcW w:w="8940" w:type="dxa"/>
            <w:vAlign w:val="bottom"/>
            <w:gridSpan w:val="18"/>
          </w:tcPr>
          <w:p>
            <w:pPr>
              <w:spacing w:after="0"/>
              <w:rPr>
                <w:rFonts w:ascii="Arial" w:cs="Arial" w:eastAsia="Arial" w:hAnsi="Arial"/>
                <w:sz w:val="22"/>
                <w:szCs w:val="22"/>
                <w:color w:val="0000EE"/>
              </w:rPr>
            </w:pPr>
            <w:hyperlink w:anchor="page20">
              <w:r>
                <w:rPr>
                  <w:rFonts w:ascii="Arial" w:cs="Arial" w:eastAsia="Arial" w:hAnsi="Arial"/>
                  <w:sz w:val="22"/>
                  <w:szCs w:val="22"/>
                  <w:color w:val="0000EE"/>
                </w:rPr>
                <w:t>Management’s Discussion and Analysis of Financial Condition and Results of Operations</w:t>
              </w:r>
            </w:hyperlink>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254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00" w:type="dxa"/>
            <w:vAlign w:val="bottom"/>
            <w:gridSpan w:val="4"/>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Item 3.</w:t>
              </w:r>
            </w:hyperlink>
          </w:p>
        </w:tc>
        <w:tc>
          <w:tcPr>
            <w:tcW w:w="8940" w:type="dxa"/>
            <w:vAlign w:val="bottom"/>
            <w:gridSpan w:val="18"/>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Quantitative and Qualitative Disclosures About Market Risk</w:t>
              </w:r>
            </w:hyperlink>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3720" w:type="dxa"/>
            <w:vAlign w:val="bottom"/>
            <w:tcBorders>
              <w:left w:val="single" w:sz="8" w:color="0000EE"/>
            </w:tcBorders>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00" w:type="dxa"/>
            <w:vAlign w:val="bottom"/>
            <w:gridSpan w:val="4"/>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Item 4.</w:t>
              </w:r>
            </w:hyperlink>
          </w:p>
        </w:tc>
        <w:tc>
          <w:tcPr>
            <w:tcW w:w="8940" w:type="dxa"/>
            <w:vAlign w:val="bottom"/>
            <w:gridSpan w:val="18"/>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Controls and Procedures</w:t>
              </w:r>
            </w:hyperlink>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00" w:type="dxa"/>
            <w:vAlign w:val="bottom"/>
            <w:tcBorders>
              <w:bottom w:val="single" w:sz="8" w:color="0000EE"/>
            </w:tcBorders>
            <w:gridSpan w:val="2"/>
          </w:tcPr>
          <w:p>
            <w:pPr>
              <w:spacing w:after="0"/>
              <w:rPr>
                <w:rFonts w:ascii="Arial" w:cs="Arial" w:eastAsia="Arial" w:hAnsi="Arial"/>
                <w:sz w:val="22"/>
                <w:szCs w:val="22"/>
                <w:b w:val="1"/>
                <w:bCs w:val="1"/>
                <w:color w:val="0000EE"/>
              </w:rPr>
            </w:pPr>
            <w:hyperlink w:anchor="page32">
              <w:r>
                <w:rPr>
                  <w:rFonts w:ascii="Arial" w:cs="Arial" w:eastAsia="Arial" w:hAnsi="Arial"/>
                  <w:sz w:val="22"/>
                  <w:szCs w:val="22"/>
                  <w:b w:val="1"/>
                  <w:bCs w:val="1"/>
                  <w:color w:val="0000EE"/>
                </w:rPr>
                <w:t>Part II.</w:t>
              </w:r>
            </w:hyperlink>
          </w:p>
        </w:tc>
        <w:tc>
          <w:tcPr>
            <w:tcW w:w="800" w:type="dxa"/>
            <w:vAlign w:val="bottom"/>
            <w:gridSpan w:val="2"/>
          </w:tcPr>
          <w:p>
            <w:pPr>
              <w:spacing w:after="0"/>
              <w:rPr>
                <w:sz w:val="24"/>
                <w:szCs w:val="24"/>
                <w:color w:val="auto"/>
              </w:rPr>
            </w:pPr>
          </w:p>
        </w:tc>
        <w:tc>
          <w:tcPr>
            <w:tcW w:w="2440" w:type="dxa"/>
            <w:vAlign w:val="bottom"/>
            <w:tcBorders>
              <w:bottom w:val="single" w:sz="8" w:color="0000EE"/>
            </w:tcBorders>
            <w:gridSpan w:val="7"/>
          </w:tcPr>
          <w:p>
            <w:pPr>
              <w:spacing w:after="0"/>
              <w:rPr>
                <w:rFonts w:ascii="Arial" w:cs="Arial" w:eastAsia="Arial" w:hAnsi="Arial"/>
                <w:sz w:val="22"/>
                <w:szCs w:val="22"/>
                <w:b w:val="1"/>
                <w:bCs w:val="1"/>
                <w:color w:val="0000EE"/>
              </w:rPr>
            </w:pPr>
            <w:hyperlink w:anchor="page32">
              <w:r>
                <w:rPr>
                  <w:rFonts w:ascii="Arial" w:cs="Arial" w:eastAsia="Arial" w:hAnsi="Arial"/>
                  <w:sz w:val="22"/>
                  <w:szCs w:val="22"/>
                  <w:b w:val="1"/>
                  <w:bCs w:val="1"/>
                  <w:color w:val="0000EE"/>
                </w:rPr>
                <w:t>OTHER INFORMATION</w:t>
              </w:r>
            </w:hyperlink>
          </w:p>
        </w:tc>
        <w:tc>
          <w:tcPr>
            <w:tcW w:w="6500" w:type="dxa"/>
            <w:vAlign w:val="bottom"/>
            <w:gridSpan w:val="11"/>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00" w:type="dxa"/>
            <w:vAlign w:val="bottom"/>
            <w:gridSpan w:val="4"/>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Item 1.</w:t>
              </w:r>
            </w:hyperlink>
          </w:p>
        </w:tc>
        <w:tc>
          <w:tcPr>
            <w:tcW w:w="8940" w:type="dxa"/>
            <w:vAlign w:val="bottom"/>
            <w:gridSpan w:val="18"/>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Legal Proceedings</w:t>
              </w:r>
            </w:hyperlink>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4"/>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tcBorders>
              <w:bottom w:val="single" w:sz="8" w:color="0000EE"/>
            </w:tcBorders>
            <w:gridSpan w:val="3"/>
          </w:tcPr>
          <w:p>
            <w:pPr>
              <w:spacing w:after="0"/>
              <w:rPr>
                <w:rFonts w:ascii="Arial" w:cs="Arial" w:eastAsia="Arial" w:hAnsi="Arial"/>
                <w:sz w:val="22"/>
                <w:szCs w:val="22"/>
                <w:color w:val="0000EE"/>
                <w:w w:val="92"/>
              </w:rPr>
            </w:pPr>
            <w:hyperlink w:anchor="page35">
              <w:r>
                <w:rPr>
                  <w:rFonts w:ascii="Arial" w:cs="Arial" w:eastAsia="Arial" w:hAnsi="Arial"/>
                  <w:sz w:val="22"/>
                  <w:szCs w:val="22"/>
                  <w:color w:val="0000EE"/>
                  <w:w w:val="92"/>
                </w:rPr>
                <w:t>Item 1A.</w:t>
              </w:r>
            </w:hyperlink>
          </w:p>
        </w:tc>
        <w:tc>
          <w:tcPr>
            <w:tcW w:w="720" w:type="dxa"/>
            <w:vAlign w:val="bottom"/>
          </w:tcPr>
          <w:p>
            <w:pPr>
              <w:spacing w:after="0"/>
              <w:rPr>
                <w:sz w:val="24"/>
                <w:szCs w:val="24"/>
                <w:color w:val="auto"/>
              </w:rPr>
            </w:pPr>
          </w:p>
        </w:tc>
        <w:tc>
          <w:tcPr>
            <w:tcW w:w="1100" w:type="dxa"/>
            <w:vAlign w:val="bottom"/>
            <w:tcBorders>
              <w:bottom w:val="single" w:sz="8" w:color="0000EE"/>
            </w:tcBorders>
            <w:gridSpan w:val="3"/>
          </w:tcPr>
          <w:p>
            <w:pPr>
              <w:spacing w:after="0"/>
              <w:rPr>
                <w:rFonts w:ascii="Arial" w:cs="Arial" w:eastAsia="Arial" w:hAnsi="Arial"/>
                <w:sz w:val="22"/>
                <w:szCs w:val="22"/>
                <w:color w:val="0000EE"/>
                <w:w w:val="88"/>
              </w:rPr>
            </w:pPr>
            <w:hyperlink w:anchor="page35">
              <w:r>
                <w:rPr>
                  <w:rFonts w:ascii="Arial" w:cs="Arial" w:eastAsia="Arial" w:hAnsi="Arial"/>
                  <w:sz w:val="22"/>
                  <w:szCs w:val="22"/>
                  <w:color w:val="0000EE"/>
                  <w:w w:val="88"/>
                </w:rPr>
                <w:t>Risk Factors</w:t>
              </w:r>
            </w:hyperlink>
          </w:p>
        </w:tc>
        <w:tc>
          <w:tcPr>
            <w:tcW w:w="7840" w:type="dxa"/>
            <w:vAlign w:val="bottom"/>
            <w:gridSpan w:val="15"/>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52</w:t>
            </w:r>
          </w:p>
        </w:tc>
        <w:tc>
          <w:tcPr>
            <w:tcW w:w="0" w:type="dxa"/>
            <w:vAlign w:val="bottom"/>
          </w:tcPr>
          <w:p>
            <w:pPr>
              <w:spacing w:after="0"/>
              <w:rPr>
                <w:sz w:val="1"/>
                <w:szCs w:val="1"/>
                <w:color w:val="auto"/>
              </w:rPr>
            </w:pPr>
          </w:p>
        </w:tc>
      </w:tr>
      <w:tr>
        <w:trPr>
          <w:trHeight w:val="466"/>
        </w:trPr>
        <w:tc>
          <w:tcPr>
            <w:tcW w:w="1500" w:type="dxa"/>
            <w:vAlign w:val="bottom"/>
            <w:gridSpan w:val="4"/>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Item 2.</w:t>
              </w:r>
            </w:hyperlink>
          </w:p>
        </w:tc>
        <w:tc>
          <w:tcPr>
            <w:tcW w:w="8940" w:type="dxa"/>
            <w:vAlign w:val="bottom"/>
            <w:gridSpan w:val="18"/>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Unregistered Sales of Equity Securities and Use of Proceeds</w:t>
              </w:r>
            </w:hyperlink>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4"/>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00" w:type="dxa"/>
            <w:vAlign w:val="bottom"/>
            <w:gridSpan w:val="4"/>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Item 3.</w:t>
              </w:r>
            </w:hyperlink>
          </w:p>
        </w:tc>
        <w:tc>
          <w:tcPr>
            <w:tcW w:w="8940" w:type="dxa"/>
            <w:vAlign w:val="bottom"/>
            <w:gridSpan w:val="18"/>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Defaults Upon Senior Securities</w:t>
              </w:r>
            </w:hyperlink>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4"/>
            <w:shd w:val="clear" w:color="auto" w:fill="0000EE"/>
          </w:tcPr>
          <w:p>
            <w:pPr>
              <w:spacing w:after="0" w:line="20" w:lineRule="exact"/>
              <w:rPr>
                <w:sz w:val="1"/>
                <w:szCs w:val="1"/>
                <w:color w:val="auto"/>
              </w:rPr>
            </w:pPr>
          </w:p>
        </w:tc>
        <w:tc>
          <w:tcPr>
            <w:tcW w:w="614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00" w:type="dxa"/>
            <w:vAlign w:val="bottom"/>
            <w:gridSpan w:val="4"/>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Item 4.</w:t>
              </w:r>
            </w:hyperlink>
          </w:p>
        </w:tc>
        <w:tc>
          <w:tcPr>
            <w:tcW w:w="8940" w:type="dxa"/>
            <w:vAlign w:val="bottom"/>
            <w:gridSpan w:val="18"/>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Mine Safety Disclosures</w:t>
              </w:r>
            </w:hyperlink>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6800" w:type="dxa"/>
            <w:vAlign w:val="bottom"/>
            <w:gridSpan w:val="1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00" w:type="dxa"/>
            <w:vAlign w:val="bottom"/>
            <w:gridSpan w:val="4"/>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Item 5.</w:t>
              </w:r>
            </w:hyperlink>
          </w:p>
        </w:tc>
        <w:tc>
          <w:tcPr>
            <w:tcW w:w="8940" w:type="dxa"/>
            <w:vAlign w:val="bottom"/>
            <w:gridSpan w:val="18"/>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Other Information</w:t>
              </w:r>
            </w:hyperlink>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360" w:type="dxa"/>
            <w:vAlign w:val="bottom"/>
            <w:gridSpan w:val="1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00" w:type="dxa"/>
            <w:vAlign w:val="bottom"/>
            <w:gridSpan w:val="4"/>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Item 6.</w:t>
              </w:r>
            </w:hyperlink>
          </w:p>
        </w:tc>
        <w:tc>
          <w:tcPr>
            <w:tcW w:w="8940" w:type="dxa"/>
            <w:vAlign w:val="bottom"/>
            <w:gridSpan w:val="18"/>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Exhibits</w:t>
              </w:r>
            </w:hyperlink>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Borders>
              <w:bottom w:val="single" w:sz="8" w:color="0000EE"/>
            </w:tcBorders>
            <w:gridSpan w:val="2"/>
          </w:tcPr>
          <w:p>
            <w:pPr>
              <w:spacing w:after="0"/>
              <w:rPr>
                <w:rFonts w:ascii="Arial" w:cs="Arial" w:eastAsia="Arial" w:hAnsi="Arial"/>
                <w:sz w:val="22"/>
                <w:szCs w:val="22"/>
                <w:color w:val="0000EE"/>
                <w:w w:val="85"/>
              </w:rPr>
            </w:pPr>
            <w:hyperlink w:anchor="page36">
              <w:r>
                <w:rPr>
                  <w:rFonts w:ascii="Arial" w:cs="Arial" w:eastAsia="Arial" w:hAnsi="Arial"/>
                  <w:sz w:val="22"/>
                  <w:szCs w:val="22"/>
                  <w:color w:val="0000EE"/>
                  <w:w w:val="85"/>
                </w:rPr>
                <w:t>Signatures</w:t>
              </w:r>
            </w:hyperlink>
          </w:p>
        </w:tc>
        <w:tc>
          <w:tcPr>
            <w:tcW w:w="8020" w:type="dxa"/>
            <w:vAlign w:val="bottom"/>
            <w:gridSpan w:val="16"/>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453"/>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0" w:type="dxa"/>
            <w:vAlign w:val="bottom"/>
            <w:gridSpan w:val="11"/>
          </w:tcPr>
          <w:p>
            <w:pPr>
              <w:ind w:left="416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CONDENSED CONSOLIDATED FINANCIAL STATEMENTS (UNAUDITED)</w:t>
      </w:r>
    </w:p>
    <w:p>
      <w:pPr>
        <w:spacing w:after="0" w:line="233" w:lineRule="exact"/>
        <w:rPr>
          <w:sz w:val="20"/>
          <w:szCs w:val="20"/>
          <w:color w:val="auto"/>
        </w:rPr>
      </w:pPr>
    </w:p>
    <w:p>
      <w:pPr>
        <w:ind w:right="5300"/>
        <w:spacing w:after="0" w:line="249" w:lineRule="auto"/>
        <w:rPr>
          <w:sz w:val="20"/>
          <w:szCs w:val="20"/>
          <w:color w:val="auto"/>
        </w:rPr>
      </w:pPr>
      <w:r>
        <w:rPr>
          <w:rFonts w:ascii="Arial" w:cs="Arial" w:eastAsia="Arial" w:hAnsi="Arial"/>
          <w:sz w:val="21"/>
          <w:szCs w:val="21"/>
          <w:b w:val="1"/>
          <w:bCs w:val="1"/>
          <w:color w:val="auto"/>
        </w:rPr>
        <w:t>MONSTER BEVERAGE CORPORATION AND SUBSIDIARIES CONDENSED CONSOLIDATED BALANCE SHEETS AS OF SEPTEMBER 30, 2013 AND DECEMBER 31, 2012</w:t>
      </w:r>
    </w:p>
    <w:p>
      <w:pPr>
        <w:spacing w:after="0" w:line="235" w:lineRule="auto"/>
        <w:rPr>
          <w:sz w:val="20"/>
          <w:szCs w:val="20"/>
          <w:color w:val="auto"/>
        </w:rPr>
      </w:pPr>
      <w:r>
        <w:rPr>
          <w:rFonts w:ascii="Arial" w:cs="Arial" w:eastAsia="Arial" w:hAnsi="Arial"/>
          <w:sz w:val="22"/>
          <w:szCs w:val="22"/>
          <w:b w:val="1"/>
          <w:bCs w:val="1"/>
          <w:color w:val="auto"/>
        </w:rPr>
        <w:t>(In Thousands, Except Par Value)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7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6"/>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40" w:type="dxa"/>
            <w:vAlign w:val="bottom"/>
            <w:vMerge w:val="restart"/>
          </w:tcPr>
          <w:p>
            <w:pPr>
              <w:spacing w:after="0"/>
              <w:rPr>
                <w:sz w:val="18"/>
                <w:szCs w:val="18"/>
                <w:color w:val="auto"/>
              </w:rPr>
            </w:pPr>
          </w:p>
        </w:tc>
        <w:tc>
          <w:tcPr>
            <w:tcW w:w="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ASSETS</w:t>
            </w:r>
          </w:p>
        </w:tc>
        <w:tc>
          <w:tcPr>
            <w:tcW w:w="3720" w:type="dxa"/>
            <w:vAlign w:val="bottom"/>
            <w:vMerge w:val="restart"/>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3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78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287,019</w:t>
            </w:r>
          </w:p>
        </w:tc>
        <w:tc>
          <w:tcPr>
            <w:tcW w:w="2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222,514</w:t>
            </w:r>
          </w:p>
        </w:tc>
        <w:tc>
          <w:tcPr>
            <w:tcW w:w="0" w:type="dxa"/>
            <w:vAlign w:val="bottom"/>
          </w:tcPr>
          <w:p>
            <w:pPr>
              <w:spacing w:after="0"/>
              <w:rPr>
                <w:sz w:val="1"/>
                <w:szCs w:val="1"/>
                <w:color w:val="auto"/>
              </w:rPr>
            </w:pP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315,572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97,042</w:t>
            </w:r>
          </w:p>
        </w:tc>
        <w:tc>
          <w:tcPr>
            <w:tcW w:w="0" w:type="dxa"/>
            <w:vAlign w:val="bottom"/>
          </w:tcPr>
          <w:p>
            <w:pPr>
              <w:spacing w:after="0"/>
              <w:rPr>
                <w:sz w:val="1"/>
                <w:szCs w:val="1"/>
                <w:color w:val="auto"/>
              </w:rPr>
            </w:pP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339,155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236,044</w:t>
            </w:r>
          </w:p>
        </w:tc>
        <w:tc>
          <w:tcPr>
            <w:tcW w:w="0" w:type="dxa"/>
            <w:vAlign w:val="bottom"/>
          </w:tcPr>
          <w:p>
            <w:pPr>
              <w:spacing w:after="0"/>
              <w:rPr>
                <w:sz w:val="1"/>
                <w:szCs w:val="1"/>
                <w:color w:val="auto"/>
              </w:rPr>
            </w:pP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Distributor receivables</w:t>
            </w:r>
          </w:p>
        </w:tc>
        <w:tc>
          <w:tcPr>
            <w:tcW w:w="24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4,050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247,368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203,106</w:t>
            </w:r>
          </w:p>
        </w:tc>
        <w:tc>
          <w:tcPr>
            <w:tcW w:w="0" w:type="dxa"/>
            <w:vAlign w:val="bottom"/>
          </w:tcPr>
          <w:p>
            <w:pPr>
              <w:spacing w:after="0"/>
              <w:rPr>
                <w:sz w:val="1"/>
                <w:szCs w:val="1"/>
                <w:color w:val="auto"/>
              </w:rPr>
            </w:pP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29,799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24,983</w:t>
            </w:r>
          </w:p>
        </w:tc>
        <w:tc>
          <w:tcPr>
            <w:tcW w:w="0" w:type="dxa"/>
            <w:vAlign w:val="bottom"/>
          </w:tcPr>
          <w:p>
            <w:pPr>
              <w:spacing w:after="0"/>
              <w:rPr>
                <w:sz w:val="1"/>
                <w:szCs w:val="1"/>
                <w:color w:val="auto"/>
              </w:rPr>
            </w:pP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Prepaid income taxes</w:t>
            </w:r>
          </w:p>
        </w:tc>
        <w:tc>
          <w:tcPr>
            <w:tcW w:w="24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38,516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33,709</w:t>
            </w:r>
          </w:p>
        </w:tc>
        <w:tc>
          <w:tcPr>
            <w:tcW w:w="0" w:type="dxa"/>
            <w:vAlign w:val="bottom"/>
          </w:tcPr>
          <w:p>
            <w:pPr>
              <w:spacing w:after="0"/>
              <w:rPr>
                <w:sz w:val="1"/>
                <w:szCs w:val="1"/>
                <w:color w:val="auto"/>
              </w:rPr>
            </w:pPr>
          </w:p>
        </w:tc>
      </w:tr>
      <w:tr>
        <w:trPr>
          <w:trHeight w:val="206"/>
        </w:trPr>
        <w:tc>
          <w:tcPr>
            <w:tcW w:w="778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16,978</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17,004</w:t>
            </w:r>
          </w:p>
        </w:tc>
        <w:tc>
          <w:tcPr>
            <w:tcW w:w="0" w:type="dxa"/>
            <w:vAlign w:val="bottom"/>
          </w:tcPr>
          <w:p>
            <w:pPr>
              <w:spacing w:after="0"/>
              <w:rPr>
                <w:sz w:val="1"/>
                <w:szCs w:val="1"/>
                <w:color w:val="auto"/>
              </w:rPr>
            </w:pPr>
          </w:p>
        </w:tc>
      </w:tr>
      <w:tr>
        <w:trPr>
          <w:trHeight w:val="206"/>
        </w:trPr>
        <w:tc>
          <w:tcPr>
            <w:tcW w:w="7780" w:type="dxa"/>
            <w:vAlign w:val="bottom"/>
            <w:gridSpan w:val="3"/>
          </w:tcPr>
          <w:p>
            <w:pPr>
              <w:ind w:left="2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1,278,457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835,068</w:t>
            </w:r>
          </w:p>
        </w:tc>
        <w:tc>
          <w:tcPr>
            <w:tcW w:w="0" w:type="dxa"/>
            <w:vAlign w:val="bottom"/>
          </w:tcPr>
          <w:p>
            <w:pPr>
              <w:spacing w:after="0"/>
              <w:rPr>
                <w:sz w:val="1"/>
                <w:szCs w:val="1"/>
                <w:color w:val="auto"/>
              </w:rPr>
            </w:pPr>
          </w:p>
        </w:tc>
      </w:tr>
      <w:tr>
        <w:trPr>
          <w:trHeight w:val="391"/>
        </w:trPr>
        <w:tc>
          <w:tcPr>
            <w:tcW w:w="7780" w:type="dxa"/>
            <w:vAlign w:val="bottom"/>
            <w:gridSpan w:val="3"/>
          </w:tcPr>
          <w:p>
            <w:pPr>
              <w:spacing w:after="0"/>
              <w:rPr>
                <w:sz w:val="20"/>
                <w:szCs w:val="20"/>
                <w:color w:val="auto"/>
              </w:rPr>
            </w:pPr>
            <w:r>
              <w:rPr>
                <w:rFonts w:ascii="Arial" w:cs="Arial" w:eastAsia="Arial" w:hAnsi="Arial"/>
                <w:sz w:val="16"/>
                <w:szCs w:val="16"/>
                <w:color w:val="auto"/>
              </w:rPr>
              <w:t>INVESTMENTS</w:t>
            </w:r>
          </w:p>
        </w:tc>
        <w:tc>
          <w:tcPr>
            <w:tcW w:w="24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9,725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21,393</w:t>
            </w:r>
          </w:p>
        </w:tc>
        <w:tc>
          <w:tcPr>
            <w:tcW w:w="0" w:type="dxa"/>
            <w:vAlign w:val="bottom"/>
          </w:tcPr>
          <w:p>
            <w:pPr>
              <w:spacing w:after="0"/>
              <w:rPr>
                <w:sz w:val="1"/>
                <w:szCs w:val="1"/>
                <w:color w:val="auto"/>
              </w:rPr>
            </w:pP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88,495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69,137</w:t>
            </w:r>
          </w:p>
        </w:tc>
        <w:tc>
          <w:tcPr>
            <w:tcW w:w="0" w:type="dxa"/>
            <w:vAlign w:val="bottom"/>
          </w:tcPr>
          <w:p>
            <w:pPr>
              <w:spacing w:after="0"/>
              <w:rPr>
                <w:sz w:val="1"/>
                <w:szCs w:val="1"/>
                <w:color w:val="auto"/>
              </w:rPr>
            </w:pP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61,407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59,503</w:t>
            </w:r>
          </w:p>
        </w:tc>
        <w:tc>
          <w:tcPr>
            <w:tcW w:w="0" w:type="dxa"/>
            <w:vAlign w:val="bottom"/>
          </w:tcPr>
          <w:p>
            <w:pPr>
              <w:spacing w:after="0"/>
              <w:rPr>
                <w:sz w:val="1"/>
                <w:szCs w:val="1"/>
                <w:color w:val="auto"/>
              </w:rPr>
            </w:pP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INTANGIBLES, net</w:t>
            </w:r>
          </w:p>
        </w:tc>
        <w:tc>
          <w:tcPr>
            <w:tcW w:w="24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63,613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54,648</w:t>
            </w:r>
          </w:p>
        </w:tc>
        <w:tc>
          <w:tcPr>
            <w:tcW w:w="0" w:type="dxa"/>
            <w:vAlign w:val="bottom"/>
          </w:tcPr>
          <w:p>
            <w:pPr>
              <w:spacing w:after="0"/>
              <w:rPr>
                <w:sz w:val="1"/>
                <w:szCs w:val="1"/>
                <w:color w:val="auto"/>
              </w:rPr>
            </w:pPr>
          </w:p>
        </w:tc>
      </w:tr>
      <w:tr>
        <w:trPr>
          <w:trHeight w:val="206"/>
        </w:trPr>
        <w:tc>
          <w:tcPr>
            <w:tcW w:w="7780" w:type="dxa"/>
            <w:vAlign w:val="bottom"/>
            <w:gridSpan w:val="3"/>
          </w:tcPr>
          <w:p>
            <w:pPr>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10,170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3,576</w:t>
            </w:r>
          </w:p>
        </w:tc>
        <w:tc>
          <w:tcPr>
            <w:tcW w:w="0" w:type="dxa"/>
            <w:vAlign w:val="bottom"/>
          </w:tcPr>
          <w:p>
            <w:pPr>
              <w:spacing w:after="0"/>
              <w:rPr>
                <w:sz w:val="1"/>
                <w:szCs w:val="1"/>
                <w:color w:val="auto"/>
              </w:rPr>
            </w:pPr>
          </w:p>
        </w:tc>
      </w:tr>
      <w:tr>
        <w:trPr>
          <w:trHeight w:val="202"/>
        </w:trPr>
        <w:tc>
          <w:tcPr>
            <w:tcW w:w="77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6"/>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1,511,867</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1,043,325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332"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2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3"/>
        </w:trPr>
        <w:tc>
          <w:tcPr>
            <w:tcW w:w="7780" w:type="dxa"/>
            <w:vAlign w:val="bottom"/>
            <w:gridSpan w:val="3"/>
          </w:tcPr>
          <w:p>
            <w:pPr>
              <w:spacing w:after="0"/>
              <w:rPr>
                <w:sz w:val="20"/>
                <w:szCs w:val="20"/>
                <w:color w:val="auto"/>
              </w:rPr>
            </w:pPr>
            <w:r>
              <w:rPr>
                <w:rFonts w:ascii="Arial" w:cs="Arial" w:eastAsia="Arial" w:hAnsi="Arial"/>
                <w:sz w:val="16"/>
                <w:szCs w:val="16"/>
                <w:color w:val="auto"/>
              </w:rPr>
              <w:t>CURRENT LIABILITIES:</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162,851</w:t>
            </w:r>
          </w:p>
        </w:tc>
        <w:tc>
          <w:tcPr>
            <w:tcW w:w="220" w:type="dxa"/>
            <w:vAlign w:val="bottom"/>
          </w:tcPr>
          <w:p>
            <w:pPr>
              <w:spacing w:after="0"/>
              <w:rPr>
                <w:sz w:val="17"/>
                <w:szCs w:val="17"/>
                <w:color w:val="auto"/>
              </w:rPr>
            </w:pP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127,330</w:t>
            </w: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5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63,213</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38,916</w:t>
            </w: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5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131,103</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91,208</w:t>
            </w: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5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14,702</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12,695</w:t>
            </w: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5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12,826</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12,926</w:t>
            </w:r>
          </w:p>
        </w:tc>
      </w:tr>
      <w:tr>
        <w:trPr>
          <w:trHeight w:val="206"/>
        </w:trPr>
        <w:tc>
          <w:tcPr>
            <w:tcW w:w="7780" w:type="dxa"/>
            <w:vAlign w:val="bottom"/>
            <w:gridSpan w:val="3"/>
          </w:tcPr>
          <w:p>
            <w:pPr>
              <w:spacing w:after="0"/>
              <w:rPr>
                <w:sz w:val="20"/>
                <w:szCs w:val="20"/>
                <w:color w:val="auto"/>
              </w:rPr>
            </w:pPr>
            <w:r>
              <w:rPr>
                <w:rFonts w:ascii="Arial" w:cs="Arial" w:eastAsia="Arial" w:hAnsi="Arial"/>
                <w:sz w:val="16"/>
                <w:szCs w:val="16"/>
                <w:color w:val="auto"/>
              </w:rPr>
              <w:t>Income taxes payable</w:t>
            </w: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53,577</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5,470</w:t>
            </w:r>
          </w:p>
        </w:tc>
      </w:tr>
      <w:tr>
        <w:trPr>
          <w:trHeight w:val="206"/>
        </w:trPr>
        <w:tc>
          <w:tcPr>
            <w:tcW w:w="7780" w:type="dxa"/>
            <w:vAlign w:val="bottom"/>
            <w:gridSpan w:val="3"/>
          </w:tcPr>
          <w:p>
            <w:pPr>
              <w:ind w:left="240"/>
              <w:spacing w:after="0"/>
              <w:rPr>
                <w:sz w:val="20"/>
                <w:szCs w:val="20"/>
                <w:color w:val="auto"/>
              </w:rPr>
            </w:pPr>
            <w:r>
              <w:rPr>
                <w:rFonts w:ascii="Arial" w:cs="Arial" w:eastAsia="Arial" w:hAnsi="Arial"/>
                <w:sz w:val="16"/>
                <w:szCs w:val="16"/>
                <w:color w:val="auto"/>
              </w:rPr>
              <w:t>Total current liabilities</w:t>
            </w:r>
          </w:p>
        </w:tc>
        <w:tc>
          <w:tcPr>
            <w:tcW w:w="5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438,272</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288,545</w:t>
            </w:r>
          </w:p>
        </w:tc>
      </w:tr>
      <w:tr>
        <w:trPr>
          <w:trHeight w:val="395"/>
        </w:trPr>
        <w:tc>
          <w:tcPr>
            <w:tcW w:w="778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540" w:type="dxa"/>
            <w:vAlign w:val="bottom"/>
          </w:tcPr>
          <w:p>
            <w:pPr>
              <w:spacing w:after="0"/>
              <w:rPr>
                <w:sz w:val="24"/>
                <w:szCs w:val="24"/>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113,204</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110,383</w:t>
            </w:r>
          </w:p>
        </w:tc>
      </w:tr>
      <w:tr>
        <w:trPr>
          <w:trHeight w:val="405"/>
        </w:trPr>
        <w:tc>
          <w:tcPr>
            <w:tcW w:w="7780" w:type="dxa"/>
            <w:vAlign w:val="bottom"/>
            <w:gridSpan w:val="3"/>
          </w:tcPr>
          <w:p>
            <w:pPr>
              <w:spacing w:after="0"/>
              <w:rPr>
                <w:sz w:val="20"/>
                <w:szCs w:val="20"/>
                <w:color w:val="auto"/>
              </w:rPr>
            </w:pPr>
            <w:r>
              <w:rPr>
                <w:rFonts w:ascii="Arial" w:cs="Arial" w:eastAsia="Arial" w:hAnsi="Arial"/>
                <w:sz w:val="16"/>
                <w:szCs w:val="16"/>
                <w:color w:val="auto"/>
              </w:rPr>
              <w:t>COMMITMENTS AND CONTINGENCIES (Note 9)</w:t>
            </w: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1"/>
        </w:trPr>
        <w:tc>
          <w:tcPr>
            <w:tcW w:w="778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Common stock - $0.005 par value; 240,000 shares authorized;</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780" w:type="dxa"/>
            <w:vAlign w:val="bottom"/>
            <w:gridSpan w:val="3"/>
          </w:tcPr>
          <w:p>
            <w:pPr>
              <w:ind w:left="180"/>
              <w:spacing w:after="0"/>
              <w:rPr>
                <w:sz w:val="20"/>
                <w:szCs w:val="20"/>
                <w:color w:val="auto"/>
              </w:rPr>
            </w:pPr>
            <w:r>
              <w:rPr>
                <w:rFonts w:ascii="Arial" w:cs="Arial" w:eastAsia="Arial" w:hAnsi="Arial"/>
                <w:sz w:val="16"/>
                <w:szCs w:val="16"/>
                <w:color w:val="auto"/>
              </w:rPr>
              <w:t>205,893 shares issued and 167,653 outstanding as of September 30, 2013;</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780" w:type="dxa"/>
            <w:vAlign w:val="bottom"/>
            <w:gridSpan w:val="3"/>
          </w:tcPr>
          <w:p>
            <w:pPr>
              <w:ind w:left="180"/>
              <w:spacing w:after="0"/>
              <w:rPr>
                <w:sz w:val="20"/>
                <w:szCs w:val="20"/>
                <w:color w:val="auto"/>
              </w:rPr>
            </w:pPr>
            <w:r>
              <w:rPr>
                <w:rFonts w:ascii="Arial" w:cs="Arial" w:eastAsia="Arial" w:hAnsi="Arial"/>
                <w:sz w:val="16"/>
                <w:szCs w:val="16"/>
                <w:color w:val="auto"/>
              </w:rPr>
              <w:t>203,759 shares issued and 165,776 outstanding as of December 31, 2012</w:t>
            </w:r>
          </w:p>
        </w:tc>
        <w:tc>
          <w:tcPr>
            <w:tcW w:w="5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1,029</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1,019</w:t>
            </w: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5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357,991</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287,953</w:t>
            </w: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Retained earnings</w:t>
            </w:r>
          </w:p>
        </w:tc>
        <w:tc>
          <w:tcPr>
            <w:tcW w:w="5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1,771,219</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1,508,664</w:t>
            </w: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rPr>
              <w:t>Accumulated other comprehensive (loss) income</w:t>
            </w:r>
          </w:p>
        </w:tc>
        <w:tc>
          <w:tcPr>
            <w:tcW w:w="5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(1,134)</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2,074</w:t>
            </w:r>
          </w:p>
        </w:tc>
      </w:tr>
      <w:tr>
        <w:trPr>
          <w:trHeight w:val="203"/>
        </w:trPr>
        <w:tc>
          <w:tcPr>
            <w:tcW w:w="7780" w:type="dxa"/>
            <w:vAlign w:val="bottom"/>
            <w:gridSpan w:val="3"/>
          </w:tcPr>
          <w:p>
            <w:pPr>
              <w:spacing w:after="0"/>
              <w:rPr>
                <w:sz w:val="20"/>
                <w:szCs w:val="20"/>
                <w:color w:val="auto"/>
              </w:rPr>
            </w:pPr>
            <w:r>
              <w:rPr>
                <w:rFonts w:ascii="Arial" w:cs="Arial" w:eastAsia="Arial" w:hAnsi="Arial"/>
                <w:sz w:val="16"/>
                <w:szCs w:val="16"/>
                <w:color w:val="auto"/>
                <w:w w:val="96"/>
              </w:rPr>
              <w:t>Common stock in treasury, at cost; 38,240 and 37,983 shares as of September 30, 2013 and December 31, 2012,</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6"/>
        </w:trPr>
        <w:tc>
          <w:tcPr>
            <w:tcW w:w="7780" w:type="dxa"/>
            <w:vAlign w:val="bottom"/>
            <w:gridSpan w:val="3"/>
          </w:tcPr>
          <w:p>
            <w:pPr>
              <w:ind w:left="180"/>
              <w:spacing w:after="0"/>
              <w:rPr>
                <w:sz w:val="20"/>
                <w:szCs w:val="20"/>
                <w:color w:val="auto"/>
              </w:rPr>
            </w:pPr>
            <w:r>
              <w:rPr>
                <w:rFonts w:ascii="Arial" w:cs="Arial" w:eastAsia="Arial" w:hAnsi="Arial"/>
                <w:sz w:val="16"/>
                <w:szCs w:val="16"/>
                <w:color w:val="auto"/>
              </w:rPr>
              <w:t>respectively</w:t>
            </w: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(1,168,714)</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(1,155,313)</w:t>
            </w:r>
          </w:p>
        </w:tc>
      </w:tr>
      <w:tr>
        <w:trPr>
          <w:trHeight w:val="202"/>
        </w:trPr>
        <w:tc>
          <w:tcPr>
            <w:tcW w:w="7780" w:type="dxa"/>
            <w:vAlign w:val="bottom"/>
            <w:gridSpan w:val="3"/>
          </w:tcPr>
          <w:p>
            <w:pPr>
              <w:ind w:left="240"/>
              <w:spacing w:after="0"/>
              <w:rPr>
                <w:sz w:val="20"/>
                <w:szCs w:val="20"/>
                <w:color w:val="auto"/>
              </w:rPr>
            </w:pPr>
            <w:r>
              <w:rPr>
                <w:rFonts w:ascii="Arial" w:cs="Arial" w:eastAsia="Arial" w:hAnsi="Arial"/>
                <w:sz w:val="16"/>
                <w:szCs w:val="16"/>
                <w:color w:val="auto"/>
              </w:rPr>
              <w:t>Total stockholders’ equity</w:t>
            </w: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960,391</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644,397</w:t>
            </w:r>
          </w:p>
        </w:tc>
      </w:tr>
      <w:tr>
        <w:trPr>
          <w:trHeight w:val="196"/>
        </w:trPr>
        <w:tc>
          <w:tcPr>
            <w:tcW w:w="1980" w:type="dxa"/>
            <w:vAlign w:val="bottom"/>
          </w:tcPr>
          <w:p>
            <w:pPr>
              <w:spacing w:after="0"/>
              <w:rPr>
                <w:sz w:val="17"/>
                <w:szCs w:val="17"/>
                <w:color w:val="auto"/>
              </w:rPr>
            </w:pPr>
          </w:p>
        </w:tc>
        <w:tc>
          <w:tcPr>
            <w:tcW w:w="5800" w:type="dxa"/>
            <w:vAlign w:val="bottom"/>
            <w:gridSpan w:val="2"/>
          </w:tcPr>
          <w:p>
            <w:pPr>
              <w:jc w:val="center"/>
              <w:ind w:right="226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1,511,867</w:t>
            </w:r>
          </w:p>
        </w:tc>
        <w:tc>
          <w:tcPr>
            <w:tcW w:w="220" w:type="dxa"/>
            <w:vAlign w:val="bottom"/>
          </w:tcPr>
          <w:p>
            <w:pPr>
              <w:spacing w:after="0"/>
              <w:rPr>
                <w:sz w:val="17"/>
                <w:szCs w:val="17"/>
                <w:color w:val="auto"/>
              </w:rPr>
            </w:pP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1,043,325</w:t>
            </w:r>
          </w:p>
        </w:tc>
      </w:tr>
      <w:tr>
        <w:trPr>
          <w:trHeight w:val="20"/>
        </w:trPr>
        <w:tc>
          <w:tcPr>
            <w:tcW w:w="19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53" w:lineRule="auto"/>
        <w:rPr>
          <w:sz w:val="20"/>
          <w:szCs w:val="20"/>
          <w:color w:val="auto"/>
        </w:rPr>
      </w:pPr>
      <w:r>
        <w:rPr>
          <w:rFonts w:ascii="Arial" w:cs="Arial" w:eastAsia="Arial" w:hAnsi="Arial"/>
          <w:sz w:val="21"/>
          <w:szCs w:val="21"/>
          <w:b w:val="1"/>
          <w:bCs w:val="1"/>
          <w:color w:val="auto"/>
        </w:rPr>
        <w:t>MONSTER BEVERAGE CORPORATION AND SUBSIDIARIES CONDENSED CONSOLIDATED STATEMENTS OF INCOME</w:t>
      </w:r>
    </w:p>
    <w:p>
      <w:pPr>
        <w:spacing w:after="0" w:line="1" w:lineRule="exact"/>
        <w:rPr>
          <w:sz w:val="20"/>
          <w:szCs w:val="20"/>
          <w:color w:val="auto"/>
        </w:rPr>
      </w:pPr>
    </w:p>
    <w:p>
      <w:pPr>
        <w:ind w:right="3400"/>
        <w:spacing w:after="0" w:line="237" w:lineRule="auto"/>
        <w:rPr>
          <w:sz w:val="20"/>
          <w:szCs w:val="20"/>
          <w:color w:val="auto"/>
        </w:rPr>
      </w:pPr>
      <w:r>
        <w:rPr>
          <w:rFonts w:ascii="Arial" w:cs="Arial" w:eastAsia="Arial" w:hAnsi="Arial"/>
          <w:sz w:val="22"/>
          <w:szCs w:val="22"/>
          <w:b w:val="1"/>
          <w:bCs w:val="1"/>
          <w:color w:val="auto"/>
        </w:rPr>
        <w:t>FOR THE THREE- AND NINE-MONTHS ENDED SEPTEMBER 30, 2013 AND 2012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5779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77965" cy="1714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ind w:left="320"/>
              <w:spacing w:after="0"/>
              <w:rPr>
                <w:sz w:val="20"/>
                <w:szCs w:val="20"/>
                <w:color w:val="auto"/>
              </w:rPr>
            </w:pPr>
            <w:r>
              <w:rPr>
                <w:rFonts w:ascii="Arial" w:cs="Arial" w:eastAsia="Arial" w:hAnsi="Arial"/>
                <w:sz w:val="18"/>
                <w:szCs w:val="18"/>
                <w:b w:val="1"/>
                <w:bCs w:val="1"/>
                <w:color w:val="auto"/>
              </w:rPr>
              <w:t>Three-Months Ended</w:t>
            </w:r>
          </w:p>
        </w:tc>
        <w:tc>
          <w:tcPr>
            <w:tcW w:w="300" w:type="dxa"/>
            <w:vAlign w:val="bottom"/>
          </w:tcPr>
          <w:p>
            <w:pPr>
              <w:spacing w:after="0"/>
              <w:rPr>
                <w:sz w:val="18"/>
                <w:szCs w:val="18"/>
                <w:color w:val="auto"/>
              </w:rPr>
            </w:pPr>
          </w:p>
        </w:tc>
        <w:tc>
          <w:tcPr>
            <w:tcW w:w="26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Nine-Months Ended</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2012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2012</w:t>
            </w:r>
          </w:p>
        </w:tc>
        <w:tc>
          <w:tcPr>
            <w:tcW w:w="0" w:type="dxa"/>
            <w:vAlign w:val="bottom"/>
          </w:tcPr>
          <w:p>
            <w:pPr>
              <w:spacing w:after="0"/>
              <w:rPr>
                <w:sz w:val="1"/>
                <w:szCs w:val="1"/>
                <w:color w:val="auto"/>
              </w:rPr>
            </w:pPr>
          </w:p>
        </w:tc>
      </w:tr>
      <w:tr>
        <w:trPr>
          <w:trHeight w:val="426"/>
        </w:trPr>
        <w:tc>
          <w:tcPr>
            <w:tcW w:w="5160" w:type="dxa"/>
            <w:vAlign w:val="bottom"/>
          </w:tcPr>
          <w:p>
            <w:pPr>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590,422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541,940</w:t>
            </w:r>
          </w:p>
        </w:tc>
        <w:tc>
          <w:tcPr>
            <w:tcW w:w="220" w:type="dxa"/>
            <w:vAlign w:val="bottom"/>
          </w:tcPr>
          <w:p>
            <w:pPr>
              <w:spacing w:after="0"/>
              <w:rPr>
                <w:sz w:val="24"/>
                <w:szCs w:val="24"/>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1,705,579</w:t>
            </w:r>
          </w:p>
        </w:tc>
        <w:tc>
          <w:tcPr>
            <w:tcW w:w="200" w:type="dxa"/>
            <w:vAlign w:val="bottom"/>
          </w:tcPr>
          <w:p>
            <w:pPr>
              <w:spacing w:after="0"/>
              <w:rPr>
                <w:sz w:val="24"/>
                <w:szCs w:val="24"/>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1,589,185</w:t>
            </w: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282,952</w:t>
            </w:r>
          </w:p>
        </w:tc>
        <w:tc>
          <w:tcPr>
            <w:tcW w:w="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268,348</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809,809</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767,417</w:t>
            </w:r>
          </w:p>
        </w:tc>
        <w:tc>
          <w:tcPr>
            <w:tcW w:w="0" w:type="dxa"/>
            <w:vAlign w:val="bottom"/>
          </w:tcPr>
          <w:p>
            <w:pPr>
              <w:spacing w:after="0"/>
              <w:rPr>
                <w:sz w:val="1"/>
                <w:szCs w:val="1"/>
                <w:color w:val="auto"/>
              </w:rPr>
            </w:pPr>
          </w:p>
        </w:tc>
      </w:tr>
      <w:tr>
        <w:trPr>
          <w:trHeight w:val="426"/>
        </w:trPr>
        <w:tc>
          <w:tcPr>
            <w:tcW w:w="516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307,470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273,592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895,770</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821,768</w:t>
            </w: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156,041</w:t>
            </w:r>
          </w:p>
        </w:tc>
        <w:tc>
          <w:tcPr>
            <w:tcW w:w="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132,907</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457,610</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385,026</w:t>
            </w:r>
          </w:p>
        </w:tc>
        <w:tc>
          <w:tcPr>
            <w:tcW w:w="0" w:type="dxa"/>
            <w:vAlign w:val="bottom"/>
          </w:tcPr>
          <w:p>
            <w:pPr>
              <w:spacing w:after="0"/>
              <w:rPr>
                <w:sz w:val="1"/>
                <w:szCs w:val="1"/>
                <w:color w:val="auto"/>
              </w:rPr>
            </w:pPr>
          </w:p>
        </w:tc>
      </w:tr>
      <w:tr>
        <w:trPr>
          <w:trHeight w:val="426"/>
        </w:trPr>
        <w:tc>
          <w:tcPr>
            <w:tcW w:w="516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151,429</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140,685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438,160</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436,742</w:t>
            </w:r>
          </w:p>
        </w:tc>
        <w:tc>
          <w:tcPr>
            <w:tcW w:w="0" w:type="dxa"/>
            <w:vAlign w:val="bottom"/>
          </w:tcPr>
          <w:p>
            <w:pPr>
              <w:spacing w:after="0"/>
              <w:rPr>
                <w:sz w:val="1"/>
                <w:szCs w:val="1"/>
                <w:color w:val="auto"/>
              </w:rPr>
            </w:pP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3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(8,690)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Gain on investments and put options, net (Note 3)</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2,681</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0"/>
        </w:trPr>
        <w:tc>
          <w:tcPr>
            <w:tcW w:w="5160" w:type="dxa"/>
            <w:vAlign w:val="bottom"/>
          </w:tcPr>
          <w:p>
            <w:pPr>
              <w:ind w:left="420"/>
              <w:spacing w:after="0"/>
              <w:rPr>
                <w:sz w:val="20"/>
                <w:szCs w:val="20"/>
                <w:color w:val="auto"/>
              </w:rPr>
            </w:pPr>
            <w:r>
              <w:rPr>
                <w:rFonts w:ascii="Arial" w:cs="Arial" w:eastAsia="Arial" w:hAnsi="Arial"/>
                <w:sz w:val="18"/>
                <w:szCs w:val="18"/>
                <w:color w:val="auto"/>
              </w:rPr>
              <w:t>Total other (expense) income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(706)</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(6,009)</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426"/>
        </w:trPr>
        <w:tc>
          <w:tcPr>
            <w:tcW w:w="51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150,723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141,238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432,151</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437,582</w:t>
            </w: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58,536</w:t>
            </w: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55,096</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169,596</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165,545</w:t>
            </w:r>
          </w:p>
        </w:tc>
        <w:tc>
          <w:tcPr>
            <w:tcW w:w="0" w:type="dxa"/>
            <w:vAlign w:val="bottom"/>
          </w:tcPr>
          <w:p>
            <w:pPr>
              <w:spacing w:after="0"/>
              <w:rPr>
                <w:sz w:val="1"/>
                <w:szCs w:val="1"/>
                <w:color w:val="auto"/>
              </w:rPr>
            </w:pPr>
          </w:p>
        </w:tc>
      </w:tr>
      <w:tr>
        <w:trPr>
          <w:trHeight w:val="426"/>
        </w:trPr>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92,187</w:t>
            </w:r>
          </w:p>
        </w:tc>
        <w:tc>
          <w:tcPr>
            <w:tcW w:w="220" w:type="dxa"/>
            <w:vAlign w:val="bottom"/>
          </w:tcPr>
          <w:p>
            <w:pPr>
              <w:spacing w:after="0"/>
              <w:rPr>
                <w:sz w:val="24"/>
                <w:szCs w:val="24"/>
                <w:color w:val="auto"/>
              </w:rPr>
            </w:pP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86,142</w:t>
            </w:r>
          </w:p>
        </w:tc>
        <w:tc>
          <w:tcPr>
            <w:tcW w:w="220" w:type="dxa"/>
            <w:vAlign w:val="bottom"/>
          </w:tcPr>
          <w:p>
            <w:pPr>
              <w:spacing w:after="0"/>
              <w:rPr>
                <w:sz w:val="24"/>
                <w:szCs w:val="24"/>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262,555</w:t>
            </w:r>
          </w:p>
        </w:tc>
        <w:tc>
          <w:tcPr>
            <w:tcW w:w="200" w:type="dxa"/>
            <w:vAlign w:val="bottom"/>
          </w:tcPr>
          <w:p>
            <w:pPr>
              <w:spacing w:after="0"/>
              <w:rPr>
                <w:sz w:val="24"/>
                <w:szCs w:val="24"/>
                <w:color w:val="auto"/>
              </w:rPr>
            </w:pP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272,037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0.55</w:t>
            </w:r>
          </w:p>
        </w:tc>
        <w:tc>
          <w:tcPr>
            <w:tcW w:w="220" w:type="dxa"/>
            <w:vAlign w:val="bottom"/>
          </w:tcPr>
          <w:p>
            <w:pPr>
              <w:spacing w:after="0"/>
              <w:rPr>
                <w:sz w:val="20"/>
                <w:szCs w:val="20"/>
                <w:color w:val="auto"/>
              </w:rPr>
            </w:pP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0.49</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20"/>
                <w:szCs w:val="20"/>
                <w:color w:val="auto"/>
              </w:rPr>
            </w:pP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0.53</w:t>
            </w:r>
          </w:p>
        </w:tc>
        <w:tc>
          <w:tcPr>
            <w:tcW w:w="220" w:type="dxa"/>
            <w:vAlign w:val="bottom"/>
          </w:tcPr>
          <w:p>
            <w:pPr>
              <w:spacing w:after="0"/>
              <w:rPr>
                <w:sz w:val="17"/>
                <w:szCs w:val="17"/>
                <w:color w:val="auto"/>
              </w:rPr>
            </w:pPr>
          </w:p>
        </w:tc>
        <w:tc>
          <w:tcPr>
            <w:tcW w:w="4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0.47</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1.51</w:t>
            </w:r>
          </w:p>
        </w:tc>
        <w:tc>
          <w:tcPr>
            <w:tcW w:w="200" w:type="dxa"/>
            <w:vAlign w:val="bottom"/>
          </w:tcPr>
          <w:p>
            <w:pPr>
              <w:spacing w:after="0"/>
              <w:rPr>
                <w:sz w:val="17"/>
                <w:szCs w:val="17"/>
                <w:color w:val="auto"/>
              </w:rPr>
            </w:pPr>
          </w:p>
        </w:tc>
        <w:tc>
          <w:tcPr>
            <w:tcW w:w="4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STOCK AND COMMON STOCK EQUIVALENTS: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167,457</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175,026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166,483</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175,347</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173,948</w:t>
            </w:r>
          </w:p>
        </w:tc>
        <w:tc>
          <w:tcPr>
            <w:tcW w:w="1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183,899</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173,344</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185,365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320" w:right="239" w:bottom="0" w:gutter="0" w:footer="0" w:header="0"/>
        </w:sectPr>
      </w:pPr>
    </w:p>
    <w:bookmarkStart w:id="3" w:name="page4"/>
    <w:bookmarkEnd w:id="3"/>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jc w:val="both"/>
        <w:ind w:right="3400"/>
        <w:spacing w:after="0" w:line="234" w:lineRule="auto"/>
        <w:rPr>
          <w:sz w:val="20"/>
          <w:szCs w:val="20"/>
          <w:color w:val="auto"/>
        </w:rPr>
      </w:pPr>
      <w:r>
        <w:rPr>
          <w:rFonts w:ascii="Arial" w:cs="Arial" w:eastAsia="Arial" w:hAnsi="Arial"/>
          <w:sz w:val="22"/>
          <w:szCs w:val="22"/>
          <w:b w:val="1"/>
          <w:bCs w:val="1"/>
          <w:color w:val="auto"/>
        </w:rPr>
        <w:t>CONDENSED CONSOLIDATED STATEMENTS OF COMPREHENSIVE INCOME FOR THE THREE- AND NINE-MONTHS ENDED SEPTEMBER 30, 2013 AND 2012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5779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77965" cy="1714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20" w:type="dxa"/>
            <w:vAlign w:val="bottom"/>
            <w:gridSpan w:val="5"/>
          </w:tcPr>
          <w:p>
            <w:pPr>
              <w:jc w:val="center"/>
              <w:ind w:right="740"/>
              <w:spacing w:after="0"/>
              <w:rPr>
                <w:sz w:val="20"/>
                <w:szCs w:val="20"/>
                <w:color w:val="auto"/>
              </w:rPr>
            </w:pPr>
            <w:r>
              <w:rPr>
                <w:rFonts w:ascii="Arial" w:cs="Arial" w:eastAsia="Arial" w:hAnsi="Arial"/>
                <w:sz w:val="20"/>
                <w:szCs w:val="20"/>
                <w:color w:val="auto"/>
                <w:w w:val="90"/>
              </w:rPr>
              <w:t>Three-Months Ended</w:t>
            </w:r>
          </w:p>
        </w:tc>
        <w:tc>
          <w:tcPr>
            <w:tcW w:w="360" w:type="dxa"/>
            <w:vAlign w:val="bottom"/>
          </w:tcPr>
          <w:p>
            <w:pPr>
              <w:spacing w:after="0"/>
              <w:rPr>
                <w:sz w:val="19"/>
                <w:szCs w:val="19"/>
                <w:color w:val="auto"/>
              </w:rPr>
            </w:pPr>
          </w:p>
        </w:tc>
        <w:tc>
          <w:tcPr>
            <w:tcW w:w="2580" w:type="dxa"/>
            <w:vAlign w:val="bottom"/>
            <w:gridSpan w:val="4"/>
          </w:tcPr>
          <w:p>
            <w:pPr>
              <w:jc w:val="right"/>
              <w:ind w:right="661"/>
              <w:spacing w:after="0"/>
              <w:rPr>
                <w:sz w:val="20"/>
                <w:szCs w:val="20"/>
                <w:color w:val="auto"/>
              </w:rPr>
            </w:pPr>
            <w:r>
              <w:rPr>
                <w:rFonts w:ascii="Arial" w:cs="Arial" w:eastAsia="Arial" w:hAnsi="Arial"/>
                <w:sz w:val="20"/>
                <w:szCs w:val="20"/>
                <w:color w:val="auto"/>
              </w:rPr>
              <w:t>Nine-Months Ended</w:t>
            </w:r>
          </w:p>
        </w:tc>
        <w:tc>
          <w:tcPr>
            <w:tcW w:w="0" w:type="dxa"/>
            <w:vAlign w:val="bottom"/>
          </w:tcPr>
          <w:p>
            <w:pPr>
              <w:spacing w:after="0"/>
              <w:rPr>
                <w:sz w:val="1"/>
                <w:szCs w:val="1"/>
                <w:color w:val="auto"/>
              </w:rPr>
            </w:pPr>
          </w:p>
        </w:tc>
      </w:tr>
      <w:tr>
        <w:trPr>
          <w:trHeight w:val="246"/>
        </w:trPr>
        <w:tc>
          <w:tcPr>
            <w:tcW w:w="5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20"/>
                <w:szCs w:val="20"/>
                <w:color w:val="auto"/>
                <w:w w:val="86"/>
              </w:rPr>
              <w:t>September 30,</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vMerge w:val="restart"/>
          </w:tcPr>
          <w:p>
            <w:pPr>
              <w:spacing w:after="0"/>
              <w:rPr>
                <w:sz w:val="20"/>
                <w:szCs w:val="20"/>
                <w:color w:val="auto"/>
              </w:rPr>
            </w:pPr>
            <w:r>
              <w:rPr>
                <w:rFonts w:ascii="Arial" w:cs="Arial" w:eastAsia="Arial" w:hAnsi="Arial"/>
                <w:sz w:val="20"/>
                <w:szCs w:val="20"/>
                <w:color w:val="auto"/>
              </w:rPr>
              <w:t>Net income, as reported</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w w:val="98"/>
              </w:rPr>
              <w:t>2013</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w w:val="89"/>
              </w:rPr>
              <w:t>2012</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w w:val="98"/>
              </w:rPr>
              <w:t>2013</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w w:val="85"/>
              </w:rPr>
              <w:t>2012</w:t>
            </w:r>
          </w:p>
        </w:tc>
        <w:tc>
          <w:tcPr>
            <w:tcW w:w="0" w:type="dxa"/>
            <w:vAlign w:val="bottom"/>
          </w:tcPr>
          <w:p>
            <w:pPr>
              <w:spacing w:after="0"/>
              <w:rPr>
                <w:sz w:val="1"/>
                <w:szCs w:val="1"/>
                <w:color w:val="auto"/>
              </w:rPr>
            </w:pPr>
          </w:p>
        </w:tc>
      </w:tr>
      <w:tr>
        <w:trPr>
          <w:trHeight w:val="206"/>
        </w:trPr>
        <w:tc>
          <w:tcPr>
            <w:tcW w:w="5200" w:type="dxa"/>
            <w:vAlign w:val="bottom"/>
            <w:vMerge w:val="continue"/>
          </w:tcPr>
          <w:p>
            <w:pPr>
              <w:spacing w:after="0"/>
              <w:rPr>
                <w:sz w:val="17"/>
                <w:szCs w:val="17"/>
                <w:color w:val="auto"/>
              </w:rPr>
            </w:pPr>
          </w:p>
        </w:tc>
        <w:tc>
          <w:tcPr>
            <w:tcW w:w="3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0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92,187</w:t>
            </w:r>
          </w:p>
        </w:tc>
        <w:tc>
          <w:tcPr>
            <w:tcW w:w="220" w:type="dxa"/>
            <w:vAlign w:val="bottom"/>
          </w:tcPr>
          <w:p>
            <w:pPr>
              <w:spacing w:after="0"/>
              <w:rPr>
                <w:sz w:val="17"/>
                <w:szCs w:val="17"/>
                <w:color w:val="auto"/>
              </w:rPr>
            </w:pPr>
          </w:p>
        </w:tc>
        <w:tc>
          <w:tcPr>
            <w:tcW w:w="42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1000" w:type="dxa"/>
            <w:vAlign w:val="bottom"/>
          </w:tcPr>
          <w:p>
            <w:pPr>
              <w:jc w:val="right"/>
              <w:ind w:right="41"/>
              <w:spacing w:after="0" w:line="207" w:lineRule="exact"/>
              <w:rPr>
                <w:sz w:val="20"/>
                <w:szCs w:val="20"/>
                <w:color w:val="auto"/>
              </w:rPr>
            </w:pPr>
            <w:r>
              <w:rPr>
                <w:rFonts w:ascii="Arial" w:cs="Arial" w:eastAsia="Arial" w:hAnsi="Arial"/>
                <w:sz w:val="20"/>
                <w:szCs w:val="20"/>
                <w:color w:val="auto"/>
              </w:rPr>
              <w:t>86,142</w:t>
            </w:r>
          </w:p>
        </w:tc>
        <w:tc>
          <w:tcPr>
            <w:tcW w:w="220" w:type="dxa"/>
            <w:vAlign w:val="bottom"/>
          </w:tcPr>
          <w:p>
            <w:pPr>
              <w:spacing w:after="0"/>
              <w:rPr>
                <w:sz w:val="17"/>
                <w:szCs w:val="17"/>
                <w:color w:val="auto"/>
              </w:rPr>
            </w:pPr>
          </w:p>
        </w:tc>
        <w:tc>
          <w:tcPr>
            <w:tcW w:w="3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262,555</w:t>
            </w:r>
          </w:p>
        </w:tc>
        <w:tc>
          <w:tcPr>
            <w:tcW w:w="200" w:type="dxa"/>
            <w:vAlign w:val="bottom"/>
          </w:tcPr>
          <w:p>
            <w:pPr>
              <w:spacing w:after="0"/>
              <w:rPr>
                <w:sz w:val="17"/>
                <w:szCs w:val="17"/>
                <w:color w:val="auto"/>
              </w:rPr>
            </w:pPr>
          </w:p>
        </w:tc>
        <w:tc>
          <w:tcPr>
            <w:tcW w:w="38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9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272,037</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20"/>
                <w:szCs w:val="20"/>
                <w:color w:val="auto"/>
              </w:rPr>
              <w:t>Other comprehensive income (loss):</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20"/>
                <w:szCs w:val="20"/>
                <w:color w:val="auto"/>
              </w:rPr>
              <w:t>Change in foreign currency translation</w:t>
            </w:r>
          </w:p>
        </w:tc>
        <w:tc>
          <w:tcPr>
            <w:tcW w:w="36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20"/>
                <w:szCs w:val="20"/>
                <w:color w:val="auto"/>
              </w:rPr>
              <w:t>1,850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2,725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(1,683)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2,452</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20"/>
                <w:szCs w:val="20"/>
                <w:color w:val="auto"/>
              </w:rPr>
              <w:t>Available-for-sale investments:</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500"/>
              <w:spacing w:after="0"/>
              <w:rPr>
                <w:sz w:val="20"/>
                <w:szCs w:val="20"/>
                <w:color w:val="auto"/>
              </w:rPr>
            </w:pPr>
            <w:r>
              <w:rPr>
                <w:rFonts w:ascii="Arial" w:cs="Arial" w:eastAsia="Arial" w:hAnsi="Arial"/>
                <w:sz w:val="20"/>
                <w:szCs w:val="20"/>
                <w:color w:val="auto"/>
              </w:rPr>
              <w:t>Change in net unrealized gains</w:t>
            </w:r>
          </w:p>
        </w:tc>
        <w:tc>
          <w:tcPr>
            <w:tcW w:w="36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500"/>
              <w:spacing w:after="0"/>
              <w:rPr>
                <w:sz w:val="20"/>
                <w:szCs w:val="20"/>
                <w:color w:val="auto"/>
              </w:rPr>
            </w:pPr>
            <w:r>
              <w:rPr>
                <w:rFonts w:ascii="Arial" w:cs="Arial" w:eastAsia="Arial" w:hAnsi="Arial"/>
                <w:sz w:val="20"/>
                <w:szCs w:val="20"/>
                <w:color w:val="auto"/>
              </w:rPr>
              <w:t>Reclassification adjustment for net gains included in</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200" w:type="dxa"/>
            <w:vAlign w:val="bottom"/>
          </w:tcPr>
          <w:p>
            <w:pPr>
              <w:ind w:left="680"/>
              <w:spacing w:after="0"/>
              <w:rPr>
                <w:sz w:val="20"/>
                <w:szCs w:val="20"/>
                <w:color w:val="auto"/>
              </w:rPr>
            </w:pPr>
            <w:r>
              <w:rPr>
                <w:rFonts w:ascii="Arial" w:cs="Arial" w:eastAsia="Arial" w:hAnsi="Arial"/>
                <w:sz w:val="20"/>
                <w:szCs w:val="20"/>
                <w:color w:val="auto"/>
              </w:rPr>
              <w:t>net income</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(1,525)</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500"/>
              <w:spacing w:after="0" w:line="213" w:lineRule="exact"/>
              <w:rPr>
                <w:sz w:val="20"/>
                <w:szCs w:val="20"/>
                <w:color w:val="auto"/>
              </w:rPr>
            </w:pPr>
            <w:r>
              <w:rPr>
                <w:rFonts w:ascii="Arial" w:cs="Arial" w:eastAsia="Arial" w:hAnsi="Arial"/>
                <w:sz w:val="20"/>
                <w:szCs w:val="20"/>
                <w:color w:val="auto"/>
              </w:rPr>
              <w:t>Net change in available-for-sale investments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
              <w:spacing w:after="0" w:line="213"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
              <w:spacing w:after="0" w:line="213"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(1,525)</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1"/>
              <w:spacing w:after="0" w:line="21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200" w:type="dxa"/>
            <w:vAlign w:val="bottom"/>
          </w:tcPr>
          <w:p>
            <w:pPr>
              <w:spacing w:after="0" w:line="213" w:lineRule="exact"/>
              <w:rPr>
                <w:sz w:val="20"/>
                <w:szCs w:val="20"/>
                <w:color w:val="auto"/>
              </w:rPr>
            </w:pPr>
            <w:r>
              <w:rPr>
                <w:rFonts w:ascii="Arial" w:cs="Arial" w:eastAsia="Arial" w:hAnsi="Arial"/>
                <w:sz w:val="20"/>
                <w:szCs w:val="20"/>
                <w:color w:val="auto"/>
              </w:rPr>
              <w:t>Other comprehensive income (loss)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
              <w:spacing w:after="0" w:line="213" w:lineRule="exact"/>
              <w:rPr>
                <w:sz w:val="20"/>
                <w:szCs w:val="20"/>
                <w:color w:val="auto"/>
              </w:rPr>
            </w:pPr>
            <w:r>
              <w:rPr>
                <w:rFonts w:ascii="Arial" w:cs="Arial" w:eastAsia="Arial" w:hAnsi="Arial"/>
                <w:sz w:val="20"/>
                <w:szCs w:val="20"/>
                <w:color w:val="auto"/>
              </w:rPr>
              <w:t>1,850</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
              <w:spacing w:after="0" w:line="213" w:lineRule="exact"/>
              <w:rPr>
                <w:sz w:val="20"/>
                <w:szCs w:val="20"/>
                <w:color w:val="auto"/>
              </w:rPr>
            </w:pPr>
            <w:r>
              <w:rPr>
                <w:rFonts w:ascii="Arial" w:cs="Arial" w:eastAsia="Arial" w:hAnsi="Arial"/>
                <w:sz w:val="20"/>
                <w:szCs w:val="20"/>
                <w:color w:val="auto"/>
              </w:rPr>
              <w:t>2,725</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(3,208)</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1"/>
              <w:spacing w:after="0" w:line="213" w:lineRule="exact"/>
              <w:rPr>
                <w:sz w:val="20"/>
                <w:szCs w:val="20"/>
                <w:color w:val="auto"/>
              </w:rPr>
            </w:pPr>
            <w:r>
              <w:rPr>
                <w:rFonts w:ascii="Arial" w:cs="Arial" w:eastAsia="Arial" w:hAnsi="Arial"/>
                <w:sz w:val="20"/>
                <w:szCs w:val="20"/>
                <w:color w:val="auto"/>
              </w:rPr>
              <w:t>2,452</w:t>
            </w:r>
          </w:p>
        </w:tc>
        <w:tc>
          <w:tcPr>
            <w:tcW w:w="0" w:type="dxa"/>
            <w:vAlign w:val="bottom"/>
          </w:tcPr>
          <w:p>
            <w:pPr>
              <w:spacing w:after="0"/>
              <w:rPr>
                <w:sz w:val="1"/>
                <w:szCs w:val="1"/>
                <w:color w:val="auto"/>
              </w:rPr>
            </w:pPr>
          </w:p>
        </w:tc>
      </w:tr>
      <w:tr>
        <w:trPr>
          <w:trHeight w:val="230"/>
        </w:trPr>
        <w:tc>
          <w:tcPr>
            <w:tcW w:w="5200" w:type="dxa"/>
            <w:vAlign w:val="bottom"/>
          </w:tcPr>
          <w:p>
            <w:pPr>
              <w:spacing w:after="0" w:line="220" w:lineRule="exact"/>
              <w:rPr>
                <w:sz w:val="20"/>
                <w:szCs w:val="20"/>
                <w:color w:val="auto"/>
              </w:rPr>
            </w:pPr>
            <w:r>
              <w:rPr>
                <w:rFonts w:ascii="Arial" w:cs="Arial" w:eastAsia="Arial" w:hAnsi="Arial"/>
                <w:sz w:val="20"/>
                <w:szCs w:val="20"/>
                <w:color w:val="auto"/>
              </w:rPr>
              <w:t>Comprehensive income</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94,037</w:t>
            </w:r>
          </w:p>
        </w:tc>
        <w:tc>
          <w:tcPr>
            <w:tcW w:w="2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88,867</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259,347</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274,489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800"/>
        <w:spacing w:after="0" w:line="239" w:lineRule="auto"/>
        <w:rPr>
          <w:sz w:val="20"/>
          <w:szCs w:val="20"/>
          <w:color w:val="auto"/>
        </w:rPr>
      </w:pPr>
      <w:r>
        <w:rPr>
          <w:rFonts w:ascii="Arial" w:cs="Arial" w:eastAsia="Arial" w:hAnsi="Arial"/>
          <w:sz w:val="22"/>
          <w:szCs w:val="22"/>
          <w:b w:val="1"/>
          <w:bCs w:val="1"/>
          <w:color w:val="auto"/>
        </w:rPr>
        <w:t>MONSTER BEVERAGE CORPORATION AND SUBSIDIARIES CONDENSED CONSOLIDATED STATEMENTS OF CASH FLOWS FOR THE NINE-MONTHS ENDED SEPTEMBER 30, 2013 AND 2012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78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40" w:type="dxa"/>
            <w:vAlign w:val="bottom"/>
            <w:gridSpan w:val="5"/>
          </w:tcPr>
          <w:p>
            <w:pPr>
              <w:ind w:left="1040"/>
              <w:spacing w:after="0"/>
              <w:rPr>
                <w:sz w:val="20"/>
                <w:szCs w:val="20"/>
                <w:color w:val="auto"/>
              </w:rPr>
            </w:pPr>
            <w:r>
              <w:rPr>
                <w:rFonts w:ascii="Arial" w:cs="Arial" w:eastAsia="Arial" w:hAnsi="Arial"/>
                <w:sz w:val="14"/>
                <w:szCs w:val="14"/>
                <w:b w:val="1"/>
                <w:bCs w:val="1"/>
                <w:color w:val="auto"/>
              </w:rPr>
              <w:t>Nine-Months Ended</w:t>
            </w:r>
          </w:p>
        </w:tc>
        <w:tc>
          <w:tcPr>
            <w:tcW w:w="0" w:type="dxa"/>
            <w:vAlign w:val="bottom"/>
          </w:tcPr>
          <w:p>
            <w:pPr>
              <w:spacing w:after="0"/>
              <w:rPr>
                <w:sz w:val="1"/>
                <w:szCs w:val="1"/>
                <w:color w:val="auto"/>
              </w:rPr>
            </w:pPr>
          </w:p>
        </w:tc>
      </w:tr>
      <w:tr>
        <w:trPr>
          <w:trHeight w:val="142"/>
        </w:trPr>
        <w:tc>
          <w:tcPr>
            <w:tcW w:w="762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1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4"/>
              </w:rPr>
              <w:t>September 30, 2013</w:t>
            </w: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w w:val="94"/>
              </w:rPr>
              <w:t>September 30, 2012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7620" w:type="dxa"/>
            <w:vAlign w:val="bottom"/>
            <w:vMerge w:val="continue"/>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5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5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262,555</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272,037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Amortization of trademark</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Depreciation and other amortization</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16,408</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15,228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180" w:type="dxa"/>
            <w:vAlign w:val="bottom"/>
          </w:tcPr>
          <w:p>
            <w:pPr>
              <w:spacing w:after="0"/>
              <w:rPr>
                <w:sz w:val="12"/>
                <w:szCs w:val="12"/>
                <w:color w:val="auto"/>
              </w:rPr>
            </w:pPr>
          </w:p>
        </w:tc>
        <w:tc>
          <w:tcPr>
            <w:tcW w:w="1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(53)</w:t>
            </w:r>
          </w:p>
        </w:tc>
        <w:tc>
          <w:tcPr>
            <w:tcW w:w="180" w:type="dxa"/>
            <w:vAlign w:val="bottom"/>
          </w:tcPr>
          <w:p>
            <w:pPr>
              <w:spacing w:after="0"/>
              <w:rPr>
                <w:sz w:val="12"/>
                <w:szCs w:val="12"/>
                <w:color w:val="auto"/>
              </w:rPr>
            </w:pPr>
          </w:p>
        </w:tc>
        <w:tc>
          <w:tcPr>
            <w:tcW w:w="1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21,592</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21,581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Loss on put option</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411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Gain on investments, net</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(3,091)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(1,695)</w:t>
            </w: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(926)</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2,571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(30,250)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(4,295)</w:t>
            </w: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(104,666)</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(70,533)</w:t>
            </w: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Distributor receivables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(3,384)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(46,687)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(38,646)</w:t>
            </w: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(13,026)</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Prepaid income taxes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(4,906)</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(17,974)</w:t>
            </w: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33,731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27,814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21,157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26,652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Accrued promotional allowances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40,175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(9,306)</w:t>
            </w: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Accrued distributor terminations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3,524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Accrued compensation</w:t>
            </w:r>
          </w:p>
        </w:tc>
        <w:tc>
          <w:tcPr>
            <w:tcW w:w="180" w:type="dxa"/>
            <w:vAlign w:val="bottom"/>
          </w:tcPr>
          <w:p>
            <w:pPr>
              <w:spacing w:after="0"/>
              <w:rPr>
                <w:sz w:val="12"/>
                <w:szCs w:val="12"/>
                <w:color w:val="auto"/>
              </w:rPr>
            </w:pPr>
          </w:p>
        </w:tc>
        <w:tc>
          <w:tcPr>
            <w:tcW w:w="1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(51)</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1,463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Income taxes payable</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78,447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(3,831)</w:t>
            </w:r>
          </w:p>
        </w:tc>
        <w:tc>
          <w:tcPr>
            <w:tcW w:w="0" w:type="dxa"/>
            <w:vAlign w:val="bottom"/>
          </w:tcPr>
          <w:p>
            <w:pPr>
              <w:spacing w:after="0"/>
              <w:rPr>
                <w:sz w:val="1"/>
                <w:szCs w:val="1"/>
                <w:color w:val="auto"/>
              </w:rPr>
            </w:pPr>
          </w:p>
        </w:tc>
      </w:tr>
      <w:tr>
        <w:trPr>
          <w:trHeight w:val="161"/>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Deferred revenue</w:t>
            </w:r>
          </w:p>
        </w:tc>
        <w:tc>
          <w:tcPr>
            <w:tcW w:w="180" w:type="dxa"/>
            <w:vAlign w:val="bottom"/>
          </w:tcPr>
          <w:p>
            <w:pPr>
              <w:spacing w:after="0"/>
              <w:rPr>
                <w:sz w:val="13"/>
                <w:szCs w:val="13"/>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4,838</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(4,170)</w:t>
            </w:r>
          </w:p>
        </w:tc>
        <w:tc>
          <w:tcPr>
            <w:tcW w:w="0" w:type="dxa"/>
            <w:vAlign w:val="bottom"/>
          </w:tcPr>
          <w:p>
            <w:pPr>
              <w:spacing w:after="0"/>
              <w:rPr>
                <w:sz w:val="1"/>
                <w:szCs w:val="1"/>
                <w:color w:val="auto"/>
              </w:rPr>
            </w:pPr>
          </w:p>
        </w:tc>
      </w:tr>
      <w:tr>
        <w:trPr>
          <w:trHeight w:val="182"/>
        </w:trPr>
        <w:tc>
          <w:tcPr>
            <w:tcW w:w="7620" w:type="dxa"/>
            <w:vAlign w:val="bottom"/>
          </w:tcPr>
          <w:p>
            <w:pPr>
              <w:ind w:left="860"/>
              <w:spacing w:after="0" w:line="150" w:lineRule="exact"/>
              <w:rPr>
                <w:sz w:val="20"/>
                <w:szCs w:val="20"/>
                <w:color w:val="auto"/>
              </w:rPr>
            </w:pPr>
            <w:r>
              <w:rPr>
                <w:rFonts w:ascii="Arial" w:cs="Arial" w:eastAsia="Arial" w:hAnsi="Arial"/>
                <w:sz w:val="14"/>
                <w:szCs w:val="14"/>
                <w:color w:val="auto"/>
              </w:rPr>
              <w:t>Net cash provided by operating activities</w:t>
            </w: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275,834</w:t>
            </w:r>
          </w:p>
        </w:tc>
        <w:tc>
          <w:tcPr>
            <w:tcW w:w="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218,049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62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Maturities of held-to-maturity investments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179,575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596,587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Sales of available-for-sale investments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5,775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61,950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Sales of trading investments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16,765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(392,870)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(557,168)</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(9,502)</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(32,612)</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(25,813)</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8,762</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Additions to intangibles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(9,001)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(4,490)</w:t>
            </w:r>
          </w:p>
        </w:tc>
        <w:tc>
          <w:tcPr>
            <w:tcW w:w="0" w:type="dxa"/>
            <w:vAlign w:val="bottom"/>
          </w:tcPr>
          <w:p>
            <w:pPr>
              <w:spacing w:after="0"/>
              <w:rPr>
                <w:sz w:val="1"/>
                <w:szCs w:val="1"/>
                <w:color w:val="auto"/>
              </w:rPr>
            </w:pPr>
          </w:p>
        </w:tc>
      </w:tr>
      <w:tr>
        <w:trPr>
          <w:trHeight w:val="161"/>
        </w:trPr>
        <w:tc>
          <w:tcPr>
            <w:tcW w:w="7620" w:type="dxa"/>
            <w:vAlign w:val="bottom"/>
          </w:tcPr>
          <w:p>
            <w:pPr>
              <w:spacing w:after="0" w:line="149" w:lineRule="exact"/>
              <w:rPr>
                <w:sz w:val="20"/>
                <w:szCs w:val="20"/>
                <w:color w:val="auto"/>
              </w:rPr>
            </w:pPr>
            <w:r>
              <w:rPr>
                <w:rFonts w:ascii="Arial" w:cs="Arial" w:eastAsia="Arial" w:hAnsi="Arial"/>
                <w:sz w:val="14"/>
                <w:szCs w:val="14"/>
                <w:color w:val="auto"/>
              </w:rPr>
              <w:t>(Increase) decrease in other assets</w:t>
            </w:r>
          </w:p>
        </w:tc>
        <w:tc>
          <w:tcPr>
            <w:tcW w:w="1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(7,576)</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620" w:type="dxa"/>
            <w:vAlign w:val="bottom"/>
          </w:tcPr>
          <w:p>
            <w:pPr>
              <w:ind w:left="860"/>
              <w:spacing w:after="0" w:line="150" w:lineRule="exact"/>
              <w:rPr>
                <w:sz w:val="20"/>
                <w:szCs w:val="20"/>
                <w:color w:val="auto"/>
              </w:rPr>
            </w:pPr>
            <w:r>
              <w:rPr>
                <w:rFonts w:ascii="Arial" w:cs="Arial" w:eastAsia="Arial" w:hAnsi="Arial"/>
                <w:sz w:val="14"/>
                <w:szCs w:val="14"/>
                <w:color w:val="auto"/>
              </w:rPr>
              <w:t>Net cash (used in) provided by investing activities</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(246,697)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78,952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6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Principal payments on debt</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(1,322)</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(1,622)</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30,250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4,295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18,198</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8,368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20" w:type="dxa"/>
            <w:vAlign w:val="bottom"/>
          </w:tcPr>
          <w:p>
            <w:pPr>
              <w:spacing w:after="0" w:line="149" w:lineRule="exact"/>
              <w:rPr>
                <w:sz w:val="20"/>
                <w:szCs w:val="20"/>
                <w:color w:val="auto"/>
              </w:rPr>
            </w:pPr>
            <w:r>
              <w:rPr>
                <w:rFonts w:ascii="Arial" w:cs="Arial" w:eastAsia="Arial" w:hAnsi="Arial"/>
                <w:sz w:val="14"/>
                <w:szCs w:val="14"/>
                <w:color w:val="auto"/>
              </w:rPr>
              <w:t>Purchases of common stock held in treasury</w:t>
            </w:r>
          </w:p>
        </w:tc>
        <w:tc>
          <w:tcPr>
            <w:tcW w:w="1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(13,401)</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(386,776)</w:t>
            </w:r>
          </w:p>
        </w:tc>
        <w:tc>
          <w:tcPr>
            <w:tcW w:w="0" w:type="dxa"/>
            <w:vAlign w:val="bottom"/>
          </w:tcPr>
          <w:p>
            <w:pPr>
              <w:spacing w:after="0"/>
              <w:rPr>
                <w:sz w:val="1"/>
                <w:szCs w:val="1"/>
                <w:color w:val="auto"/>
              </w:rPr>
            </w:pPr>
          </w:p>
        </w:tc>
      </w:tr>
      <w:tr>
        <w:trPr>
          <w:trHeight w:val="149"/>
        </w:trPr>
        <w:tc>
          <w:tcPr>
            <w:tcW w:w="7620" w:type="dxa"/>
            <w:vAlign w:val="bottom"/>
          </w:tcPr>
          <w:p>
            <w:pPr>
              <w:ind w:left="86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33,725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(375,735)</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1,643</w:t>
            </w:r>
          </w:p>
        </w:tc>
        <w:tc>
          <w:tcPr>
            <w:tcW w:w="3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62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64,505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color w:val="auto"/>
              </w:rPr>
              <w:t>(76,277)</w:t>
            </w:r>
          </w:p>
        </w:tc>
        <w:tc>
          <w:tcPr>
            <w:tcW w:w="0" w:type="dxa"/>
            <w:vAlign w:val="bottom"/>
          </w:tcPr>
          <w:p>
            <w:pPr>
              <w:spacing w:after="0"/>
              <w:rPr>
                <w:sz w:val="1"/>
                <w:szCs w:val="1"/>
                <w:color w:val="auto"/>
              </w:rPr>
            </w:pPr>
          </w:p>
        </w:tc>
      </w:tr>
      <w:tr>
        <w:trPr>
          <w:trHeight w:val="161"/>
        </w:trPr>
        <w:tc>
          <w:tcPr>
            <w:tcW w:w="762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222,514</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359,331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1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287,019</w:t>
            </w:r>
          </w:p>
        </w:tc>
        <w:tc>
          <w:tcPr>
            <w:tcW w:w="30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283,054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SUPPLEMENTAL INFORMATION:</w:t>
      </w:r>
    </w:p>
    <w:p>
      <w:pPr>
        <w:sectPr>
          <w:pgSz w:w="11900" w:h="16905" w:orient="portrait"/>
          <w:cols w:equalWidth="0" w:num="1">
            <w:col w:w="11420"/>
          </w:cols>
          <w:pgMar w:left="240" w:top="341" w:right="239" w:bottom="0" w:gutter="0" w:footer="0" w:header="0"/>
        </w:sectPr>
      </w:pPr>
    </w:p>
    <w:bookmarkStart w:id="4" w:name="page5"/>
    <w:bookmarkEnd w:id="4"/>
    <w:tbl>
      <w:tblPr>
        <w:tblLayout w:type="fixed"/>
        <w:tblInd w:w="180" w:type="dxa"/>
        <w:tblCellMar>
          <w:top w:w="0" w:type="dxa"/>
          <w:left w:w="0" w:type="dxa"/>
          <w:bottom w:w="0" w:type="dxa"/>
          <w:right w:w="0" w:type="dxa"/>
        </w:tblCellMar>
      </w:tblPr>
      <w:tr>
        <w:trPr>
          <w:trHeight w:val="161"/>
        </w:trPr>
        <w:tc>
          <w:tcPr>
            <w:tcW w:w="7440" w:type="dxa"/>
            <w:vAlign w:val="bottom"/>
          </w:tcPr>
          <w:p>
            <w:pPr>
              <w:spacing w:after="0"/>
              <w:rPr>
                <w:sz w:val="20"/>
                <w:szCs w:val="20"/>
                <w:color w:val="auto"/>
              </w:rPr>
            </w:pPr>
            <w:r>
              <w:rPr>
                <w:rFonts w:ascii="Arial" w:cs="Arial" w:eastAsia="Arial" w:hAnsi="Arial"/>
                <w:sz w:val="14"/>
                <w:szCs w:val="14"/>
                <w:color w:val="auto"/>
              </w:rPr>
              <w:t>Cash paid during the period for:</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440" w:type="dxa"/>
            <w:vAlign w:val="bottom"/>
          </w:tcPr>
          <w:p>
            <w:pPr>
              <w:ind w:left="180"/>
              <w:spacing w:after="0"/>
              <w:rPr>
                <w:sz w:val="20"/>
                <w:szCs w:val="20"/>
                <w:color w:val="auto"/>
              </w:rPr>
            </w:pPr>
            <w:r>
              <w:rPr>
                <w:rFonts w:ascii="Arial" w:cs="Arial" w:eastAsia="Arial" w:hAnsi="Arial"/>
                <w:sz w:val="14"/>
                <w:szCs w:val="14"/>
                <w:color w:val="auto"/>
              </w:rPr>
              <w:t>Interest</w:t>
            </w: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300" w:type="dxa"/>
            <w:vAlign w:val="bottom"/>
          </w:tcPr>
          <w:p>
            <w:pPr>
              <w:spacing w:after="0"/>
              <w:rPr>
                <w:sz w:val="14"/>
                <w:szCs w:val="14"/>
                <w:color w:val="auto"/>
              </w:rPr>
            </w:pPr>
          </w:p>
        </w:tc>
        <w:tc>
          <w:tcPr>
            <w:tcW w:w="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180"/>
              <w:spacing w:after="0"/>
              <w:rPr>
                <w:sz w:val="20"/>
                <w:szCs w:val="20"/>
                <w:color w:val="auto"/>
              </w:rPr>
            </w:pPr>
            <w:r>
              <w:rPr>
                <w:rFonts w:ascii="Arial" w:cs="Arial" w:eastAsia="Arial" w:hAnsi="Arial"/>
                <w:sz w:val="14"/>
                <w:szCs w:val="14"/>
                <w:color w:val="auto"/>
              </w:rPr>
              <w:t>Income taxes</w:t>
            </w: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40" w:type="dxa"/>
            <w:vAlign w:val="bottom"/>
            <w:vMerge w:val="continue"/>
          </w:tcPr>
          <w:p>
            <w:pPr>
              <w:spacing w:after="0"/>
              <w:rPr>
                <w:sz w:val="11"/>
                <w:szCs w:val="11"/>
                <w:color w:val="auto"/>
              </w:rPr>
            </w:pPr>
          </w:p>
        </w:tc>
        <w:tc>
          <w:tcPr>
            <w:tcW w:w="660" w:type="dxa"/>
            <w:vAlign w:val="bottom"/>
            <w:tcBorders>
              <w:bottom w:val="single" w:sz="8" w:color="auto"/>
            </w:tcBorders>
          </w:tcPr>
          <w:p>
            <w:pPr>
              <w:jc w:val="right"/>
              <w:ind w:right="488"/>
              <w:spacing w:after="0" w:line="12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97,171</w:t>
            </w:r>
          </w:p>
        </w:tc>
        <w:tc>
          <w:tcPr>
            <w:tcW w:w="300" w:type="dxa"/>
            <w:vAlign w:val="bottom"/>
          </w:tcPr>
          <w:p>
            <w:pPr>
              <w:spacing w:after="0"/>
              <w:rPr>
                <w:sz w:val="11"/>
                <w:szCs w:val="11"/>
                <w:color w:val="auto"/>
              </w:rPr>
            </w:pPr>
          </w:p>
        </w:tc>
        <w:tc>
          <w:tcPr>
            <w:tcW w:w="640" w:type="dxa"/>
            <w:vAlign w:val="bottom"/>
            <w:tcBorders>
              <w:bottom w:val="single" w:sz="8" w:color="auto"/>
            </w:tcBorders>
          </w:tcPr>
          <w:p>
            <w:pPr>
              <w:jc w:val="right"/>
              <w:ind w:right="448"/>
              <w:spacing w:after="0" w:line="129"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184,451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800"/>
        <w:spacing w:after="0" w:line="239" w:lineRule="auto"/>
        <w:rPr>
          <w:sz w:val="20"/>
          <w:szCs w:val="20"/>
          <w:color w:val="auto"/>
        </w:rPr>
      </w:pPr>
      <w:r>
        <w:rPr>
          <w:rFonts w:ascii="Arial" w:cs="Arial" w:eastAsia="Arial" w:hAnsi="Arial"/>
          <w:sz w:val="22"/>
          <w:szCs w:val="22"/>
          <w:b w:val="1"/>
          <w:bCs w:val="1"/>
          <w:color w:val="auto"/>
        </w:rPr>
        <w:t>MONSTER BEVERAGE CORPORATION AND SUBSIDIARIES CONDENSED CONSOLIDATED STATEMENTS OF CASH FLOWS FOR THE NINE-MONTHS ENDED SEPTEMBER 30, 2013 AND 2012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11"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Company entered into capital leases for the acquisition of promotional vehicles of $1.9 million and $1.4 million for the nine-months ended September 30, 2013 and 2012, respectively.</w:t>
      </w:r>
    </w:p>
    <w:p>
      <w:pPr>
        <w:spacing w:after="0" w:line="20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Included in accounts payable is equipment purchased of $2.0 million and $0.4 million as of September 30, 2013 and December 31, 2012,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BASIS OF PRESENTATION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Reference is made to the Notes to Consolidated Financial Statements, in Monster Beverage Corporation and Subsidiaries (the “Company” or, in reference to the Company’s former name, “Hansen Natural Corporation”) Annual Report on Form 10-K for the year ended December 31, 2012 (“Form 10-K”) for a summary of significant accounting policies utilized by the Company and its consolidated subsidiaries and other disclosures, which should be read in conjunction with this Quarterly Report on Form 10-Q (“Form 10-Q”).</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nine-months ended September 30, 2013 and 2012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preparation of financial statements in conformity with GAAP necessarily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212" w:lineRule="exact"/>
        <w:rPr>
          <w:sz w:val="20"/>
          <w:szCs w:val="20"/>
          <w:color w:val="auto"/>
        </w:rPr>
      </w:pPr>
    </w:p>
    <w:p>
      <w:pPr>
        <w:ind w:left="660" w:hanging="652"/>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RECENT ACCOUNTING PRONOUNCEMENTS</w:t>
      </w:r>
    </w:p>
    <w:p>
      <w:pPr>
        <w:spacing w:after="0" w:line="233" w:lineRule="exact"/>
        <w:rPr>
          <w:sz w:val="20"/>
          <w:szCs w:val="20"/>
          <w:color w:val="auto"/>
        </w:rPr>
      </w:pPr>
    </w:p>
    <w:p>
      <w:pPr>
        <w:jc w:val="both"/>
        <w:ind w:firstLine="492"/>
        <w:spacing w:after="0" w:line="275" w:lineRule="auto"/>
        <w:rPr>
          <w:sz w:val="20"/>
          <w:szCs w:val="20"/>
          <w:color w:val="auto"/>
        </w:rPr>
      </w:pPr>
      <w:r>
        <w:rPr>
          <w:rFonts w:ascii="Arial" w:cs="Arial" w:eastAsia="Arial" w:hAnsi="Arial"/>
          <w:sz w:val="19"/>
          <w:szCs w:val="19"/>
          <w:color w:val="auto"/>
        </w:rPr>
        <w:t>In July 2013, the Financial Accounting Standards Board (the “FASB”) issued Accounting Standards Update (“ASU”) No. 2013-11, “Income Taxes (Topic 740): Presentation of an Unrecognized Tax Benefit when a Net Operating Loss Carryforward, a Similar Tax Loss, or a Tax Credit Carryforward Exists (a consensus of the FASB Emerging Issues Task Force)”. The amendments in this ASU provide guidance on the 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w:t>
      </w:r>
    </w:p>
    <w:p>
      <w:pPr>
        <w:sectPr>
          <w:pgSz w:w="11900" w:h="16838" w:orient="portrait"/>
          <w:cols w:equalWidth="0" w:num="1">
            <w:col w:w="11420"/>
          </w:cols>
          <w:pgMar w:left="240" w:top="108" w:right="239" w:bottom="0" w:gutter="0" w:footer="0" w:header="0"/>
        </w:sectPr>
      </w:pPr>
    </w:p>
    <w:bookmarkStart w:id="5" w:name="page6"/>
    <w:bookmarkEnd w:id="5"/>
    <w:p>
      <w:pPr>
        <w:jc w:val="both"/>
        <w:spacing w:after="0" w:line="274" w:lineRule="auto"/>
        <w:rPr>
          <w:sz w:val="20"/>
          <w:szCs w:val="20"/>
          <w:color w:val="auto"/>
        </w:rPr>
      </w:pPr>
      <w:r>
        <w:rPr>
          <w:rFonts w:ascii="Arial" w:cs="Arial" w:eastAsia="Arial" w:hAnsi="Arial"/>
          <w:sz w:val="21"/>
          <w:szCs w:val="21"/>
          <w:color w:val="auto"/>
        </w:rPr>
        <w:t>fiscal years, and interim periods within those years, beginning after December 15, 2013. The amendments in ASU No. 2013-11 are not expected to have a material impact on the Company’s financial position, results of operations or liquidity.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In February 2013, the FASB issued ASU No. 2013-02, “Comprehensive Income (Topic 220): Reporting of Amounts Reclassified Out of Accumulated Other Comprehensive Income”. ASU 2013-02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GAAP to be reclassified to net income in its entirety in the same reporting period. For other amounts that are not required under GAAP to be reclassified in their entirety to net income, an entity is required to cross-reference to other disclosures required under GAAP that provide additional detail about those amounts. The guidance became effective for the Company on January 1, 2013. The adoption of ASU 2013-02 did not have a material impact on the Company’s financial position, results of operations or liquidity.</w:t>
      </w:r>
    </w:p>
    <w:p>
      <w:pPr>
        <w:spacing w:after="0" w:line="18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INVESTMENTS</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following table summarizes the Company’s investments at: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color w:val="auto"/>
                <w:w w:val="93"/>
              </w:rPr>
              <w:t>Continuous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color w:val="auto"/>
                <w:w w:val="93"/>
              </w:rPr>
              <w:t>Continuous</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Gross</w:t>
            </w: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Gross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5"/>
              </w:rPr>
              <w:t>Unrealized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Unrealized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3"/>
              </w:rPr>
              <w:t>Loss Position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3"/>
              </w:rPr>
              <w:t>Loss Position</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Holding</w:t>
            </w: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Holding</w:t>
            </w:r>
          </w:p>
        </w:tc>
        <w:tc>
          <w:tcPr>
            <w:tcW w:w="240" w:type="dxa"/>
            <w:vAlign w:val="bottom"/>
          </w:tcPr>
          <w:p>
            <w:pPr>
              <w:spacing w:after="0"/>
              <w:rPr>
                <w:sz w:val="12"/>
                <w:szCs w:val="12"/>
                <w:color w:val="auto"/>
              </w:rPr>
            </w:pPr>
          </w:p>
        </w:tc>
        <w:tc>
          <w:tcPr>
            <w:tcW w:w="80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1"/>
              </w:rPr>
              <w:t>Fair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less than 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greater than 12</w:t>
            </w:r>
          </w:p>
        </w:tc>
        <w:tc>
          <w:tcPr>
            <w:tcW w:w="0" w:type="dxa"/>
            <w:vAlign w:val="bottom"/>
          </w:tcPr>
          <w:p>
            <w:pPr>
              <w:spacing w:after="0"/>
              <w:rPr>
                <w:sz w:val="1"/>
                <w:szCs w:val="1"/>
                <w:color w:val="auto"/>
              </w:rPr>
            </w:pPr>
          </w:p>
        </w:tc>
      </w:tr>
      <w:tr>
        <w:trPr>
          <w:trHeight w:val="174"/>
        </w:trPr>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September 30, 2013</w:t>
            </w: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Amortized Cost</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92"/>
              </w:rPr>
              <w:t>Gains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85"/>
              </w:rPr>
              <w:t>Losses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4"/>
              </w:rPr>
              <w:t>Value</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5"/>
              </w:rPr>
              <w:t>Months</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30"/>
        </w:trPr>
        <w:tc>
          <w:tcPr>
            <w:tcW w:w="3840" w:type="dxa"/>
            <w:vAlign w:val="bottom"/>
          </w:tcPr>
          <w:p>
            <w:pPr>
              <w:spacing w:after="0" w:line="130" w:lineRule="exact"/>
              <w:rPr>
                <w:sz w:val="20"/>
                <w:szCs w:val="20"/>
                <w:color w:val="auto"/>
              </w:rPr>
            </w:pPr>
            <w:r>
              <w:rPr>
                <w:rFonts w:ascii="Arial" w:cs="Arial" w:eastAsia="Arial" w:hAnsi="Arial"/>
                <w:sz w:val="14"/>
                <w:szCs w:val="14"/>
                <w:b w:val="1"/>
                <w:bCs w:val="1"/>
                <w:color w:val="auto"/>
              </w:rPr>
              <w:t>Held-to-Maturity</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Short-term:</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180"/>
              <w:spacing w:after="0" w:line="149" w:lineRule="exact"/>
              <w:rPr>
                <w:sz w:val="20"/>
                <w:szCs w:val="20"/>
                <w:color w:val="auto"/>
              </w:rPr>
            </w:pPr>
            <w:r>
              <w:rPr>
                <w:rFonts w:ascii="Arial" w:cs="Arial" w:eastAsia="Arial" w:hAnsi="Arial"/>
                <w:sz w:val="14"/>
                <w:szCs w:val="14"/>
                <w:color w:val="auto"/>
              </w:rPr>
              <w:t>Certificates of deposit</w:t>
            </w:r>
          </w:p>
        </w:tc>
        <w:tc>
          <w:tcPr>
            <w:tcW w:w="1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line="149" w:lineRule="exact"/>
              <w:rPr>
                <w:sz w:val="20"/>
                <w:szCs w:val="20"/>
                <w:color w:val="auto"/>
              </w:rPr>
            </w:pPr>
            <w:r>
              <w:rPr>
                <w:rFonts w:ascii="Arial" w:cs="Arial" w:eastAsia="Arial" w:hAnsi="Arial"/>
                <w:sz w:val="14"/>
                <w:szCs w:val="14"/>
                <w:color w:val="auto"/>
              </w:rPr>
              <w:t>6,515</w:t>
            </w:r>
          </w:p>
        </w:tc>
        <w:tc>
          <w:tcPr>
            <w:tcW w:w="1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6,515</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840" w:type="dxa"/>
            <w:vAlign w:val="bottom"/>
          </w:tcPr>
          <w:p>
            <w:pPr>
              <w:ind w:left="180"/>
              <w:spacing w:after="0" w:line="149" w:lineRule="exact"/>
              <w:rPr>
                <w:sz w:val="20"/>
                <w:szCs w:val="20"/>
                <w:color w:val="auto"/>
              </w:rPr>
            </w:pPr>
            <w:r>
              <w:rPr>
                <w:rFonts w:ascii="Arial" w:cs="Arial" w:eastAsia="Arial" w:hAnsi="Arial"/>
                <w:sz w:val="14"/>
                <w:szCs w:val="14"/>
                <w:color w:val="auto"/>
              </w:rPr>
              <w:t>Municipal securities</w:t>
            </w: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302,059</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56</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302,115</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tcPr>
          <w:p>
            <w:pPr>
              <w:ind w:left="540"/>
              <w:spacing w:after="0" w:line="149" w:lineRule="exact"/>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308,574</w:t>
            </w:r>
          </w:p>
        </w:tc>
        <w:tc>
          <w:tcPr>
            <w:tcW w:w="18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56</w:t>
            </w: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308,630</w:t>
            </w:r>
          </w:p>
        </w:tc>
        <w:tc>
          <w:tcPr>
            <w:tcW w:w="1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Trading</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Short-term:</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180"/>
              <w:spacing w:after="0" w:line="149" w:lineRule="exact"/>
              <w:rPr>
                <w:sz w:val="20"/>
                <w:szCs w:val="20"/>
                <w:color w:val="auto"/>
              </w:rPr>
            </w:pPr>
            <w:r>
              <w:rPr>
                <w:rFonts w:ascii="Arial" w:cs="Arial" w:eastAsia="Arial" w:hAnsi="Arial"/>
                <w:sz w:val="14"/>
                <w:szCs w:val="14"/>
                <w:color w:val="auto"/>
              </w:rPr>
              <w:t>Auction rate securities</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6,998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Long-term:</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40" w:type="dxa"/>
            <w:vAlign w:val="bottom"/>
          </w:tcPr>
          <w:p>
            <w:pPr>
              <w:ind w:left="180"/>
              <w:spacing w:after="0" w:line="149" w:lineRule="exact"/>
              <w:rPr>
                <w:sz w:val="20"/>
                <w:szCs w:val="20"/>
                <w:color w:val="auto"/>
              </w:rPr>
            </w:pPr>
            <w:r>
              <w:rPr>
                <w:rFonts w:ascii="Arial" w:cs="Arial" w:eastAsia="Arial" w:hAnsi="Arial"/>
                <w:sz w:val="14"/>
                <w:szCs w:val="14"/>
                <w:color w:val="auto"/>
              </w:rPr>
              <w:t>Auction rate securities</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9,725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540"/>
              <w:spacing w:after="0" w:line="149" w:lineRule="exact"/>
              <w:rPr>
                <w:sz w:val="20"/>
                <w:szCs w:val="20"/>
                <w:color w:val="auto"/>
              </w:rPr>
            </w:pPr>
            <w:r>
              <w:rPr>
                <w:rFonts w:ascii="Arial" w:cs="Arial" w:eastAsia="Arial" w:hAnsi="Arial"/>
                <w:sz w:val="14"/>
                <w:szCs w:val="14"/>
                <w:color w:val="auto"/>
              </w:rPr>
              <w:t>Total</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325,353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restart"/>
          </w:tcPr>
          <w:p>
            <w:pPr>
              <w:jc w:val="center"/>
              <w:ind w:right="68"/>
              <w:spacing w:after="0"/>
              <w:rPr>
                <w:sz w:val="20"/>
                <w:szCs w:val="20"/>
                <w:color w:val="auto"/>
              </w:rPr>
            </w:pPr>
            <w:r>
              <w:rPr>
                <w:rFonts w:ascii="Arial" w:cs="Arial" w:eastAsia="Arial" w:hAnsi="Arial"/>
                <w:sz w:val="14"/>
                <w:szCs w:val="14"/>
                <w:color w:val="auto"/>
                <w:w w:val="93"/>
              </w:rPr>
              <w:t>Continuous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Continuous</w:t>
            </w:r>
          </w:p>
        </w:tc>
        <w:tc>
          <w:tcPr>
            <w:tcW w:w="0" w:type="dxa"/>
            <w:vAlign w:val="bottom"/>
          </w:tcPr>
          <w:p>
            <w:pPr>
              <w:spacing w:after="0" w:line="20" w:lineRule="exact"/>
              <w:rPr>
                <w:sz w:val="1"/>
                <w:szCs w:val="1"/>
                <w:color w:val="auto"/>
              </w:rPr>
            </w:pPr>
          </w:p>
        </w:tc>
      </w:tr>
      <w:tr>
        <w:trPr>
          <w:trHeight w:val="259"/>
        </w:trPr>
        <w:tc>
          <w:tcPr>
            <w:tcW w:w="3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Gross</w:t>
            </w: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Gross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5"/>
              </w:rPr>
              <w:t>Unrealized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Unrealized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3"/>
              </w:rPr>
              <w:t>Loss Position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3"/>
              </w:rPr>
              <w:t>Loss Position</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Holding</w:t>
            </w: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Holding</w:t>
            </w:r>
          </w:p>
        </w:tc>
        <w:tc>
          <w:tcPr>
            <w:tcW w:w="240" w:type="dxa"/>
            <w:vAlign w:val="bottom"/>
          </w:tcPr>
          <w:p>
            <w:pPr>
              <w:spacing w:after="0"/>
              <w:rPr>
                <w:sz w:val="12"/>
                <w:szCs w:val="12"/>
                <w:color w:val="auto"/>
              </w:rPr>
            </w:pPr>
          </w:p>
        </w:tc>
        <w:tc>
          <w:tcPr>
            <w:tcW w:w="80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1"/>
              </w:rPr>
              <w:t>Fair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less than 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greater than 12</w:t>
            </w:r>
          </w:p>
        </w:tc>
        <w:tc>
          <w:tcPr>
            <w:tcW w:w="0" w:type="dxa"/>
            <w:vAlign w:val="bottom"/>
          </w:tcPr>
          <w:p>
            <w:pPr>
              <w:spacing w:after="0"/>
              <w:rPr>
                <w:sz w:val="1"/>
                <w:szCs w:val="1"/>
                <w:color w:val="auto"/>
              </w:rPr>
            </w:pPr>
          </w:p>
        </w:tc>
      </w:tr>
      <w:tr>
        <w:trPr>
          <w:trHeight w:val="174"/>
        </w:trPr>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2012</w:t>
            </w: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Amortized Cost</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92"/>
              </w:rPr>
              <w:t>Gains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85"/>
              </w:rPr>
              <w:t>Losses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4"/>
              </w:rPr>
              <w:t>Value</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5"/>
              </w:rPr>
              <w:t>Months</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30"/>
        </w:trPr>
        <w:tc>
          <w:tcPr>
            <w:tcW w:w="3840" w:type="dxa"/>
            <w:vAlign w:val="bottom"/>
          </w:tcPr>
          <w:p>
            <w:pPr>
              <w:spacing w:after="0" w:line="130" w:lineRule="exact"/>
              <w:rPr>
                <w:sz w:val="20"/>
                <w:szCs w:val="20"/>
                <w:color w:val="auto"/>
              </w:rPr>
            </w:pPr>
            <w:r>
              <w:rPr>
                <w:rFonts w:ascii="Arial" w:cs="Arial" w:eastAsia="Arial" w:hAnsi="Arial"/>
                <w:sz w:val="14"/>
                <w:szCs w:val="14"/>
                <w:b w:val="1"/>
                <w:bCs w:val="1"/>
                <w:color w:val="auto"/>
              </w:rPr>
              <w:t>Held-to-Maturity</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Short-term:</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180"/>
              <w:spacing w:after="0" w:line="149" w:lineRule="exact"/>
              <w:rPr>
                <w:sz w:val="20"/>
                <w:szCs w:val="20"/>
                <w:color w:val="auto"/>
              </w:rPr>
            </w:pPr>
            <w:r>
              <w:rPr>
                <w:rFonts w:ascii="Arial" w:cs="Arial" w:eastAsia="Arial" w:hAnsi="Arial"/>
                <w:sz w:val="14"/>
                <w:szCs w:val="14"/>
                <w:color w:val="auto"/>
              </w:rPr>
              <w:t>U.S. Treasuries</w:t>
            </w:r>
          </w:p>
        </w:tc>
        <w:tc>
          <w:tcPr>
            <w:tcW w:w="1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line="149" w:lineRule="exact"/>
              <w:rPr>
                <w:sz w:val="20"/>
                <w:szCs w:val="20"/>
                <w:color w:val="auto"/>
              </w:rPr>
            </w:pPr>
            <w:r>
              <w:rPr>
                <w:rFonts w:ascii="Arial" w:cs="Arial" w:eastAsia="Arial" w:hAnsi="Arial"/>
                <w:sz w:val="14"/>
                <w:szCs w:val="14"/>
                <w:color w:val="auto"/>
              </w:rPr>
              <w:t>16,040</w:t>
            </w:r>
          </w:p>
        </w:tc>
        <w:tc>
          <w:tcPr>
            <w:tcW w:w="1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16,040</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tcPr>
          <w:p>
            <w:pPr>
              <w:ind w:left="180"/>
              <w:spacing w:after="0" w:line="149" w:lineRule="exact"/>
              <w:rPr>
                <w:sz w:val="20"/>
                <w:szCs w:val="20"/>
                <w:color w:val="auto"/>
              </w:rPr>
            </w:pPr>
            <w:r>
              <w:rPr>
                <w:rFonts w:ascii="Arial" w:cs="Arial" w:eastAsia="Arial" w:hAnsi="Arial"/>
                <w:sz w:val="14"/>
                <w:szCs w:val="14"/>
                <w:color w:val="auto"/>
              </w:rPr>
              <w:t>Certificates of deposit</w:t>
            </w:r>
          </w:p>
        </w:tc>
        <w:tc>
          <w:tcPr>
            <w:tcW w:w="180" w:type="dxa"/>
            <w:vAlign w:val="bottom"/>
          </w:tcPr>
          <w:p>
            <w:pPr>
              <w:spacing w:after="0"/>
              <w:rPr>
                <w:sz w:val="12"/>
                <w:szCs w:val="12"/>
                <w:color w:val="auto"/>
              </w:rPr>
            </w:pPr>
          </w:p>
        </w:tc>
        <w:tc>
          <w:tcPr>
            <w:tcW w:w="1240" w:type="dxa"/>
            <w:vAlign w:val="bottom"/>
          </w:tcPr>
          <w:p>
            <w:pPr>
              <w:jc w:val="right"/>
              <w:ind w:right="8"/>
              <w:spacing w:after="0" w:line="149" w:lineRule="exact"/>
              <w:rPr>
                <w:sz w:val="20"/>
                <w:szCs w:val="20"/>
                <w:color w:val="auto"/>
              </w:rPr>
            </w:pPr>
            <w:r>
              <w:rPr>
                <w:rFonts w:ascii="Arial" w:cs="Arial" w:eastAsia="Arial" w:hAnsi="Arial"/>
                <w:sz w:val="14"/>
                <w:szCs w:val="14"/>
                <w:color w:val="auto"/>
              </w:rPr>
              <w:t>2,201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2,201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3840" w:type="dxa"/>
            <w:vAlign w:val="bottom"/>
          </w:tcPr>
          <w:p>
            <w:pPr>
              <w:ind w:left="180"/>
              <w:spacing w:after="0" w:line="145" w:lineRule="exact"/>
              <w:rPr>
                <w:sz w:val="20"/>
                <w:szCs w:val="20"/>
                <w:color w:val="auto"/>
              </w:rPr>
            </w:pPr>
            <w:r>
              <w:rPr>
                <w:rFonts w:ascii="Arial" w:cs="Arial" w:eastAsia="Arial" w:hAnsi="Arial"/>
                <w:sz w:val="14"/>
                <w:szCs w:val="14"/>
                <w:color w:val="auto"/>
              </w:rPr>
              <w:t>Municipal securities</w:t>
            </w:r>
          </w:p>
        </w:tc>
        <w:tc>
          <w:tcPr>
            <w:tcW w:w="180" w:type="dxa"/>
            <w:vAlign w:val="bottom"/>
          </w:tcPr>
          <w:p>
            <w:pPr>
              <w:spacing w:after="0"/>
              <w:rPr>
                <w:sz w:val="12"/>
                <w:szCs w:val="12"/>
                <w:color w:val="auto"/>
              </w:rPr>
            </w:pPr>
          </w:p>
        </w:tc>
        <w:tc>
          <w:tcPr>
            <w:tcW w:w="1240" w:type="dxa"/>
            <w:vAlign w:val="bottom"/>
          </w:tcPr>
          <w:p>
            <w:pPr>
              <w:jc w:val="right"/>
              <w:ind w:right="8"/>
              <w:spacing w:after="0" w:line="145" w:lineRule="exact"/>
              <w:rPr>
                <w:sz w:val="20"/>
                <w:szCs w:val="20"/>
                <w:color w:val="auto"/>
              </w:rPr>
            </w:pPr>
            <w:r>
              <w:rPr>
                <w:rFonts w:ascii="Arial" w:cs="Arial" w:eastAsia="Arial" w:hAnsi="Arial"/>
                <w:sz w:val="14"/>
                <w:szCs w:val="14"/>
                <w:color w:val="auto"/>
              </w:rPr>
              <w:t>77,038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8"/>
              <w:spacing w:after="0" w:line="145"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77,027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840" w:type="dxa"/>
            <w:vAlign w:val="bottom"/>
          </w:tcPr>
          <w:p>
            <w:pPr>
              <w:spacing w:after="0" w:line="153" w:lineRule="exact"/>
              <w:rPr>
                <w:sz w:val="20"/>
                <w:szCs w:val="20"/>
                <w:color w:val="auto"/>
              </w:rPr>
            </w:pPr>
            <w:r>
              <w:rPr>
                <w:rFonts w:ascii="Arial" w:cs="Arial" w:eastAsia="Arial" w:hAnsi="Arial"/>
                <w:sz w:val="14"/>
                <w:szCs w:val="14"/>
                <w:b w:val="1"/>
                <w:bCs w:val="1"/>
                <w:color w:val="auto"/>
              </w:rPr>
              <w:t>Available-for-sale</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Long-term:</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40" w:type="dxa"/>
            <w:vAlign w:val="bottom"/>
          </w:tcPr>
          <w:p>
            <w:pPr>
              <w:ind w:left="180"/>
              <w:spacing w:after="0" w:line="149" w:lineRule="exact"/>
              <w:rPr>
                <w:sz w:val="20"/>
                <w:szCs w:val="20"/>
                <w:color w:val="auto"/>
              </w:rPr>
            </w:pPr>
            <w:r>
              <w:rPr>
                <w:rFonts w:ascii="Arial" w:cs="Arial" w:eastAsia="Arial" w:hAnsi="Arial"/>
                <w:sz w:val="14"/>
                <w:szCs w:val="14"/>
                <w:color w:val="auto"/>
              </w:rPr>
              <w:t>Auction rate securities</w:t>
            </w: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3,310</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2,483</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5,793</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tcPr>
          <w:p>
            <w:pPr>
              <w:ind w:left="540"/>
              <w:spacing w:after="0" w:line="149" w:lineRule="exact"/>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98,589</w:t>
            </w:r>
          </w:p>
        </w:tc>
        <w:tc>
          <w:tcPr>
            <w:tcW w:w="18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2,483</w:t>
            </w: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101,061</w:t>
            </w:r>
          </w:p>
        </w:tc>
        <w:tc>
          <w:tcPr>
            <w:tcW w:w="1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Trading</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Short-term:</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180"/>
              <w:spacing w:after="0" w:line="149" w:lineRule="exact"/>
              <w:rPr>
                <w:sz w:val="20"/>
                <w:szCs w:val="20"/>
                <w:color w:val="auto"/>
              </w:rPr>
            </w:pPr>
            <w:r>
              <w:rPr>
                <w:rFonts w:ascii="Arial" w:cs="Arial" w:eastAsia="Arial" w:hAnsi="Arial"/>
                <w:sz w:val="14"/>
                <w:szCs w:val="14"/>
                <w:color w:val="auto"/>
              </w:rPr>
              <w:t>Auction rate securities</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1,763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Long-term:</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40" w:type="dxa"/>
            <w:vAlign w:val="bottom"/>
          </w:tcPr>
          <w:p>
            <w:pPr>
              <w:ind w:left="180"/>
              <w:spacing w:after="0" w:line="149" w:lineRule="exact"/>
              <w:rPr>
                <w:sz w:val="20"/>
                <w:szCs w:val="20"/>
                <w:color w:val="auto"/>
              </w:rPr>
            </w:pPr>
            <w:r>
              <w:rPr>
                <w:rFonts w:ascii="Arial" w:cs="Arial" w:eastAsia="Arial" w:hAnsi="Arial"/>
                <w:sz w:val="14"/>
                <w:szCs w:val="14"/>
                <w:color w:val="auto"/>
              </w:rPr>
              <w:t>Auction rate securities</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15,600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540"/>
              <w:spacing w:after="0" w:line="149" w:lineRule="exact"/>
              <w:rPr>
                <w:sz w:val="20"/>
                <w:szCs w:val="20"/>
                <w:color w:val="auto"/>
              </w:rPr>
            </w:pPr>
            <w:r>
              <w:rPr>
                <w:rFonts w:ascii="Arial" w:cs="Arial" w:eastAsia="Arial" w:hAnsi="Arial"/>
                <w:sz w:val="14"/>
                <w:szCs w:val="14"/>
                <w:color w:val="auto"/>
              </w:rPr>
              <w:t>Total</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118,424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During the nine-months ended September 30, 2013, the Company recognized $2.5 million of realized gains on the sale of available-for-sale investments. Realized gains or losses on the sale of all other investments during the nine-months ended September 30, 2013 were not significant. During the year ended December 31, 2012, realized gains or losses recognized on the sale of investments were not significant.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recognized a net gain through earnings on its trading securities as follows:</w:t>
      </w:r>
    </w:p>
    <w:p>
      <w:pPr>
        <w:sectPr>
          <w:pgSz w:w="11900" w:h="16838" w:orient="portrait"/>
          <w:cols w:equalWidth="0" w:num="1">
            <w:col w:w="11420"/>
          </w:cols>
          <w:pgMar w:left="240" w:top="118" w:right="239" w:bottom="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100"/>
        <w:spacing w:after="0" w:line="245" w:lineRule="auto"/>
        <w:rPr>
          <w:sz w:val="20"/>
          <w:szCs w:val="20"/>
          <w:color w:val="auto"/>
        </w:rPr>
      </w:pPr>
      <w:r>
        <w:rPr>
          <w:rFonts w:ascii="Arial" w:cs="Arial" w:eastAsia="Arial" w:hAnsi="Arial"/>
          <w:sz w:val="22"/>
          <w:szCs w:val="22"/>
          <w:color w:val="auto"/>
        </w:rPr>
        <w:t>Gain on transfer from available-for-sale to trading Gain on trading securities sold</w:t>
      </w:r>
    </w:p>
    <w:p>
      <w:pPr>
        <w:spacing w:after="0" w:line="231" w:lineRule="auto"/>
        <w:rPr>
          <w:sz w:val="20"/>
          <w:szCs w:val="20"/>
          <w:color w:val="auto"/>
        </w:rPr>
      </w:pPr>
      <w:r>
        <w:rPr>
          <w:rFonts w:ascii="Arial" w:cs="Arial" w:eastAsia="Arial" w:hAnsi="Arial"/>
          <w:sz w:val="22"/>
          <w:szCs w:val="22"/>
          <w:color w:val="auto"/>
        </w:rPr>
        <w:t>Gain on trading securities held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Gain on trading securites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40" w:type="dxa"/>
            <w:vAlign w:val="bottom"/>
          </w:tcPr>
          <w:p>
            <w:pPr>
              <w:spacing w:after="0"/>
              <w:rPr>
                <w:sz w:val="21"/>
                <w:szCs w:val="21"/>
                <w:color w:val="auto"/>
              </w:rPr>
            </w:pPr>
          </w:p>
        </w:tc>
        <w:tc>
          <w:tcPr>
            <w:tcW w:w="2480" w:type="dxa"/>
            <w:vAlign w:val="bottom"/>
            <w:gridSpan w:val="5"/>
          </w:tcPr>
          <w:p>
            <w:pPr>
              <w:jc w:val="center"/>
              <w:ind w:right="480"/>
              <w:spacing w:after="0"/>
              <w:rPr>
                <w:sz w:val="20"/>
                <w:szCs w:val="20"/>
                <w:color w:val="auto"/>
              </w:rPr>
            </w:pPr>
            <w:r>
              <w:rPr>
                <w:rFonts w:ascii="Arial" w:cs="Arial" w:eastAsia="Arial" w:hAnsi="Arial"/>
                <w:sz w:val="22"/>
                <w:szCs w:val="22"/>
                <w:color w:val="auto"/>
                <w:w w:val="89"/>
              </w:rPr>
              <w:t>Three-Months Ended</w:t>
            </w:r>
          </w:p>
        </w:tc>
        <w:tc>
          <w:tcPr>
            <w:tcW w:w="260" w:type="dxa"/>
            <w:vAlign w:val="bottom"/>
          </w:tcPr>
          <w:p>
            <w:pPr>
              <w:spacing w:after="0"/>
              <w:rPr>
                <w:sz w:val="21"/>
                <w:szCs w:val="21"/>
                <w:color w:val="auto"/>
              </w:rPr>
            </w:pPr>
          </w:p>
        </w:tc>
        <w:tc>
          <w:tcPr>
            <w:tcW w:w="2280" w:type="dxa"/>
            <w:vAlign w:val="bottom"/>
            <w:gridSpan w:val="4"/>
          </w:tcPr>
          <w:p>
            <w:pPr>
              <w:jc w:val="right"/>
              <w:ind w:right="292"/>
              <w:spacing w:after="0"/>
              <w:rPr>
                <w:sz w:val="20"/>
                <w:szCs w:val="20"/>
                <w:color w:val="auto"/>
              </w:rPr>
            </w:pPr>
            <w:r>
              <w:rPr>
                <w:rFonts w:ascii="Arial" w:cs="Arial" w:eastAsia="Arial" w:hAnsi="Arial"/>
                <w:sz w:val="22"/>
                <w:szCs w:val="22"/>
                <w:color w:val="auto"/>
                <w:w w:val="95"/>
              </w:rPr>
              <w:t>Nine-Months Ended</w:t>
            </w:r>
          </w:p>
        </w:tc>
      </w:tr>
      <w:tr>
        <w:trPr>
          <w:trHeight w:val="265"/>
        </w:trPr>
        <w:tc>
          <w:tcPr>
            <w:tcW w:w="240" w:type="dxa"/>
            <w:vAlign w:val="bottom"/>
          </w:tcPr>
          <w:p>
            <w:pPr>
              <w:spacing w:after="0"/>
              <w:rPr>
                <w:sz w:val="23"/>
                <w:szCs w:val="23"/>
                <w:color w:val="auto"/>
              </w:rPr>
            </w:pPr>
          </w:p>
        </w:tc>
        <w:tc>
          <w:tcPr>
            <w:tcW w:w="2480" w:type="dxa"/>
            <w:vAlign w:val="bottom"/>
            <w:gridSpan w:val="5"/>
          </w:tcPr>
          <w:p>
            <w:pPr>
              <w:jc w:val="center"/>
              <w:ind w:right="480"/>
              <w:spacing w:after="0"/>
              <w:rPr>
                <w:sz w:val="20"/>
                <w:szCs w:val="20"/>
                <w:color w:val="auto"/>
              </w:rPr>
            </w:pPr>
            <w:r>
              <w:rPr>
                <w:rFonts w:ascii="Arial" w:cs="Arial" w:eastAsia="Arial" w:hAnsi="Arial"/>
                <w:sz w:val="22"/>
                <w:szCs w:val="22"/>
                <w:color w:val="auto"/>
                <w:w w:val="85"/>
              </w:rPr>
              <w:t>September 30,</w:t>
            </w:r>
          </w:p>
        </w:tc>
        <w:tc>
          <w:tcPr>
            <w:tcW w:w="260" w:type="dxa"/>
            <w:vAlign w:val="bottom"/>
          </w:tcPr>
          <w:p>
            <w:pPr>
              <w:spacing w:after="0"/>
              <w:rPr>
                <w:sz w:val="23"/>
                <w:szCs w:val="23"/>
                <w:color w:val="auto"/>
              </w:rPr>
            </w:pPr>
          </w:p>
        </w:tc>
        <w:tc>
          <w:tcPr>
            <w:tcW w:w="2280" w:type="dxa"/>
            <w:vAlign w:val="bottom"/>
            <w:gridSpan w:val="4"/>
          </w:tcPr>
          <w:p>
            <w:pPr>
              <w:jc w:val="right"/>
              <w:ind w:right="532"/>
              <w:spacing w:after="0"/>
              <w:rPr>
                <w:sz w:val="20"/>
                <w:szCs w:val="20"/>
                <w:color w:val="auto"/>
              </w:rPr>
            </w:pPr>
            <w:r>
              <w:rPr>
                <w:rFonts w:ascii="Arial" w:cs="Arial" w:eastAsia="Arial" w:hAnsi="Arial"/>
                <w:sz w:val="22"/>
                <w:szCs w:val="22"/>
                <w:color w:val="auto"/>
              </w:rPr>
              <w:t>September 30,</w:t>
            </w:r>
          </w:p>
        </w:tc>
      </w:tr>
      <w:tr>
        <w:trPr>
          <w:trHeight w:val="237"/>
        </w:trPr>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32"/>
              <w:spacing w:after="0" w:line="237" w:lineRule="exact"/>
              <w:rPr>
                <w:sz w:val="20"/>
                <w:szCs w:val="20"/>
                <w:color w:val="auto"/>
              </w:rPr>
            </w:pPr>
            <w:r>
              <w:rPr>
                <w:rFonts w:ascii="Arial" w:cs="Arial" w:eastAsia="Arial" w:hAnsi="Arial"/>
                <w:sz w:val="22"/>
                <w:szCs w:val="22"/>
                <w:color w:val="auto"/>
              </w:rPr>
              <w:t>2013</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52"/>
              <w:spacing w:after="0" w:line="237" w:lineRule="exact"/>
              <w:rPr>
                <w:sz w:val="20"/>
                <w:szCs w:val="20"/>
                <w:color w:val="auto"/>
              </w:rPr>
            </w:pPr>
            <w:r>
              <w:rPr>
                <w:rFonts w:ascii="Arial" w:cs="Arial" w:eastAsia="Arial" w:hAnsi="Arial"/>
                <w:sz w:val="22"/>
                <w:szCs w:val="22"/>
                <w:color w:val="auto"/>
              </w:rPr>
              <w:t>2012</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32"/>
              <w:spacing w:after="0" w:line="237" w:lineRule="exact"/>
              <w:rPr>
                <w:sz w:val="20"/>
                <w:szCs w:val="20"/>
                <w:color w:val="auto"/>
              </w:rPr>
            </w:pPr>
            <w:r>
              <w:rPr>
                <w:rFonts w:ascii="Arial" w:cs="Arial" w:eastAsia="Arial" w:hAnsi="Arial"/>
                <w:sz w:val="22"/>
                <w:szCs w:val="22"/>
                <w:color w:val="auto"/>
              </w:rPr>
              <w:t>2013</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52"/>
              <w:spacing w:after="0" w:line="237" w:lineRule="exact"/>
              <w:rPr>
                <w:sz w:val="20"/>
                <w:szCs w:val="20"/>
                <w:color w:val="auto"/>
              </w:rPr>
            </w:pPr>
            <w:r>
              <w:rPr>
                <w:rFonts w:ascii="Arial" w:cs="Arial" w:eastAsia="Arial" w:hAnsi="Arial"/>
                <w:sz w:val="22"/>
                <w:szCs w:val="22"/>
                <w:color w:val="auto"/>
              </w:rPr>
              <w:t>2012</w:t>
            </w:r>
          </w:p>
        </w:tc>
      </w:tr>
      <w:tr>
        <w:trPr>
          <w:trHeight w:val="215"/>
        </w:trPr>
        <w:tc>
          <w:tcPr>
            <w:tcW w:w="24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88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88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88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90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r>
      <w:tr>
        <w:trPr>
          <w:trHeight w:val="243"/>
        </w:trPr>
        <w:tc>
          <w:tcPr>
            <w:tcW w:w="2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140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140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1,100</w:t>
            </w:r>
          </w:p>
        </w:tc>
      </w:tr>
      <w:tr>
        <w:trPr>
          <w:trHeight w:val="265"/>
        </w:trPr>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w:t>
            </w: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468</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579</w:t>
            </w:r>
          </w:p>
        </w:tc>
      </w:tr>
      <w:tr>
        <w:trPr>
          <w:trHeight w:val="237"/>
        </w:trPr>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211</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107</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608</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9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1,679</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40" w:space="720"/>
            <w:col w:w="5300"/>
          </w:cols>
          <w:pgMar w:left="240" w:top="108" w:right="199" w:bottom="46" w:gutter="0" w:footer="0" w:header="0"/>
        </w:sectPr>
      </w:pPr>
    </w:p>
    <w:p>
      <w:pPr>
        <w:spacing w:after="0" w:line="211" w:lineRule="exact"/>
        <w:rPr>
          <w:sz w:val="20"/>
          <w:szCs w:val="20"/>
          <w:color w:val="auto"/>
        </w:rPr>
      </w:pPr>
    </w:p>
    <w:p>
      <w:pPr>
        <w:jc w:val="both"/>
        <w:ind w:right="40" w:firstLine="648"/>
        <w:spacing w:after="0" w:line="236" w:lineRule="auto"/>
        <w:rPr>
          <w:sz w:val="20"/>
          <w:szCs w:val="20"/>
          <w:color w:val="auto"/>
        </w:rPr>
      </w:pPr>
      <w:r>
        <w:rPr>
          <w:rFonts w:ascii="Arial" w:cs="Arial" w:eastAsia="Arial" w:hAnsi="Arial"/>
          <w:sz w:val="22"/>
          <w:szCs w:val="22"/>
          <w:color w:val="auto"/>
        </w:rPr>
        <w:t>The Company’s investments at September 30, 2013 and December 31, 2012 in U.S. Treasuries, certificates of deposit and/or municipal securities carried investment grade credit ratings. All of the Company’s investments at September 30, 2013 in municipal, educational or other public body securities with an auction reset feature (“auction rate securities”) also carried investment grade credit ratings. A portion of the Company’s investments at December 31, 2012 in auction rate securities carried investment grade credit ratings.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the underlying contractual maturities of the Company’s investments at: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705"/>
              <w:spacing w:after="0"/>
              <w:rPr>
                <w:sz w:val="20"/>
                <w:szCs w:val="20"/>
                <w:color w:val="auto"/>
              </w:rPr>
            </w:pPr>
            <w:r>
              <w:rPr>
                <w:rFonts w:ascii="Arial" w:cs="Arial" w:eastAsia="Arial" w:hAnsi="Arial"/>
                <w:sz w:val="19"/>
                <w:szCs w:val="19"/>
                <w:color w:val="auto"/>
              </w:rPr>
              <w:t>September 30, 2013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05"/>
              <w:spacing w:after="0"/>
              <w:rPr>
                <w:sz w:val="20"/>
                <w:szCs w:val="20"/>
                <w:color w:val="auto"/>
              </w:rPr>
            </w:pPr>
            <w:r>
              <w:rPr>
                <w:rFonts w:ascii="Arial" w:cs="Arial" w:eastAsia="Arial" w:hAnsi="Arial"/>
                <w:sz w:val="19"/>
                <w:szCs w:val="19"/>
                <w:color w:val="auto"/>
              </w:rPr>
              <w:t>December 31, 2012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900" w:type="dxa"/>
            <w:vAlign w:val="bottom"/>
            <w:vMerge w:val="restart"/>
          </w:tcPr>
          <w:p>
            <w:pPr>
              <w:ind w:left="500"/>
              <w:spacing w:after="0"/>
              <w:rPr>
                <w:sz w:val="20"/>
                <w:szCs w:val="20"/>
                <w:color w:val="auto"/>
              </w:rPr>
            </w:pPr>
            <w:r>
              <w:rPr>
                <w:rFonts w:ascii="Arial" w:cs="Arial" w:eastAsia="Arial" w:hAnsi="Arial"/>
                <w:sz w:val="19"/>
                <w:szCs w:val="19"/>
                <w:color w:val="auto"/>
              </w:rPr>
              <w:t>Less than 1 year:</w:t>
            </w:r>
          </w:p>
        </w:tc>
        <w:tc>
          <w:tcPr>
            <w:tcW w:w="180" w:type="dxa"/>
            <w:vAlign w:val="bottom"/>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Arial" w:cs="Arial" w:eastAsia="Arial" w:hAnsi="Arial"/>
                <w:sz w:val="19"/>
                <w:szCs w:val="19"/>
                <w:color w:val="auto"/>
              </w:rPr>
              <w:t>Amortized Cost</w:t>
            </w: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9"/>
                <w:szCs w:val="19"/>
                <w:color w:val="auto"/>
              </w:rPr>
              <w:t>Fair Value</w:t>
            </w:r>
          </w:p>
        </w:tc>
        <w:tc>
          <w:tcPr>
            <w:tcW w:w="18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Arial" w:cs="Arial" w:eastAsia="Arial" w:hAnsi="Arial"/>
                <w:sz w:val="19"/>
                <w:szCs w:val="19"/>
                <w:color w:val="auto"/>
              </w:rPr>
              <w:t>Amortized Cost</w:t>
            </w:r>
          </w:p>
        </w:tc>
        <w:tc>
          <w:tcPr>
            <w:tcW w:w="180" w:type="dxa"/>
            <w:vAlign w:val="bottom"/>
          </w:tcPr>
          <w:p>
            <w:pPr>
              <w:spacing w:after="0"/>
              <w:rPr>
                <w:sz w:val="24"/>
                <w:szCs w:val="24"/>
                <w:color w:val="auto"/>
              </w:rPr>
            </w:pPr>
          </w:p>
        </w:tc>
        <w:tc>
          <w:tcPr>
            <w:tcW w:w="1060" w:type="dxa"/>
            <w:vAlign w:val="bottom"/>
          </w:tcPr>
          <w:p>
            <w:pPr>
              <w:jc w:val="right"/>
              <w:ind w:right="125"/>
              <w:spacing w:after="0"/>
              <w:rPr>
                <w:sz w:val="20"/>
                <w:szCs w:val="20"/>
                <w:color w:val="auto"/>
              </w:rPr>
            </w:pPr>
            <w:r>
              <w:rPr>
                <w:rFonts w:ascii="Arial" w:cs="Arial" w:eastAsia="Arial" w:hAnsi="Arial"/>
                <w:sz w:val="19"/>
                <w:szCs w:val="19"/>
                <w:color w:val="auto"/>
                <w:w w:val="94"/>
              </w:rPr>
              <w:t>Fair Value</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900" w:type="dxa"/>
            <w:vAlign w:val="bottom"/>
            <w:vMerge w:val="continue"/>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800"/>
              <w:spacing w:after="0" w:line="216" w:lineRule="exact"/>
              <w:rPr>
                <w:sz w:val="20"/>
                <w:szCs w:val="20"/>
                <w:color w:val="auto"/>
              </w:rPr>
            </w:pPr>
            <w:r>
              <w:rPr>
                <w:rFonts w:ascii="Arial" w:cs="Arial" w:eastAsia="Arial" w:hAnsi="Arial"/>
                <w:sz w:val="19"/>
                <w:szCs w:val="19"/>
                <w:color w:val="auto"/>
              </w:rPr>
              <w:t>U.S. Treasuries</w:t>
            </w:r>
          </w:p>
        </w:tc>
        <w:tc>
          <w:tcPr>
            <w:tcW w:w="1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40" w:type="dxa"/>
            <w:vAlign w:val="bottom"/>
          </w:tcPr>
          <w:p>
            <w:pPr>
              <w:spacing w:after="0"/>
              <w:rPr>
                <w:sz w:val="18"/>
                <w:szCs w:val="18"/>
                <w:color w:val="auto"/>
              </w:rPr>
            </w:pPr>
          </w:p>
        </w:tc>
        <w:tc>
          <w:tcPr>
            <w:tcW w:w="1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1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16,040</w:t>
            </w:r>
          </w:p>
        </w:tc>
        <w:tc>
          <w:tcPr>
            <w:tcW w:w="220" w:type="dxa"/>
            <w:vAlign w:val="bottom"/>
          </w:tcPr>
          <w:p>
            <w:pPr>
              <w:spacing w:after="0"/>
              <w:rPr>
                <w:sz w:val="18"/>
                <w:szCs w:val="18"/>
                <w:color w:val="auto"/>
              </w:rPr>
            </w:pPr>
          </w:p>
        </w:tc>
        <w:tc>
          <w:tcPr>
            <w:tcW w:w="1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060" w:type="dxa"/>
            <w:vAlign w:val="bottom"/>
          </w:tcPr>
          <w:p>
            <w:pPr>
              <w:jc w:val="right"/>
              <w:spacing w:after="0" w:line="216" w:lineRule="exact"/>
              <w:rPr>
                <w:sz w:val="20"/>
                <w:szCs w:val="20"/>
                <w:color w:val="auto"/>
              </w:rPr>
            </w:pPr>
            <w:r>
              <w:rPr>
                <w:rFonts w:ascii="Arial" w:cs="Arial" w:eastAsia="Arial" w:hAnsi="Arial"/>
                <w:sz w:val="19"/>
                <w:szCs w:val="19"/>
                <w:color w:val="auto"/>
              </w:rPr>
              <w:t>16,040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800"/>
              <w:spacing w:after="0" w:line="216" w:lineRule="exact"/>
              <w:rPr>
                <w:sz w:val="20"/>
                <w:szCs w:val="20"/>
                <w:color w:val="auto"/>
              </w:rPr>
            </w:pPr>
            <w:r>
              <w:rPr>
                <w:rFonts w:ascii="Arial" w:cs="Arial" w:eastAsia="Arial" w:hAnsi="Arial"/>
                <w:sz w:val="19"/>
                <w:szCs w:val="19"/>
                <w:color w:val="auto"/>
              </w:rPr>
              <w:t>Certificates of deposit</w:t>
            </w:r>
          </w:p>
        </w:tc>
        <w:tc>
          <w:tcPr>
            <w:tcW w:w="18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6,515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6,515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2,201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19"/>
                <w:szCs w:val="19"/>
                <w:color w:val="auto"/>
              </w:rPr>
              <w:t>2,201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800"/>
              <w:spacing w:after="0" w:line="216" w:lineRule="exact"/>
              <w:rPr>
                <w:sz w:val="20"/>
                <w:szCs w:val="20"/>
                <w:color w:val="auto"/>
              </w:rPr>
            </w:pPr>
            <w:r>
              <w:rPr>
                <w:rFonts w:ascii="Arial" w:cs="Arial" w:eastAsia="Arial" w:hAnsi="Arial"/>
                <w:sz w:val="19"/>
                <w:szCs w:val="19"/>
                <w:color w:val="auto"/>
              </w:rPr>
              <w:t>Municipal securities</w:t>
            </w:r>
          </w:p>
        </w:tc>
        <w:tc>
          <w:tcPr>
            <w:tcW w:w="18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302,059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302,115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77,038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19"/>
                <w:szCs w:val="19"/>
                <w:color w:val="auto"/>
              </w:rPr>
              <w:t>77,027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500"/>
              <w:spacing w:after="0" w:line="216" w:lineRule="exact"/>
              <w:rPr>
                <w:sz w:val="20"/>
                <w:szCs w:val="20"/>
                <w:color w:val="auto"/>
              </w:rPr>
            </w:pPr>
            <w:r>
              <w:rPr>
                <w:rFonts w:ascii="Arial" w:cs="Arial" w:eastAsia="Arial" w:hAnsi="Arial"/>
                <w:sz w:val="19"/>
                <w:szCs w:val="19"/>
                <w:color w:val="auto"/>
              </w:rPr>
              <w:t>Due 11 - 20 years: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800"/>
              <w:spacing w:after="0" w:line="216" w:lineRule="exact"/>
              <w:rPr>
                <w:sz w:val="20"/>
                <w:szCs w:val="20"/>
                <w:color w:val="auto"/>
              </w:rPr>
            </w:pPr>
            <w:r>
              <w:rPr>
                <w:rFonts w:ascii="Arial" w:cs="Arial" w:eastAsia="Arial" w:hAnsi="Arial"/>
                <w:sz w:val="19"/>
                <w:szCs w:val="19"/>
                <w:color w:val="auto"/>
              </w:rPr>
              <w:t>Auction rate securities</w:t>
            </w:r>
          </w:p>
        </w:tc>
        <w:tc>
          <w:tcPr>
            <w:tcW w:w="18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10,861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10,861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10,748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19"/>
                <w:szCs w:val="19"/>
                <w:color w:val="auto"/>
              </w:rPr>
              <w:t>10,748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500"/>
              <w:spacing w:after="0" w:line="216" w:lineRule="exact"/>
              <w:rPr>
                <w:sz w:val="20"/>
                <w:szCs w:val="20"/>
                <w:color w:val="auto"/>
              </w:rPr>
            </w:pPr>
            <w:r>
              <w:rPr>
                <w:rFonts w:ascii="Arial" w:cs="Arial" w:eastAsia="Arial" w:hAnsi="Arial"/>
                <w:sz w:val="19"/>
                <w:szCs w:val="19"/>
                <w:color w:val="auto"/>
              </w:rPr>
              <w:t>Due 21 - 30 years: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800"/>
              <w:spacing w:after="0" w:line="216" w:lineRule="exact"/>
              <w:rPr>
                <w:sz w:val="20"/>
                <w:szCs w:val="20"/>
                <w:color w:val="auto"/>
              </w:rPr>
            </w:pPr>
            <w:r>
              <w:rPr>
                <w:rFonts w:ascii="Arial" w:cs="Arial" w:eastAsia="Arial" w:hAnsi="Arial"/>
                <w:sz w:val="19"/>
                <w:szCs w:val="19"/>
                <w:color w:val="auto"/>
              </w:rPr>
              <w:t>Auction rate securities</w:t>
            </w:r>
          </w:p>
        </w:tc>
        <w:tc>
          <w:tcPr>
            <w:tcW w:w="18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5,862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5,862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9,925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19"/>
                <w:szCs w:val="19"/>
                <w:color w:val="auto"/>
              </w:rPr>
              <w:t>12,408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900" w:type="dxa"/>
            <w:vAlign w:val="bottom"/>
            <w:vMerge w:val="restart"/>
          </w:tcPr>
          <w:p>
            <w:pPr>
              <w:ind w:left="620"/>
              <w:spacing w:after="0"/>
              <w:rPr>
                <w:sz w:val="20"/>
                <w:szCs w:val="20"/>
                <w:color w:val="auto"/>
              </w:rPr>
            </w:pPr>
            <w:r>
              <w:rPr>
                <w:rFonts w:ascii="Arial" w:cs="Arial" w:eastAsia="Arial" w:hAnsi="Arial"/>
                <w:sz w:val="19"/>
                <w:szCs w:val="19"/>
                <w:color w:val="auto"/>
              </w:rPr>
              <w:t>Total</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4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325,297</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325,353</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4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115,952</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118,424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626"/>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9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FAIR VALUE OF CERTAIN FINANCIAL ASSETS AND LIABILITIES</w:t>
      </w:r>
    </w:p>
    <w:p>
      <w:pPr>
        <w:spacing w:after="0" w:line="233"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9"/>
          <w:szCs w:val="19"/>
          <w:color w:val="auto"/>
        </w:rPr>
        <w:t>Accounting Standards Codification (“ASC”) 820 provides a framework for measuring fair value and requires expanded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169" w:lineRule="exact"/>
        <w:rPr>
          <w:sz w:val="20"/>
          <w:szCs w:val="20"/>
          <w:color w:val="auto"/>
        </w:rPr>
      </w:pPr>
    </w:p>
    <w:p>
      <w:pPr>
        <w:ind w:left="600" w:hanging="268"/>
        <w:spacing w:after="0"/>
        <w:tabs>
          <w:tab w:leader="none" w:pos="600" w:val="left"/>
        </w:tabs>
        <w:numPr>
          <w:ilvl w:val="0"/>
          <w:numId w:val="5"/>
        </w:numPr>
        <w:rPr>
          <w:rFonts w:ascii="Arial" w:cs="Arial" w:eastAsia="Arial" w:hAnsi="Arial"/>
          <w:sz w:val="18"/>
          <w:szCs w:val="18"/>
          <w:b w:val="1"/>
          <w:bCs w:val="1"/>
          <w:color w:val="auto"/>
        </w:rPr>
      </w:pPr>
      <w:r>
        <w:rPr>
          <w:rFonts w:ascii="Arial" w:cs="Arial" w:eastAsia="Arial" w:hAnsi="Arial"/>
          <w:sz w:val="22"/>
          <w:szCs w:val="22"/>
          <w:b w:val="1"/>
          <w:bCs w:val="1"/>
          <w:color w:val="auto"/>
        </w:rPr>
        <w:t xml:space="preserve">Level 1: </w:t>
      </w:r>
      <w:r>
        <w:rPr>
          <w:rFonts w:ascii="Arial" w:cs="Arial" w:eastAsia="Arial" w:hAnsi="Arial"/>
          <w:sz w:val="22"/>
          <w:szCs w:val="22"/>
          <w:color w:val="auto"/>
        </w:rPr>
        <w:t>Quoted prices in active markets for identical assets or liabilities.</w:t>
      </w:r>
    </w:p>
    <w:p>
      <w:pPr>
        <w:spacing w:after="0" w:line="233" w:lineRule="exact"/>
        <w:rPr>
          <w:rFonts w:ascii="Arial" w:cs="Arial" w:eastAsia="Arial" w:hAnsi="Arial"/>
          <w:sz w:val="18"/>
          <w:szCs w:val="18"/>
          <w:b w:val="1"/>
          <w:bCs w:val="1"/>
          <w:color w:val="auto"/>
        </w:rPr>
      </w:pPr>
    </w:p>
    <w:p>
      <w:pPr>
        <w:jc w:val="both"/>
        <w:ind w:left="660" w:right="40" w:hanging="328"/>
        <w:spacing w:after="0" w:line="243" w:lineRule="auto"/>
        <w:tabs>
          <w:tab w:leader="none" w:pos="624" w:val="left"/>
        </w:tabs>
        <w:numPr>
          <w:ilvl w:val="0"/>
          <w:numId w:val="5"/>
        </w:numPr>
        <w:rPr>
          <w:rFonts w:ascii="Arial" w:cs="Arial" w:eastAsia="Arial" w:hAnsi="Arial"/>
          <w:sz w:val="18"/>
          <w:szCs w:val="18"/>
          <w:b w:val="1"/>
          <w:bCs w:val="1"/>
          <w:color w:val="auto"/>
        </w:rPr>
      </w:pPr>
      <w:r>
        <w:rPr>
          <w:rFonts w:ascii="Arial" w:cs="Arial" w:eastAsia="Arial" w:hAnsi="Arial"/>
          <w:sz w:val="22"/>
          <w:szCs w:val="22"/>
          <w:b w:val="1"/>
          <w:bCs w:val="1"/>
          <w:color w:val="auto"/>
        </w:rPr>
        <w:t xml:space="preserve">Level 2: </w:t>
      </w:r>
      <w:r>
        <w:rPr>
          <w:rFonts w:ascii="Arial" w:cs="Arial" w:eastAsia="Arial" w:hAnsi="Arial"/>
          <w:sz w:val="22"/>
          <w:szCs w:val="22"/>
          <w:color w:val="auto"/>
        </w:rPr>
        <w:t>Observable inputs other than Level 1 prices, such as quoted prices for similar assets or liabilities; quoted prices in</w:t>
      </w:r>
      <w:r>
        <w:rPr>
          <w:rFonts w:ascii="Arial" w:cs="Arial" w:eastAsia="Arial" w:hAnsi="Arial"/>
          <w:sz w:val="22"/>
          <w:szCs w:val="22"/>
          <w:b w:val="1"/>
          <w:bCs w:val="1"/>
          <w:color w:val="auto"/>
        </w:rPr>
        <w:t xml:space="preserve"> </w:t>
      </w:r>
      <w:r>
        <w:rPr>
          <w:rFonts w:ascii="Arial" w:cs="Arial" w:eastAsia="Arial" w:hAnsi="Arial"/>
          <w:sz w:val="22"/>
          <w:szCs w:val="22"/>
          <w:color w:val="auto"/>
        </w:rPr>
        <w:t>markets that are not active; or other inputs that are observable or can be corroborated by observable market data for substantially the full term of the related assets or liabilities.</w:t>
      </w:r>
    </w:p>
    <w:p>
      <w:pPr>
        <w:spacing w:after="0" w:line="203" w:lineRule="exact"/>
        <w:rPr>
          <w:rFonts w:ascii="Arial" w:cs="Arial" w:eastAsia="Arial" w:hAnsi="Arial"/>
          <w:sz w:val="18"/>
          <w:szCs w:val="18"/>
          <w:b w:val="1"/>
          <w:bCs w:val="1"/>
          <w:color w:val="auto"/>
        </w:rPr>
      </w:pPr>
    </w:p>
    <w:p>
      <w:pPr>
        <w:ind w:left="660" w:right="60" w:hanging="328"/>
        <w:spacing w:after="0" w:line="256" w:lineRule="auto"/>
        <w:tabs>
          <w:tab w:leader="none" w:pos="606"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Level 3: </w:t>
      </w:r>
      <w:r>
        <w:rPr>
          <w:rFonts w:ascii="Arial" w:cs="Arial" w:eastAsia="Arial" w:hAnsi="Arial"/>
          <w:sz w:val="22"/>
          <w:szCs w:val="22"/>
          <w:color w:val="auto"/>
        </w:rPr>
        <w:t>Unobservable inputs that are supported by little or no market activity and that are significant to the fair value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assets or liabilities.</w:t>
      </w:r>
    </w:p>
    <w:p>
      <w:pPr>
        <w:spacing w:after="0" w:line="196"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22"/>
          <w:szCs w:val="22"/>
          <w:color w:val="auto"/>
        </w:rPr>
        <w:t>ASC 820 requires the use of observable market inputs (quoted market prices) when measuring fair value and requires a Level 1 quoted price to be used to measure fair value whenever possible.</w:t>
      </w:r>
    </w:p>
    <w:p>
      <w:pPr>
        <w:spacing w:after="0" w:line="200"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The following tables present the Company’s held-to-maturity investments at amortized cost as well as the fair value of the Company’s financial assets that are recorded at fair value on a recurring basis, segregated among the appropriate levels within the fair value hierarchy at:</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08" w:right="199" w:bottom="46" w:gutter="0" w:footer="0" w:header="0"/>
          <w:type w:val="continuous"/>
        </w:sectPr>
      </w:pPr>
    </w:p>
    <w:bookmarkStart w:id="7" w:name="page8"/>
    <w:bookmarkEnd w:id="7"/>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5"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September 30, 2013</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1</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Level 2</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Level 3</w:t>
            </w: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00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28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61"/>
              <w:spacing w:after="0" w:line="207" w:lineRule="exact"/>
              <w:rPr>
                <w:sz w:val="20"/>
                <w:szCs w:val="20"/>
                <w:color w:val="auto"/>
              </w:rPr>
            </w:pPr>
            <w:r>
              <w:rPr>
                <w:rFonts w:ascii="Arial" w:cs="Arial" w:eastAsia="Arial" w:hAnsi="Arial"/>
                <w:sz w:val="20"/>
                <w:szCs w:val="20"/>
                <w:color w:val="auto"/>
              </w:rPr>
              <w:t>187,984</w:t>
            </w:r>
          </w:p>
        </w:tc>
        <w:tc>
          <w:tcPr>
            <w:tcW w:w="40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3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187,984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Money market funds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56,750</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56,750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6,515</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6,515</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Municipal securities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344,344</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344,344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Auction rate securities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16,723</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16,723</w:t>
            </w:r>
          </w:p>
        </w:tc>
        <w:tc>
          <w:tcPr>
            <w:tcW w:w="0" w:type="dxa"/>
            <w:vAlign w:val="bottom"/>
          </w:tcPr>
          <w:p>
            <w:pPr>
              <w:spacing w:after="0"/>
              <w:rPr>
                <w:sz w:val="1"/>
                <w:szCs w:val="1"/>
                <w:color w:val="auto"/>
              </w:rPr>
            </w:pPr>
          </w:p>
        </w:tc>
      </w:tr>
      <w:tr>
        <w:trPr>
          <w:trHeight w:val="240"/>
        </w:trPr>
        <w:tc>
          <w:tcPr>
            <w:tcW w:w="5000" w:type="dxa"/>
            <w:vAlign w:val="bottom"/>
          </w:tcPr>
          <w:p>
            <w:pPr>
              <w:spacing w:after="0"/>
              <w:rPr>
                <w:sz w:val="20"/>
                <w:szCs w:val="20"/>
                <w:color w:val="auto"/>
              </w:rPr>
            </w:pPr>
            <w:r>
              <w:rPr>
                <w:rFonts w:ascii="Arial" w:cs="Arial" w:eastAsia="Arial" w:hAnsi="Arial"/>
                <w:sz w:val="20"/>
                <w:szCs w:val="20"/>
                <w:color w:val="auto"/>
              </w:rPr>
              <w:t>Put option related to auction rate securities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1,519</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1,519</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244,734</w:t>
            </w:r>
          </w:p>
        </w:tc>
        <w:tc>
          <w:tcPr>
            <w:tcW w:w="4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350,859</w:t>
            </w: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18,242</w:t>
            </w: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613,835</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2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244,734</w:t>
            </w:r>
          </w:p>
        </w:tc>
        <w:tc>
          <w:tcPr>
            <w:tcW w:w="4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42,285</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287,019</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Short-term investments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308,574</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6,998</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315,572</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Investments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9,725</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9,725</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Prepaid expenses and other current assets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729</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729</w:t>
            </w:r>
          </w:p>
        </w:tc>
        <w:tc>
          <w:tcPr>
            <w:tcW w:w="0" w:type="dxa"/>
            <w:vAlign w:val="bottom"/>
          </w:tcPr>
          <w:p>
            <w:pPr>
              <w:spacing w:after="0"/>
              <w:rPr>
                <w:sz w:val="1"/>
                <w:szCs w:val="1"/>
                <w:color w:val="auto"/>
              </w:rPr>
            </w:pPr>
          </w:p>
        </w:tc>
      </w:tr>
      <w:tr>
        <w:trPr>
          <w:trHeight w:val="240"/>
        </w:trPr>
        <w:tc>
          <w:tcPr>
            <w:tcW w:w="5000" w:type="dxa"/>
            <w:vAlign w:val="bottom"/>
          </w:tcPr>
          <w:p>
            <w:pPr>
              <w:spacing w:after="0"/>
              <w:rPr>
                <w:sz w:val="20"/>
                <w:szCs w:val="20"/>
                <w:color w:val="auto"/>
              </w:rPr>
            </w:pPr>
            <w:r>
              <w:rPr>
                <w:rFonts w:ascii="Arial" w:cs="Arial" w:eastAsia="Arial" w:hAnsi="Arial"/>
                <w:sz w:val="20"/>
                <w:szCs w:val="20"/>
                <w:color w:val="auto"/>
              </w:rPr>
              <w:t>Other assets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790</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790</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244,734</w:t>
            </w:r>
          </w:p>
        </w:tc>
        <w:tc>
          <w:tcPr>
            <w:tcW w:w="4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350,859</w:t>
            </w: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18,242</w:t>
            </w: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613,835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2012</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1</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Level 2</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Level 3</w:t>
            </w: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00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28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147,113</w:t>
            </w:r>
          </w:p>
        </w:tc>
        <w:tc>
          <w:tcPr>
            <w:tcW w:w="40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3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147,113</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Money market funds</w:t>
            </w:r>
          </w:p>
        </w:tc>
        <w:tc>
          <w:tcPr>
            <w:tcW w:w="28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63,974</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63,974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U.S. Treasuries</w:t>
            </w:r>
          </w:p>
        </w:tc>
        <w:tc>
          <w:tcPr>
            <w:tcW w:w="28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24,065</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24,065</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28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5,603</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5,603</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Municipal securities</w:t>
            </w:r>
          </w:p>
        </w:tc>
        <w:tc>
          <w:tcPr>
            <w:tcW w:w="28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77,038</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77,038</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Auction rate securities</w:t>
            </w:r>
          </w:p>
        </w:tc>
        <w:tc>
          <w:tcPr>
            <w:tcW w:w="28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23,156</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23,156</w:t>
            </w:r>
          </w:p>
        </w:tc>
        <w:tc>
          <w:tcPr>
            <w:tcW w:w="0" w:type="dxa"/>
            <w:vAlign w:val="bottom"/>
          </w:tcPr>
          <w:p>
            <w:pPr>
              <w:spacing w:after="0"/>
              <w:rPr>
                <w:sz w:val="1"/>
                <w:szCs w:val="1"/>
                <w:color w:val="auto"/>
              </w:rPr>
            </w:pPr>
          </w:p>
        </w:tc>
      </w:tr>
      <w:tr>
        <w:trPr>
          <w:trHeight w:val="240"/>
        </w:trPr>
        <w:tc>
          <w:tcPr>
            <w:tcW w:w="5000" w:type="dxa"/>
            <w:vAlign w:val="bottom"/>
          </w:tcPr>
          <w:p>
            <w:pPr>
              <w:spacing w:after="0"/>
              <w:rPr>
                <w:sz w:val="20"/>
                <w:szCs w:val="20"/>
                <w:color w:val="auto"/>
              </w:rPr>
            </w:pPr>
            <w:r>
              <w:rPr>
                <w:rFonts w:ascii="Arial" w:cs="Arial" w:eastAsia="Arial" w:hAnsi="Arial"/>
                <w:sz w:val="20"/>
                <w:szCs w:val="20"/>
                <w:color w:val="auto"/>
              </w:rPr>
              <w:t>Put option related to auction rate securities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1,929</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1,929</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211,087</w:t>
            </w: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106,706</w:t>
            </w: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25,085</w:t>
            </w: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342,878</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2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211,087</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11,427</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222,514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Short-term investments</w:t>
            </w:r>
          </w:p>
        </w:tc>
        <w:tc>
          <w:tcPr>
            <w:tcW w:w="28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95,279</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1,763</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97,042</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Investments</w:t>
            </w:r>
          </w:p>
        </w:tc>
        <w:tc>
          <w:tcPr>
            <w:tcW w:w="28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21,393</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21,393</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Prepaid expenses and other current assets</w:t>
            </w:r>
          </w:p>
        </w:tc>
        <w:tc>
          <w:tcPr>
            <w:tcW w:w="28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225</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225</w:t>
            </w:r>
          </w:p>
        </w:tc>
        <w:tc>
          <w:tcPr>
            <w:tcW w:w="0" w:type="dxa"/>
            <w:vAlign w:val="bottom"/>
          </w:tcPr>
          <w:p>
            <w:pPr>
              <w:spacing w:after="0"/>
              <w:rPr>
                <w:sz w:val="1"/>
                <w:szCs w:val="1"/>
                <w:color w:val="auto"/>
              </w:rPr>
            </w:pPr>
          </w:p>
        </w:tc>
      </w:tr>
      <w:tr>
        <w:trPr>
          <w:trHeight w:val="240"/>
        </w:trPr>
        <w:tc>
          <w:tcPr>
            <w:tcW w:w="5000" w:type="dxa"/>
            <w:vAlign w:val="bottom"/>
          </w:tcPr>
          <w:p>
            <w:pPr>
              <w:spacing w:after="0"/>
              <w:rPr>
                <w:sz w:val="20"/>
                <w:szCs w:val="20"/>
                <w:color w:val="auto"/>
              </w:rPr>
            </w:pPr>
            <w:r>
              <w:rPr>
                <w:rFonts w:ascii="Arial" w:cs="Arial" w:eastAsia="Arial" w:hAnsi="Arial"/>
                <w:sz w:val="20"/>
                <w:szCs w:val="20"/>
                <w:color w:val="auto"/>
              </w:rPr>
              <w:t>Other assets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1,704</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1,704</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211,087</w:t>
            </w: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106,706</w:t>
            </w: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25,085</w:t>
            </w: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342,878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majority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U.S. Treasuries, certificates of deposit and municipal securities, is based on other observable inputs, specifically a market approach which utilizes valuation models, pricing systems, mathematical tools and other relevant information for the same or similar securities. There were no transfers between Level 1 and Level 2 measurements during the nine-months ended September 30, 2013 or the year ended December 31, 2012, and there were no changes in the Company’s valuation techniques.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Company’s Level 3 assets are comprised of auction rate securities and put options. The Company’s Level 3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 A significant change in any single input could have a significant valuation impact; however, no single input has a more significant impact on valuation than another. There were no changes in the Company’s valuation techniques of its Level 3 assets during the nine-months ended September 30, 2013.</w:t>
      </w:r>
    </w:p>
    <w:p>
      <w:pPr>
        <w:spacing w:after="0" w:line="17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following table presents quantitative information related to the significant unobservable inputs utilized in the Company’s Level 3 recurring fair value measurements as of September 30, 2013.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vMerge w:val="restart"/>
          </w:tcPr>
          <w:p>
            <w:pPr>
              <w:spacing w:after="0"/>
              <w:rPr>
                <w:sz w:val="20"/>
                <w:szCs w:val="20"/>
                <w:color w:val="auto"/>
              </w:rPr>
            </w:pPr>
            <w:r>
              <w:rPr>
                <w:rFonts w:ascii="Arial" w:cs="Arial" w:eastAsia="Arial" w:hAnsi="Arial"/>
                <w:sz w:val="19"/>
                <w:szCs w:val="19"/>
                <w:color w:val="auto"/>
              </w:rPr>
              <w:t>Auction Rate Securities</w:t>
            </w:r>
          </w:p>
        </w:tc>
        <w:tc>
          <w:tcPr>
            <w:tcW w:w="500" w:type="dxa"/>
            <w:vAlign w:val="bottom"/>
          </w:tcPr>
          <w:p>
            <w:pPr>
              <w:spacing w:after="0"/>
              <w:rPr>
                <w:sz w:val="20"/>
                <w:szCs w:val="20"/>
                <w:color w:val="auto"/>
              </w:rPr>
            </w:pPr>
          </w:p>
        </w:tc>
        <w:tc>
          <w:tcPr>
            <w:tcW w:w="2580" w:type="dxa"/>
            <w:vAlign w:val="bottom"/>
            <w:gridSpan w:val="2"/>
          </w:tcPr>
          <w:p>
            <w:pPr>
              <w:ind w:left="400"/>
              <w:spacing w:after="0"/>
              <w:rPr>
                <w:sz w:val="20"/>
                <w:szCs w:val="20"/>
                <w:color w:val="auto"/>
              </w:rPr>
            </w:pPr>
            <w:r>
              <w:rPr>
                <w:rFonts w:ascii="Arial" w:cs="Arial" w:eastAsia="Arial" w:hAnsi="Arial"/>
                <w:sz w:val="19"/>
                <w:szCs w:val="19"/>
                <w:color w:val="auto"/>
              </w:rPr>
              <w:t>Valuation Technique</w:t>
            </w:r>
          </w:p>
        </w:tc>
        <w:tc>
          <w:tcPr>
            <w:tcW w:w="3140" w:type="dxa"/>
            <w:vAlign w:val="bottom"/>
            <w:gridSpan w:val="2"/>
          </w:tcPr>
          <w:p>
            <w:pPr>
              <w:ind w:left="700"/>
              <w:spacing w:after="0"/>
              <w:rPr>
                <w:sz w:val="20"/>
                <w:szCs w:val="20"/>
                <w:color w:val="auto"/>
              </w:rPr>
            </w:pPr>
            <w:r>
              <w:rPr>
                <w:rFonts w:ascii="Arial" w:cs="Arial" w:eastAsia="Arial" w:hAnsi="Arial"/>
                <w:sz w:val="19"/>
                <w:szCs w:val="19"/>
                <w:color w:val="auto"/>
              </w:rPr>
              <w:t>Unobservable Input</w:t>
            </w:r>
          </w:p>
        </w:tc>
        <w:tc>
          <w:tcPr>
            <w:tcW w:w="2900" w:type="dxa"/>
            <w:vAlign w:val="bottom"/>
          </w:tcPr>
          <w:p>
            <w:pPr>
              <w:jc w:val="right"/>
              <w:ind w:right="325"/>
              <w:spacing w:after="0"/>
              <w:rPr>
                <w:sz w:val="20"/>
                <w:szCs w:val="20"/>
                <w:color w:val="auto"/>
              </w:rPr>
            </w:pPr>
            <w:r>
              <w:rPr>
                <w:rFonts w:ascii="Arial" w:cs="Arial" w:eastAsia="Arial" w:hAnsi="Arial"/>
                <w:sz w:val="19"/>
                <w:szCs w:val="19"/>
                <w:color w:val="auto"/>
              </w:rPr>
              <w:t>Range (Weighted-Average)</w:t>
            </w:r>
          </w:p>
        </w:tc>
        <w:tc>
          <w:tcPr>
            <w:tcW w:w="0" w:type="dxa"/>
            <w:vAlign w:val="bottom"/>
          </w:tcPr>
          <w:p>
            <w:pPr>
              <w:spacing w:after="0"/>
              <w:rPr>
                <w:sz w:val="1"/>
                <w:szCs w:val="1"/>
                <w:color w:val="auto"/>
              </w:rPr>
            </w:pPr>
          </w:p>
        </w:tc>
      </w:tr>
      <w:tr>
        <w:trPr>
          <w:trHeight w:val="234"/>
        </w:trPr>
        <w:tc>
          <w:tcPr>
            <w:tcW w:w="23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236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Discounted cash flow</w:t>
            </w:r>
          </w:p>
        </w:tc>
        <w:tc>
          <w:tcPr>
            <w:tcW w:w="220" w:type="dxa"/>
            <w:vAlign w:val="bottom"/>
          </w:tcPr>
          <w:p>
            <w:pPr>
              <w:spacing w:after="0"/>
              <w:rPr>
                <w:sz w:val="20"/>
                <w:szCs w:val="20"/>
                <w:color w:val="auto"/>
              </w:rPr>
            </w:pPr>
          </w:p>
        </w:tc>
        <w:tc>
          <w:tcPr>
            <w:tcW w:w="290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Maximum rate probability</w:t>
            </w:r>
          </w:p>
        </w:tc>
        <w:tc>
          <w:tcPr>
            <w:tcW w:w="240" w:type="dxa"/>
            <w:vAlign w:val="bottom"/>
          </w:tcPr>
          <w:p>
            <w:pPr>
              <w:spacing w:after="0"/>
              <w:rPr>
                <w:sz w:val="20"/>
                <w:szCs w:val="20"/>
                <w:color w:val="auto"/>
              </w:rPr>
            </w:pPr>
          </w:p>
        </w:tc>
        <w:tc>
          <w:tcPr>
            <w:tcW w:w="2900" w:type="dxa"/>
            <w:vAlign w:val="bottom"/>
            <w:tcBorders>
              <w:top w:val="single" w:sz="8" w:color="auto"/>
            </w:tcBorders>
          </w:tcPr>
          <w:p>
            <w:pPr>
              <w:jc w:val="right"/>
              <w:ind w:right="1105"/>
              <w:spacing w:after="0"/>
              <w:rPr>
                <w:sz w:val="20"/>
                <w:szCs w:val="20"/>
                <w:color w:val="auto"/>
              </w:rPr>
            </w:pPr>
            <w:r>
              <w:rPr>
                <w:rFonts w:ascii="Arial" w:cs="Arial" w:eastAsia="Arial" w:hAnsi="Arial"/>
                <w:sz w:val="19"/>
                <w:szCs w:val="19"/>
                <w:color w:val="auto"/>
                <w:w w:val="90"/>
              </w:rPr>
              <w:t>0.34%-2.17% (1.21%)</w:t>
            </w:r>
          </w:p>
        </w:tc>
        <w:tc>
          <w:tcPr>
            <w:tcW w:w="0" w:type="dxa"/>
            <w:vAlign w:val="bottom"/>
          </w:tcPr>
          <w:p>
            <w:pPr>
              <w:spacing w:after="0"/>
              <w:rPr>
                <w:sz w:val="1"/>
                <w:szCs w:val="1"/>
                <w:color w:val="auto"/>
              </w:rPr>
            </w:pPr>
          </w:p>
        </w:tc>
      </w:tr>
    </w:tbl>
    <w:p>
      <w:pPr>
        <w:sectPr>
          <w:pgSz w:w="11900" w:h="16895" w:orient="portrait"/>
          <w:cols w:equalWidth="0" w:num="1">
            <w:col w:w="11420"/>
          </w:cols>
          <w:pgMar w:left="240" w:top="111"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8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140" w:type="dxa"/>
            <w:vAlign w:val="bottom"/>
          </w:tcPr>
          <w:p>
            <w:pPr>
              <w:ind w:left="460"/>
              <w:spacing w:after="0"/>
              <w:rPr>
                <w:sz w:val="20"/>
                <w:szCs w:val="20"/>
                <w:color w:val="auto"/>
              </w:rPr>
            </w:pPr>
            <w:r>
              <w:rPr>
                <w:rFonts w:ascii="Arial" w:cs="Arial" w:eastAsia="Arial" w:hAnsi="Arial"/>
                <w:sz w:val="19"/>
                <w:szCs w:val="19"/>
                <w:color w:val="auto"/>
              </w:rPr>
              <w:t>Principal returned probability</w:t>
            </w:r>
          </w:p>
        </w:tc>
        <w:tc>
          <w:tcPr>
            <w:tcW w:w="2440" w:type="dxa"/>
            <w:vAlign w:val="bottom"/>
          </w:tcPr>
          <w:p>
            <w:pPr>
              <w:ind w:left="460"/>
              <w:spacing w:after="0"/>
              <w:rPr>
                <w:sz w:val="20"/>
                <w:szCs w:val="20"/>
                <w:color w:val="auto"/>
              </w:rPr>
            </w:pPr>
            <w:r>
              <w:rPr>
                <w:rFonts w:ascii="Arial" w:cs="Arial" w:eastAsia="Arial" w:hAnsi="Arial"/>
                <w:sz w:val="19"/>
                <w:szCs w:val="19"/>
                <w:color w:val="auto"/>
                <w:w w:val="90"/>
              </w:rPr>
              <w:t>76.72%-95.14% (86.75%)</w:t>
            </w:r>
          </w:p>
        </w:tc>
      </w:tr>
      <w:tr>
        <w:trPr>
          <w:trHeight w:val="216"/>
        </w:trPr>
        <w:tc>
          <w:tcPr>
            <w:tcW w:w="18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140" w:type="dxa"/>
            <w:vAlign w:val="bottom"/>
          </w:tcPr>
          <w:p>
            <w:pPr>
              <w:ind w:left="460"/>
              <w:spacing w:after="0" w:line="216" w:lineRule="exact"/>
              <w:rPr>
                <w:sz w:val="20"/>
                <w:szCs w:val="20"/>
                <w:color w:val="auto"/>
              </w:rPr>
            </w:pPr>
            <w:r>
              <w:rPr>
                <w:rFonts w:ascii="Arial" w:cs="Arial" w:eastAsia="Arial" w:hAnsi="Arial"/>
                <w:sz w:val="19"/>
                <w:szCs w:val="19"/>
                <w:color w:val="auto"/>
              </w:rPr>
              <w:t>Default probability</w:t>
            </w:r>
          </w:p>
        </w:tc>
        <w:tc>
          <w:tcPr>
            <w:tcW w:w="2440" w:type="dxa"/>
            <w:vAlign w:val="bottom"/>
          </w:tcPr>
          <w:p>
            <w:pPr>
              <w:ind w:left="460"/>
              <w:spacing w:after="0" w:line="216" w:lineRule="exact"/>
              <w:rPr>
                <w:sz w:val="20"/>
                <w:szCs w:val="20"/>
                <w:color w:val="auto"/>
              </w:rPr>
            </w:pPr>
            <w:r>
              <w:rPr>
                <w:rFonts w:ascii="Arial" w:cs="Arial" w:eastAsia="Arial" w:hAnsi="Arial"/>
                <w:sz w:val="19"/>
                <w:szCs w:val="19"/>
                <w:color w:val="auto"/>
                <w:w w:val="94"/>
              </w:rPr>
              <w:t>4.07%-22.94% (12.04%)</w:t>
            </w:r>
          </w:p>
        </w:tc>
      </w:tr>
      <w:tr>
        <w:trPr>
          <w:trHeight w:val="216"/>
        </w:trPr>
        <w:tc>
          <w:tcPr>
            <w:tcW w:w="18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140" w:type="dxa"/>
            <w:vAlign w:val="bottom"/>
          </w:tcPr>
          <w:p>
            <w:pPr>
              <w:ind w:left="460"/>
              <w:spacing w:after="0" w:line="216" w:lineRule="exact"/>
              <w:rPr>
                <w:sz w:val="20"/>
                <w:szCs w:val="20"/>
                <w:color w:val="auto"/>
              </w:rPr>
            </w:pPr>
            <w:r>
              <w:rPr>
                <w:rFonts w:ascii="Arial" w:cs="Arial" w:eastAsia="Arial" w:hAnsi="Arial"/>
                <w:sz w:val="19"/>
                <w:szCs w:val="19"/>
                <w:color w:val="auto"/>
              </w:rPr>
              <w:t>Liquidity risk</w:t>
            </w:r>
          </w:p>
        </w:tc>
        <w:tc>
          <w:tcPr>
            <w:tcW w:w="2440" w:type="dxa"/>
            <w:vAlign w:val="bottom"/>
          </w:tcPr>
          <w:p>
            <w:pPr>
              <w:ind w:left="460"/>
              <w:spacing w:after="0" w:line="216" w:lineRule="exact"/>
              <w:rPr>
                <w:sz w:val="20"/>
                <w:szCs w:val="20"/>
                <w:color w:val="auto"/>
              </w:rPr>
            </w:pPr>
            <w:r>
              <w:rPr>
                <w:rFonts w:ascii="Arial" w:cs="Arial" w:eastAsia="Arial" w:hAnsi="Arial"/>
                <w:sz w:val="19"/>
                <w:szCs w:val="19"/>
                <w:color w:val="auto"/>
              </w:rPr>
              <w:t>3.50%-3.50% (3.50%)</w:t>
            </w:r>
          </w:p>
        </w:tc>
      </w:tr>
      <w:tr>
        <w:trPr>
          <w:trHeight w:val="240"/>
        </w:trPr>
        <w:tc>
          <w:tcPr>
            <w:tcW w:w="18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140" w:type="dxa"/>
            <w:vAlign w:val="bottom"/>
          </w:tcPr>
          <w:p>
            <w:pPr>
              <w:ind w:left="460"/>
              <w:spacing w:after="0"/>
              <w:rPr>
                <w:sz w:val="20"/>
                <w:szCs w:val="20"/>
                <w:color w:val="auto"/>
              </w:rPr>
            </w:pPr>
            <w:r>
              <w:rPr>
                <w:rFonts w:ascii="Arial" w:cs="Arial" w:eastAsia="Arial" w:hAnsi="Arial"/>
                <w:sz w:val="19"/>
                <w:szCs w:val="19"/>
                <w:color w:val="auto"/>
              </w:rPr>
              <w:t>Recovery rate</w:t>
            </w:r>
          </w:p>
        </w:tc>
        <w:tc>
          <w:tcPr>
            <w:tcW w:w="2440" w:type="dxa"/>
            <w:vAlign w:val="bottom"/>
          </w:tcPr>
          <w:p>
            <w:pPr>
              <w:ind w:left="460"/>
              <w:spacing w:after="0"/>
              <w:rPr>
                <w:sz w:val="20"/>
                <w:szCs w:val="20"/>
                <w:color w:val="auto"/>
              </w:rPr>
            </w:pPr>
            <w:r>
              <w:rPr>
                <w:rFonts w:ascii="Arial" w:cs="Arial" w:eastAsia="Arial" w:hAnsi="Arial"/>
                <w:sz w:val="19"/>
                <w:szCs w:val="19"/>
                <w:color w:val="auto"/>
              </w:rPr>
              <w:t>60-60 (60)</w:t>
            </w:r>
          </w:p>
        </w:tc>
      </w:tr>
      <w:tr>
        <w:trPr>
          <w:trHeight w:val="432"/>
        </w:trPr>
        <w:tc>
          <w:tcPr>
            <w:tcW w:w="1860" w:type="dxa"/>
            <w:vAlign w:val="bottom"/>
          </w:tcPr>
          <w:p>
            <w:pPr>
              <w:spacing w:after="0"/>
              <w:rPr>
                <w:sz w:val="20"/>
                <w:szCs w:val="20"/>
                <w:color w:val="auto"/>
              </w:rPr>
            </w:pPr>
            <w:r>
              <w:rPr>
                <w:rFonts w:ascii="Arial" w:cs="Arial" w:eastAsia="Arial" w:hAnsi="Arial"/>
                <w:sz w:val="19"/>
                <w:szCs w:val="19"/>
                <w:color w:val="auto"/>
              </w:rPr>
              <w:t>Put Options</w:t>
            </w:r>
          </w:p>
        </w:tc>
        <w:tc>
          <w:tcPr>
            <w:tcW w:w="3060" w:type="dxa"/>
            <w:vAlign w:val="bottom"/>
          </w:tcPr>
          <w:p>
            <w:pPr>
              <w:ind w:left="940"/>
              <w:spacing w:after="0"/>
              <w:rPr>
                <w:sz w:val="20"/>
                <w:szCs w:val="20"/>
                <w:color w:val="auto"/>
              </w:rPr>
            </w:pPr>
            <w:r>
              <w:rPr>
                <w:rFonts w:ascii="Arial" w:cs="Arial" w:eastAsia="Arial" w:hAnsi="Arial"/>
                <w:sz w:val="19"/>
                <w:szCs w:val="19"/>
                <w:color w:val="auto"/>
              </w:rPr>
              <w:t>Discounted cash flow</w:t>
            </w:r>
          </w:p>
        </w:tc>
        <w:tc>
          <w:tcPr>
            <w:tcW w:w="3140" w:type="dxa"/>
            <w:vAlign w:val="bottom"/>
          </w:tcPr>
          <w:p>
            <w:pPr>
              <w:ind w:left="460"/>
              <w:spacing w:after="0"/>
              <w:rPr>
                <w:sz w:val="20"/>
                <w:szCs w:val="20"/>
                <w:color w:val="auto"/>
              </w:rPr>
            </w:pPr>
            <w:r>
              <w:rPr>
                <w:rFonts w:ascii="Arial" w:cs="Arial" w:eastAsia="Arial" w:hAnsi="Arial"/>
                <w:sz w:val="19"/>
                <w:szCs w:val="19"/>
                <w:color w:val="auto"/>
              </w:rPr>
              <w:t>Counterparty risk</w:t>
            </w:r>
          </w:p>
        </w:tc>
        <w:tc>
          <w:tcPr>
            <w:tcW w:w="2440" w:type="dxa"/>
            <w:vAlign w:val="bottom"/>
          </w:tcPr>
          <w:p>
            <w:pPr>
              <w:ind w:left="460"/>
              <w:spacing w:after="0"/>
              <w:rPr>
                <w:sz w:val="20"/>
                <w:szCs w:val="20"/>
                <w:color w:val="auto"/>
              </w:rPr>
            </w:pPr>
            <w:r>
              <w:rPr>
                <w:rFonts w:ascii="Arial" w:cs="Arial" w:eastAsia="Arial" w:hAnsi="Arial"/>
                <w:sz w:val="19"/>
                <w:szCs w:val="19"/>
                <w:color w:val="auto"/>
              </w:rPr>
              <w:t>0.73%-1.04% (0.83%)</w:t>
            </w:r>
          </w:p>
        </w:tc>
      </w:tr>
    </w:tbl>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At September 30, 2013, the Company held auction rate securities with a face value of $18.2 million (amortized cost basis of $16.7 million). A Level 3 valuation was performed on the Company’s auction rate securities as of September 30, 2013 resulting in a fair value of $16.7 million for the Company’s trading auction rate securities (after a $1.5 million impairment), which are included in short-term and long-term investments.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In June 2011, the Company entered into an agreement (the “2011 ARS Agreement”), related to $24.5 million of par value auction rate securities (the “2011 ARS Securities”). Under the 2011 ARS Agreement, the Company has the right to sell the 2011 ARS Securities including all accrued but unpaid interest thereon (the “2011 Put Option”) as follows: (i) on or after July 1, 2013, up to $1.0 million aggregate par value; (ii) on or after October 1, 2013, up to an additional $1.0 million aggregate par value; and</w:t>
      </w:r>
    </w:p>
    <w:p>
      <w:pPr>
        <w:spacing w:after="0" w:line="4" w:lineRule="exact"/>
        <w:rPr>
          <w:sz w:val="20"/>
          <w:szCs w:val="20"/>
          <w:color w:val="auto"/>
        </w:rPr>
      </w:pPr>
    </w:p>
    <w:p>
      <w:pPr>
        <w:jc w:val="both"/>
        <w:ind w:firstLine="8"/>
        <w:spacing w:after="0" w:line="270" w:lineRule="auto"/>
        <w:tabs>
          <w:tab w:leader="none" w:pos="399" w:val="left"/>
        </w:tabs>
        <w:numPr>
          <w:ilvl w:val="0"/>
          <w:numId w:val="6"/>
        </w:numPr>
        <w:rPr>
          <w:rFonts w:ascii="Arial" w:cs="Arial" w:eastAsia="Arial" w:hAnsi="Arial"/>
          <w:sz w:val="19"/>
          <w:szCs w:val="19"/>
          <w:color w:val="auto"/>
        </w:rPr>
      </w:pPr>
      <w:r>
        <w:rPr>
          <w:rFonts w:ascii="Arial" w:cs="Arial" w:eastAsia="Arial" w:hAnsi="Arial"/>
          <w:sz w:val="19"/>
          <w:szCs w:val="19"/>
          <w:color w:val="auto"/>
        </w:rPr>
        <w:t>in quarterly installments thereafter based on a formula of the then outstanding 2011 ARS Securities, as adjusted for normal market redemptions, with full sale rights available on or after April 1, 2016. The 2011 ARS Securities will continue to accrue interest until redeemed through the 2011 Put Option, or as determined by the auction process, or should the auction process fail, the terms outlined in the prospectus of the respective 2011 ARS Securities. Under the 2011 ARS Agreement, the Company has the obligation, should it receive written notification from the put issuer, to sell the 2011 ARS Securities at par plus all accrued but unpaid interest. During the nine-months ended September 30, 2013, $1.0 million of 2011 ARS Securities were redeemed at par through the exercise of a portion of the 2011 Put Option and $0.3 million of 2011 ARS Securities were redeemed at par through normal market channels ($1.3 million and $3.7 million of 2011 ARS Securities were redeemed at par through normal market channels during the years ended December 31, 2012 and 2011, respectively). Subsequent to September 30, 2013, $1.0 million of 2011 ARS Securities were redeemed at par through the exercise of a portion of the 2011 Put Option. The 2011 Put Option does not meet the definition of derivative instruments under ASC 815. Therefore, the Company elected the fair value option under ASC 825-10 in accounting for the 2011 Put Option. As of September 30, 2013, the Company recorded $1.5 million as the fair market value of the 2011 Put Option, included in prepaid expenses and other current assets, as well as in other assets, in the condensed consolidated balance sheet.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In March 2010, the Company entered into an agreement (the “2010 ARS Agreement”), related to $54.2 million of par value auction rate securities (the “2010 ARS Securities”). Under the 2010 ARS Agreement, the Company had the right, but not the obligation, to sell the 2010 ARS Securities including all accrued but unpaid interest thereon (the “2010 Put Option”), under various terms. During the three-months ended March 31, 2012, the remaining $15.7 million of par value 2010 ARS Securities were redeemed at par through the exercise of the 2010 Put Option, which exhausted the Company’s rights under the 2010 ARS Agreement.</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net effect of (i) the revaluation of the 2011 Put Option as of September 30, 2013; (ii) the redemption at par of certain 2011 ARS Securities; (iii) the revaluation of the Company’s trading auction rate securities as of September 30, 2013; and (iv) a recognized gain resulting from the redemption of previously other-than-temporary impaired securities; resulted in a gain of $0.04 million and $2.7 million, which is included in other (expense) income for the three- and nine-months ended September 30, 2013, respectively. The net effect of (i) the revaluation of the 2011 Put Option and the 2010 Put Option as of September 30, 2012; (ii) the revaluation of the Company’s trading auction rate securities as of September 30, 2012; (iii) the redemption at par of certain 2011 ARS Securities; (iv) the redemption at par of certain 2010 ARS Securities, including those redeemed at par through the exercise of the 2010 Put Option; and (v) a recognized gain resulting from the redemption at par of a previously other-than-temporary impaired security; resulted in a gain of $0.2 million and $0.6 million, which is included in other (expense) income for the three- and nine-months ended September 30, 2012, respectively.</w:t>
      </w:r>
    </w:p>
    <w:p>
      <w:pPr>
        <w:spacing w:after="0" w:line="18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following table provides a summary reconciliation of the Company’s financial assets that are recorded at fair value on a recurring basis using significant unobservable inputs (Level 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3"/>
          </w:tcPr>
          <w:p>
            <w:pPr>
              <w:jc w:val="center"/>
              <w:ind w:left="216"/>
              <w:spacing w:after="0"/>
              <w:rPr>
                <w:sz w:val="20"/>
                <w:szCs w:val="20"/>
                <w:color w:val="auto"/>
              </w:rPr>
            </w:pPr>
            <w:r>
              <w:rPr>
                <w:rFonts w:ascii="Arial" w:cs="Arial" w:eastAsia="Arial" w:hAnsi="Arial"/>
                <w:sz w:val="21"/>
                <w:szCs w:val="21"/>
                <w:color w:val="auto"/>
                <w:w w:val="89"/>
              </w:rPr>
              <w:t>Three-Months Ended</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gridSpan w:val="3"/>
          </w:tcPr>
          <w:p>
            <w:pPr>
              <w:jc w:val="center"/>
              <w:ind w:left="256"/>
              <w:spacing w:after="0"/>
              <w:rPr>
                <w:sz w:val="20"/>
                <w:szCs w:val="20"/>
                <w:color w:val="auto"/>
              </w:rPr>
            </w:pPr>
            <w:r>
              <w:rPr>
                <w:rFonts w:ascii="Arial" w:cs="Arial" w:eastAsia="Arial" w:hAnsi="Arial"/>
                <w:sz w:val="21"/>
                <w:szCs w:val="21"/>
                <w:color w:val="auto"/>
                <w:w w:val="89"/>
              </w:rPr>
              <w:t>Three-Months Ended</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center"/>
              <w:ind w:left="236"/>
              <w:spacing w:after="0"/>
              <w:rPr>
                <w:sz w:val="20"/>
                <w:szCs w:val="20"/>
                <w:color w:val="auto"/>
              </w:rPr>
            </w:pPr>
            <w:r>
              <w:rPr>
                <w:rFonts w:ascii="Arial" w:cs="Arial" w:eastAsia="Arial" w:hAnsi="Arial"/>
                <w:sz w:val="21"/>
                <w:szCs w:val="21"/>
                <w:color w:val="auto"/>
                <w:w w:val="87"/>
              </w:rPr>
              <w:t>September 30, 2013</w:t>
            </w:r>
          </w:p>
        </w:tc>
        <w:tc>
          <w:tcPr>
            <w:tcW w:w="5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3"/>
          </w:tcPr>
          <w:p>
            <w:pPr>
              <w:jc w:val="center"/>
              <w:ind w:left="256"/>
              <w:spacing w:after="0"/>
              <w:rPr>
                <w:sz w:val="20"/>
                <w:szCs w:val="20"/>
                <w:color w:val="auto"/>
              </w:rPr>
            </w:pPr>
            <w:r>
              <w:rPr>
                <w:rFonts w:ascii="Arial" w:cs="Arial" w:eastAsia="Arial" w:hAnsi="Arial"/>
                <w:sz w:val="21"/>
                <w:szCs w:val="21"/>
                <w:color w:val="auto"/>
                <w:w w:val="88"/>
              </w:rPr>
              <w:t>September 30, 2012</w:t>
            </w: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540"/>
              <w:spacing w:after="0" w:line="223" w:lineRule="exact"/>
              <w:rPr>
                <w:sz w:val="20"/>
                <w:szCs w:val="20"/>
                <w:color w:val="auto"/>
              </w:rPr>
            </w:pPr>
            <w:r>
              <w:rPr>
                <w:rFonts w:ascii="Arial" w:cs="Arial" w:eastAsia="Arial" w:hAnsi="Arial"/>
                <w:sz w:val="21"/>
                <w:szCs w:val="21"/>
                <w:color w:val="auto"/>
                <w:w w:val="97"/>
              </w:rPr>
              <w:t>Auction</w:t>
            </w: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center"/>
              <w:ind w:right="540"/>
              <w:spacing w:after="0" w:line="223" w:lineRule="exact"/>
              <w:rPr>
                <w:sz w:val="20"/>
                <w:szCs w:val="20"/>
                <w:color w:val="auto"/>
              </w:rPr>
            </w:pPr>
            <w:r>
              <w:rPr>
                <w:rFonts w:ascii="Arial" w:cs="Arial" w:eastAsia="Arial" w:hAnsi="Arial"/>
                <w:sz w:val="21"/>
                <w:szCs w:val="21"/>
                <w:color w:val="auto"/>
                <w:w w:val="94"/>
              </w:rPr>
              <w:t>Auction</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21"/>
                <w:szCs w:val="21"/>
                <w:color w:val="auto"/>
                <w:w w:val="85"/>
              </w:rPr>
              <w:t>Rate</w:t>
            </w: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21"/>
                <w:szCs w:val="21"/>
                <w:color w:val="auto"/>
                <w:w w:val="85"/>
              </w:rPr>
              <w:t>Rate</w:t>
            </w: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40" w:type="dxa"/>
            <w:vAlign w:val="bottom"/>
            <w:vMerge w:val="restart"/>
          </w:tcPr>
          <w:p>
            <w:pPr>
              <w:spacing w:after="0"/>
              <w:rPr>
                <w:sz w:val="20"/>
                <w:szCs w:val="20"/>
                <w:color w:val="auto"/>
              </w:rPr>
            </w:pPr>
            <w:r>
              <w:rPr>
                <w:rFonts w:ascii="Arial" w:cs="Arial" w:eastAsia="Arial" w:hAnsi="Arial"/>
                <w:sz w:val="21"/>
                <w:szCs w:val="21"/>
                <w:color w:val="auto"/>
              </w:rPr>
              <w:t>Opening Balance</w:t>
            </w:r>
          </w:p>
        </w:tc>
        <w:tc>
          <w:tcPr>
            <w:tcW w:w="240" w:type="dxa"/>
            <w:vAlign w:val="bottom"/>
          </w:tcPr>
          <w:p>
            <w:pPr>
              <w:spacing w:after="0"/>
              <w:rPr>
                <w:sz w:val="22"/>
                <w:szCs w:val="22"/>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21"/>
                <w:szCs w:val="21"/>
                <w:color w:val="auto"/>
                <w:w w:val="86"/>
              </w:rPr>
              <w:t>Securities</w:t>
            </w:r>
          </w:p>
        </w:tc>
        <w:tc>
          <w:tcPr>
            <w:tcW w:w="1640" w:type="dxa"/>
            <w:vAlign w:val="bottom"/>
            <w:gridSpan w:val="3"/>
          </w:tcPr>
          <w:p>
            <w:pPr>
              <w:ind w:left="180"/>
              <w:spacing w:after="0"/>
              <w:rPr>
                <w:sz w:val="20"/>
                <w:szCs w:val="20"/>
                <w:color w:val="auto"/>
              </w:rPr>
            </w:pPr>
            <w:r>
              <w:rPr>
                <w:rFonts w:ascii="Arial" w:cs="Arial" w:eastAsia="Arial" w:hAnsi="Arial"/>
                <w:sz w:val="21"/>
                <w:szCs w:val="21"/>
                <w:color w:val="auto"/>
              </w:rPr>
              <w:t>Put Options</w:t>
            </w:r>
          </w:p>
        </w:tc>
        <w:tc>
          <w:tcPr>
            <w:tcW w:w="240" w:type="dxa"/>
            <w:vAlign w:val="bottom"/>
          </w:tcPr>
          <w:p>
            <w:pPr>
              <w:spacing w:after="0"/>
              <w:rPr>
                <w:sz w:val="22"/>
                <w:szCs w:val="22"/>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21"/>
                <w:szCs w:val="21"/>
                <w:color w:val="auto"/>
                <w:w w:val="88"/>
              </w:rPr>
              <w:t>Securities</w:t>
            </w:r>
          </w:p>
        </w:tc>
        <w:tc>
          <w:tcPr>
            <w:tcW w:w="1400" w:type="dxa"/>
            <w:vAlign w:val="bottom"/>
            <w:gridSpan w:val="2"/>
          </w:tcPr>
          <w:p>
            <w:pPr>
              <w:jc w:val="right"/>
              <w:ind w:right="116"/>
              <w:spacing w:after="0"/>
              <w:rPr>
                <w:sz w:val="20"/>
                <w:szCs w:val="20"/>
                <w:color w:val="auto"/>
              </w:rPr>
            </w:pPr>
            <w:r>
              <w:rPr>
                <w:rFonts w:ascii="Arial" w:cs="Arial" w:eastAsia="Arial" w:hAnsi="Arial"/>
                <w:sz w:val="21"/>
                <w:szCs w:val="21"/>
                <w:color w:val="auto"/>
              </w:rPr>
              <w:t>Put Options</w:t>
            </w:r>
          </w:p>
        </w:tc>
        <w:tc>
          <w:tcPr>
            <w:tcW w:w="0" w:type="dxa"/>
            <w:vAlign w:val="bottom"/>
          </w:tcPr>
          <w:p>
            <w:pPr>
              <w:spacing w:after="0"/>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2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w:t>
            </w:r>
          </w:p>
        </w:tc>
        <w:tc>
          <w:tcPr>
            <w:tcW w:w="112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17,762</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ind w:right="476"/>
              <w:spacing w:after="0" w:line="223" w:lineRule="exact"/>
              <w:rPr>
                <w:sz w:val="20"/>
                <w:szCs w:val="20"/>
                <w:color w:val="auto"/>
              </w:rPr>
            </w:pPr>
            <w:r>
              <w:rPr>
                <w:rFonts w:ascii="Arial" w:cs="Arial" w:eastAsia="Arial" w:hAnsi="Arial"/>
                <w:sz w:val="21"/>
                <w:szCs w:val="21"/>
                <w:color w:val="auto"/>
              </w:rPr>
              <w:t>$</w:t>
            </w:r>
          </w:p>
        </w:tc>
        <w:tc>
          <w:tcPr>
            <w:tcW w:w="58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w w:val="95"/>
              </w:rPr>
              <w:t>1,686</w:t>
            </w:r>
          </w:p>
        </w:tc>
        <w:tc>
          <w:tcPr>
            <w:tcW w:w="280" w:type="dxa"/>
            <w:vAlign w:val="bottom"/>
          </w:tcPr>
          <w:p>
            <w:pPr>
              <w:spacing w:after="0"/>
              <w:rPr>
                <w:sz w:val="19"/>
                <w:szCs w:val="19"/>
                <w:color w:val="auto"/>
              </w:rPr>
            </w:pPr>
          </w:p>
        </w:tc>
        <w:tc>
          <w:tcPr>
            <w:tcW w:w="2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w:t>
            </w:r>
          </w:p>
        </w:tc>
        <w:tc>
          <w:tcPr>
            <w:tcW w:w="116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20,873</w:t>
            </w:r>
          </w:p>
        </w:tc>
        <w:tc>
          <w:tcPr>
            <w:tcW w:w="280" w:type="dxa"/>
            <w:vAlign w:val="bottom"/>
          </w:tcPr>
          <w:p>
            <w:pPr>
              <w:spacing w:after="0"/>
              <w:rPr>
                <w:sz w:val="19"/>
                <w:szCs w:val="19"/>
                <w:color w:val="auto"/>
              </w:rPr>
            </w:pPr>
          </w:p>
        </w:tc>
        <w:tc>
          <w:tcPr>
            <w:tcW w:w="800" w:type="dxa"/>
            <w:vAlign w:val="bottom"/>
            <w:tcBorders>
              <w:top w:val="single" w:sz="8" w:color="auto"/>
            </w:tcBorders>
          </w:tcPr>
          <w:p>
            <w:pPr>
              <w:jc w:val="right"/>
              <w:ind w:right="496"/>
              <w:spacing w:after="0" w:line="223" w:lineRule="exact"/>
              <w:rPr>
                <w:sz w:val="20"/>
                <w:szCs w:val="20"/>
                <w:color w:val="auto"/>
              </w:rPr>
            </w:pPr>
            <w:r>
              <w:rPr>
                <w:rFonts w:ascii="Arial" w:cs="Arial" w:eastAsia="Arial" w:hAnsi="Arial"/>
                <w:sz w:val="21"/>
                <w:szCs w:val="21"/>
                <w:color w:val="auto"/>
              </w:rPr>
              <w:t>$</w:t>
            </w:r>
          </w:p>
        </w:tc>
        <w:tc>
          <w:tcPr>
            <w:tcW w:w="60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w w:val="98"/>
              </w:rPr>
              <w:t>1,816</w:t>
            </w:r>
          </w:p>
        </w:tc>
        <w:tc>
          <w:tcPr>
            <w:tcW w:w="0" w:type="dxa"/>
            <w:vAlign w:val="bottom"/>
          </w:tcPr>
          <w:p>
            <w:pPr>
              <w:spacing w:after="0"/>
              <w:rPr>
                <w:sz w:val="1"/>
                <w:szCs w:val="1"/>
                <w:color w:val="auto"/>
              </w:rPr>
            </w:pPr>
          </w:p>
        </w:tc>
      </w:tr>
      <w:tr>
        <w:trPr>
          <w:trHeight w:val="264"/>
        </w:trPr>
        <w:tc>
          <w:tcPr>
            <w:tcW w:w="5040" w:type="dxa"/>
            <w:vAlign w:val="bottom"/>
          </w:tcPr>
          <w:p>
            <w:pPr>
              <w:ind w:left="180"/>
              <w:spacing w:after="0"/>
              <w:rPr>
                <w:sz w:val="20"/>
                <w:szCs w:val="20"/>
                <w:color w:val="auto"/>
              </w:rPr>
            </w:pPr>
            <w:r>
              <w:rPr>
                <w:rFonts w:ascii="Arial" w:cs="Arial" w:eastAsia="Arial" w:hAnsi="Arial"/>
                <w:sz w:val="21"/>
                <w:szCs w:val="21"/>
                <w:color w:val="auto"/>
              </w:rPr>
              <w:t>Transfers into Level 3</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Pr>
          <w:p>
            <w:pPr>
              <w:ind w:left="180"/>
              <w:spacing w:after="0"/>
              <w:rPr>
                <w:sz w:val="20"/>
                <w:szCs w:val="20"/>
                <w:color w:val="auto"/>
              </w:rPr>
            </w:pPr>
            <w:r>
              <w:rPr>
                <w:rFonts w:ascii="Arial" w:cs="Arial" w:eastAsia="Arial" w:hAnsi="Arial"/>
                <w:sz w:val="21"/>
                <w:szCs w:val="21"/>
                <w:color w:val="auto"/>
              </w:rPr>
              <w:t>Transfers out of Level 3</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21"/>
                <w:szCs w:val="21"/>
                <w:color w:val="auto"/>
              </w:rPr>
              <w:t>Total gains (losses) for the period:</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21"/>
                <w:szCs w:val="21"/>
                <w:color w:val="auto"/>
              </w:rPr>
              <w:t>Included in earnings</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1"/>
                <w:szCs w:val="21"/>
                <w:color w:val="auto"/>
              </w:rPr>
              <w:t>211</w:t>
            </w: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21"/>
                <w:szCs w:val="21"/>
                <w:color w:val="auto"/>
              </w:rPr>
              <w:t>(167)</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1"/>
                <w:szCs w:val="21"/>
                <w:color w:val="auto"/>
              </w:rPr>
              <w:t>107</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1"/>
                <w:szCs w:val="21"/>
                <w:color w:val="auto"/>
              </w:rPr>
              <w:t>115</w:t>
            </w:r>
          </w:p>
        </w:tc>
        <w:tc>
          <w:tcPr>
            <w:tcW w:w="40" w:type="dxa"/>
            <w:vAlign w:val="bottom"/>
          </w:tcPr>
          <w:p>
            <w:pPr>
              <w:spacing w:after="0"/>
              <w:rPr>
                <w:sz w:val="21"/>
                <w:szCs w:val="2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21"/>
                <w:szCs w:val="21"/>
                <w:color w:val="auto"/>
              </w:rPr>
              <w:t>Included in other comprehensive income</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1"/>
                <w:szCs w:val="21"/>
                <w:color w:val="auto"/>
              </w:rPr>
            </w:pPr>
          </w:p>
        </w:tc>
      </w:tr>
      <w:tr>
        <w:trPr>
          <w:trHeight w:val="256"/>
        </w:trPr>
        <w:tc>
          <w:tcPr>
            <w:tcW w:w="5040" w:type="dxa"/>
            <w:vAlign w:val="bottom"/>
          </w:tcPr>
          <w:p>
            <w:pPr>
              <w:ind w:left="180"/>
              <w:spacing w:after="0"/>
              <w:rPr>
                <w:sz w:val="20"/>
                <w:szCs w:val="20"/>
                <w:color w:val="auto"/>
              </w:rPr>
            </w:pPr>
            <w:r>
              <w:rPr>
                <w:rFonts w:ascii="Arial" w:cs="Arial" w:eastAsia="Arial" w:hAnsi="Arial"/>
                <w:sz w:val="21"/>
                <w:szCs w:val="21"/>
                <w:color w:val="auto"/>
              </w:rPr>
              <w:t>Settlements</w:t>
            </w:r>
          </w:p>
        </w:tc>
        <w:tc>
          <w:tcPr>
            <w:tcW w:w="400" w:type="dxa"/>
            <w:vAlign w:val="bottom"/>
          </w:tcPr>
          <w:p>
            <w:pPr>
              <w:spacing w:after="0"/>
              <w:rPr>
                <w:sz w:val="22"/>
                <w:szCs w:val="22"/>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21"/>
                <w:szCs w:val="21"/>
                <w:color w:val="auto"/>
              </w:rPr>
              <w:t>(1,250)</w:t>
            </w: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21"/>
                <w:szCs w:val="21"/>
                <w:color w:val="auto"/>
              </w:rPr>
              <w:t>(225)</w:t>
            </w:r>
          </w:p>
        </w:tc>
        <w:tc>
          <w:tcPr>
            <w:tcW w:w="5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r>
      <w:tr>
        <w:trPr>
          <w:trHeight w:val="237"/>
        </w:trPr>
        <w:tc>
          <w:tcPr>
            <w:tcW w:w="5040" w:type="dxa"/>
            <w:vAlign w:val="bottom"/>
          </w:tcPr>
          <w:p>
            <w:pPr>
              <w:spacing w:after="0" w:line="237" w:lineRule="exact"/>
              <w:rPr>
                <w:sz w:val="20"/>
                <w:szCs w:val="20"/>
                <w:color w:val="auto"/>
              </w:rPr>
            </w:pPr>
            <w:r>
              <w:rPr>
                <w:rFonts w:ascii="Arial" w:cs="Arial" w:eastAsia="Arial" w:hAnsi="Arial"/>
                <w:sz w:val="21"/>
                <w:szCs w:val="21"/>
                <w:color w:val="auto"/>
              </w:rPr>
              <w:t>Closing Balance</w:t>
            </w:r>
          </w:p>
        </w:tc>
        <w:tc>
          <w:tcPr>
            <w:tcW w:w="400" w:type="dxa"/>
            <w:vAlign w:val="bottom"/>
            <w:tcBorders>
              <w:top w:val="single" w:sz="8" w:color="auto"/>
              <w:bottom w:val="single" w:sz="8" w:color="auto"/>
            </w:tcBorders>
          </w:tcPr>
          <w:p>
            <w:pPr>
              <w:jc w:val="right"/>
              <w:ind w:right="96"/>
              <w:spacing w:after="0" w:line="237" w:lineRule="exact"/>
              <w:rPr>
                <w:sz w:val="20"/>
                <w:szCs w:val="20"/>
                <w:color w:val="auto"/>
              </w:rPr>
            </w:pPr>
            <w:r>
              <w:rPr>
                <w:rFonts w:ascii="Arial" w:cs="Arial" w:eastAsia="Arial" w:hAnsi="Arial"/>
                <w:sz w:val="21"/>
                <w:szCs w:val="21"/>
                <w:color w:val="auto"/>
              </w:rPr>
              <w:t>$</w:t>
            </w:r>
          </w:p>
        </w:tc>
        <w:tc>
          <w:tcPr>
            <w:tcW w:w="9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16,723</w:t>
            </w:r>
          </w:p>
        </w:tc>
        <w:tc>
          <w:tcPr>
            <w:tcW w:w="3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216"/>
              <w:spacing w:after="0" w:line="237" w:lineRule="exact"/>
              <w:rPr>
                <w:sz w:val="20"/>
                <w:szCs w:val="20"/>
                <w:color w:val="auto"/>
              </w:rPr>
            </w:pPr>
            <w:r>
              <w:rPr>
                <w:rFonts w:ascii="Arial" w:cs="Arial" w:eastAsia="Arial" w:hAnsi="Arial"/>
                <w:sz w:val="21"/>
                <w:szCs w:val="21"/>
                <w:color w:val="auto"/>
              </w:rPr>
              <w:t>$</w:t>
            </w:r>
          </w:p>
        </w:tc>
        <w:tc>
          <w:tcPr>
            <w:tcW w:w="8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1,519</w:t>
            </w: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176"/>
              <w:spacing w:after="0" w:line="237" w:lineRule="exact"/>
              <w:rPr>
                <w:sz w:val="20"/>
                <w:szCs w:val="20"/>
                <w:color w:val="auto"/>
              </w:rPr>
            </w:pPr>
            <w:r>
              <w:rPr>
                <w:rFonts w:ascii="Arial" w:cs="Arial" w:eastAsia="Arial" w:hAnsi="Arial"/>
                <w:sz w:val="21"/>
                <w:szCs w:val="21"/>
                <w:color w:val="auto"/>
              </w:rPr>
              <w:t>$</w:t>
            </w:r>
          </w:p>
        </w:tc>
        <w:tc>
          <w:tcPr>
            <w:tcW w:w="9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20,755</w:t>
            </w:r>
          </w:p>
        </w:tc>
        <w:tc>
          <w:tcPr>
            <w:tcW w:w="28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236"/>
              <w:spacing w:after="0" w:line="237" w:lineRule="exact"/>
              <w:rPr>
                <w:sz w:val="20"/>
                <w:szCs w:val="20"/>
                <w:color w:val="auto"/>
              </w:rPr>
            </w:pPr>
            <w:r>
              <w:rPr>
                <w:rFonts w:ascii="Arial" w:cs="Arial" w:eastAsia="Arial" w:hAnsi="Arial"/>
                <w:sz w:val="21"/>
                <w:szCs w:val="21"/>
                <w:color w:val="auto"/>
              </w:rPr>
              <w:t>$</w:t>
            </w:r>
          </w:p>
        </w:tc>
        <w:tc>
          <w:tcPr>
            <w:tcW w:w="8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1,931</w:t>
            </w:r>
          </w:p>
        </w:tc>
        <w:tc>
          <w:tcPr>
            <w:tcW w:w="4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5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499"/>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80" w:type="dxa"/>
            <w:vAlign w:val="bottom"/>
            <w:gridSpan w:val="3"/>
          </w:tcPr>
          <w:p>
            <w:pPr>
              <w:jc w:val="right"/>
              <w:spacing w:after="0"/>
              <w:rPr>
                <w:sz w:val="20"/>
                <w:szCs w:val="20"/>
                <w:color w:val="auto"/>
              </w:rPr>
            </w:pPr>
            <w:r>
              <w:rPr>
                <w:rFonts w:ascii="Arial" w:cs="Arial" w:eastAsia="Arial" w:hAnsi="Arial"/>
                <w:sz w:val="21"/>
                <w:szCs w:val="21"/>
                <w:color w:val="auto"/>
              </w:rPr>
              <w:t>Nine-Months Ended</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3"/>
          </w:tcPr>
          <w:p>
            <w:pPr>
              <w:jc w:val="right"/>
              <w:spacing w:after="0"/>
              <w:rPr>
                <w:sz w:val="20"/>
                <w:szCs w:val="20"/>
                <w:color w:val="auto"/>
              </w:rPr>
            </w:pPr>
            <w:r>
              <w:rPr>
                <w:rFonts w:ascii="Arial" w:cs="Arial" w:eastAsia="Arial" w:hAnsi="Arial"/>
                <w:sz w:val="21"/>
                <w:szCs w:val="21"/>
                <w:color w:val="auto"/>
              </w:rPr>
              <w:t>Nine-Months Ended</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21"/>
                <w:szCs w:val="21"/>
                <w:color w:val="auto"/>
              </w:rPr>
              <w:t>September 30, 2013</w:t>
            </w:r>
          </w:p>
        </w:tc>
        <w:tc>
          <w:tcPr>
            <w:tcW w:w="60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21"/>
                <w:szCs w:val="21"/>
                <w:color w:val="auto"/>
              </w:rPr>
              <w:t>September 30, 2012</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540"/>
              <w:spacing w:after="0" w:line="223" w:lineRule="exact"/>
              <w:rPr>
                <w:sz w:val="20"/>
                <w:szCs w:val="20"/>
                <w:color w:val="auto"/>
              </w:rPr>
            </w:pPr>
            <w:r>
              <w:rPr>
                <w:rFonts w:ascii="Arial" w:cs="Arial" w:eastAsia="Arial" w:hAnsi="Arial"/>
                <w:sz w:val="21"/>
                <w:szCs w:val="21"/>
                <w:color w:val="auto"/>
                <w:w w:val="97"/>
              </w:rPr>
              <w:t>Auction</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center"/>
              <w:ind w:right="540"/>
              <w:spacing w:after="0" w:line="223" w:lineRule="exact"/>
              <w:rPr>
                <w:sz w:val="20"/>
                <w:szCs w:val="20"/>
                <w:color w:val="auto"/>
              </w:rPr>
            </w:pPr>
            <w:r>
              <w:rPr>
                <w:rFonts w:ascii="Arial" w:cs="Arial" w:eastAsia="Arial" w:hAnsi="Arial"/>
                <w:sz w:val="21"/>
                <w:szCs w:val="21"/>
                <w:color w:val="auto"/>
                <w:w w:val="94"/>
              </w:rPr>
              <w:t>Auction</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21"/>
                <w:szCs w:val="21"/>
                <w:color w:val="auto"/>
                <w:w w:val="85"/>
              </w:rPr>
              <w:t>Rate</w:t>
            </w: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21"/>
                <w:szCs w:val="21"/>
                <w:color w:val="auto"/>
                <w:w w:val="85"/>
              </w:rPr>
              <w:t>Rate</w:t>
            </w: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40" w:type="dxa"/>
            <w:vAlign w:val="bottom"/>
            <w:vMerge w:val="restart"/>
          </w:tcPr>
          <w:p>
            <w:pPr>
              <w:spacing w:after="0"/>
              <w:rPr>
                <w:sz w:val="20"/>
                <w:szCs w:val="20"/>
                <w:color w:val="auto"/>
              </w:rPr>
            </w:pPr>
            <w:r>
              <w:rPr>
                <w:rFonts w:ascii="Arial" w:cs="Arial" w:eastAsia="Arial" w:hAnsi="Arial"/>
                <w:sz w:val="21"/>
                <w:szCs w:val="21"/>
                <w:color w:val="auto"/>
              </w:rPr>
              <w:t>Opening Balance</w:t>
            </w:r>
          </w:p>
        </w:tc>
        <w:tc>
          <w:tcPr>
            <w:tcW w:w="240" w:type="dxa"/>
            <w:vAlign w:val="bottom"/>
          </w:tcPr>
          <w:p>
            <w:pPr>
              <w:spacing w:after="0"/>
              <w:rPr>
                <w:sz w:val="22"/>
                <w:szCs w:val="22"/>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21"/>
                <w:szCs w:val="21"/>
                <w:color w:val="auto"/>
                <w:w w:val="86"/>
              </w:rPr>
              <w:t>Securities</w:t>
            </w:r>
          </w:p>
        </w:tc>
        <w:tc>
          <w:tcPr>
            <w:tcW w:w="1640" w:type="dxa"/>
            <w:vAlign w:val="bottom"/>
            <w:gridSpan w:val="3"/>
          </w:tcPr>
          <w:p>
            <w:pPr>
              <w:ind w:left="180"/>
              <w:spacing w:after="0"/>
              <w:rPr>
                <w:sz w:val="20"/>
                <w:szCs w:val="20"/>
                <w:color w:val="auto"/>
              </w:rPr>
            </w:pPr>
            <w:r>
              <w:rPr>
                <w:rFonts w:ascii="Arial" w:cs="Arial" w:eastAsia="Arial" w:hAnsi="Arial"/>
                <w:sz w:val="21"/>
                <w:szCs w:val="21"/>
                <w:color w:val="auto"/>
              </w:rPr>
              <w:t>Put Options</w:t>
            </w:r>
          </w:p>
        </w:tc>
        <w:tc>
          <w:tcPr>
            <w:tcW w:w="240" w:type="dxa"/>
            <w:vAlign w:val="bottom"/>
          </w:tcPr>
          <w:p>
            <w:pPr>
              <w:spacing w:after="0"/>
              <w:rPr>
                <w:sz w:val="22"/>
                <w:szCs w:val="22"/>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21"/>
                <w:szCs w:val="21"/>
                <w:color w:val="auto"/>
                <w:w w:val="88"/>
              </w:rPr>
              <w:t>Securities</w:t>
            </w:r>
          </w:p>
        </w:tc>
        <w:tc>
          <w:tcPr>
            <w:tcW w:w="1400" w:type="dxa"/>
            <w:vAlign w:val="bottom"/>
            <w:gridSpan w:val="2"/>
          </w:tcPr>
          <w:p>
            <w:pPr>
              <w:jc w:val="right"/>
              <w:ind w:right="116"/>
              <w:spacing w:after="0"/>
              <w:rPr>
                <w:sz w:val="20"/>
                <w:szCs w:val="20"/>
                <w:color w:val="auto"/>
              </w:rPr>
            </w:pPr>
            <w:r>
              <w:rPr>
                <w:rFonts w:ascii="Arial" w:cs="Arial" w:eastAsia="Arial" w:hAnsi="Arial"/>
                <w:sz w:val="21"/>
                <w:szCs w:val="21"/>
                <w:color w:val="auto"/>
              </w:rPr>
              <w:t>Put Options</w:t>
            </w:r>
          </w:p>
        </w:tc>
        <w:tc>
          <w:tcPr>
            <w:tcW w:w="0" w:type="dxa"/>
            <w:vAlign w:val="bottom"/>
          </w:tcPr>
          <w:p>
            <w:pPr>
              <w:spacing w:after="0"/>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2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w:t>
            </w:r>
          </w:p>
        </w:tc>
        <w:tc>
          <w:tcPr>
            <w:tcW w:w="112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23,156</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ind w:right="456"/>
              <w:spacing w:after="0" w:line="223" w:lineRule="exact"/>
              <w:rPr>
                <w:sz w:val="20"/>
                <w:szCs w:val="20"/>
                <w:color w:val="auto"/>
              </w:rPr>
            </w:pPr>
            <w:r>
              <w:rPr>
                <w:rFonts w:ascii="Arial" w:cs="Arial" w:eastAsia="Arial" w:hAnsi="Arial"/>
                <w:sz w:val="21"/>
                <w:szCs w:val="21"/>
                <w:color w:val="auto"/>
              </w:rPr>
              <w:t>$</w:t>
            </w:r>
          </w:p>
        </w:tc>
        <w:tc>
          <w:tcPr>
            <w:tcW w:w="60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w w:val="98"/>
              </w:rPr>
              <w:t>1,929</w:t>
            </w:r>
          </w:p>
        </w:tc>
        <w:tc>
          <w:tcPr>
            <w:tcW w:w="280" w:type="dxa"/>
            <w:vAlign w:val="bottom"/>
          </w:tcPr>
          <w:p>
            <w:pPr>
              <w:spacing w:after="0"/>
              <w:rPr>
                <w:sz w:val="19"/>
                <w:szCs w:val="19"/>
                <w:color w:val="auto"/>
              </w:rPr>
            </w:pPr>
          </w:p>
        </w:tc>
        <w:tc>
          <w:tcPr>
            <w:tcW w:w="2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w:t>
            </w:r>
          </w:p>
        </w:tc>
        <w:tc>
          <w:tcPr>
            <w:tcW w:w="116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35,852</w:t>
            </w: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ind w:right="456"/>
              <w:spacing w:after="0" w:line="223" w:lineRule="exact"/>
              <w:rPr>
                <w:sz w:val="20"/>
                <w:szCs w:val="20"/>
                <w:color w:val="auto"/>
              </w:rPr>
            </w:pPr>
            <w:r>
              <w:rPr>
                <w:rFonts w:ascii="Arial" w:cs="Arial" w:eastAsia="Arial" w:hAnsi="Arial"/>
                <w:sz w:val="21"/>
                <w:szCs w:val="21"/>
                <w:color w:val="auto"/>
              </w:rPr>
              <w:t>$</w:t>
            </w:r>
          </w:p>
        </w:tc>
        <w:tc>
          <w:tcPr>
            <w:tcW w:w="6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3,041</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21"/>
                <w:szCs w:val="21"/>
                <w:color w:val="auto"/>
              </w:rPr>
              <w:t>Transfers into Level 3</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21"/>
                <w:szCs w:val="21"/>
                <w:color w:val="auto"/>
              </w:rPr>
              <w:t>Transfers out of Level 3</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21"/>
                <w:szCs w:val="21"/>
                <w:color w:val="auto"/>
              </w:rPr>
              <w:t>Total gains (losses) for the period:</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21"/>
                <w:szCs w:val="21"/>
                <w:color w:val="auto"/>
              </w:rPr>
              <w:t>Included in earnings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3,091</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21"/>
                <w:szCs w:val="21"/>
                <w:color w:val="auto"/>
              </w:rPr>
              <w:t>(410)</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1"/>
                <w:szCs w:val="21"/>
                <w:color w:val="auto"/>
              </w:rPr>
              <w:t>1,693</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1"/>
                <w:szCs w:val="21"/>
                <w:color w:val="auto"/>
                <w:w w:val="93"/>
              </w:rPr>
              <w:t>(1,110)</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21"/>
                <w:szCs w:val="21"/>
                <w:color w:val="auto"/>
              </w:rPr>
              <w:t>Included in other comprehensive income</w:t>
            </w:r>
          </w:p>
        </w:tc>
        <w:tc>
          <w:tcPr>
            <w:tcW w:w="24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21"/>
                <w:szCs w:val="21"/>
                <w:color w:val="auto"/>
              </w:rPr>
              <w:t>(2,483)</w:t>
            </w:r>
          </w:p>
        </w:tc>
        <w:tc>
          <w:tcPr>
            <w:tcW w:w="7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56"/>
        </w:trPr>
        <w:tc>
          <w:tcPr>
            <w:tcW w:w="5040" w:type="dxa"/>
            <w:vAlign w:val="bottom"/>
          </w:tcPr>
          <w:p>
            <w:pPr>
              <w:ind w:left="180"/>
              <w:spacing w:after="0"/>
              <w:rPr>
                <w:sz w:val="20"/>
                <w:szCs w:val="20"/>
                <w:color w:val="auto"/>
              </w:rPr>
            </w:pPr>
            <w:r>
              <w:rPr>
                <w:rFonts w:ascii="Arial" w:cs="Arial" w:eastAsia="Arial" w:hAnsi="Arial"/>
                <w:sz w:val="21"/>
                <w:szCs w:val="21"/>
                <w:color w:val="auto"/>
              </w:rPr>
              <w:t>Settlements</w:t>
            </w:r>
          </w:p>
        </w:tc>
        <w:tc>
          <w:tcPr>
            <w:tcW w:w="240" w:type="dxa"/>
            <w:vAlign w:val="bottom"/>
          </w:tcPr>
          <w:p>
            <w:pPr>
              <w:spacing w:after="0"/>
              <w:rPr>
                <w:sz w:val="22"/>
                <w:szCs w:val="22"/>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21"/>
                <w:szCs w:val="21"/>
                <w:color w:val="auto"/>
              </w:rPr>
              <w:t>(7,041)</w:t>
            </w:r>
          </w:p>
        </w:tc>
        <w:tc>
          <w:tcPr>
            <w:tcW w:w="7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1"/>
                <w:szCs w:val="21"/>
                <w:color w:val="auto"/>
              </w:rPr>
              <w:t>(16,790)</w:t>
            </w: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37"/>
        </w:trPr>
        <w:tc>
          <w:tcPr>
            <w:tcW w:w="5040" w:type="dxa"/>
            <w:vAlign w:val="bottom"/>
          </w:tcPr>
          <w:p>
            <w:pPr>
              <w:spacing w:after="0" w:line="237" w:lineRule="exact"/>
              <w:rPr>
                <w:sz w:val="20"/>
                <w:szCs w:val="20"/>
                <w:color w:val="auto"/>
              </w:rPr>
            </w:pPr>
            <w:r>
              <w:rPr>
                <w:rFonts w:ascii="Arial" w:cs="Arial" w:eastAsia="Arial" w:hAnsi="Arial"/>
                <w:sz w:val="21"/>
                <w:szCs w:val="21"/>
                <w:color w:val="auto"/>
              </w:rPr>
              <w:t>Closing Balance</w:t>
            </w:r>
          </w:p>
        </w:tc>
        <w:tc>
          <w:tcPr>
            <w:tcW w:w="2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1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16,723</w:t>
            </w: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456"/>
              <w:spacing w:after="0" w:line="237" w:lineRule="exact"/>
              <w:rPr>
                <w:sz w:val="20"/>
                <w:szCs w:val="20"/>
                <w:color w:val="auto"/>
              </w:rPr>
            </w:pPr>
            <w:r>
              <w:rPr>
                <w:rFonts w:ascii="Arial" w:cs="Arial" w:eastAsia="Arial" w:hAnsi="Arial"/>
                <w:sz w:val="21"/>
                <w:szCs w:val="21"/>
                <w:color w:val="auto"/>
              </w:rPr>
              <w:t>$</w:t>
            </w:r>
          </w:p>
        </w:tc>
        <w:tc>
          <w:tcPr>
            <w:tcW w:w="6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w w:val="98"/>
              </w:rPr>
              <w:t>1,519</w:t>
            </w: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1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20,755</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456"/>
              <w:spacing w:after="0" w:line="237" w:lineRule="exact"/>
              <w:rPr>
                <w:sz w:val="20"/>
                <w:szCs w:val="20"/>
                <w:color w:val="auto"/>
              </w:rPr>
            </w:pPr>
            <w:r>
              <w:rPr>
                <w:rFonts w:ascii="Arial" w:cs="Arial" w:eastAsia="Arial" w:hAnsi="Arial"/>
                <w:sz w:val="21"/>
                <w:szCs w:val="21"/>
                <w:color w:val="auto"/>
              </w:rPr>
              <w:t>$</w:t>
            </w:r>
          </w:p>
        </w:tc>
        <w:tc>
          <w:tcPr>
            <w:tcW w:w="6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1,931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INVENTORIES</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Inventories consist of the following at:</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6660" w:type="dxa"/>
            <w:vAlign w:val="bottom"/>
          </w:tcPr>
          <w:p>
            <w:pPr>
              <w:spacing w:after="0"/>
              <w:rPr>
                <w:sz w:val="21"/>
                <w:szCs w:val="21"/>
                <w:color w:val="auto"/>
              </w:rPr>
            </w:pPr>
          </w:p>
        </w:tc>
        <w:tc>
          <w:tcPr>
            <w:tcW w:w="2080" w:type="dxa"/>
            <w:vAlign w:val="bottom"/>
            <w:gridSpan w:val="3"/>
          </w:tcPr>
          <w:p>
            <w:pPr>
              <w:ind w:left="180"/>
              <w:spacing w:after="0"/>
              <w:rPr>
                <w:sz w:val="20"/>
                <w:szCs w:val="20"/>
                <w:color w:val="auto"/>
              </w:rPr>
            </w:pPr>
            <w:r>
              <w:rPr>
                <w:rFonts w:ascii="Arial" w:cs="Arial" w:eastAsia="Arial" w:hAnsi="Arial"/>
                <w:sz w:val="21"/>
                <w:szCs w:val="21"/>
                <w:color w:val="auto"/>
              </w:rPr>
              <w:t>September 30,</w:t>
            </w:r>
          </w:p>
        </w:tc>
        <w:tc>
          <w:tcPr>
            <w:tcW w:w="1520" w:type="dxa"/>
            <w:vAlign w:val="bottom"/>
            <w:gridSpan w:val="2"/>
          </w:tcPr>
          <w:p>
            <w:pPr>
              <w:jc w:val="right"/>
              <w:ind w:right="76"/>
              <w:spacing w:after="0"/>
              <w:rPr>
                <w:sz w:val="20"/>
                <w:szCs w:val="20"/>
                <w:color w:val="auto"/>
              </w:rPr>
            </w:pPr>
            <w:r>
              <w:rPr>
                <w:rFonts w:ascii="Arial" w:cs="Arial" w:eastAsia="Arial" w:hAnsi="Arial"/>
                <w:sz w:val="21"/>
                <w:szCs w:val="21"/>
                <w:color w:val="auto"/>
              </w:rPr>
              <w:t>December 31,</w:t>
            </w:r>
          </w:p>
        </w:tc>
        <w:tc>
          <w:tcPr>
            <w:tcW w:w="0" w:type="dxa"/>
            <w:vAlign w:val="bottom"/>
          </w:tcPr>
          <w:p>
            <w:pPr>
              <w:spacing w:after="0"/>
              <w:rPr>
                <w:sz w:val="1"/>
                <w:szCs w:val="1"/>
                <w:color w:val="auto"/>
              </w:rPr>
            </w:pPr>
          </w:p>
        </w:tc>
      </w:tr>
      <w:tr>
        <w:trPr>
          <w:trHeight w:val="256"/>
        </w:trPr>
        <w:tc>
          <w:tcPr>
            <w:tcW w:w="6660" w:type="dxa"/>
            <w:vAlign w:val="bottom"/>
            <w:vMerge w:val="restart"/>
          </w:tcPr>
          <w:p>
            <w:pPr>
              <w:spacing w:after="0"/>
              <w:rPr>
                <w:sz w:val="20"/>
                <w:szCs w:val="20"/>
                <w:color w:val="auto"/>
              </w:rPr>
            </w:pPr>
            <w:r>
              <w:rPr>
                <w:rFonts w:ascii="Arial" w:cs="Arial" w:eastAsia="Arial" w:hAnsi="Arial"/>
                <w:sz w:val="21"/>
                <w:szCs w:val="21"/>
                <w:color w:val="auto"/>
              </w:rPr>
              <w:t>Raw materials</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21"/>
                <w:szCs w:val="21"/>
                <w:color w:val="auto"/>
              </w:rPr>
              <w:t>2013</w:t>
            </w:r>
          </w:p>
        </w:tc>
        <w:tc>
          <w:tcPr>
            <w:tcW w:w="5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21"/>
                <w:szCs w:val="21"/>
                <w:color w:val="auto"/>
              </w:rPr>
              <w:t>2012</w:t>
            </w:r>
          </w:p>
        </w:tc>
        <w:tc>
          <w:tcPr>
            <w:tcW w:w="0" w:type="dxa"/>
            <w:vAlign w:val="bottom"/>
          </w:tcPr>
          <w:p>
            <w:pPr>
              <w:spacing w:after="0"/>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400" w:type="dxa"/>
            <w:vAlign w:val="bottom"/>
          </w:tcPr>
          <w:p>
            <w:pPr>
              <w:jc w:val="right"/>
              <w:ind w:right="76"/>
              <w:spacing w:after="0" w:line="223" w:lineRule="exact"/>
              <w:rPr>
                <w:sz w:val="20"/>
                <w:szCs w:val="20"/>
                <w:color w:val="auto"/>
              </w:rPr>
            </w:pPr>
            <w:r>
              <w:rPr>
                <w:rFonts w:ascii="Arial" w:cs="Arial" w:eastAsia="Arial" w:hAnsi="Arial"/>
                <w:sz w:val="21"/>
                <w:szCs w:val="21"/>
                <w:color w:val="auto"/>
              </w:rPr>
              <w:t>$</w:t>
            </w:r>
          </w:p>
        </w:tc>
        <w:tc>
          <w:tcPr>
            <w:tcW w:w="1160" w:type="dxa"/>
            <w:vAlign w:val="bottom"/>
          </w:tcPr>
          <w:p>
            <w:pPr>
              <w:jc w:val="right"/>
              <w:spacing w:after="0" w:line="223" w:lineRule="exact"/>
              <w:rPr>
                <w:sz w:val="20"/>
                <w:szCs w:val="20"/>
                <w:color w:val="auto"/>
              </w:rPr>
            </w:pPr>
            <w:r>
              <w:rPr>
                <w:rFonts w:ascii="Arial" w:cs="Arial" w:eastAsia="Arial" w:hAnsi="Arial"/>
                <w:sz w:val="21"/>
                <w:szCs w:val="21"/>
                <w:color w:val="auto"/>
              </w:rPr>
              <w:t>76,914</w:t>
            </w:r>
          </w:p>
        </w:tc>
        <w:tc>
          <w:tcPr>
            <w:tcW w:w="520" w:type="dxa"/>
            <w:vAlign w:val="bottom"/>
          </w:tcPr>
          <w:p>
            <w:pPr>
              <w:spacing w:after="0"/>
              <w:rPr>
                <w:sz w:val="19"/>
                <w:szCs w:val="19"/>
                <w:color w:val="auto"/>
              </w:rPr>
            </w:pPr>
          </w:p>
        </w:tc>
        <w:tc>
          <w:tcPr>
            <w:tcW w:w="380" w:type="dxa"/>
            <w:vAlign w:val="bottom"/>
          </w:tcPr>
          <w:p>
            <w:pPr>
              <w:jc w:val="right"/>
              <w:ind w:right="76"/>
              <w:spacing w:after="0" w:line="223" w:lineRule="exact"/>
              <w:rPr>
                <w:sz w:val="20"/>
                <w:szCs w:val="20"/>
                <w:color w:val="auto"/>
              </w:rPr>
            </w:pPr>
            <w:r>
              <w:rPr>
                <w:rFonts w:ascii="Arial" w:cs="Arial" w:eastAsia="Arial" w:hAnsi="Arial"/>
                <w:sz w:val="21"/>
                <w:szCs w:val="21"/>
                <w:color w:val="auto"/>
              </w:rPr>
              <w:t>$</w:t>
            </w:r>
          </w:p>
        </w:tc>
        <w:tc>
          <w:tcPr>
            <w:tcW w:w="1140" w:type="dxa"/>
            <w:vAlign w:val="bottom"/>
          </w:tcPr>
          <w:p>
            <w:pPr>
              <w:jc w:val="right"/>
              <w:spacing w:after="0" w:line="223" w:lineRule="exact"/>
              <w:rPr>
                <w:sz w:val="20"/>
                <w:szCs w:val="20"/>
                <w:color w:val="auto"/>
              </w:rPr>
            </w:pPr>
            <w:r>
              <w:rPr>
                <w:rFonts w:ascii="Arial" w:cs="Arial" w:eastAsia="Arial" w:hAnsi="Arial"/>
                <w:sz w:val="21"/>
                <w:szCs w:val="21"/>
                <w:color w:val="auto"/>
              </w:rPr>
              <w:t>65,010</w:t>
            </w:r>
          </w:p>
        </w:tc>
        <w:tc>
          <w:tcPr>
            <w:tcW w:w="0" w:type="dxa"/>
            <w:vAlign w:val="bottom"/>
          </w:tcPr>
          <w:p>
            <w:pPr>
              <w:spacing w:after="0"/>
              <w:rPr>
                <w:sz w:val="1"/>
                <w:szCs w:val="1"/>
                <w:color w:val="auto"/>
              </w:rPr>
            </w:pPr>
          </w:p>
        </w:tc>
      </w:tr>
      <w:tr>
        <w:trPr>
          <w:trHeight w:val="256"/>
        </w:trPr>
        <w:tc>
          <w:tcPr>
            <w:tcW w:w="6660" w:type="dxa"/>
            <w:vAlign w:val="bottom"/>
          </w:tcPr>
          <w:p>
            <w:pPr>
              <w:spacing w:after="0"/>
              <w:rPr>
                <w:sz w:val="20"/>
                <w:szCs w:val="20"/>
                <w:color w:val="auto"/>
              </w:rPr>
            </w:pPr>
            <w:r>
              <w:rPr>
                <w:rFonts w:ascii="Arial" w:cs="Arial" w:eastAsia="Arial" w:hAnsi="Arial"/>
                <w:sz w:val="21"/>
                <w:szCs w:val="21"/>
                <w:color w:val="auto"/>
              </w:rPr>
              <w:t>Finished goods</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170,454</w:t>
            </w:r>
          </w:p>
        </w:tc>
        <w:tc>
          <w:tcPr>
            <w:tcW w:w="5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138,096</w:t>
            </w: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40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247,368</w:t>
            </w:r>
          </w:p>
        </w:tc>
        <w:tc>
          <w:tcPr>
            <w:tcW w:w="520" w:type="dxa"/>
            <w:vAlign w:val="bottom"/>
          </w:tcPr>
          <w:p>
            <w:pPr>
              <w:spacing w:after="0"/>
              <w:rPr>
                <w:sz w:val="20"/>
                <w:szCs w:val="20"/>
                <w:color w:val="auto"/>
              </w:rPr>
            </w:pPr>
          </w:p>
        </w:tc>
        <w:tc>
          <w:tcPr>
            <w:tcW w:w="38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203,106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660" w:hanging="634"/>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PROPERTY AND EQUIPMENT, Net</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Property and equipment consist of the following at: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gridSpan w:val="2"/>
          </w:tcPr>
          <w:p>
            <w:pPr>
              <w:ind w:left="20"/>
              <w:spacing w:after="0"/>
              <w:rPr>
                <w:sz w:val="20"/>
                <w:szCs w:val="20"/>
                <w:color w:val="auto"/>
              </w:rPr>
            </w:pPr>
            <w:r>
              <w:rPr>
                <w:rFonts w:ascii="Arial" w:cs="Arial" w:eastAsia="Arial" w:hAnsi="Arial"/>
                <w:sz w:val="21"/>
                <w:szCs w:val="21"/>
                <w:color w:val="auto"/>
              </w:rPr>
              <w:t>September 30,</w:t>
            </w:r>
          </w:p>
        </w:tc>
        <w:tc>
          <w:tcPr>
            <w:tcW w:w="240" w:type="dxa"/>
            <w:vAlign w:val="bottom"/>
          </w:tcPr>
          <w:p>
            <w:pPr>
              <w:spacing w:after="0"/>
              <w:rPr>
                <w:sz w:val="21"/>
                <w:szCs w:val="21"/>
                <w:color w:val="auto"/>
              </w:rPr>
            </w:pPr>
          </w:p>
        </w:tc>
        <w:tc>
          <w:tcPr>
            <w:tcW w:w="2220" w:type="dxa"/>
            <w:vAlign w:val="bottom"/>
            <w:gridSpan w:val="2"/>
          </w:tcPr>
          <w:p>
            <w:pPr>
              <w:ind w:left="20"/>
              <w:spacing w:after="0"/>
              <w:rPr>
                <w:sz w:val="20"/>
                <w:szCs w:val="20"/>
                <w:color w:val="auto"/>
              </w:rPr>
            </w:pPr>
            <w:r>
              <w:rPr>
                <w:rFonts w:ascii="Arial" w:cs="Arial" w:eastAsia="Arial" w:hAnsi="Arial"/>
                <w:sz w:val="21"/>
                <w:szCs w:val="21"/>
                <w:color w:val="auto"/>
              </w:rPr>
              <w:t>December 31,</w:t>
            </w:r>
          </w:p>
        </w:tc>
        <w:tc>
          <w:tcPr>
            <w:tcW w:w="0" w:type="dxa"/>
            <w:vAlign w:val="bottom"/>
          </w:tcPr>
          <w:p>
            <w:pPr>
              <w:spacing w:after="0"/>
              <w:rPr>
                <w:sz w:val="1"/>
                <w:szCs w:val="1"/>
                <w:color w:val="auto"/>
              </w:rPr>
            </w:pPr>
          </w:p>
        </w:tc>
      </w:tr>
      <w:tr>
        <w:trPr>
          <w:trHeight w:val="256"/>
        </w:trPr>
        <w:tc>
          <w:tcPr>
            <w:tcW w:w="5160" w:type="dxa"/>
            <w:vAlign w:val="bottom"/>
            <w:vMerge w:val="restart"/>
          </w:tcPr>
          <w:p>
            <w:pPr>
              <w:ind w:left="660"/>
              <w:spacing w:after="0"/>
              <w:rPr>
                <w:sz w:val="20"/>
                <w:szCs w:val="20"/>
                <w:color w:val="auto"/>
              </w:rPr>
            </w:pPr>
            <w:r>
              <w:rPr>
                <w:rFonts w:ascii="Arial" w:cs="Arial" w:eastAsia="Arial" w:hAnsi="Arial"/>
                <w:sz w:val="21"/>
                <w:szCs w:val="21"/>
                <w:color w:val="auto"/>
              </w:rPr>
              <w:t>Land</w:t>
            </w:r>
          </w:p>
        </w:tc>
        <w:tc>
          <w:tcPr>
            <w:tcW w:w="18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56"/>
              <w:spacing w:after="0"/>
              <w:rPr>
                <w:sz w:val="20"/>
                <w:szCs w:val="20"/>
                <w:color w:val="auto"/>
              </w:rPr>
            </w:pPr>
            <w:r>
              <w:rPr>
                <w:rFonts w:ascii="Arial" w:cs="Arial" w:eastAsia="Arial" w:hAnsi="Arial"/>
                <w:sz w:val="21"/>
                <w:szCs w:val="21"/>
                <w:color w:val="auto"/>
              </w:rPr>
              <w:t>2013</w:t>
            </w: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36"/>
              <w:spacing w:after="0"/>
              <w:rPr>
                <w:sz w:val="20"/>
                <w:szCs w:val="20"/>
                <w:color w:val="auto"/>
              </w:rPr>
            </w:pPr>
            <w:r>
              <w:rPr>
                <w:rFonts w:ascii="Arial" w:cs="Arial" w:eastAsia="Arial" w:hAnsi="Arial"/>
                <w:sz w:val="21"/>
                <w:szCs w:val="21"/>
                <w:color w:val="auto"/>
              </w:rPr>
              <w:t>2012</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480" w:type="dxa"/>
            <w:vAlign w:val="bottom"/>
          </w:tcPr>
          <w:p>
            <w:pPr>
              <w:jc w:val="right"/>
              <w:spacing w:after="0" w:line="223" w:lineRule="exact"/>
              <w:rPr>
                <w:sz w:val="20"/>
                <w:szCs w:val="20"/>
                <w:color w:val="auto"/>
              </w:rPr>
            </w:pPr>
            <w:r>
              <w:rPr>
                <w:rFonts w:ascii="Arial" w:cs="Arial" w:eastAsia="Arial" w:hAnsi="Arial"/>
                <w:sz w:val="21"/>
                <w:szCs w:val="21"/>
                <w:color w:val="auto"/>
              </w:rPr>
              <w:t>5,382</w:t>
            </w:r>
          </w:p>
        </w:tc>
        <w:tc>
          <w:tcPr>
            <w:tcW w:w="280" w:type="dxa"/>
            <w:vAlign w:val="bottom"/>
          </w:tcPr>
          <w:p>
            <w:pPr>
              <w:spacing w:after="0"/>
              <w:rPr>
                <w:sz w:val="19"/>
                <w:szCs w:val="19"/>
                <w:color w:val="auto"/>
              </w:rPr>
            </w:pPr>
          </w:p>
        </w:tc>
        <w:tc>
          <w:tcPr>
            <w:tcW w:w="24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460" w:type="dxa"/>
            <w:vAlign w:val="bottom"/>
          </w:tcPr>
          <w:p>
            <w:pPr>
              <w:jc w:val="right"/>
              <w:spacing w:after="0" w:line="223" w:lineRule="exact"/>
              <w:rPr>
                <w:sz w:val="20"/>
                <w:szCs w:val="20"/>
                <w:color w:val="auto"/>
              </w:rPr>
            </w:pPr>
            <w:r>
              <w:rPr>
                <w:rFonts w:ascii="Arial" w:cs="Arial" w:eastAsia="Arial" w:hAnsi="Arial"/>
                <w:sz w:val="21"/>
                <w:szCs w:val="21"/>
                <w:color w:val="auto"/>
              </w:rPr>
              <w:t>5,382</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660"/>
              <w:spacing w:after="0"/>
              <w:rPr>
                <w:sz w:val="20"/>
                <w:szCs w:val="20"/>
                <w:color w:val="auto"/>
              </w:rPr>
            </w:pPr>
            <w:r>
              <w:rPr>
                <w:rFonts w:ascii="Arial" w:cs="Arial" w:eastAsia="Arial" w:hAnsi="Arial"/>
                <w:sz w:val="21"/>
                <w:szCs w:val="21"/>
                <w:color w:val="auto"/>
              </w:rPr>
              <w:t>Leasehold improvements</w:t>
            </w: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1"/>
                <w:szCs w:val="21"/>
                <w:color w:val="auto"/>
              </w:rPr>
              <w:t>1,673</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1"/>
                <w:szCs w:val="21"/>
                <w:color w:val="auto"/>
              </w:rPr>
              <w:t>2,300</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660"/>
              <w:spacing w:after="0"/>
              <w:rPr>
                <w:sz w:val="20"/>
                <w:szCs w:val="20"/>
                <w:color w:val="auto"/>
              </w:rPr>
            </w:pPr>
            <w:r>
              <w:rPr>
                <w:rFonts w:ascii="Arial" w:cs="Arial" w:eastAsia="Arial" w:hAnsi="Arial"/>
                <w:sz w:val="21"/>
                <w:szCs w:val="21"/>
                <w:color w:val="auto"/>
              </w:rPr>
              <w:t>Furniture and fixtures</w:t>
            </w: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1"/>
                <w:szCs w:val="21"/>
                <w:color w:val="auto"/>
              </w:rPr>
              <w:t>4,279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1"/>
                <w:szCs w:val="21"/>
                <w:color w:val="auto"/>
              </w:rPr>
              <w:t>2,087</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660"/>
              <w:spacing w:after="0"/>
              <w:rPr>
                <w:sz w:val="20"/>
                <w:szCs w:val="20"/>
                <w:color w:val="auto"/>
              </w:rPr>
            </w:pPr>
            <w:r>
              <w:rPr>
                <w:rFonts w:ascii="Arial" w:cs="Arial" w:eastAsia="Arial" w:hAnsi="Arial"/>
                <w:sz w:val="21"/>
                <w:szCs w:val="21"/>
                <w:color w:val="auto"/>
              </w:rPr>
              <w:t>Office and computer equipment</w:t>
            </w: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1"/>
                <w:szCs w:val="21"/>
                <w:color w:val="auto"/>
              </w:rPr>
              <w:t>14,004</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1"/>
                <w:szCs w:val="21"/>
                <w:color w:val="auto"/>
              </w:rPr>
              <w:t>8,981</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660"/>
              <w:spacing w:after="0"/>
              <w:rPr>
                <w:sz w:val="20"/>
                <w:szCs w:val="20"/>
                <w:color w:val="auto"/>
              </w:rPr>
            </w:pPr>
            <w:r>
              <w:rPr>
                <w:rFonts w:ascii="Arial" w:cs="Arial" w:eastAsia="Arial" w:hAnsi="Arial"/>
                <w:sz w:val="21"/>
                <w:szCs w:val="21"/>
                <w:color w:val="auto"/>
              </w:rPr>
              <w:t>Computer software</w:t>
            </w: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1"/>
                <w:szCs w:val="21"/>
                <w:color w:val="auto"/>
              </w:rPr>
              <w:t>933</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1"/>
                <w:szCs w:val="21"/>
                <w:color w:val="auto"/>
              </w:rPr>
              <w:t>1,135</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660"/>
              <w:spacing w:after="0"/>
              <w:rPr>
                <w:sz w:val="20"/>
                <w:szCs w:val="20"/>
                <w:color w:val="auto"/>
              </w:rPr>
            </w:pPr>
            <w:r>
              <w:rPr>
                <w:rFonts w:ascii="Arial" w:cs="Arial" w:eastAsia="Arial" w:hAnsi="Arial"/>
                <w:sz w:val="21"/>
                <w:szCs w:val="21"/>
                <w:color w:val="auto"/>
              </w:rPr>
              <w:t>Equipment</w:t>
            </w: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1"/>
                <w:szCs w:val="21"/>
                <w:color w:val="auto"/>
              </w:rPr>
              <w:t>59,411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1"/>
                <w:szCs w:val="21"/>
                <w:color w:val="auto"/>
              </w:rPr>
              <w:t>48,427</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660"/>
              <w:spacing w:after="0"/>
              <w:rPr>
                <w:sz w:val="20"/>
                <w:szCs w:val="20"/>
                <w:color w:val="auto"/>
              </w:rPr>
            </w:pPr>
            <w:r>
              <w:rPr>
                <w:rFonts w:ascii="Arial" w:cs="Arial" w:eastAsia="Arial" w:hAnsi="Arial"/>
                <w:sz w:val="21"/>
                <w:szCs w:val="21"/>
                <w:color w:val="auto"/>
              </w:rPr>
              <w:t>Buildings</w:t>
            </w: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1"/>
                <w:szCs w:val="21"/>
                <w:color w:val="auto"/>
              </w:rPr>
              <w:t>33,309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1"/>
                <w:szCs w:val="21"/>
                <w:color w:val="auto"/>
              </w:rPr>
              <w:t>21,998</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Pr>
          <w:p>
            <w:pPr>
              <w:ind w:left="660"/>
              <w:spacing w:after="0"/>
              <w:rPr>
                <w:sz w:val="20"/>
                <w:szCs w:val="20"/>
                <w:color w:val="auto"/>
              </w:rPr>
            </w:pPr>
            <w:r>
              <w:rPr>
                <w:rFonts w:ascii="Arial" w:cs="Arial" w:eastAsia="Arial" w:hAnsi="Arial"/>
                <w:sz w:val="21"/>
                <w:szCs w:val="21"/>
                <w:color w:val="auto"/>
              </w:rPr>
              <w:t>Vehicles</w:t>
            </w:r>
          </w:p>
        </w:tc>
        <w:tc>
          <w:tcPr>
            <w:tcW w:w="18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29,862</w:t>
            </w: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26,037</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line="223" w:lineRule="exact"/>
              <w:rPr>
                <w:sz w:val="20"/>
                <w:szCs w:val="20"/>
                <w:color w:val="auto"/>
              </w:rPr>
            </w:pPr>
            <w:r>
              <w:rPr>
                <w:rFonts w:ascii="Arial" w:cs="Arial" w:eastAsia="Arial" w:hAnsi="Arial"/>
                <w:sz w:val="21"/>
                <w:szCs w:val="21"/>
                <w:color w:val="auto"/>
              </w:rPr>
              <w:t>148,853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line="223" w:lineRule="exact"/>
              <w:rPr>
                <w:sz w:val="20"/>
                <w:szCs w:val="20"/>
                <w:color w:val="auto"/>
              </w:rPr>
            </w:pPr>
            <w:r>
              <w:rPr>
                <w:rFonts w:ascii="Arial" w:cs="Arial" w:eastAsia="Arial" w:hAnsi="Arial"/>
                <w:sz w:val="21"/>
                <w:szCs w:val="21"/>
                <w:color w:val="auto"/>
              </w:rPr>
              <w:t>116,347</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160" w:type="dxa"/>
            <w:vAlign w:val="bottom"/>
          </w:tcPr>
          <w:p>
            <w:pPr>
              <w:ind w:left="660"/>
              <w:spacing w:after="0"/>
              <w:rPr>
                <w:sz w:val="20"/>
                <w:szCs w:val="20"/>
                <w:color w:val="auto"/>
              </w:rPr>
            </w:pPr>
            <w:r>
              <w:rPr>
                <w:rFonts w:ascii="Arial" w:cs="Arial" w:eastAsia="Arial" w:hAnsi="Arial"/>
                <w:sz w:val="21"/>
                <w:szCs w:val="21"/>
                <w:color w:val="auto"/>
                <w:w w:val="98"/>
              </w:rPr>
              <w:t>Less: accumulated depreciation and amortization</w:t>
            </w:r>
          </w:p>
        </w:tc>
        <w:tc>
          <w:tcPr>
            <w:tcW w:w="1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21"/>
                <w:szCs w:val="21"/>
                <w:color w:val="auto"/>
              </w:rPr>
              <w:t>(60,358)</w:t>
            </w:r>
          </w:p>
        </w:tc>
        <w:tc>
          <w:tcPr>
            <w:tcW w:w="240" w:type="dxa"/>
            <w:vAlign w:val="bottom"/>
          </w:tcPr>
          <w:p>
            <w:pPr>
              <w:spacing w:after="0"/>
              <w:rPr>
                <w:sz w:val="22"/>
                <w:szCs w:val="22"/>
                <w:color w:val="auto"/>
              </w:rPr>
            </w:pPr>
          </w:p>
        </w:tc>
        <w:tc>
          <w:tcPr>
            <w:tcW w:w="2220" w:type="dxa"/>
            <w:vAlign w:val="bottom"/>
            <w:gridSpan w:val="2"/>
          </w:tcPr>
          <w:p>
            <w:pPr>
              <w:jc w:val="right"/>
              <w:ind w:right="760"/>
              <w:spacing w:after="0"/>
              <w:rPr>
                <w:sz w:val="20"/>
                <w:szCs w:val="20"/>
                <w:color w:val="auto"/>
              </w:rPr>
            </w:pPr>
            <w:r>
              <w:rPr>
                <w:rFonts w:ascii="Arial" w:cs="Arial" w:eastAsia="Arial" w:hAnsi="Arial"/>
                <w:sz w:val="21"/>
                <w:szCs w:val="21"/>
                <w:color w:val="auto"/>
              </w:rPr>
              <w:t>(47,210)</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4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88,495</w:t>
            </w: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4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69,137</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40" w:type="dxa"/>
            <w:vAlign w:val="bottom"/>
            <w:vMerge w:val="restart"/>
          </w:tcPr>
          <w:p>
            <w:pPr>
              <w:jc w:val="right"/>
              <w:ind w:right="111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6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6" w:right="19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60"/>
          </w:cols>
          <w:pgMar w:left="240" w:top="126" w:right="199" w:bottom="0" w:gutter="0" w:footer="0" w:header="0"/>
          <w:type w:val="continuous"/>
        </w:sectPr>
      </w:pPr>
    </w:p>
    <w:bookmarkStart w:id="10" w:name="page11"/>
    <w:bookmarkEnd w:id="10"/>
    <w:p>
      <w:pPr>
        <w:ind w:left="660" w:hanging="652"/>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INTANGIBLES, Net</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Intangibles consist of the following at:</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6680" w:type="dxa"/>
            <w:vAlign w:val="bottom"/>
          </w:tcPr>
          <w:p>
            <w:pPr>
              <w:spacing w:after="0"/>
              <w:rPr>
                <w:sz w:val="21"/>
                <w:szCs w:val="21"/>
                <w:color w:val="auto"/>
              </w:rPr>
            </w:pPr>
          </w:p>
        </w:tc>
        <w:tc>
          <w:tcPr>
            <w:tcW w:w="2060" w:type="dxa"/>
            <w:vAlign w:val="bottom"/>
            <w:gridSpan w:val="3"/>
          </w:tcPr>
          <w:p>
            <w:pPr>
              <w:jc w:val="right"/>
              <w:ind w:right="680"/>
              <w:spacing w:after="0"/>
              <w:rPr>
                <w:sz w:val="20"/>
                <w:szCs w:val="20"/>
                <w:color w:val="auto"/>
              </w:rPr>
            </w:pPr>
            <w:r>
              <w:rPr>
                <w:rFonts w:ascii="Arial" w:cs="Arial" w:eastAsia="Arial" w:hAnsi="Arial"/>
                <w:sz w:val="21"/>
                <w:szCs w:val="21"/>
                <w:color w:val="auto"/>
                <w:w w:val="98"/>
              </w:rPr>
              <w:t>September 30,</w:t>
            </w:r>
          </w:p>
        </w:tc>
        <w:tc>
          <w:tcPr>
            <w:tcW w:w="1520" w:type="dxa"/>
            <w:vAlign w:val="bottom"/>
            <w:gridSpan w:val="2"/>
          </w:tcPr>
          <w:p>
            <w:pPr>
              <w:jc w:val="right"/>
              <w:ind w:right="76"/>
              <w:spacing w:after="0"/>
              <w:rPr>
                <w:sz w:val="20"/>
                <w:szCs w:val="20"/>
                <w:color w:val="auto"/>
              </w:rPr>
            </w:pPr>
            <w:r>
              <w:rPr>
                <w:rFonts w:ascii="Arial" w:cs="Arial" w:eastAsia="Arial" w:hAnsi="Arial"/>
                <w:sz w:val="21"/>
                <w:szCs w:val="21"/>
                <w:color w:val="auto"/>
              </w:rPr>
              <w:t>December 31,</w:t>
            </w:r>
          </w:p>
        </w:tc>
        <w:tc>
          <w:tcPr>
            <w:tcW w:w="0" w:type="dxa"/>
            <w:vAlign w:val="bottom"/>
          </w:tcPr>
          <w:p>
            <w:pPr>
              <w:spacing w:after="0"/>
              <w:rPr>
                <w:sz w:val="1"/>
                <w:szCs w:val="1"/>
                <w:color w:val="auto"/>
              </w:rPr>
            </w:pPr>
          </w:p>
        </w:tc>
      </w:tr>
      <w:tr>
        <w:trPr>
          <w:trHeight w:val="256"/>
        </w:trPr>
        <w:tc>
          <w:tcPr>
            <w:tcW w:w="6680" w:type="dxa"/>
            <w:vAlign w:val="bottom"/>
            <w:vMerge w:val="restart"/>
          </w:tcPr>
          <w:p>
            <w:pPr>
              <w:spacing w:after="0"/>
              <w:rPr>
                <w:sz w:val="20"/>
                <w:szCs w:val="20"/>
                <w:color w:val="auto"/>
              </w:rPr>
            </w:pPr>
            <w:r>
              <w:rPr>
                <w:rFonts w:ascii="Arial" w:cs="Arial" w:eastAsia="Arial" w:hAnsi="Arial"/>
                <w:sz w:val="21"/>
                <w:szCs w:val="21"/>
                <w:color w:val="auto"/>
              </w:rPr>
              <w:t>Amortizing intangibles</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21"/>
                <w:szCs w:val="21"/>
                <w:color w:val="auto"/>
              </w:rPr>
              <w:t>2013</w:t>
            </w:r>
          </w:p>
        </w:tc>
        <w:tc>
          <w:tcPr>
            <w:tcW w:w="5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21"/>
                <w:szCs w:val="21"/>
                <w:color w:val="auto"/>
              </w:rPr>
              <w:t>2012</w:t>
            </w:r>
          </w:p>
        </w:tc>
        <w:tc>
          <w:tcPr>
            <w:tcW w:w="0" w:type="dxa"/>
            <w:vAlign w:val="bottom"/>
          </w:tcPr>
          <w:p>
            <w:pPr>
              <w:spacing w:after="0"/>
              <w:rPr>
                <w:sz w:val="1"/>
                <w:szCs w:val="1"/>
                <w:color w:val="auto"/>
              </w:rPr>
            </w:pPr>
          </w:p>
        </w:tc>
      </w:tr>
      <w:tr>
        <w:trPr>
          <w:trHeight w:val="223"/>
        </w:trPr>
        <w:tc>
          <w:tcPr>
            <w:tcW w:w="6680" w:type="dxa"/>
            <w:vAlign w:val="bottom"/>
            <w:vMerge w:val="continue"/>
          </w:tcPr>
          <w:p>
            <w:pPr>
              <w:spacing w:after="0"/>
              <w:rPr>
                <w:sz w:val="19"/>
                <w:szCs w:val="19"/>
                <w:color w:val="auto"/>
              </w:rPr>
            </w:pPr>
          </w:p>
        </w:tc>
        <w:tc>
          <w:tcPr>
            <w:tcW w:w="400" w:type="dxa"/>
            <w:vAlign w:val="bottom"/>
          </w:tcPr>
          <w:p>
            <w:pPr>
              <w:jc w:val="right"/>
              <w:ind w:right="96"/>
              <w:spacing w:after="0" w:line="223" w:lineRule="exact"/>
              <w:rPr>
                <w:sz w:val="20"/>
                <w:szCs w:val="20"/>
                <w:color w:val="auto"/>
              </w:rPr>
            </w:pPr>
            <w:r>
              <w:rPr>
                <w:rFonts w:ascii="Arial" w:cs="Arial" w:eastAsia="Arial" w:hAnsi="Arial"/>
                <w:sz w:val="21"/>
                <w:szCs w:val="21"/>
                <w:color w:val="auto"/>
              </w:rPr>
              <w:t>$</w:t>
            </w:r>
          </w:p>
        </w:tc>
        <w:tc>
          <w:tcPr>
            <w:tcW w:w="1160" w:type="dxa"/>
            <w:vAlign w:val="bottom"/>
          </w:tcPr>
          <w:p>
            <w:pPr>
              <w:jc w:val="right"/>
              <w:spacing w:after="0" w:line="223" w:lineRule="exact"/>
              <w:rPr>
                <w:sz w:val="20"/>
                <w:szCs w:val="20"/>
                <w:color w:val="auto"/>
              </w:rPr>
            </w:pPr>
            <w:r>
              <w:rPr>
                <w:rFonts w:ascii="Arial" w:cs="Arial" w:eastAsia="Arial" w:hAnsi="Arial"/>
                <w:sz w:val="21"/>
                <w:szCs w:val="21"/>
                <w:color w:val="auto"/>
              </w:rPr>
              <w:t>1,061</w:t>
            </w:r>
          </w:p>
        </w:tc>
        <w:tc>
          <w:tcPr>
            <w:tcW w:w="500" w:type="dxa"/>
            <w:vAlign w:val="bottom"/>
          </w:tcPr>
          <w:p>
            <w:pPr>
              <w:spacing w:after="0"/>
              <w:rPr>
                <w:sz w:val="19"/>
                <w:szCs w:val="19"/>
                <w:color w:val="auto"/>
              </w:rPr>
            </w:pPr>
          </w:p>
        </w:tc>
        <w:tc>
          <w:tcPr>
            <w:tcW w:w="380" w:type="dxa"/>
            <w:vAlign w:val="bottom"/>
          </w:tcPr>
          <w:p>
            <w:pPr>
              <w:jc w:val="right"/>
              <w:ind w:right="76"/>
              <w:spacing w:after="0" w:line="223" w:lineRule="exact"/>
              <w:rPr>
                <w:sz w:val="20"/>
                <w:szCs w:val="20"/>
                <w:color w:val="auto"/>
              </w:rPr>
            </w:pPr>
            <w:r>
              <w:rPr>
                <w:rFonts w:ascii="Arial" w:cs="Arial" w:eastAsia="Arial" w:hAnsi="Arial"/>
                <w:sz w:val="21"/>
                <w:szCs w:val="21"/>
                <w:color w:val="auto"/>
              </w:rPr>
              <w:t>$</w:t>
            </w:r>
          </w:p>
        </w:tc>
        <w:tc>
          <w:tcPr>
            <w:tcW w:w="1140" w:type="dxa"/>
            <w:vAlign w:val="bottom"/>
          </w:tcPr>
          <w:p>
            <w:pPr>
              <w:jc w:val="right"/>
              <w:spacing w:after="0" w:line="223" w:lineRule="exact"/>
              <w:rPr>
                <w:sz w:val="20"/>
                <w:szCs w:val="20"/>
                <w:color w:val="auto"/>
              </w:rPr>
            </w:pPr>
            <w:r>
              <w:rPr>
                <w:rFonts w:ascii="Arial" w:cs="Arial" w:eastAsia="Arial" w:hAnsi="Arial"/>
                <w:sz w:val="21"/>
                <w:szCs w:val="21"/>
                <w:color w:val="auto"/>
              </w:rPr>
              <w:t>1,061</w:t>
            </w:r>
          </w:p>
        </w:tc>
        <w:tc>
          <w:tcPr>
            <w:tcW w:w="0" w:type="dxa"/>
            <w:vAlign w:val="bottom"/>
          </w:tcPr>
          <w:p>
            <w:pPr>
              <w:spacing w:after="0"/>
              <w:rPr>
                <w:sz w:val="1"/>
                <w:szCs w:val="1"/>
                <w:color w:val="auto"/>
              </w:rPr>
            </w:pPr>
          </w:p>
        </w:tc>
      </w:tr>
      <w:tr>
        <w:trPr>
          <w:trHeight w:val="256"/>
        </w:trPr>
        <w:tc>
          <w:tcPr>
            <w:tcW w:w="6680" w:type="dxa"/>
            <w:vAlign w:val="bottom"/>
          </w:tcPr>
          <w:p>
            <w:pPr>
              <w:spacing w:after="0"/>
              <w:rPr>
                <w:sz w:val="20"/>
                <w:szCs w:val="20"/>
                <w:color w:val="auto"/>
              </w:rPr>
            </w:pPr>
            <w:r>
              <w:rPr>
                <w:rFonts w:ascii="Arial" w:cs="Arial" w:eastAsia="Arial" w:hAnsi="Arial"/>
                <w:sz w:val="21"/>
                <w:szCs w:val="21"/>
                <w:color w:val="auto"/>
              </w:rPr>
              <w:t>Accumulated amortization</w:t>
            </w:r>
          </w:p>
        </w:tc>
        <w:tc>
          <w:tcPr>
            <w:tcW w:w="400" w:type="dxa"/>
            <w:vAlign w:val="bottom"/>
          </w:tcPr>
          <w:p>
            <w:pPr>
              <w:spacing w:after="0"/>
              <w:rPr>
                <w:sz w:val="22"/>
                <w:szCs w:val="22"/>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21"/>
                <w:szCs w:val="21"/>
                <w:color w:val="auto"/>
              </w:rPr>
              <w:t>(589)</w:t>
            </w:r>
          </w:p>
        </w:tc>
        <w:tc>
          <w:tcPr>
            <w:tcW w:w="3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(553)</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472</w:t>
            </w:r>
          </w:p>
        </w:tc>
        <w:tc>
          <w:tcPr>
            <w:tcW w:w="5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1"/>
                <w:szCs w:val="21"/>
                <w:color w:val="auto"/>
              </w:rPr>
              <w:t>508</w:t>
            </w:r>
          </w:p>
        </w:tc>
        <w:tc>
          <w:tcPr>
            <w:tcW w:w="0" w:type="dxa"/>
            <w:vAlign w:val="bottom"/>
          </w:tcPr>
          <w:p>
            <w:pPr>
              <w:spacing w:after="0"/>
              <w:rPr>
                <w:sz w:val="1"/>
                <w:szCs w:val="1"/>
                <w:color w:val="auto"/>
              </w:rPr>
            </w:pPr>
          </w:p>
        </w:tc>
      </w:tr>
      <w:tr>
        <w:trPr>
          <w:trHeight w:val="256"/>
        </w:trPr>
        <w:tc>
          <w:tcPr>
            <w:tcW w:w="6680" w:type="dxa"/>
            <w:vAlign w:val="bottom"/>
          </w:tcPr>
          <w:p>
            <w:pPr>
              <w:spacing w:after="0"/>
              <w:rPr>
                <w:sz w:val="20"/>
                <w:szCs w:val="20"/>
                <w:color w:val="auto"/>
              </w:rPr>
            </w:pPr>
            <w:r>
              <w:rPr>
                <w:rFonts w:ascii="Arial" w:cs="Arial" w:eastAsia="Arial" w:hAnsi="Arial"/>
                <w:sz w:val="21"/>
                <w:szCs w:val="21"/>
                <w:color w:val="auto"/>
              </w:rPr>
              <w:t>Non-amortizing intangibles</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63,141</w:t>
            </w:r>
          </w:p>
        </w:tc>
        <w:tc>
          <w:tcPr>
            <w:tcW w:w="5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54,140</w:t>
            </w: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400" w:type="dxa"/>
            <w:vAlign w:val="bottom"/>
            <w:tcBorders>
              <w:bottom w:val="single" w:sz="8" w:color="auto"/>
            </w:tcBorders>
          </w:tcPr>
          <w:p>
            <w:pPr>
              <w:jc w:val="right"/>
              <w:ind w:right="96"/>
              <w:spacing w:after="0" w:line="237" w:lineRule="exact"/>
              <w:rPr>
                <w:sz w:val="20"/>
                <w:szCs w:val="20"/>
                <w:color w:val="auto"/>
              </w:rPr>
            </w:pPr>
            <w:r>
              <w:rPr>
                <w:rFonts w:ascii="Arial" w:cs="Arial" w:eastAsia="Arial" w:hAnsi="Arial"/>
                <w:sz w:val="21"/>
                <w:szCs w:val="21"/>
                <w:color w:val="auto"/>
              </w:rPr>
              <w:t>$</w:t>
            </w:r>
          </w:p>
        </w:tc>
        <w:tc>
          <w:tcPr>
            <w:tcW w:w="1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63,613</w:t>
            </w:r>
          </w:p>
        </w:tc>
        <w:tc>
          <w:tcPr>
            <w:tcW w:w="500" w:type="dxa"/>
            <w:vAlign w:val="bottom"/>
          </w:tcPr>
          <w:p>
            <w:pPr>
              <w:spacing w:after="0"/>
              <w:rPr>
                <w:sz w:val="20"/>
                <w:szCs w:val="20"/>
                <w:color w:val="auto"/>
              </w:rPr>
            </w:pPr>
          </w:p>
        </w:tc>
        <w:tc>
          <w:tcPr>
            <w:tcW w:w="38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54,648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All amortizing intangibles have been assigned an estimated useful life and such intangibles are amortized on a straight-line basis over the number of years that approximate their respective useful lives ranging from one to 25 years (weighted-average life of 20 years). Amortization expense was $0.01 million for both the three-months ended September 30, 2013 and September 30, 2012. Amortization expense was $0.04 million for both the nine-months ended September 30, 2013 and September 30, 2012.</w:t>
      </w:r>
    </w:p>
    <w:p>
      <w:pPr>
        <w:spacing w:after="0" w:line="17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DISTRIBUTION AGREEMENTS</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Pursuant to new and/or amended distribution agreements entered into with certain distributors, amounts of $9.7 million from such distributors, relating to the costs associated with terminating agreements with the Company’s prior distributors, were recorded for the nine-months ended September 30, 2013. Such amounts have been accounted for as deferred revenue in the accompanying condensed consolidated balance sheets and are recognized as revenue ratably over the anticipated life of the respective distribution agreement, generally 20 years. Revenue recognized was $2.0 million and $1.9 million for the three-months ended September 30, 2013 and 2012, respectively. Revenue recognized was $6.3 million for both the nine-months ended September 30, 2013 and 2012, respectively.</w:t>
      </w:r>
    </w:p>
    <w:p>
      <w:pPr>
        <w:spacing w:after="0" w:line="21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Company incurred termination costs to certain of its prior distributors amounting to $0.4 million and $0.01 million in aggregate for the three-months ended September 30, 2013 and 2012, respectively. The Company incurred termination costs to certain of its prior distributors amounting to $10.7 million and $0.6 million in aggregate for the nine-months ended September 30, 2013 and 2012, respectively. Such termination costs have been expensed in full and are included in operating expenses for the three- and nine-months ended September 30, 2013 and 2012. Accrued distributor terminations included in accrued liabilities in the accompanying consolidated balance sheets as of September 30, 2013 and December 31, 2012 were $4.3 million and $0.9 million, respectively.</w:t>
      </w:r>
    </w:p>
    <w:p>
      <w:pPr>
        <w:spacing w:after="0" w:line="21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COMMITMENTS AND CONTINGENCIES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had purchase commitments aggregating approximately $34.9 million at September 30, 2013, which represented commitments made by the Company and its subsidiaries to various suppliers of raw materials for the production of its products. These obligations vary in terms, but are generally satisfied within one year.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Company had contractual obligations aggregating approximately $74.9 million at September 30, 2013, which related primarily to sponsorships and other marketing activities.</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Company had operating lease commitments aggregating approximately $16.7 million at September 30, 2013, which related primarily to warehouse and office space.</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On August 12, 2013, the Company moved into its new corporate headquarters located in Corona, CA, which was previously acquired by the Company in October 2012.</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i w:val="1"/>
          <w:iCs w:val="1"/>
          <w:color w:val="auto"/>
        </w:rPr>
        <w:t xml:space="preserve">Value Added Tax (“VAT”) </w:t>
      </w:r>
      <w:r>
        <w:rPr>
          <w:rFonts w:ascii="Arial" w:cs="Arial" w:eastAsia="Arial" w:hAnsi="Arial"/>
          <w:sz w:val="19"/>
          <w:szCs w:val="19"/>
          <w:color w:val="auto"/>
        </w:rPr>
        <w:t>– The Company is seeking guidance from Her Majesty’s Revenue &amp; Customs (“HMRC”), the</w:t>
      </w:r>
      <w:r>
        <w:rPr>
          <w:rFonts w:ascii="Arial" w:cs="Arial" w:eastAsia="Arial" w:hAnsi="Arial"/>
          <w:sz w:val="19"/>
          <w:szCs w:val="19"/>
          <w:i w:val="1"/>
          <w:iCs w:val="1"/>
          <w:color w:val="auto"/>
        </w:rPr>
        <w:t xml:space="preserve"> </w:t>
      </w:r>
      <w:r>
        <w:rPr>
          <w:rFonts w:ascii="Arial" w:cs="Arial" w:eastAsia="Arial" w:hAnsi="Arial"/>
          <w:sz w:val="19"/>
          <w:szCs w:val="19"/>
          <w:color w:val="auto"/>
        </w:rPr>
        <w:t>VAT taxing authority in the United Kingdom, to ascertain if the Company should have charged VAT to certain customers in the United Kingdom on a portion of the Company’s sales to those customers beginning in 2010. If HMRC determines that the Company should have charged VAT on such sales, the VAT would represent only a pass-through tax to our customers in the United Kingdom. Therefore, any related adjustment should represent an accounts receivable and accounts payable gross-up on the balance sheet and have no impact on the Company’s results of operations. The Company estimates the maximum amount of the potential VAT pass-through tax to be $47.1 million at September 30, 2013 ($33.2 million at December 31, 2012). If HMRC determines that</w:t>
      </w:r>
    </w:p>
    <w:p>
      <w:pPr>
        <w:sectPr>
          <w:pgSz w:w="11900" w:h="16838" w:orient="portrait"/>
          <w:cols w:equalWidth="0" w:num="1">
            <w:col w:w="11420"/>
          </w:cols>
          <w:pgMar w:left="240" w:top="361" w:right="239" w:bottom="0" w:gutter="0" w:footer="0" w:header="0"/>
        </w:sectPr>
      </w:pPr>
    </w:p>
    <w:bookmarkStart w:id="11" w:name="page12"/>
    <w:bookmarkEnd w:id="11"/>
    <w:p>
      <w:pPr>
        <w:jc w:val="both"/>
        <w:spacing w:after="0" w:line="329" w:lineRule="auto"/>
        <w:rPr>
          <w:sz w:val="20"/>
          <w:szCs w:val="20"/>
          <w:color w:val="auto"/>
        </w:rPr>
      </w:pPr>
      <w:r>
        <w:rPr>
          <w:rFonts w:ascii="Arial" w:cs="Arial" w:eastAsia="Arial" w:hAnsi="Arial"/>
          <w:sz w:val="19"/>
          <w:szCs w:val="19"/>
          <w:color w:val="auto"/>
        </w:rPr>
        <w:t>the Company should have charged VAT on such sales, it is possible that a tax penalty may be assessed by HMRC. However, the Company believes any such penalty would not have a material impact on its financial position, results of operations or liquidity.</w:t>
      </w:r>
    </w:p>
    <w:p>
      <w:pPr>
        <w:spacing w:after="0" w:line="13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i w:val="1"/>
          <w:iCs w:val="1"/>
          <w:color w:val="auto"/>
        </w:rPr>
        <w:t xml:space="preserve">Litigation </w:t>
      </w:r>
      <w:r>
        <w:rPr>
          <w:rFonts w:ascii="Arial" w:cs="Arial" w:eastAsia="Arial" w:hAnsi="Arial"/>
          <w:sz w:val="19"/>
          <w:szCs w:val="19"/>
          <w:color w:val="auto"/>
        </w:rPr>
        <w:t>– In May 2009, Avraham Wellman, purporting to act on behalf of himself and a class of consumers in Canada,</w:t>
      </w:r>
      <w:r>
        <w:rPr>
          <w:rFonts w:ascii="Arial" w:cs="Arial" w:eastAsia="Arial" w:hAnsi="Arial"/>
          <w:sz w:val="19"/>
          <w:szCs w:val="19"/>
          <w:i w:val="1"/>
          <w:iCs w:val="1"/>
          <w:color w:val="auto"/>
        </w:rPr>
        <w:t xml:space="preserve"> </w:t>
      </w:r>
      <w:r>
        <w:rPr>
          <w:rFonts w:ascii="Arial" w:cs="Arial" w:eastAsia="Arial" w:hAnsi="Arial"/>
          <w:sz w:val="19"/>
          <w:szCs w:val="19"/>
          <w:color w:val="auto"/>
        </w:rPr>
        <w:t>filed a putative class action in the Ontario Superior Court of Justice, in the City of Toronto, Ontario, Canada, against the Company and its former Canadian distributor, Pepsi-Cola Canada Ltd., as defendants (the “Wellman Action”).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 been filed. The Company believes that any such damages, if awarded, would not have a material adverse effect on the Company’s financial position or results of operations.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On October 17, 2012, Wendy Crossland and Richard Fournier filed a lawsuit in the Superior Court of the State of California, County of Riverside, styled </w:t>
      </w:r>
      <w:r>
        <w:rPr>
          <w:rFonts w:ascii="Arial" w:cs="Arial" w:eastAsia="Arial" w:hAnsi="Arial"/>
          <w:sz w:val="21"/>
          <w:szCs w:val="21"/>
          <w:i w:val="1"/>
          <w:iCs w:val="1"/>
          <w:color w:val="auto"/>
        </w:rPr>
        <w:t>Wendy Crossland and Richard Fournier v. Monster Beverage Corporation</w:t>
      </w:r>
      <w:r>
        <w:rPr>
          <w:rFonts w:ascii="Arial" w:cs="Arial" w:eastAsia="Arial" w:hAnsi="Arial"/>
          <w:sz w:val="21"/>
          <w:szCs w:val="21"/>
          <w:color w:val="auto"/>
        </w:rPr>
        <w:t>,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filed a demurrer and a motion to strike the plaintiffs’ complaint on November 19, 2012, and the plaintiffs filed a first amended complaint on December 19, 2012. The Company filed its answer to the first amended complaint on June 7, 2013. The court set a mediation completion date of November 26, 2013 and indicated that if the parties needed additional time to complete the mediation, the mediation could be scheduled for a later date. Discovery has commenced but no trial date has been set.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21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Company has also been named as a defendant in other complaints containing similar allegations to those presented in the Fournier lawsuit, each of which the Company believes is also without merit and would not have a material adverse effect on the Company’s financial position or results of operations in the event any damages were awarded.</w:t>
      </w:r>
    </w:p>
    <w:p>
      <w:pPr>
        <w:spacing w:after="0" w:line="19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i w:val="1"/>
          <w:iCs w:val="1"/>
          <w:color w:val="auto"/>
        </w:rPr>
        <w:t xml:space="preserve">Securities Litigation </w:t>
      </w:r>
      <w:r>
        <w:rPr>
          <w:rFonts w:ascii="Arial" w:cs="Arial" w:eastAsia="Arial" w:hAnsi="Arial"/>
          <w:sz w:val="22"/>
          <w:szCs w:val="22"/>
          <w:color w:val="auto"/>
        </w:rPr>
        <w:t>– On September 11, 2008, a federal securities class action complaint styled</w:t>
      </w:r>
      <w:r>
        <w:rPr>
          <w:rFonts w:ascii="Arial" w:cs="Arial" w:eastAsia="Arial" w:hAnsi="Arial"/>
          <w:sz w:val="22"/>
          <w:szCs w:val="22"/>
          <w:i w:val="1"/>
          <w:iCs w:val="1"/>
          <w:color w:val="auto"/>
        </w:rPr>
        <w:t xml:space="preserve"> Cunha v. Hansen Natural Corp., et al. </w:t>
      </w:r>
      <w:r>
        <w:rPr>
          <w:rFonts w:ascii="Arial" w:cs="Arial" w:eastAsia="Arial" w:hAnsi="Arial"/>
          <w:sz w:val="22"/>
          <w:szCs w:val="22"/>
          <w:color w:val="auto"/>
        </w:rPr>
        <w:t>was filed in the United States District Court for the Central District of California (the “District Court”). 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September 17, 2008, a second federal securities class action complaint styled </w:t>
      </w:r>
      <w:r>
        <w:rPr>
          <w:rFonts w:ascii="Arial" w:cs="Arial" w:eastAsia="Arial" w:hAnsi="Arial"/>
          <w:sz w:val="22"/>
          <w:szCs w:val="22"/>
          <w:i w:val="1"/>
          <w:iCs w:val="1"/>
          <w:color w:val="auto"/>
        </w:rPr>
        <w:t>Brown v. Hansen Natural Corp., et al.</w:t>
      </w:r>
      <w:r>
        <w:rPr>
          <w:rFonts w:ascii="Arial" w:cs="Arial" w:eastAsia="Arial" w:hAnsi="Arial"/>
          <w:sz w:val="22"/>
          <w:szCs w:val="22"/>
          <w:color w:val="auto"/>
        </w:rPr>
        <w:t xml:space="preserve"> was also filed in the District Court. After the District Court consolidated the two actions and appointed the Structural Ironworkers Local Union #1 Pension Fund as lead plaintiff, a Consolidated Complaint for Violations of Federal Securities Laws was filed on August 28, 2009 (the “Consolidated Class Action Complaint”).</w:t>
      </w:r>
    </w:p>
    <w:p>
      <w:pPr>
        <w:spacing w:after="0" w:line="21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2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District Court dismissed the Consolidated Class Action Complaint, with leave to amend, on July 12, 2010. Plaintiff thereafter filed a Consolidated Amended Class Action Complaint for Violations of Federal Securities Laws on August 27, 2010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w:t>
      </w:r>
    </w:p>
    <w:p>
      <w:pPr>
        <w:sectPr>
          <w:pgSz w:w="11900" w:h="16838" w:orient="portrait"/>
          <w:cols w:equalWidth="0" w:num="1">
            <w:col w:w="11420"/>
          </w:cols>
          <w:pgMar w:left="240" w:top="118" w:right="239" w:bottom="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31" w:lineRule="exact"/>
        <w:rPr>
          <w:sz w:val="20"/>
          <w:szCs w:val="20"/>
          <w:color w:val="auto"/>
        </w:rPr>
      </w:pPr>
    </w:p>
    <w:p>
      <w:pPr>
        <w:ind w:right="4340"/>
        <w:spacing w:after="0" w:line="364"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On September 4, 2012, the District Court dismissed certain of the claims in the Amended Class Action Complaint, including plaintiff’s allegations relating to promotional expenses, but denied defendants’ motion to dismiss with regard to the majority of plaintiff’s claims, including plaintiff’s channel stuffing allegations. Plaintiff filed a motion seeking class certification on December 6, 2012. At a hearing on plaintiff’s class certification motion held on June 20, 2013, the District Court issued a tentative ruling indicating that it was inclined to deny the motion, without prejudice. The District Court has not yet, however, issued a final ruling and the motion for class certification remains sub judice. Fact discovery in the action has been stayed pending resolution of the class certification motion.</w:t>
      </w:r>
    </w:p>
    <w:p>
      <w:pPr>
        <w:spacing w:after="0" w:line="21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Amended Class Action Complaint seeks an unspecified amount of damages. As a result, the amount or range of reasonably possible litigation losses to which the Company is exposed cannot be estimated. Although the ultimate outcome of this action cannot be determined with certainty, the Company believes that the allegations in the Amended Class Action Complaint are without merit. The Company intends to vigorously defend against this lawsuit.</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 xml:space="preserve">State Attorney General Inquiry </w:t>
      </w:r>
      <w:r>
        <w:rPr>
          <w:rFonts w:ascii="Arial" w:cs="Arial" w:eastAsia="Arial" w:hAnsi="Arial"/>
          <w:sz w:val="19"/>
          <w:szCs w:val="19"/>
          <w:color w:val="auto"/>
        </w:rPr>
        <w:t>– In July 2012, the Company received a subpoena from a state attorney general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an investigation concerning the Company’s advertising, marketing, promotion, ingredients, usage and sale of its Monster Energy® brand of energy drinks. As the investigation is in an early stage,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i w:val="1"/>
          <w:iCs w:val="1"/>
          <w:color w:val="auto"/>
        </w:rPr>
        <w:t>San Francisco City Attorney Litigation</w:t>
      </w:r>
      <w:r>
        <w:rPr>
          <w:rFonts w:ascii="Arial" w:cs="Arial" w:eastAsia="Arial" w:hAnsi="Arial"/>
          <w:sz w:val="21"/>
          <w:szCs w:val="21"/>
          <w:color w:val="auto"/>
        </w:rPr>
        <w:t>. On October 31, 2012, the Company received a written request for information from</w:t>
      </w:r>
      <w:r>
        <w:rPr>
          <w:rFonts w:ascii="Arial" w:cs="Arial" w:eastAsia="Arial" w:hAnsi="Arial"/>
          <w:sz w:val="21"/>
          <w:szCs w:val="21"/>
          <w:i w:val="1"/>
          <w:iCs w:val="1"/>
          <w:color w:val="auto"/>
        </w:rPr>
        <w:t xml:space="preserve"> </w:t>
      </w:r>
      <w:r>
        <w:rPr>
          <w:rFonts w:ascii="Arial" w:cs="Arial" w:eastAsia="Arial" w:hAnsi="Arial"/>
          <w:sz w:val="21"/>
          <w:szCs w:val="21"/>
          <w:color w:val="auto"/>
        </w:rPr>
        <w:t>the City Attorney for the City and County of San Francisco concerning the Company’s advertising and marketing of its Monster Energy® brand of energy drinks and specifically concerning the safety of its products for consumption by adolescents. In a letter dated March 29, 2013, the San Francisco City Attorney threatened to bring suit against the Company if it did not agree to take the following five steps immediately: (i) “Reformulate its product to lower the caffeine content to safe levels”; (ii) “Provide adequate warning labels”; (iii) “Cease promoting over-consumption in marketing”; (iv) “Cease use of alcohol and drug references in marketing”; and (v) “Cease targeting minors.”</w:t>
      </w:r>
    </w:p>
    <w:p>
      <w:pPr>
        <w:spacing w:after="0" w:line="20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On April 29, 2013, the Company and its wholly owned subsidiary, Monster Energy Company, filed a complaint for declaratory and injunctive relief against the San Francisco City Attorney in United States District Court for the Central District of California (the “Central District Court”), styled </w:t>
      </w:r>
      <w:r>
        <w:rPr>
          <w:rFonts w:ascii="Arial" w:cs="Arial" w:eastAsia="Arial" w:hAnsi="Arial"/>
          <w:sz w:val="22"/>
          <w:szCs w:val="22"/>
          <w:i w:val="1"/>
          <w:iCs w:val="1"/>
          <w:color w:val="auto"/>
        </w:rPr>
        <w:t>Monster Beverage Corp., et al. v. Dennis Herrera.</w:t>
      </w:r>
      <w:r>
        <w:rPr>
          <w:rFonts w:ascii="Arial" w:cs="Arial" w:eastAsia="Arial" w:hAnsi="Arial"/>
          <w:sz w:val="22"/>
          <w:szCs w:val="22"/>
          <w:color w:val="auto"/>
        </w:rPr>
        <w:t xml:space="preserve"> The Company seeks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28" w:lineRule="exact"/>
        <w:rPr>
          <w:sz w:val="20"/>
          <w:szCs w:val="20"/>
          <w:color w:val="auto"/>
        </w:rPr>
      </w:pPr>
    </w:p>
    <w:p>
      <w:pPr>
        <w:ind w:right="4340"/>
        <w:spacing w:after="0" w:line="36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content-based speech and commercial speech, are impermissibly void-for-vagueness, and/or violate the Commerce Clause. On June 3, 2013, the City Attorney filed a motion to dismiss the Company’s complaint, arguing in part that the complaint should be dismissed in light of the San Francisco Action (described below) filed on May 6, 2013. On August 22, 2013, the Central District Court granted in part and denied in part the City Attorney’s motion.</w:t>
      </w:r>
    </w:p>
    <w:p>
      <w:pPr>
        <w:spacing w:after="0" w:line="2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On October 17, 2013 (after the San Francisco Action described below was remanded to San Francisco Superior Court), the City Attorney filed a renewed motion to dismiss. A hearing on that motion is scheduled for December 9, 2013.</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On May 6, 2013, the San Francisco City Attorney filed a complaint for declaratory and injunctive relief, civil penalties and restitution for alleged violation of California’s Unfair Competition Law, Business &amp; Professions Code sections 17200, et seq., styled </w:t>
      </w:r>
      <w:r>
        <w:rPr>
          <w:rFonts w:ascii="Arial" w:cs="Arial" w:eastAsia="Arial" w:hAnsi="Arial"/>
          <w:sz w:val="19"/>
          <w:szCs w:val="19"/>
          <w:i w:val="1"/>
          <w:iCs w:val="1"/>
          <w:color w:val="auto"/>
        </w:rPr>
        <w:t>People Of The State Of California ex rel. Dennis Herrera, San Francisco City Attorney v. Monster Beverage Corporation</w:t>
      </w:r>
      <w:r>
        <w:rPr>
          <w:rFonts w:ascii="Arial" w:cs="Arial" w:eastAsia="Arial" w:hAnsi="Arial"/>
          <w:sz w:val="19"/>
          <w:szCs w:val="19"/>
          <w:color w:val="auto"/>
        </w:rPr>
        <w:t>, San Francisco Superior Court (the “San Francisco Action”). The City Attorney alleges that the Company (1) mislabeled its products as a dietary supplement, in violation of California’s Sherman Food, Drug and Cosmetic Law, California Health &amp; Safety Code sections 109875 et. seq.; (2) is selling an “adulterated” product because caffeine is not generally recognized as safe (“GRAS”) due to the alleged lack of scientific consensus concerning the safety of the levels of caffeine in the Company’s products;</w:t>
      </w:r>
    </w:p>
    <w:p>
      <w:pPr>
        <w:sectPr>
          <w:pgSz w:w="11900" w:h="16838" w:orient="portrait"/>
          <w:cols w:equalWidth="0" w:num="1">
            <w:col w:w="11420"/>
          </w:cols>
          <w:pgMar w:left="240" w:top="125" w:right="239" w:bottom="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9"/>
          <w:szCs w:val="19"/>
          <w:color w:val="auto"/>
        </w:rPr>
        <w:t>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seeks a declaration that the Company has engaged in unfair and unlawful business acts and practices in violation of the Unfair Competition Law; an injunction from performing or proposing to perform any acts in violation of the Unfair Competition Law; restitution; and civil penalties. On June 3, 2013, the Company removed the case to the United States District Court for the Northern District of California (the “Northern District Court”). On July 3, 2013, the Company filed a motion to dismiss, stay, or transfer the action to the Central District Court. On that same day, the City Attorney filed a motion to remand the case back to state court. On September 18, 2013, the Northern District Court granted the City Attorney’s motion to remand. Because of the remand, the Northern District Court did not reach the merits of the Company’s motion to dismiss, stay, or transfer the action.</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Following remand of the San Francisco Action, the Superior Court designated the case as complex and set an initial case management conference for December 13, 2013. The Company’s initial response to the complaint is due 30 days after the case management conference.</w:t>
      </w:r>
    </w:p>
    <w:p>
      <w:pPr>
        <w:spacing w:after="0" w:line="213"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31" w:lineRule="exact"/>
        <w:rPr>
          <w:sz w:val="20"/>
          <w:szCs w:val="20"/>
          <w:color w:val="auto"/>
        </w:rPr>
      </w:pPr>
    </w:p>
    <w:p>
      <w:pPr>
        <w:ind w:right="4340"/>
        <w:spacing w:after="0" w:line="364"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In addition to the above matters, the Company has been named as a defendant in various false advertising putative class actions and in a private attorney general action, each of which contains certain allegations similar to those presented in the Wellman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Furthermore, the Company is subject to litigation from time to time in the normal course of business, including intellectual property litigation and claims from terminated distributors. Although it is not possible to predict the outcome of such litigation, based on the facts known to the Company, management believes that such litigation in the aggregate will likely not have a material adverse effect on the Company’s financial position or results of operations.</w:t>
      </w:r>
    </w:p>
    <w:p>
      <w:pPr>
        <w:spacing w:after="0" w:line="19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ACCUMULATED OTHER COMPREHENSIVE (LOSS) INCOME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Changes in accumulated other comprehensive (loss) income by component, after tax, for the nine-months ended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September 30, 2013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center"/>
              <w:ind w:right="121"/>
              <w:spacing w:after="0"/>
              <w:rPr>
                <w:sz w:val="20"/>
                <w:szCs w:val="20"/>
                <w:color w:val="auto"/>
              </w:rPr>
            </w:pPr>
            <w:r>
              <w:rPr>
                <w:rFonts w:ascii="Arial" w:cs="Arial" w:eastAsia="Arial" w:hAnsi="Arial"/>
                <w:sz w:val="20"/>
                <w:szCs w:val="20"/>
                <w:color w:val="auto"/>
                <w:w w:val="89"/>
              </w:rPr>
              <w:t>Unrealized</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20"/>
                <w:szCs w:val="20"/>
                <w:color w:val="auto"/>
                <w:w w:val="91"/>
              </w:rPr>
              <w:t>Currency</w:t>
            </w:r>
          </w:p>
        </w:tc>
        <w:tc>
          <w:tcPr>
            <w:tcW w:w="200" w:type="dxa"/>
            <w:vAlign w:val="bottom"/>
          </w:tcPr>
          <w:p>
            <w:pPr>
              <w:spacing w:after="0"/>
              <w:rPr>
                <w:sz w:val="19"/>
                <w:szCs w:val="19"/>
                <w:color w:val="auto"/>
              </w:rPr>
            </w:pPr>
          </w:p>
        </w:tc>
        <w:tc>
          <w:tcPr>
            <w:tcW w:w="1640" w:type="dxa"/>
            <w:vAlign w:val="bottom"/>
          </w:tcPr>
          <w:p>
            <w:pPr>
              <w:jc w:val="center"/>
              <w:ind w:right="121"/>
              <w:spacing w:after="0"/>
              <w:rPr>
                <w:sz w:val="20"/>
                <w:szCs w:val="20"/>
                <w:color w:val="auto"/>
              </w:rPr>
            </w:pPr>
            <w:r>
              <w:rPr>
                <w:rFonts w:ascii="Arial" w:cs="Arial" w:eastAsia="Arial" w:hAnsi="Arial"/>
                <w:sz w:val="20"/>
                <w:szCs w:val="20"/>
                <w:color w:val="auto"/>
                <w:w w:val="87"/>
              </w:rPr>
              <w:t>Gains (Losses)</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20"/>
                <w:szCs w:val="20"/>
                <w:color w:val="auto"/>
                <w:w w:val="90"/>
              </w:rPr>
              <w:t>Translation</w:t>
            </w:r>
          </w:p>
        </w:tc>
        <w:tc>
          <w:tcPr>
            <w:tcW w:w="200" w:type="dxa"/>
            <w:vAlign w:val="bottom"/>
          </w:tcPr>
          <w:p>
            <w:pPr>
              <w:spacing w:after="0"/>
              <w:rPr>
                <w:sz w:val="19"/>
                <w:szCs w:val="19"/>
                <w:color w:val="auto"/>
              </w:rPr>
            </w:pPr>
          </w:p>
        </w:tc>
        <w:tc>
          <w:tcPr>
            <w:tcW w:w="1640" w:type="dxa"/>
            <w:vAlign w:val="bottom"/>
          </w:tcPr>
          <w:p>
            <w:pPr>
              <w:jc w:val="center"/>
              <w:ind w:right="121"/>
              <w:spacing w:after="0"/>
              <w:rPr>
                <w:sz w:val="20"/>
                <w:szCs w:val="20"/>
                <w:color w:val="auto"/>
              </w:rPr>
            </w:pPr>
            <w:r>
              <w:rPr>
                <w:rFonts w:ascii="Arial" w:cs="Arial" w:eastAsia="Arial" w:hAnsi="Arial"/>
                <w:sz w:val="20"/>
                <w:szCs w:val="20"/>
                <w:color w:val="auto"/>
                <w:w w:val="92"/>
              </w:rPr>
              <w:t>on Available-for-</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6"/>
        </w:trPr>
        <w:tc>
          <w:tcPr>
            <w:tcW w:w="59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101"/>
              <w:spacing w:after="0"/>
              <w:rPr>
                <w:sz w:val="20"/>
                <w:szCs w:val="20"/>
                <w:color w:val="auto"/>
              </w:rPr>
            </w:pPr>
            <w:r>
              <w:rPr>
                <w:rFonts w:ascii="Arial" w:cs="Arial" w:eastAsia="Arial" w:hAnsi="Arial"/>
                <w:sz w:val="20"/>
                <w:szCs w:val="20"/>
                <w:color w:val="auto"/>
                <w:w w:val="87"/>
              </w:rPr>
              <w:t>Gains (Losses)</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color w:val="auto"/>
                <w:w w:val="88"/>
              </w:rPr>
              <w:t>Sale Securities</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Total</w:t>
            </w:r>
          </w:p>
        </w:tc>
      </w:tr>
      <w:tr>
        <w:trPr>
          <w:trHeight w:val="328"/>
        </w:trPr>
        <w:tc>
          <w:tcPr>
            <w:tcW w:w="5920" w:type="dxa"/>
            <w:vAlign w:val="bottom"/>
          </w:tcPr>
          <w:p>
            <w:pPr>
              <w:spacing w:after="0"/>
              <w:rPr>
                <w:sz w:val="20"/>
                <w:szCs w:val="20"/>
                <w:color w:val="auto"/>
              </w:rPr>
            </w:pPr>
            <w:r>
              <w:rPr>
                <w:rFonts w:ascii="Arial" w:cs="Arial" w:eastAsia="Arial" w:hAnsi="Arial"/>
                <w:sz w:val="20"/>
                <w:szCs w:val="20"/>
                <w:color w:val="auto"/>
              </w:rPr>
              <w:t>Balance at December 31, 2012</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549</w:t>
            </w: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21"/>
              <w:spacing w:after="0"/>
              <w:rPr>
                <w:sz w:val="20"/>
                <w:szCs w:val="20"/>
                <w:color w:val="auto"/>
              </w:rPr>
            </w:pPr>
            <w:r>
              <w:rPr>
                <w:rFonts w:ascii="Arial" w:cs="Arial" w:eastAsia="Arial" w:hAnsi="Arial"/>
                <w:sz w:val="20"/>
                <w:szCs w:val="20"/>
                <w:color w:val="auto"/>
              </w:rPr>
              <w:t>1,525</w:t>
            </w:r>
          </w:p>
        </w:tc>
        <w:tc>
          <w:tcPr>
            <w:tcW w:w="62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left="401"/>
              <w:spacing w:after="0"/>
              <w:rPr>
                <w:sz w:val="20"/>
                <w:szCs w:val="20"/>
                <w:color w:val="auto"/>
              </w:rPr>
            </w:pPr>
            <w:r>
              <w:rPr>
                <w:rFonts w:ascii="Arial" w:cs="Arial" w:eastAsia="Arial" w:hAnsi="Arial"/>
                <w:sz w:val="20"/>
                <w:szCs w:val="20"/>
                <w:color w:val="auto"/>
                <w:w w:val="87"/>
              </w:rPr>
              <w:t>2,074</w:t>
            </w:r>
          </w:p>
        </w:tc>
      </w:tr>
      <w:tr>
        <w:trPr>
          <w:trHeight w:val="243"/>
        </w:trPr>
        <w:tc>
          <w:tcPr>
            <w:tcW w:w="5920" w:type="dxa"/>
            <w:vAlign w:val="bottom"/>
          </w:tcPr>
          <w:p>
            <w:pPr>
              <w:ind w:left="260"/>
              <w:spacing w:after="0"/>
              <w:rPr>
                <w:sz w:val="20"/>
                <w:szCs w:val="20"/>
                <w:color w:val="auto"/>
              </w:rPr>
            </w:pPr>
            <w:r>
              <w:rPr>
                <w:rFonts w:ascii="Arial" w:cs="Arial" w:eastAsia="Arial" w:hAnsi="Arial"/>
                <w:sz w:val="20"/>
                <w:szCs w:val="20"/>
                <w:color w:val="auto"/>
              </w:rPr>
              <w:t>Other comprehensive loss before reclassifications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(1,683)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421"/>
              <w:spacing w:after="0"/>
              <w:rPr>
                <w:sz w:val="20"/>
                <w:szCs w:val="20"/>
                <w:color w:val="auto"/>
              </w:rPr>
            </w:pPr>
            <w:r>
              <w:rPr>
                <w:rFonts w:ascii="Arial" w:cs="Arial" w:eastAsia="Arial" w:hAnsi="Arial"/>
                <w:sz w:val="20"/>
                <w:szCs w:val="20"/>
                <w:color w:val="auto"/>
                <w:w w:val="91"/>
              </w:rPr>
              <w:t>(1,683)</w:t>
            </w:r>
          </w:p>
        </w:tc>
      </w:tr>
      <w:tr>
        <w:trPr>
          <w:trHeight w:val="230"/>
        </w:trPr>
        <w:tc>
          <w:tcPr>
            <w:tcW w:w="5920" w:type="dxa"/>
            <w:vAlign w:val="bottom"/>
          </w:tcPr>
          <w:p>
            <w:pPr>
              <w:ind w:left="260"/>
              <w:spacing w:after="0"/>
              <w:rPr>
                <w:sz w:val="20"/>
                <w:szCs w:val="20"/>
                <w:color w:val="auto"/>
              </w:rPr>
            </w:pPr>
            <w:r>
              <w:rPr>
                <w:rFonts w:ascii="Arial" w:cs="Arial" w:eastAsia="Arial" w:hAnsi="Arial"/>
                <w:sz w:val="20"/>
                <w:szCs w:val="20"/>
                <w:color w:val="auto"/>
                <w:w w:val="94"/>
              </w:rPr>
              <w:t>Amounts reclassified from accumulated other comprehensive (loss)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6"/>
        </w:trPr>
        <w:tc>
          <w:tcPr>
            <w:tcW w:w="5920" w:type="dxa"/>
            <w:vAlign w:val="bottom"/>
          </w:tcPr>
          <w:p>
            <w:pPr>
              <w:ind w:left="440"/>
              <w:spacing w:after="0"/>
              <w:rPr>
                <w:sz w:val="20"/>
                <w:szCs w:val="20"/>
                <w:color w:val="auto"/>
              </w:rPr>
            </w:pPr>
            <w:r>
              <w:rPr>
                <w:rFonts w:ascii="Arial" w:cs="Arial" w:eastAsia="Arial" w:hAnsi="Arial"/>
                <w:sz w:val="20"/>
                <w:szCs w:val="20"/>
                <w:color w:val="auto"/>
              </w:rPr>
              <w:t>income</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(1,525)</w:t>
            </w:r>
          </w:p>
        </w:tc>
        <w:tc>
          <w:tcPr>
            <w:tcW w:w="280" w:type="dxa"/>
            <w:vAlign w:val="bottom"/>
          </w:tcPr>
          <w:p>
            <w:pPr>
              <w:jc w:val="right"/>
              <w:ind w:right="39"/>
              <w:spacing w:after="0"/>
              <w:rPr>
                <w:sz w:val="20"/>
                <w:szCs w:val="20"/>
                <w:color w:val="auto"/>
              </w:rPr>
            </w:pPr>
            <w:r>
              <w:rPr>
                <w:rFonts w:ascii="Arial" w:cs="Arial" w:eastAsia="Arial" w:hAnsi="Arial"/>
                <w:sz w:val="13"/>
                <w:szCs w:val="13"/>
                <w:color w:val="auto"/>
              </w:rPr>
              <w:t>1</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left="421"/>
              <w:spacing w:after="0"/>
              <w:rPr>
                <w:sz w:val="20"/>
                <w:szCs w:val="20"/>
                <w:color w:val="auto"/>
              </w:rPr>
            </w:pPr>
            <w:r>
              <w:rPr>
                <w:rFonts w:ascii="Arial" w:cs="Arial" w:eastAsia="Arial" w:hAnsi="Arial"/>
                <w:sz w:val="20"/>
                <w:szCs w:val="20"/>
                <w:color w:val="auto"/>
                <w:w w:val="91"/>
              </w:rPr>
              <w:t>(1,525)</w:t>
            </w:r>
          </w:p>
        </w:tc>
      </w:tr>
      <w:tr>
        <w:trPr>
          <w:trHeight w:val="277"/>
        </w:trPr>
        <w:tc>
          <w:tcPr>
            <w:tcW w:w="5920" w:type="dxa"/>
            <w:vAlign w:val="bottom"/>
          </w:tcPr>
          <w:p>
            <w:pPr>
              <w:ind w:left="260"/>
              <w:spacing w:after="0"/>
              <w:rPr>
                <w:sz w:val="20"/>
                <w:szCs w:val="20"/>
                <w:color w:val="auto"/>
              </w:rPr>
            </w:pPr>
            <w:r>
              <w:rPr>
                <w:rFonts w:ascii="Arial" w:cs="Arial" w:eastAsia="Arial" w:hAnsi="Arial"/>
                <w:sz w:val="20"/>
                <w:szCs w:val="20"/>
                <w:color w:val="auto"/>
              </w:rPr>
              <w:t>Net current-period other comprehensive loss</w:t>
            </w: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(1,683)</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(1,525)</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left="421"/>
              <w:spacing w:after="0"/>
              <w:rPr>
                <w:sz w:val="20"/>
                <w:szCs w:val="20"/>
                <w:color w:val="auto"/>
              </w:rPr>
            </w:pPr>
            <w:r>
              <w:rPr>
                <w:rFonts w:ascii="Arial" w:cs="Arial" w:eastAsia="Arial" w:hAnsi="Arial"/>
                <w:sz w:val="20"/>
                <w:szCs w:val="20"/>
                <w:color w:val="auto"/>
                <w:w w:val="91"/>
              </w:rPr>
              <w:t>(3,208)</w:t>
            </w:r>
          </w:p>
        </w:tc>
      </w:tr>
      <w:tr>
        <w:trPr>
          <w:trHeight w:val="237"/>
        </w:trPr>
        <w:tc>
          <w:tcPr>
            <w:tcW w:w="5920" w:type="dxa"/>
            <w:vAlign w:val="bottom"/>
          </w:tcPr>
          <w:p>
            <w:pPr>
              <w:spacing w:after="0"/>
              <w:rPr>
                <w:sz w:val="20"/>
                <w:szCs w:val="20"/>
                <w:color w:val="auto"/>
              </w:rPr>
            </w:pPr>
            <w:r>
              <w:rPr>
                <w:rFonts w:ascii="Arial" w:cs="Arial" w:eastAsia="Arial" w:hAnsi="Arial"/>
                <w:sz w:val="20"/>
                <w:szCs w:val="20"/>
                <w:color w:val="auto"/>
              </w:rPr>
              <w:t>Balance at September 30, 2013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(1,134)</w:t>
            </w:r>
          </w:p>
        </w:tc>
        <w:tc>
          <w:tcPr>
            <w:tcW w:w="2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center"/>
              <w:ind w:left="421"/>
              <w:spacing w:after="0"/>
              <w:rPr>
                <w:sz w:val="20"/>
                <w:szCs w:val="20"/>
                <w:color w:val="auto"/>
              </w:rPr>
            </w:pPr>
            <w:r>
              <w:rPr>
                <w:rFonts w:ascii="Arial" w:cs="Arial" w:eastAsia="Arial" w:hAnsi="Arial"/>
                <w:sz w:val="20"/>
                <w:szCs w:val="20"/>
                <w:color w:val="auto"/>
                <w:w w:val="91"/>
              </w:rPr>
              <w:t>(1,134)</w:t>
            </w:r>
          </w:p>
        </w:tc>
      </w:tr>
      <w:tr>
        <w:trPr>
          <w:trHeight w:val="20"/>
        </w:trPr>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100" w:hanging="92"/>
        <w:spacing w:after="0"/>
        <w:tabs>
          <w:tab w:leader="none" w:pos="100" w:val="left"/>
        </w:tabs>
        <w:numPr>
          <w:ilvl w:val="0"/>
          <w:numId w:val="13"/>
        </w:numPr>
        <w:rPr>
          <w:rFonts w:ascii="Arial" w:cs="Arial" w:eastAsia="Arial" w:hAnsi="Arial"/>
          <w:sz w:val="11"/>
          <w:szCs w:val="11"/>
          <w:color w:val="auto"/>
        </w:rPr>
      </w:pPr>
      <w:r>
        <w:rPr>
          <w:rFonts w:ascii="Arial" w:cs="Arial" w:eastAsia="Arial" w:hAnsi="Arial"/>
          <w:sz w:val="16"/>
          <w:szCs w:val="16"/>
          <w:color w:val="auto"/>
        </w:rPr>
        <w:t>Included in other (expense) income.</w:t>
      </w:r>
    </w:p>
    <w:p>
      <w:pPr>
        <w:sectPr>
          <w:pgSz w:w="11900" w:h="16838" w:orient="portrait"/>
          <w:cols w:equalWidth="0" w:num="1">
            <w:col w:w="11420"/>
          </w:cols>
          <w:pgMar w:left="240" w:top="118" w:right="239" w:bottom="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31" w:lineRule="exact"/>
        <w:rPr>
          <w:sz w:val="20"/>
          <w:szCs w:val="20"/>
          <w:color w:val="auto"/>
        </w:rPr>
      </w:pPr>
    </w:p>
    <w:p>
      <w:pPr>
        <w:ind w:right="4340"/>
        <w:spacing w:after="0" w:line="364"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4"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TREASURY STOCK PURCHASE</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On November 13, 2012, the Company’s Board of Directors authorized a new share repurchase program for the repurchase of up to $250.0 million of the Company’s outstanding common stock (the “November 2012 Repurchase Plan”). During the nine-months ended September 30, 2013, the Company purchased 0.257 million shares of common stock at an average purchase price of $51.99 per share for a total amount of $13.4 million (excluding broker commissions), which exhausted the availability under the November 2012 Repurchase Plan.</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April 7, 2013, the Company’s Board of Directors authorized a new share repurchase program for the repurchase of up to $200.0 million of the Company’s outstanding common stock (the “April 2013 Repurchase Plan”). As of November 8, 2013, no shares have been purchased under the April 2013 Repurchase Plan.</w:t>
      </w:r>
    </w:p>
    <w:p>
      <w:pPr>
        <w:spacing w:after="0" w:line="21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During the three- and nine-months ended September 30, 2013, 87 shares and 875 shares, respectively, were purchased from employees in lieu of cash payments for options exercised or withholding taxes due for a total amount of $0.005 million and $0.05 million, respectively. While such purchases are considered common stock repurchases, they are not counted as purchases against the Company’s authorized share repurchase programs, including the April 2013 Repurchase Plan.</w:t>
      </w:r>
    </w:p>
    <w:p>
      <w:pPr>
        <w:spacing w:after="0" w:line="17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STOCK-BASED COMPENSATION</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Company has two stock-based compensation plans under which shares were available for grant at September 30, 2013: the Monster Beverage Corporation 2011 Omnibus Incentive Plan (the “2011 Omnibus Incentive Plan”) and the 2009 Monster Beverage Corporation Stock Incentive Plan for Non-Employee Directors (the “2009 Directors Plan”).</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Company recorded $7.2 million and $7.9 million of compensation expense relating to outstanding options, restricted stock awards, stock appreciation rights and restricted stock units during the three-months ended September 30, 2013 and 2012, respectively. The Company recorded $21.6 million of compensation expense relating to outstanding options, restricted stock awards, stock appreciation rights and restricted stock units during both the nine-months ended September 30, 2013 and 2012.</w:t>
      </w:r>
    </w:p>
    <w:p>
      <w:pPr>
        <w:spacing w:after="0" w:line="17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excess tax benefit realized for tax deductions from non-qualified stock option exercises, disqualifying dispositions of incentive stock options, vesting of restricted stock units and restricted stock awards for both the three-months ended September 30, 2013 and 2012 was $1.4 million. The excess tax benefit realized for tax deductions from non-qualified stock option exercises, disqualifying dispositions of incentive stock options, vesting of restricted stock units and restricted stock awards for the nine-months ended September 30, 2013 and 2012 was $30.2 million and $4.3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Stock Options</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Under the Company’s stock-based compensation plans, all stock options granted as of September 30, 2013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28" w:lineRule="exact"/>
        <w:rPr>
          <w:sz w:val="20"/>
          <w:szCs w:val="20"/>
          <w:color w:val="auto"/>
        </w:rPr>
      </w:pPr>
    </w:p>
    <w:p>
      <w:pPr>
        <w:ind w:right="4340"/>
        <w:spacing w:after="0" w:line="36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weighted-average assumptions were used to estimate the fair value of options granted during:</w:t>
      </w:r>
    </w:p>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246"/>
        </w:trPr>
        <w:tc>
          <w:tcPr>
            <w:tcW w:w="3700" w:type="dxa"/>
            <w:vAlign w:val="bottom"/>
          </w:tcPr>
          <w:p>
            <w:pPr>
              <w:spacing w:after="0"/>
              <w:rPr>
                <w:sz w:val="21"/>
                <w:szCs w:val="21"/>
                <w:color w:val="auto"/>
              </w:rPr>
            </w:pPr>
          </w:p>
        </w:tc>
        <w:tc>
          <w:tcPr>
            <w:tcW w:w="3680" w:type="dxa"/>
            <w:vAlign w:val="bottom"/>
            <w:gridSpan w:val="4"/>
          </w:tcPr>
          <w:p>
            <w:pPr>
              <w:ind w:left="260"/>
              <w:spacing w:after="0"/>
              <w:rPr>
                <w:sz w:val="20"/>
                <w:szCs w:val="20"/>
                <w:color w:val="auto"/>
              </w:rPr>
            </w:pPr>
            <w:r>
              <w:rPr>
                <w:rFonts w:ascii="Arial" w:cs="Arial" w:eastAsia="Arial" w:hAnsi="Arial"/>
                <w:sz w:val="20"/>
                <w:szCs w:val="20"/>
                <w:color w:val="auto"/>
              </w:rPr>
              <w:t>Three-Months Ended September 30,</w:t>
            </w:r>
          </w:p>
        </w:tc>
        <w:tc>
          <w:tcPr>
            <w:tcW w:w="3400" w:type="dxa"/>
            <w:vAlign w:val="bottom"/>
            <w:gridSpan w:val="3"/>
          </w:tcPr>
          <w:p>
            <w:pPr>
              <w:jc w:val="right"/>
              <w:ind w:right="201"/>
              <w:spacing w:after="0"/>
              <w:rPr>
                <w:sz w:val="20"/>
                <w:szCs w:val="20"/>
                <w:color w:val="auto"/>
              </w:rPr>
            </w:pPr>
            <w:r>
              <w:rPr>
                <w:rFonts w:ascii="Arial" w:cs="Arial" w:eastAsia="Arial" w:hAnsi="Arial"/>
                <w:sz w:val="20"/>
                <w:szCs w:val="20"/>
                <w:color w:val="auto"/>
                <w:w w:val="98"/>
              </w:rPr>
              <w:t>Nine-Months Ended September 30,</w:t>
            </w:r>
          </w:p>
        </w:tc>
        <w:tc>
          <w:tcPr>
            <w:tcW w:w="0" w:type="dxa"/>
            <w:vAlign w:val="bottom"/>
          </w:tcPr>
          <w:p>
            <w:pPr>
              <w:spacing w:after="0"/>
              <w:rPr>
                <w:sz w:val="1"/>
                <w:szCs w:val="1"/>
                <w:color w:val="auto"/>
              </w:rPr>
            </w:pPr>
          </w:p>
        </w:tc>
      </w:tr>
      <w:tr>
        <w:trPr>
          <w:trHeight w:val="223"/>
        </w:trPr>
        <w:tc>
          <w:tcPr>
            <w:tcW w:w="370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380" w:type="dxa"/>
            <w:vAlign w:val="bottom"/>
            <w:tcBorders>
              <w:top w:val="single" w:sz="8" w:color="auto"/>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rPr>
              <w:t>2013¹</w:t>
            </w:r>
          </w:p>
        </w:tc>
        <w:tc>
          <w:tcPr>
            <w:tcW w:w="64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2012</w:t>
            </w:r>
          </w:p>
        </w:tc>
        <w:tc>
          <w:tcPr>
            <w:tcW w:w="2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2013</w:t>
            </w:r>
          </w:p>
        </w:tc>
        <w:tc>
          <w:tcPr>
            <w:tcW w:w="64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2012</w:t>
            </w:r>
          </w:p>
        </w:tc>
        <w:tc>
          <w:tcPr>
            <w:tcW w:w="0" w:type="dxa"/>
            <w:vAlign w:val="bottom"/>
          </w:tcPr>
          <w:p>
            <w:pPr>
              <w:spacing w:after="0"/>
              <w:rPr>
                <w:sz w:val="1"/>
                <w:szCs w:val="1"/>
                <w:color w:val="auto"/>
              </w:rPr>
            </w:pPr>
          </w:p>
        </w:tc>
      </w:tr>
      <w:tr>
        <w:trPr>
          <w:trHeight w:val="244"/>
        </w:trPr>
        <w:tc>
          <w:tcPr>
            <w:tcW w:w="3700" w:type="dxa"/>
            <w:vAlign w:val="bottom"/>
            <w:vMerge w:val="continue"/>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0.0 %</w:t>
            </w:r>
          </w:p>
        </w:tc>
        <w:tc>
          <w:tcPr>
            <w:tcW w:w="640" w:type="dxa"/>
            <w:vAlign w:val="bottom"/>
          </w:tcPr>
          <w:p>
            <w:pPr>
              <w:spacing w:after="0"/>
              <w:rPr>
                <w:sz w:val="21"/>
                <w:szCs w:val="21"/>
                <w:color w:val="auto"/>
              </w:rPr>
            </w:pP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0.0 %</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0.0 %</w:t>
            </w:r>
          </w:p>
        </w:tc>
        <w:tc>
          <w:tcPr>
            <w:tcW w:w="6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0.0 %</w:t>
            </w:r>
          </w:p>
        </w:tc>
        <w:tc>
          <w:tcPr>
            <w:tcW w:w="0" w:type="dxa"/>
            <w:vAlign w:val="bottom"/>
          </w:tcPr>
          <w:p>
            <w:pPr>
              <w:spacing w:after="0"/>
              <w:rPr>
                <w:sz w:val="1"/>
                <w:szCs w:val="1"/>
                <w:color w:val="auto"/>
              </w:rPr>
            </w:pPr>
          </w:p>
        </w:tc>
      </w:tr>
      <w:tr>
        <w:trPr>
          <w:trHeight w:val="253"/>
        </w:trPr>
        <w:tc>
          <w:tcPr>
            <w:tcW w:w="3700" w:type="dxa"/>
            <w:vAlign w:val="bottom"/>
          </w:tcPr>
          <w:p>
            <w:pPr>
              <w:spacing w:after="0"/>
              <w:rPr>
                <w:sz w:val="20"/>
                <w:szCs w:val="20"/>
                <w:color w:val="auto"/>
              </w:rPr>
            </w:pPr>
            <w:r>
              <w:rPr>
                <w:rFonts w:ascii="Arial" w:cs="Arial" w:eastAsia="Arial" w:hAnsi="Arial"/>
                <w:sz w:val="20"/>
                <w:szCs w:val="20"/>
                <w:color w:val="auto"/>
              </w:rPr>
              <w:t>Expected volatility</w:t>
            </w:r>
          </w:p>
        </w:tc>
        <w:tc>
          <w:tcPr>
            <w:tcW w:w="1380" w:type="dxa"/>
            <w:vAlign w:val="bottom"/>
          </w:tcPr>
          <w:p>
            <w:pPr>
              <w:jc w:val="right"/>
              <w:spacing w:after="0"/>
              <w:rPr>
                <w:sz w:val="20"/>
                <w:szCs w:val="20"/>
                <w:color w:val="auto"/>
              </w:rPr>
            </w:pPr>
            <w:r>
              <w:rPr>
                <w:rFonts w:ascii="Arial" w:cs="Arial" w:eastAsia="Arial" w:hAnsi="Arial"/>
                <w:sz w:val="20"/>
                <w:szCs w:val="20"/>
                <w:color w:val="auto"/>
              </w:rPr>
              <w:t>0 %</w:t>
            </w:r>
          </w:p>
        </w:tc>
        <w:tc>
          <w:tcPr>
            <w:tcW w:w="640" w:type="dxa"/>
            <w:vAlign w:val="bottom"/>
          </w:tcPr>
          <w:p>
            <w:pPr>
              <w:spacing w:after="0"/>
              <w:rPr>
                <w:sz w:val="22"/>
                <w:szCs w:val="22"/>
                <w:color w:val="auto"/>
              </w:rPr>
            </w:pP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47.7 %</w:t>
            </w:r>
          </w:p>
        </w:tc>
        <w:tc>
          <w:tcPr>
            <w:tcW w:w="2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47.9 %</w:t>
            </w:r>
          </w:p>
        </w:tc>
        <w:tc>
          <w:tcPr>
            <w:tcW w:w="6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47.9 %</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0" w:gutter="0" w:footer="0" w:header="0"/>
        </w:sectPr>
      </w:pPr>
    </w:p>
    <w:bookmarkStart w:id="15" w:name="page16"/>
    <w:bookmarkEnd w:id="15"/>
    <w:p>
      <w:pPr>
        <w:ind w:left="460"/>
        <w:spacing w:after="0"/>
        <w:tabs>
          <w:tab w:leader="none" w:pos="5040" w:val="left"/>
          <w:tab w:leader="none" w:pos="6940" w:val="left"/>
          <w:tab w:leader="none" w:pos="8700" w:val="left"/>
          <w:tab w:leader="none" w:pos="10700" w:val="left"/>
        </w:tabs>
        <w:rPr>
          <w:sz w:val="20"/>
          <w:szCs w:val="20"/>
          <w:color w:val="auto"/>
        </w:rPr>
      </w:pPr>
      <w:r>
        <w:rPr>
          <w:rFonts w:ascii="Arial" w:cs="Arial" w:eastAsia="Arial" w:hAnsi="Arial"/>
          <w:sz w:val="20"/>
          <w:szCs w:val="20"/>
          <w:color w:val="auto"/>
        </w:rPr>
        <w:t>Risk-free interest rate</w:t>
      </w:r>
      <w:r>
        <w:rPr>
          <w:sz w:val="20"/>
          <w:szCs w:val="20"/>
          <w:color w:val="auto"/>
        </w:rPr>
        <w:tab/>
      </w:r>
      <w:r>
        <w:rPr>
          <w:rFonts w:ascii="Arial" w:cs="Arial" w:eastAsia="Arial" w:hAnsi="Arial"/>
          <w:sz w:val="20"/>
          <w:szCs w:val="20"/>
          <w:color w:val="auto"/>
        </w:rPr>
        <w:t>0.0 %</w:t>
      </w:r>
      <w:r>
        <w:rPr>
          <w:sz w:val="20"/>
          <w:szCs w:val="20"/>
          <w:color w:val="auto"/>
        </w:rPr>
        <w:tab/>
      </w:r>
      <w:r>
        <w:rPr>
          <w:rFonts w:ascii="Arial" w:cs="Arial" w:eastAsia="Arial" w:hAnsi="Arial"/>
          <w:sz w:val="20"/>
          <w:szCs w:val="20"/>
          <w:color w:val="auto"/>
        </w:rPr>
        <w:t>0.6 %</w:t>
      </w:r>
      <w:r>
        <w:rPr>
          <w:sz w:val="20"/>
          <w:szCs w:val="20"/>
          <w:color w:val="auto"/>
        </w:rPr>
        <w:tab/>
      </w:r>
      <w:r>
        <w:rPr>
          <w:rFonts w:ascii="Arial" w:cs="Arial" w:eastAsia="Arial" w:hAnsi="Arial"/>
          <w:sz w:val="20"/>
          <w:szCs w:val="20"/>
          <w:color w:val="auto"/>
        </w:rPr>
        <w:t>0.9 %</w:t>
      </w:r>
      <w:r>
        <w:rPr>
          <w:sz w:val="20"/>
          <w:szCs w:val="20"/>
          <w:color w:val="auto"/>
        </w:rPr>
        <w:tab/>
      </w:r>
      <w:r>
        <w:rPr>
          <w:rFonts w:ascii="Arial" w:cs="Arial" w:eastAsia="Arial" w:hAnsi="Arial"/>
          <w:sz w:val="16"/>
          <w:szCs w:val="16"/>
          <w:color w:val="auto"/>
        </w:rPr>
        <w:t>0.7 %</w:t>
      </w:r>
    </w:p>
    <w:p>
      <w:pPr>
        <w:spacing w:after="0" w:line="41" w:lineRule="exact"/>
        <w:rPr>
          <w:sz w:val="20"/>
          <w:szCs w:val="20"/>
          <w:color w:val="auto"/>
        </w:rPr>
      </w:pPr>
    </w:p>
    <w:p>
      <w:pPr>
        <w:ind w:left="460"/>
        <w:spacing w:after="0"/>
        <w:tabs>
          <w:tab w:leader="none" w:pos="4760" w:val="left"/>
          <w:tab w:leader="none" w:pos="6660" w:val="left"/>
          <w:tab w:leader="none" w:pos="8420" w:val="left"/>
          <w:tab w:leader="none" w:pos="10420" w:val="left"/>
        </w:tabs>
        <w:rPr>
          <w:sz w:val="20"/>
          <w:szCs w:val="20"/>
          <w:color w:val="auto"/>
        </w:rPr>
      </w:pPr>
      <w:r>
        <w:rPr>
          <w:rFonts w:ascii="Arial" w:cs="Arial" w:eastAsia="Arial" w:hAnsi="Arial"/>
          <w:sz w:val="20"/>
          <w:szCs w:val="20"/>
          <w:color w:val="auto"/>
        </w:rPr>
        <w:t>Expected term</w:t>
      </w:r>
      <w:r>
        <w:rPr>
          <w:sz w:val="20"/>
          <w:szCs w:val="20"/>
          <w:color w:val="auto"/>
        </w:rPr>
        <w:tab/>
      </w:r>
      <w:r>
        <w:rPr>
          <w:rFonts w:ascii="Arial" w:cs="Arial" w:eastAsia="Arial" w:hAnsi="Arial"/>
          <w:sz w:val="20"/>
          <w:szCs w:val="20"/>
          <w:color w:val="auto"/>
        </w:rPr>
        <w:t>0.0 Years</w:t>
      </w:r>
      <w:r>
        <w:rPr>
          <w:sz w:val="20"/>
          <w:szCs w:val="20"/>
          <w:color w:val="auto"/>
        </w:rPr>
        <w:tab/>
      </w:r>
      <w:r>
        <w:rPr>
          <w:rFonts w:ascii="Arial" w:cs="Arial" w:eastAsia="Arial" w:hAnsi="Arial"/>
          <w:sz w:val="20"/>
          <w:szCs w:val="20"/>
          <w:color w:val="auto"/>
        </w:rPr>
        <w:t>5.4 Years</w:t>
      </w:r>
      <w:r>
        <w:rPr>
          <w:sz w:val="20"/>
          <w:szCs w:val="20"/>
          <w:color w:val="auto"/>
        </w:rPr>
        <w:tab/>
      </w:r>
      <w:r>
        <w:rPr>
          <w:rFonts w:ascii="Arial" w:cs="Arial" w:eastAsia="Arial" w:hAnsi="Arial"/>
          <w:sz w:val="20"/>
          <w:szCs w:val="20"/>
          <w:color w:val="auto"/>
        </w:rPr>
        <w:t>5.7 Years</w:t>
      </w:r>
      <w:r>
        <w:rPr>
          <w:sz w:val="20"/>
          <w:szCs w:val="20"/>
          <w:color w:val="auto"/>
        </w:rPr>
        <w:tab/>
      </w:r>
      <w:r>
        <w:rPr>
          <w:rFonts w:ascii="Arial" w:cs="Arial" w:eastAsia="Arial" w:hAnsi="Arial"/>
          <w:sz w:val="16"/>
          <w:szCs w:val="16"/>
          <w:color w:val="auto"/>
        </w:rPr>
        <w:t>5.4 Years</w:t>
      </w:r>
    </w:p>
    <w:p>
      <w:pPr>
        <w:spacing w:after="0" w:line="243" w:lineRule="exact"/>
        <w:rPr>
          <w:sz w:val="20"/>
          <w:szCs w:val="20"/>
          <w:color w:val="auto"/>
        </w:rPr>
      </w:pPr>
    </w:p>
    <w:p>
      <w:pPr>
        <w:ind w:left="760" w:hanging="104"/>
        <w:spacing w:after="0"/>
        <w:tabs>
          <w:tab w:leader="none" w:pos="760" w:val="left"/>
        </w:tabs>
        <w:numPr>
          <w:ilvl w:val="0"/>
          <w:numId w:val="16"/>
        </w:numPr>
        <w:rPr>
          <w:rFonts w:ascii="Arial" w:cs="Arial" w:eastAsia="Arial" w:hAnsi="Arial"/>
          <w:sz w:val="13"/>
          <w:szCs w:val="13"/>
          <w:i w:val="1"/>
          <w:iCs w:val="1"/>
          <w:color w:val="auto"/>
        </w:rPr>
      </w:pPr>
      <w:r>
        <w:rPr>
          <w:rFonts w:ascii="Arial" w:cs="Arial" w:eastAsia="Arial" w:hAnsi="Arial"/>
          <w:sz w:val="20"/>
          <w:szCs w:val="20"/>
          <w:i w:val="1"/>
          <w:iCs w:val="1"/>
          <w:color w:val="auto"/>
        </w:rPr>
        <w:t>No options were granted during the three-months ended September 30, 2013.</w:t>
      </w:r>
    </w:p>
    <w:p>
      <w:pPr>
        <w:spacing w:after="0" w:line="238"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Expected Volatility</w:t>
      </w:r>
      <w:r>
        <w:rPr>
          <w:rFonts w:ascii="Arial" w:cs="Arial" w:eastAsia="Arial" w:hAnsi="Arial"/>
          <w:sz w:val="22"/>
          <w:szCs w:val="22"/>
          <w:color w:val="auto"/>
        </w:rPr>
        <w:t>: The Company uses historical volatility as it provides a reasonable estimate of the expected volatility.</w:t>
      </w:r>
      <w:r>
        <w:rPr>
          <w:rFonts w:ascii="Arial" w:cs="Arial" w:eastAsia="Arial" w:hAnsi="Arial"/>
          <w:sz w:val="22"/>
          <w:szCs w:val="22"/>
          <w:i w:val="1"/>
          <w:iCs w:val="1"/>
          <w:color w:val="auto"/>
        </w:rPr>
        <w:t xml:space="preserve"> </w:t>
      </w:r>
      <w:r>
        <w:rPr>
          <w:rFonts w:ascii="Arial" w:cs="Arial" w:eastAsia="Arial" w:hAnsi="Arial"/>
          <w:sz w:val="22"/>
          <w:szCs w:val="22"/>
          <w:color w:val="auto"/>
        </w:rPr>
        <w:t>Historical volatility is based on the most recent volatility of the stock price over a period of time equivalent to the expected term of the option.</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i w:val="1"/>
          <w:iCs w:val="1"/>
          <w:color w:val="auto"/>
        </w:rPr>
        <w:t>Risk-Free Interest Rate</w:t>
      </w:r>
      <w:r>
        <w:rPr>
          <w:rFonts w:ascii="Arial" w:cs="Arial" w:eastAsia="Arial" w:hAnsi="Arial"/>
          <w:sz w:val="22"/>
          <w:szCs w:val="22"/>
          <w:color w:val="auto"/>
        </w:rPr>
        <w:t>: The risk-free interest rate is based on the U.S. Treasury zero coupon yield curve in effect at the time</w:t>
      </w:r>
      <w:r>
        <w:rPr>
          <w:rFonts w:ascii="Arial" w:cs="Arial" w:eastAsia="Arial" w:hAnsi="Arial"/>
          <w:sz w:val="22"/>
          <w:szCs w:val="22"/>
          <w:i w:val="1"/>
          <w:iCs w:val="1"/>
          <w:color w:val="auto"/>
        </w:rPr>
        <w:t xml:space="preserve"> </w:t>
      </w:r>
      <w:r>
        <w:rPr>
          <w:rFonts w:ascii="Arial" w:cs="Arial" w:eastAsia="Arial" w:hAnsi="Arial"/>
          <w:sz w:val="22"/>
          <w:szCs w:val="22"/>
          <w:color w:val="auto"/>
        </w:rPr>
        <w:t>of grant for the expected term of the option.</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Expected Term</w:t>
      </w:r>
      <w:r>
        <w:rPr>
          <w:rFonts w:ascii="Arial" w:cs="Arial" w:eastAsia="Arial" w:hAnsi="Arial"/>
          <w:sz w:val="22"/>
          <w:szCs w:val="22"/>
          <w:color w:val="auto"/>
        </w:rPr>
        <w:t>: The Company’s expected term represents the weighted-average period that the Company’s stock options are</w:t>
      </w:r>
      <w:r>
        <w:rPr>
          <w:rFonts w:ascii="Arial" w:cs="Arial" w:eastAsia="Arial" w:hAnsi="Arial"/>
          <w:sz w:val="22"/>
          <w:szCs w:val="22"/>
          <w:i w:val="1"/>
          <w:iCs w:val="1"/>
          <w:color w:val="auto"/>
        </w:rPr>
        <w:t xml:space="preserve"> </w:t>
      </w:r>
      <w:r>
        <w:rPr>
          <w:rFonts w:ascii="Arial" w:cs="Arial" w:eastAsia="Arial" w:hAnsi="Arial"/>
          <w:sz w:val="22"/>
          <w:szCs w:val="22"/>
          <w:color w:val="auto"/>
        </w:rPr>
        <w:t>expected 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31" w:lineRule="exact"/>
        <w:rPr>
          <w:sz w:val="20"/>
          <w:szCs w:val="20"/>
          <w:color w:val="auto"/>
        </w:rPr>
      </w:pPr>
    </w:p>
    <w:p>
      <w:pPr>
        <w:ind w:right="4340"/>
        <w:spacing w:after="0" w:line="37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the Company’s activities with respect to its stock option plans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9"/>
              </w:rPr>
              <w:t>Weighted-</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right="201"/>
              <w:spacing w:after="0"/>
              <w:rPr>
                <w:sz w:val="20"/>
                <w:szCs w:val="20"/>
                <w:color w:val="auto"/>
              </w:rPr>
            </w:pPr>
            <w:r>
              <w:rPr>
                <w:rFonts w:ascii="Arial" w:cs="Arial" w:eastAsia="Arial" w:hAnsi="Arial"/>
                <w:sz w:val="20"/>
                <w:szCs w:val="20"/>
                <w:color w:val="auto"/>
                <w:w w:val="89"/>
              </w:rPr>
              <w:t>Weighted-</w:t>
            </w: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Average</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right="201"/>
              <w:spacing w:after="0"/>
              <w:rPr>
                <w:sz w:val="20"/>
                <w:szCs w:val="20"/>
                <w:color w:val="auto"/>
              </w:rPr>
            </w:pPr>
            <w:r>
              <w:rPr>
                <w:rFonts w:ascii="Arial" w:cs="Arial" w:eastAsia="Arial" w:hAnsi="Arial"/>
                <w:sz w:val="20"/>
                <w:szCs w:val="20"/>
                <w:color w:val="auto"/>
                <w:w w:val="88"/>
              </w:rPr>
              <w:t>Average</w:t>
            </w:r>
          </w:p>
        </w:tc>
        <w:tc>
          <w:tcPr>
            <w:tcW w:w="1320" w:type="dxa"/>
            <w:vAlign w:val="bottom"/>
          </w:tcPr>
          <w:p>
            <w:pPr>
              <w:jc w:val="center"/>
              <w:spacing w:after="0"/>
              <w:rPr>
                <w:sz w:val="20"/>
                <w:szCs w:val="20"/>
                <w:color w:val="auto"/>
              </w:rPr>
            </w:pPr>
            <w:r>
              <w:rPr>
                <w:rFonts w:ascii="Arial" w:cs="Arial" w:eastAsia="Arial" w:hAnsi="Arial"/>
                <w:sz w:val="20"/>
                <w:szCs w:val="20"/>
                <w:color w:val="auto"/>
                <w:w w:val="89"/>
              </w:rPr>
              <w:t>Remaining</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94"/>
              </w:rPr>
              <w:t>Number of</w:t>
            </w:r>
          </w:p>
        </w:tc>
        <w:tc>
          <w:tcPr>
            <w:tcW w:w="360" w:type="dxa"/>
            <w:vAlign w:val="bottom"/>
          </w:tcPr>
          <w:p>
            <w:pPr>
              <w:spacing w:after="0"/>
              <w:rPr>
                <w:sz w:val="19"/>
                <w:szCs w:val="19"/>
                <w:color w:val="auto"/>
              </w:rPr>
            </w:pPr>
          </w:p>
        </w:tc>
        <w:tc>
          <w:tcPr>
            <w:tcW w:w="1200" w:type="dxa"/>
            <w:vAlign w:val="bottom"/>
          </w:tcPr>
          <w:p>
            <w:pPr>
              <w:jc w:val="center"/>
              <w:ind w:right="181"/>
              <w:spacing w:after="0"/>
              <w:rPr>
                <w:sz w:val="20"/>
                <w:szCs w:val="20"/>
                <w:color w:val="auto"/>
              </w:rPr>
            </w:pPr>
            <w:r>
              <w:rPr>
                <w:rFonts w:ascii="Arial" w:cs="Arial" w:eastAsia="Arial" w:hAnsi="Arial"/>
                <w:sz w:val="20"/>
                <w:szCs w:val="20"/>
                <w:color w:val="auto"/>
                <w:w w:val="88"/>
              </w:rPr>
              <w:t>Exercise</w:t>
            </w: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Contractual</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6"/>
              </w:rPr>
              <w:t>Shares (In</w:t>
            </w:r>
          </w:p>
        </w:tc>
        <w:tc>
          <w:tcPr>
            <w:tcW w:w="360" w:type="dxa"/>
            <w:vAlign w:val="bottom"/>
          </w:tcPr>
          <w:p>
            <w:pPr>
              <w:spacing w:after="0"/>
              <w:rPr>
                <w:sz w:val="19"/>
                <w:szCs w:val="19"/>
                <w:color w:val="auto"/>
              </w:rPr>
            </w:pPr>
          </w:p>
        </w:tc>
        <w:tc>
          <w:tcPr>
            <w:tcW w:w="1200" w:type="dxa"/>
            <w:vAlign w:val="bottom"/>
          </w:tcPr>
          <w:p>
            <w:pPr>
              <w:jc w:val="center"/>
              <w:ind w:right="181"/>
              <w:spacing w:after="0"/>
              <w:rPr>
                <w:sz w:val="20"/>
                <w:szCs w:val="20"/>
                <w:color w:val="auto"/>
              </w:rPr>
            </w:pPr>
            <w:r>
              <w:rPr>
                <w:rFonts w:ascii="Arial" w:cs="Arial" w:eastAsia="Arial" w:hAnsi="Arial"/>
                <w:sz w:val="20"/>
                <w:szCs w:val="20"/>
                <w:color w:val="auto"/>
                <w:w w:val="87"/>
              </w:rPr>
              <w:t>Price Per</w:t>
            </w:r>
          </w:p>
        </w:tc>
        <w:tc>
          <w:tcPr>
            <w:tcW w:w="1320" w:type="dxa"/>
            <w:vAlign w:val="bottom"/>
          </w:tcPr>
          <w:p>
            <w:pPr>
              <w:jc w:val="center"/>
              <w:spacing w:after="0"/>
              <w:rPr>
                <w:sz w:val="20"/>
                <w:szCs w:val="20"/>
                <w:color w:val="auto"/>
              </w:rPr>
            </w:pPr>
            <w:r>
              <w:rPr>
                <w:rFonts w:ascii="Arial" w:cs="Arial" w:eastAsia="Arial" w:hAnsi="Arial"/>
                <w:sz w:val="20"/>
                <w:szCs w:val="20"/>
                <w:color w:val="auto"/>
                <w:w w:val="92"/>
              </w:rPr>
              <w:t>Term (In</w:t>
            </w:r>
          </w:p>
        </w:tc>
        <w:tc>
          <w:tcPr>
            <w:tcW w:w="240" w:type="dxa"/>
            <w:vAlign w:val="bottom"/>
          </w:tcPr>
          <w:p>
            <w:pPr>
              <w:spacing w:after="0"/>
              <w:rPr>
                <w:sz w:val="19"/>
                <w:szCs w:val="19"/>
                <w:color w:val="auto"/>
              </w:rPr>
            </w:pPr>
          </w:p>
        </w:tc>
        <w:tc>
          <w:tcPr>
            <w:tcW w:w="1440" w:type="dxa"/>
            <w:vAlign w:val="bottom"/>
          </w:tcPr>
          <w:p>
            <w:pPr>
              <w:jc w:val="right"/>
              <w:ind w:right="321"/>
              <w:spacing w:after="0"/>
              <w:rPr>
                <w:sz w:val="20"/>
                <w:szCs w:val="20"/>
                <w:color w:val="auto"/>
              </w:rPr>
            </w:pPr>
            <w:r>
              <w:rPr>
                <w:rFonts w:ascii="Arial" w:cs="Arial" w:eastAsia="Arial" w:hAnsi="Arial"/>
                <w:sz w:val="20"/>
                <w:szCs w:val="20"/>
                <w:color w:val="auto"/>
              </w:rPr>
              <w:t>Aggregate</w:t>
            </w:r>
          </w:p>
        </w:tc>
      </w:tr>
      <w:tr>
        <w:trPr>
          <w:trHeight w:val="246"/>
        </w:trPr>
        <w:tc>
          <w:tcPr>
            <w:tcW w:w="20" w:type="dxa"/>
            <w:vAlign w:val="bottom"/>
          </w:tcPr>
          <w:p>
            <w:pPr>
              <w:spacing w:after="0"/>
              <w:rPr>
                <w:sz w:val="21"/>
                <w:szCs w:val="21"/>
                <w:color w:val="auto"/>
              </w:rPr>
            </w:pPr>
          </w:p>
        </w:tc>
        <w:tc>
          <w:tcPr>
            <w:tcW w:w="5480" w:type="dxa"/>
            <w:vAlign w:val="bottom"/>
            <w:tcBorders>
              <w:bottom w:val="single" w:sz="8" w:color="auto"/>
            </w:tcBorders>
          </w:tcPr>
          <w:p>
            <w:pPr>
              <w:ind w:left="2300"/>
              <w:spacing w:after="0"/>
              <w:rPr>
                <w:sz w:val="20"/>
                <w:szCs w:val="20"/>
                <w:color w:val="auto"/>
              </w:rPr>
            </w:pPr>
            <w:r>
              <w:rPr>
                <w:rFonts w:ascii="Arial" w:cs="Arial" w:eastAsia="Arial" w:hAnsi="Arial"/>
                <w:sz w:val="20"/>
                <w:szCs w:val="20"/>
                <w:color w:val="auto"/>
              </w:rPr>
              <w:t>Options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7"/>
              </w:rPr>
              <w:t>Thousands)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201"/>
              <w:spacing w:after="0"/>
              <w:rPr>
                <w:sz w:val="20"/>
                <w:szCs w:val="20"/>
                <w:color w:val="auto"/>
              </w:rPr>
            </w:pPr>
            <w:r>
              <w:rPr>
                <w:rFonts w:ascii="Arial" w:cs="Arial" w:eastAsia="Arial" w:hAnsi="Arial"/>
                <w:sz w:val="20"/>
                <w:szCs w:val="20"/>
                <w:color w:val="auto"/>
                <w:w w:val="86"/>
              </w:rPr>
              <w:t>Share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4"/>
              </w:rPr>
              <w:t>Years)</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92"/>
              </w:rPr>
              <w:t>Intrinsic Value</w:t>
            </w:r>
          </w:p>
        </w:tc>
      </w:tr>
      <w:tr>
        <w:trPr>
          <w:trHeight w:val="244"/>
        </w:trPr>
        <w:tc>
          <w:tcPr>
            <w:tcW w:w="20" w:type="dxa"/>
            <w:vAlign w:val="bottom"/>
          </w:tcPr>
          <w:p>
            <w:pPr>
              <w:spacing w:after="0"/>
              <w:rPr>
                <w:sz w:val="21"/>
                <w:szCs w:val="21"/>
                <w:color w:val="auto"/>
              </w:rPr>
            </w:pPr>
          </w:p>
        </w:tc>
        <w:tc>
          <w:tcPr>
            <w:tcW w:w="5480" w:type="dxa"/>
            <w:vAlign w:val="bottom"/>
          </w:tcPr>
          <w:p>
            <w:pPr>
              <w:spacing w:after="0"/>
              <w:rPr>
                <w:sz w:val="20"/>
                <w:szCs w:val="20"/>
                <w:color w:val="auto"/>
              </w:rPr>
            </w:pPr>
            <w:r>
              <w:rPr>
                <w:rFonts w:ascii="Arial" w:cs="Arial" w:eastAsia="Arial" w:hAnsi="Arial"/>
                <w:sz w:val="20"/>
                <w:szCs w:val="20"/>
                <w:color w:val="auto"/>
              </w:rPr>
              <w:t>Outstanding at January 1, 2013</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14,000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12.12</w:t>
            </w: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4.1</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572,530</w:t>
            </w:r>
          </w:p>
        </w:tc>
      </w:tr>
      <w:tr>
        <w:trPr>
          <w:trHeight w:val="253"/>
        </w:trPr>
        <w:tc>
          <w:tcPr>
            <w:tcW w:w="20" w:type="dxa"/>
            <w:vAlign w:val="bottom"/>
          </w:tcPr>
          <w:p>
            <w:pPr>
              <w:spacing w:after="0"/>
              <w:rPr>
                <w:sz w:val="22"/>
                <w:szCs w:val="22"/>
                <w:color w:val="auto"/>
              </w:rPr>
            </w:pPr>
          </w:p>
        </w:tc>
        <w:tc>
          <w:tcPr>
            <w:tcW w:w="5480" w:type="dxa"/>
            <w:vAlign w:val="bottom"/>
          </w:tcPr>
          <w:p>
            <w:pPr>
              <w:ind w:left="380"/>
              <w:spacing w:after="0"/>
              <w:rPr>
                <w:sz w:val="20"/>
                <w:szCs w:val="20"/>
                <w:color w:val="auto"/>
              </w:rPr>
            </w:pPr>
            <w:r>
              <w:rPr>
                <w:rFonts w:ascii="Arial" w:cs="Arial" w:eastAsia="Arial" w:hAnsi="Arial"/>
                <w:sz w:val="20"/>
                <w:szCs w:val="20"/>
                <w:color w:val="auto"/>
              </w:rPr>
              <w:t>Granted 01/01/13 - 03/31/13</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636</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47.36</w:t>
            </w: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5480" w:type="dxa"/>
            <w:vAlign w:val="bottom"/>
          </w:tcPr>
          <w:p>
            <w:pPr>
              <w:ind w:left="380"/>
              <w:spacing w:after="0"/>
              <w:rPr>
                <w:sz w:val="20"/>
                <w:szCs w:val="20"/>
                <w:color w:val="auto"/>
              </w:rPr>
            </w:pPr>
            <w:r>
              <w:rPr>
                <w:rFonts w:ascii="Arial" w:cs="Arial" w:eastAsia="Arial" w:hAnsi="Arial"/>
                <w:sz w:val="20"/>
                <w:szCs w:val="20"/>
                <w:color w:val="auto"/>
              </w:rPr>
              <w:t>Granted 04/01/13 - 06/30/13</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450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54.00</w:t>
            </w: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480" w:type="dxa"/>
            <w:vAlign w:val="bottom"/>
          </w:tcPr>
          <w:p>
            <w:pPr>
              <w:ind w:left="380"/>
              <w:spacing w:after="0"/>
              <w:rPr>
                <w:sz w:val="20"/>
                <w:szCs w:val="20"/>
                <w:color w:val="auto"/>
              </w:rPr>
            </w:pPr>
            <w:r>
              <w:rPr>
                <w:rFonts w:ascii="Arial" w:cs="Arial" w:eastAsia="Arial" w:hAnsi="Arial"/>
                <w:sz w:val="20"/>
                <w:szCs w:val="20"/>
                <w:color w:val="auto"/>
              </w:rPr>
              <w:t>Granted 07/01/13 - 09/30/13</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480" w:type="dxa"/>
            <w:vAlign w:val="bottom"/>
          </w:tcPr>
          <w:p>
            <w:pPr>
              <w:ind w:left="380"/>
              <w:spacing w:after="0"/>
              <w:rPr>
                <w:sz w:val="20"/>
                <w:szCs w:val="20"/>
                <w:color w:val="auto"/>
              </w:rPr>
            </w:pPr>
            <w:r>
              <w:rPr>
                <w:rFonts w:ascii="Arial" w:cs="Arial" w:eastAsia="Arial" w:hAnsi="Arial"/>
                <w:sz w:val="20"/>
                <w:szCs w:val="20"/>
                <w:color w:val="auto"/>
              </w:rPr>
              <w:t>Exercised</w:t>
            </w:r>
          </w:p>
        </w:tc>
        <w:tc>
          <w:tcPr>
            <w:tcW w:w="1360" w:type="dxa"/>
            <w:vAlign w:val="bottom"/>
          </w:tcPr>
          <w:p>
            <w:pPr>
              <w:jc w:val="right"/>
              <w:spacing w:after="0"/>
              <w:rPr>
                <w:sz w:val="20"/>
                <w:szCs w:val="20"/>
                <w:color w:val="auto"/>
              </w:rPr>
            </w:pPr>
            <w:r>
              <w:rPr>
                <w:rFonts w:ascii="Arial" w:cs="Arial" w:eastAsia="Arial" w:hAnsi="Arial"/>
                <w:sz w:val="20"/>
                <w:szCs w:val="20"/>
                <w:color w:val="auto"/>
              </w:rPr>
              <w:t>(1,906)</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9.55</w:t>
            </w: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66"/>
        </w:trPr>
        <w:tc>
          <w:tcPr>
            <w:tcW w:w="20" w:type="dxa"/>
            <w:vAlign w:val="bottom"/>
          </w:tcPr>
          <w:p>
            <w:pPr>
              <w:spacing w:after="0"/>
              <w:rPr>
                <w:sz w:val="23"/>
                <w:szCs w:val="23"/>
                <w:color w:val="auto"/>
              </w:rPr>
            </w:pPr>
          </w:p>
        </w:tc>
        <w:tc>
          <w:tcPr>
            <w:tcW w:w="5480" w:type="dxa"/>
            <w:vAlign w:val="bottom"/>
          </w:tcPr>
          <w:p>
            <w:pPr>
              <w:ind w:left="380"/>
              <w:spacing w:after="0"/>
              <w:rPr>
                <w:sz w:val="20"/>
                <w:szCs w:val="20"/>
                <w:color w:val="auto"/>
              </w:rPr>
            </w:pPr>
            <w:r>
              <w:rPr>
                <w:rFonts w:ascii="Arial" w:cs="Arial" w:eastAsia="Arial" w:hAnsi="Arial"/>
                <w:sz w:val="20"/>
                <w:szCs w:val="20"/>
                <w:color w:val="auto"/>
              </w:rPr>
              <w:t>Cancelled or 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(169)</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27.47</w:t>
            </w: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68"/>
        </w:trPr>
        <w:tc>
          <w:tcPr>
            <w:tcW w:w="5500" w:type="dxa"/>
            <w:vAlign w:val="bottom"/>
            <w:gridSpan w:val="2"/>
          </w:tcPr>
          <w:p>
            <w:pPr>
              <w:spacing w:after="0"/>
              <w:rPr>
                <w:sz w:val="20"/>
                <w:szCs w:val="20"/>
                <w:color w:val="auto"/>
              </w:rPr>
            </w:pPr>
            <w:r>
              <w:rPr>
                <w:rFonts w:ascii="Arial" w:cs="Arial" w:eastAsia="Arial" w:hAnsi="Arial"/>
                <w:sz w:val="20"/>
                <w:szCs w:val="20"/>
                <w:color w:val="auto"/>
              </w:rPr>
              <w:t>Outstanding at September 30, 2013</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13,011</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15.47</w:t>
            </w: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4.0</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482,058</w:t>
            </w:r>
          </w:p>
        </w:tc>
      </w:tr>
      <w:tr>
        <w:trPr>
          <w:trHeight w:val="270"/>
        </w:trPr>
        <w:tc>
          <w:tcPr>
            <w:tcW w:w="5500" w:type="dxa"/>
            <w:vAlign w:val="bottom"/>
            <w:gridSpan w:val="2"/>
          </w:tcPr>
          <w:p>
            <w:pPr>
              <w:spacing w:after="0"/>
              <w:rPr>
                <w:sz w:val="20"/>
                <w:szCs w:val="20"/>
                <w:color w:val="auto"/>
              </w:rPr>
            </w:pPr>
            <w:r>
              <w:rPr>
                <w:rFonts w:ascii="Arial" w:cs="Arial" w:eastAsia="Arial" w:hAnsi="Arial"/>
                <w:sz w:val="20"/>
                <w:szCs w:val="20"/>
                <w:color w:val="auto"/>
                <w:w w:val="95"/>
              </w:rPr>
              <w:t>Vested and expected to vest in the future at September 30, 2013</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12,650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14.66</w:t>
            </w: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3.8</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478,562</w:t>
            </w:r>
          </w:p>
        </w:tc>
      </w:tr>
      <w:tr>
        <w:trPr>
          <w:trHeight w:val="270"/>
        </w:trPr>
        <w:tc>
          <w:tcPr>
            <w:tcW w:w="5500" w:type="dxa"/>
            <w:vAlign w:val="bottom"/>
            <w:gridSpan w:val="2"/>
          </w:tcPr>
          <w:p>
            <w:pPr>
              <w:spacing w:after="0"/>
              <w:rPr>
                <w:sz w:val="20"/>
                <w:szCs w:val="20"/>
                <w:color w:val="auto"/>
              </w:rPr>
            </w:pPr>
            <w:r>
              <w:rPr>
                <w:rFonts w:ascii="Arial" w:cs="Arial" w:eastAsia="Arial" w:hAnsi="Arial"/>
                <w:sz w:val="20"/>
                <w:szCs w:val="20"/>
                <w:color w:val="auto"/>
              </w:rPr>
              <w:t>Exercisable at September 30, 2013</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10,033</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9.05</w:t>
            </w: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2.8</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433,715</w:t>
            </w:r>
          </w:p>
        </w:tc>
      </w:tr>
    </w:tbl>
    <w:p>
      <w:pPr>
        <w:spacing w:after="0" w:line="2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No options were granted during the three-months ended September 30, 2013. The weighted-average grant-date fair value of options granted during the three-months ended September 30, 2012 was $24.88 per share. The weighted-average grant-date fair value of options granted during the nine-months ended September 30, 2013 and 2012 was $22.44 per share and $25.73 per share, respectively. The total intrinsic value of options exercised during the three-months ended September 30, 2013 and 2012 was $3.3 million and $84.6 million, respectively. The total intrinsic value of options exercised during the nine-months ended September 30, 2013 and 2012 was $87.6 million and $204.3 million, respectively.</w:t>
      </w:r>
    </w:p>
    <w:p>
      <w:pPr>
        <w:spacing w:after="0" w:line="20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Cash received from option exercises under all plans for both the three-months ended September 30, 2013 and 2012 was approximately $1.9 million. Cash received from option exercises under all plans for the nine-months ended September 30, 2013 and 2012 was approximately $18.2 million and $8.4 million, respectively.</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At September 30, 2013, there was $42.4 million of total unrecognized compensation expense related to non-vested options granted to employees under the Company’s share-based payment plans. That cost is expected to be recognized over a weighted-average period of 2.6 years.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Restricted Stock Awards and Restricted Stock Units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ectPr>
          <w:pgSz w:w="11900" w:h="16838" w:orient="portrait"/>
          <w:cols w:equalWidth="0" w:num="1">
            <w:col w:w="11420"/>
          </w:cols>
          <w:pgMar w:left="240" w:top="122" w:right="239" w:bottom="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31" w:lineRule="exact"/>
        <w:rPr>
          <w:sz w:val="20"/>
          <w:szCs w:val="20"/>
          <w:color w:val="auto"/>
        </w:rPr>
      </w:pPr>
    </w:p>
    <w:p>
      <w:pPr>
        <w:ind w:right="4340"/>
        <w:spacing w:after="0" w:line="364"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4"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following table summarizes the Company’s activities with respect to non-vested restricted stock awards and non-vested restricted stock units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20"/>
                <w:szCs w:val="20"/>
                <w:color w:val="auto"/>
                <w:w w:val="89"/>
              </w:rPr>
              <w:t>Weighted</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center"/>
              <w:ind w:right="141"/>
              <w:spacing w:after="0"/>
              <w:rPr>
                <w:sz w:val="20"/>
                <w:szCs w:val="20"/>
                <w:color w:val="auto"/>
              </w:rPr>
            </w:pPr>
            <w:r>
              <w:rPr>
                <w:rFonts w:ascii="Arial" w:cs="Arial" w:eastAsia="Arial" w:hAnsi="Arial"/>
                <w:sz w:val="20"/>
                <w:szCs w:val="20"/>
                <w:color w:val="auto"/>
                <w:w w:val="88"/>
              </w:rPr>
              <w:t>Average</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7"/>
              </w:rPr>
              <w:t>Shares (in</w:t>
            </w:r>
          </w:p>
        </w:tc>
        <w:tc>
          <w:tcPr>
            <w:tcW w:w="28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Arial" w:cs="Arial" w:eastAsia="Arial" w:hAnsi="Arial"/>
                <w:sz w:val="20"/>
                <w:szCs w:val="20"/>
                <w:color w:val="auto"/>
                <w:w w:val="99"/>
              </w:rPr>
              <w:t>Grant-Date</w:t>
            </w:r>
          </w:p>
        </w:tc>
        <w:tc>
          <w:tcPr>
            <w:tcW w:w="0" w:type="dxa"/>
            <w:vAlign w:val="bottom"/>
          </w:tcPr>
          <w:p>
            <w:pPr>
              <w:spacing w:after="0"/>
              <w:rPr>
                <w:sz w:val="1"/>
                <w:szCs w:val="1"/>
                <w:color w:val="auto"/>
              </w:rPr>
            </w:pPr>
          </w:p>
        </w:tc>
      </w:tr>
      <w:tr>
        <w:trPr>
          <w:trHeight w:val="246"/>
        </w:trPr>
        <w:tc>
          <w:tcPr>
            <w:tcW w:w="5860" w:type="dxa"/>
            <w:vAlign w:val="bottom"/>
            <w:vMerge w:val="restart"/>
          </w:tcPr>
          <w:p>
            <w:pPr>
              <w:spacing w:after="0"/>
              <w:rPr>
                <w:sz w:val="20"/>
                <w:szCs w:val="20"/>
                <w:color w:val="auto"/>
              </w:rPr>
            </w:pPr>
            <w:r>
              <w:rPr>
                <w:rFonts w:ascii="Arial" w:cs="Arial" w:eastAsia="Arial" w:hAnsi="Arial"/>
                <w:sz w:val="20"/>
                <w:szCs w:val="20"/>
                <w:color w:val="auto"/>
              </w:rPr>
              <w:t>Non-vested at January 1, 2013</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thousands)</w:t>
            </w:r>
          </w:p>
        </w:tc>
        <w:tc>
          <w:tcPr>
            <w:tcW w:w="28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9"/>
              </w:rPr>
              <w:t>Fair Value</w:t>
            </w:r>
          </w:p>
        </w:tc>
        <w:tc>
          <w:tcPr>
            <w:tcW w:w="0" w:type="dxa"/>
            <w:vAlign w:val="bottom"/>
          </w:tcPr>
          <w:p>
            <w:pPr>
              <w:spacing w:after="0"/>
              <w:rPr>
                <w:sz w:val="1"/>
                <w:szCs w:val="1"/>
                <w:color w:val="auto"/>
              </w:rPr>
            </w:pPr>
          </w:p>
        </w:tc>
      </w:tr>
      <w:tr>
        <w:trPr>
          <w:trHeight w:val="233"/>
        </w:trPr>
        <w:tc>
          <w:tcPr>
            <w:tcW w:w="5860" w:type="dxa"/>
            <w:vAlign w:val="bottom"/>
            <w:vMerge w:val="continue"/>
          </w:tcPr>
          <w:p>
            <w:pPr>
              <w:spacing w:after="0"/>
              <w:rPr>
                <w:sz w:val="20"/>
                <w:szCs w:val="20"/>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637</w:t>
            </w:r>
          </w:p>
        </w:tc>
        <w:tc>
          <w:tcPr>
            <w:tcW w:w="280" w:type="dxa"/>
            <w:vAlign w:val="bottom"/>
          </w:tcPr>
          <w:p>
            <w:pPr>
              <w:spacing w:after="0"/>
              <w:rPr>
                <w:sz w:val="20"/>
                <w:szCs w:val="20"/>
                <w:color w:val="auto"/>
              </w:rPr>
            </w:pPr>
          </w:p>
        </w:tc>
        <w:tc>
          <w:tcPr>
            <w:tcW w:w="220" w:type="dxa"/>
            <w:vAlign w:val="bottom"/>
          </w:tcPr>
          <w:p>
            <w:pPr>
              <w:ind w:left="120"/>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46.97</w:t>
            </w:r>
          </w:p>
        </w:tc>
        <w:tc>
          <w:tcPr>
            <w:tcW w:w="0" w:type="dxa"/>
            <w:vAlign w:val="bottom"/>
          </w:tcPr>
          <w:p>
            <w:pPr>
              <w:spacing w:after="0"/>
              <w:rPr>
                <w:sz w:val="1"/>
                <w:szCs w:val="1"/>
                <w:color w:val="auto"/>
              </w:rPr>
            </w:pPr>
          </w:p>
        </w:tc>
      </w:tr>
      <w:tr>
        <w:trPr>
          <w:trHeight w:val="250"/>
        </w:trPr>
        <w:tc>
          <w:tcPr>
            <w:tcW w:w="5860" w:type="dxa"/>
            <w:vAlign w:val="bottom"/>
          </w:tcPr>
          <w:p>
            <w:pPr>
              <w:ind w:left="400"/>
              <w:spacing w:after="0"/>
              <w:rPr>
                <w:sz w:val="20"/>
                <w:szCs w:val="20"/>
                <w:color w:val="auto"/>
              </w:rPr>
            </w:pPr>
            <w:r>
              <w:rPr>
                <w:rFonts w:ascii="Arial" w:cs="Arial" w:eastAsia="Arial" w:hAnsi="Arial"/>
                <w:sz w:val="20"/>
                <w:szCs w:val="20"/>
                <w:color w:val="auto"/>
              </w:rPr>
              <w:t>Granted 01/01/13 - 03/31/13</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8</w:t>
            </w:r>
          </w:p>
        </w:tc>
        <w:tc>
          <w:tcPr>
            <w:tcW w:w="500" w:type="dxa"/>
            <w:vAlign w:val="bottom"/>
            <w:gridSpan w:val="2"/>
          </w:tcPr>
          <w:p>
            <w:pPr>
              <w:ind w:left="400"/>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50.89</w:t>
            </w:r>
          </w:p>
        </w:tc>
        <w:tc>
          <w:tcPr>
            <w:tcW w:w="0" w:type="dxa"/>
            <w:vAlign w:val="bottom"/>
          </w:tcPr>
          <w:p>
            <w:pPr>
              <w:spacing w:after="0"/>
              <w:rPr>
                <w:sz w:val="1"/>
                <w:szCs w:val="1"/>
                <w:color w:val="auto"/>
              </w:rPr>
            </w:pPr>
          </w:p>
        </w:tc>
      </w:tr>
      <w:tr>
        <w:trPr>
          <w:trHeight w:val="270"/>
        </w:trPr>
        <w:tc>
          <w:tcPr>
            <w:tcW w:w="5860" w:type="dxa"/>
            <w:vAlign w:val="bottom"/>
          </w:tcPr>
          <w:p>
            <w:pPr>
              <w:ind w:left="400"/>
              <w:spacing w:after="0"/>
              <w:rPr>
                <w:sz w:val="20"/>
                <w:szCs w:val="20"/>
                <w:color w:val="auto"/>
              </w:rPr>
            </w:pPr>
            <w:r>
              <w:rPr>
                <w:rFonts w:ascii="Arial" w:cs="Arial" w:eastAsia="Arial" w:hAnsi="Arial"/>
                <w:sz w:val="20"/>
                <w:szCs w:val="20"/>
                <w:color w:val="auto"/>
              </w:rPr>
              <w:t>Granted 04/01/13 - 06/30/13</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15</w:t>
            </w:r>
          </w:p>
        </w:tc>
        <w:tc>
          <w:tcPr>
            <w:tcW w:w="500" w:type="dxa"/>
            <w:vAlign w:val="bottom"/>
            <w:gridSpan w:val="2"/>
          </w:tcPr>
          <w:p>
            <w:pPr>
              <w:ind w:left="400"/>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54.64</w:t>
            </w:r>
          </w:p>
        </w:tc>
        <w:tc>
          <w:tcPr>
            <w:tcW w:w="0" w:type="dxa"/>
            <w:vAlign w:val="bottom"/>
          </w:tcPr>
          <w:p>
            <w:pPr>
              <w:spacing w:after="0"/>
              <w:rPr>
                <w:sz w:val="1"/>
                <w:szCs w:val="1"/>
                <w:color w:val="auto"/>
              </w:rPr>
            </w:pPr>
          </w:p>
        </w:tc>
      </w:tr>
      <w:tr>
        <w:trPr>
          <w:trHeight w:val="270"/>
        </w:trPr>
        <w:tc>
          <w:tcPr>
            <w:tcW w:w="5860" w:type="dxa"/>
            <w:vAlign w:val="bottom"/>
          </w:tcPr>
          <w:p>
            <w:pPr>
              <w:ind w:left="400"/>
              <w:spacing w:after="0"/>
              <w:rPr>
                <w:sz w:val="20"/>
                <w:szCs w:val="20"/>
                <w:color w:val="auto"/>
              </w:rPr>
            </w:pPr>
            <w:r>
              <w:rPr>
                <w:rFonts w:ascii="Arial" w:cs="Arial" w:eastAsia="Arial" w:hAnsi="Arial"/>
                <w:sz w:val="20"/>
                <w:szCs w:val="20"/>
                <w:color w:val="auto"/>
              </w:rPr>
              <w:t>Granted 07/01/13 - 09/30/13</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00" w:type="dxa"/>
            <w:vAlign w:val="bottom"/>
            <w:gridSpan w:val="2"/>
          </w:tcPr>
          <w:p>
            <w:pPr>
              <w:ind w:left="400"/>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860" w:type="dxa"/>
            <w:vAlign w:val="bottom"/>
          </w:tcPr>
          <w:p>
            <w:pPr>
              <w:ind w:left="400"/>
              <w:spacing w:after="0"/>
              <w:rPr>
                <w:sz w:val="20"/>
                <w:szCs w:val="20"/>
                <w:color w:val="auto"/>
              </w:rPr>
            </w:pPr>
            <w:r>
              <w:rPr>
                <w:rFonts w:ascii="Arial" w:cs="Arial" w:eastAsia="Arial" w:hAnsi="Arial"/>
                <w:sz w:val="20"/>
                <w:szCs w:val="20"/>
                <w:color w:val="auto"/>
              </w:rPr>
              <w:t>Vested</w:t>
            </w:r>
          </w:p>
        </w:tc>
        <w:tc>
          <w:tcPr>
            <w:tcW w:w="1380" w:type="dxa"/>
            <w:vAlign w:val="bottom"/>
          </w:tcPr>
          <w:p>
            <w:pPr>
              <w:jc w:val="right"/>
              <w:spacing w:after="0"/>
              <w:rPr>
                <w:sz w:val="20"/>
                <w:szCs w:val="20"/>
                <w:color w:val="auto"/>
              </w:rPr>
            </w:pPr>
            <w:r>
              <w:rPr>
                <w:rFonts w:ascii="Arial" w:cs="Arial" w:eastAsia="Arial" w:hAnsi="Arial"/>
                <w:sz w:val="20"/>
                <w:szCs w:val="20"/>
                <w:color w:val="auto"/>
              </w:rPr>
              <w:t>(258)</w:t>
            </w:r>
          </w:p>
        </w:tc>
        <w:tc>
          <w:tcPr>
            <w:tcW w:w="500" w:type="dxa"/>
            <w:vAlign w:val="bottom"/>
            <w:gridSpan w:val="2"/>
          </w:tcPr>
          <w:p>
            <w:pPr>
              <w:ind w:left="400"/>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43.83</w:t>
            </w:r>
          </w:p>
        </w:tc>
        <w:tc>
          <w:tcPr>
            <w:tcW w:w="0" w:type="dxa"/>
            <w:vAlign w:val="bottom"/>
          </w:tcPr>
          <w:p>
            <w:pPr>
              <w:spacing w:after="0"/>
              <w:rPr>
                <w:sz w:val="1"/>
                <w:szCs w:val="1"/>
                <w:color w:val="auto"/>
              </w:rPr>
            </w:pPr>
          </w:p>
        </w:tc>
      </w:tr>
      <w:tr>
        <w:trPr>
          <w:trHeight w:val="273"/>
        </w:trPr>
        <w:tc>
          <w:tcPr>
            <w:tcW w:w="5860" w:type="dxa"/>
            <w:vAlign w:val="bottom"/>
          </w:tcPr>
          <w:p>
            <w:pPr>
              <w:ind w:left="400"/>
              <w:spacing w:after="0"/>
              <w:rPr>
                <w:sz w:val="20"/>
                <w:szCs w:val="20"/>
                <w:color w:val="auto"/>
              </w:rPr>
            </w:pPr>
            <w:r>
              <w:rPr>
                <w:rFonts w:ascii="Arial" w:cs="Arial" w:eastAsia="Arial" w:hAnsi="Arial"/>
                <w:sz w:val="20"/>
                <w:szCs w:val="20"/>
                <w:color w:val="auto"/>
              </w:rPr>
              <w:t>Forfeited/cancelled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500" w:type="dxa"/>
            <w:vAlign w:val="bottom"/>
            <w:gridSpan w:val="2"/>
          </w:tcPr>
          <w:p>
            <w:pPr>
              <w:ind w:left="400"/>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58.91</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20"/>
                <w:szCs w:val="20"/>
                <w:color w:val="auto"/>
              </w:rPr>
              <w:t>Non-vested at September 30, 2013</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395</w:t>
            </w:r>
          </w:p>
        </w:tc>
        <w:tc>
          <w:tcPr>
            <w:tcW w:w="500" w:type="dxa"/>
            <w:vAlign w:val="bottom"/>
            <w:gridSpan w:val="2"/>
          </w:tcPr>
          <w:p>
            <w:pPr>
              <w:ind w:left="400"/>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49.14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No restricted stock awards or restricted stock units were granted during the three-months ended September 30, 2013. The weighted-average grant-date fair value of restricted stock units and restricted stock awards granted during the three-months ended September 30, 2012 was $59.87 per share. The weighted-average grant-date fair value of restricted stock units and restricted stock awards granted during the nine-months ended September 30, 2013 and 2012 was $53.25 and $62.31 per share, respectively. As of September 30, 2013, 0.4 million of restricted stock units and restricted stock awards are expected to vest in the future.</w:t>
      </w:r>
    </w:p>
    <w:p>
      <w:pPr>
        <w:spacing w:after="0" w:line="17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At September 30, 2013, total unrecognized compensation expense relating to non-vested restricted stock awards and non-vested restricted stock units was $16.4 million, which is expected to be recognized over a weighted-average period of 2.1 years.</w:t>
      </w:r>
    </w:p>
    <w:p>
      <w:pPr>
        <w:spacing w:after="0" w:line="13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INCOME TAXES</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following is a roll-forward of the Company’s total gross unrecognized tax benefits, not including interest and penalties, for the nine-months ended September 30, 2013:</w:t>
      </w:r>
    </w:p>
    <w:p>
      <w:pPr>
        <w:sectPr>
          <w:pgSz w:w="11900" w:h="16838" w:orient="portrait"/>
          <w:cols w:equalWidth="0" w:num="1">
            <w:col w:w="11420"/>
          </w:cols>
          <w:pgMar w:left="240" w:top="368" w:right="239" w:bottom="0" w:gutter="0" w:footer="0" w:header="0"/>
        </w:sectPr>
      </w:pPr>
    </w:p>
    <w:p>
      <w:pPr>
        <w:spacing w:after="0" w:line="200" w:lineRule="exact"/>
        <w:rPr>
          <w:sz w:val="20"/>
          <w:szCs w:val="20"/>
          <w:color w:val="auto"/>
        </w:rPr>
      </w:pPr>
    </w:p>
    <w:p>
      <w:pPr>
        <w:spacing w:after="0" w:line="234" w:lineRule="exact"/>
        <w:rPr>
          <w:sz w:val="20"/>
          <w:szCs w:val="20"/>
          <w:color w:val="auto"/>
        </w:rPr>
      </w:pPr>
    </w:p>
    <w:p>
      <w:pPr>
        <w:ind w:left="980"/>
        <w:spacing w:after="0"/>
        <w:rPr>
          <w:sz w:val="20"/>
          <w:szCs w:val="20"/>
          <w:color w:val="auto"/>
        </w:rPr>
      </w:pPr>
      <w:r>
        <w:rPr>
          <w:rFonts w:ascii="Arial" w:cs="Arial" w:eastAsia="Arial" w:hAnsi="Arial"/>
          <w:sz w:val="20"/>
          <w:szCs w:val="20"/>
          <w:color w:val="auto"/>
        </w:rPr>
        <w:t>Balance at December 31, 2012</w:t>
      </w:r>
    </w:p>
    <w:p>
      <w:pPr>
        <w:spacing w:after="0" w:line="20" w:lineRule="exact"/>
        <w:rPr>
          <w:sz w:val="20"/>
          <w:szCs w:val="20"/>
          <w:color w:val="auto"/>
        </w:rPr>
      </w:pPr>
    </w:p>
    <w:p>
      <w:pPr>
        <w:ind w:left="980" w:right="620"/>
        <w:spacing w:after="0" w:line="261" w:lineRule="auto"/>
        <w:rPr>
          <w:sz w:val="20"/>
          <w:szCs w:val="20"/>
          <w:color w:val="auto"/>
        </w:rPr>
      </w:pPr>
      <w:r>
        <w:rPr>
          <w:rFonts w:ascii="Arial" w:cs="Arial" w:eastAsia="Arial" w:hAnsi="Arial"/>
          <w:sz w:val="19"/>
          <w:szCs w:val="19"/>
          <w:color w:val="auto"/>
        </w:rPr>
        <w:t>Additions for tax positions related to the current year Additions for tax positions related to the prior year Decreases related to settlement with taxing authority Balance at September 30, 2013</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9"/>
          <w:szCs w:val="19"/>
          <w:color w:val="auto"/>
        </w:rPr>
        <w:t>Gross Unrealized Tax Benefits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00" w:type="dxa"/>
            <w:vAlign w:val="bottom"/>
            <w:tcBorders>
              <w:top w:val="single" w:sz="8" w:color="auto"/>
            </w:tcBorders>
          </w:tcPr>
          <w:p>
            <w:pPr>
              <w:jc w:val="right"/>
              <w:ind w:right="1001"/>
              <w:spacing w:after="0" w:line="207" w:lineRule="exact"/>
              <w:rPr>
                <w:sz w:val="20"/>
                <w:szCs w:val="20"/>
                <w:color w:val="auto"/>
              </w:rPr>
            </w:pPr>
            <w:r>
              <w:rPr>
                <w:rFonts w:ascii="Arial" w:cs="Arial" w:eastAsia="Arial" w:hAnsi="Arial"/>
                <w:sz w:val="20"/>
                <w:szCs w:val="20"/>
                <w:color w:val="auto"/>
              </w:rPr>
              <w:t>$</w:t>
            </w:r>
          </w:p>
        </w:tc>
        <w:tc>
          <w:tcPr>
            <w:tcW w:w="15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926</w:t>
            </w:r>
          </w:p>
        </w:tc>
      </w:tr>
      <w:tr>
        <w:trPr>
          <w:trHeight w:val="230"/>
        </w:trPr>
        <w:tc>
          <w:tcPr>
            <w:tcW w:w="130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0"/>
        </w:trPr>
        <w:tc>
          <w:tcPr>
            <w:tcW w:w="130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9</w:t>
            </w:r>
          </w:p>
        </w:tc>
      </w:tr>
      <w:tr>
        <w:trPr>
          <w:trHeight w:val="246"/>
        </w:trPr>
        <w:tc>
          <w:tcPr>
            <w:tcW w:w="1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r>
      <w:tr>
        <w:trPr>
          <w:trHeight w:val="223"/>
        </w:trPr>
        <w:tc>
          <w:tcPr>
            <w:tcW w:w="1300" w:type="dxa"/>
            <w:vAlign w:val="bottom"/>
            <w:tcBorders>
              <w:bottom w:val="single" w:sz="8" w:color="auto"/>
            </w:tcBorders>
          </w:tcPr>
          <w:p>
            <w:pPr>
              <w:jc w:val="right"/>
              <w:ind w:right="1001"/>
              <w:spacing w:after="0" w:line="223" w:lineRule="exact"/>
              <w:rPr>
                <w:sz w:val="20"/>
                <w:szCs w:val="20"/>
                <w:color w:val="auto"/>
              </w:rPr>
            </w:pPr>
            <w:r>
              <w:rPr>
                <w:rFonts w:ascii="Arial" w:cs="Arial" w:eastAsia="Arial" w:hAnsi="Arial"/>
                <w:sz w:val="20"/>
                <w:szCs w:val="20"/>
                <w:color w:val="auto"/>
              </w:rPr>
              <w:t>$</w:t>
            </w:r>
          </w:p>
        </w:tc>
        <w:tc>
          <w:tcPr>
            <w:tcW w:w="15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935</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5800" w:space="260"/>
            <w:col w:w="5360"/>
          </w:cols>
          <w:pgMar w:left="240" w:top="368"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Company recognizes accrued interest and penalties related to unrecognized tax benefits in the provision for income taxes in the Company’s condensed consolidated financial statements. As of September 30, 2013, the Company had accrued approximately $0.4 million in interest and penalties related to unrecognized tax benefits. If the Company were to prevail on all uncertain tax positions, the resultant impact on the Company’s effective tax rate would not be significant. It is expected that the amount of unrecognized tax benefits will not change within the next 12 months.</w:t>
      </w:r>
    </w:p>
    <w:p>
      <w:pPr>
        <w:spacing w:after="0" w:line="20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On March 8, 2013, the Internal Revenue Service (“IRS”) began its examination of the Company’s U.S. federal income tax returns for the years ended December 31, 2010 and 2011. The Company is also in various stages of examination with certain states.</w:t>
      </w:r>
    </w:p>
    <w:p>
      <w:pPr>
        <w:spacing w:after="0" w:line="13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is subject to U.S. federal income tax as well as to income tax in multiple state and foreign jurisdictions. Federal income tax returns are subject to IRS examination for the 2010, 2011 and 2012 tax years. State income tax returns are subject to examination for the 2009 through 2012 tax years.</w:t>
      </w:r>
    </w:p>
    <w:p>
      <w:pPr>
        <w:spacing w:after="0" w:line="21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EARNINGS PER SHARE</w:t>
      </w:r>
    </w:p>
    <w:p>
      <w:pPr>
        <w:sectPr>
          <w:pgSz w:w="11900" w:h="16838" w:orient="portrait"/>
          <w:cols w:equalWidth="0" w:num="1">
            <w:col w:w="11420"/>
          </w:cols>
          <w:pgMar w:left="240" w:top="368" w:right="239" w:bottom="0" w:gutter="0" w:footer="0" w:header="0"/>
          <w:type w:val="continuous"/>
        </w:sectPr>
      </w:pPr>
    </w:p>
    <w:bookmarkStart w:id="17" w:name="page18"/>
    <w:bookmarkEnd w:id="17"/>
    <w:p>
      <w:pPr>
        <w:spacing w:after="0" w:line="97"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A reconciliation of the weighted-average shares used in the basic and diluted earnings per common share computations is presented below:</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4540" w:type="dxa"/>
            <w:vAlign w:val="bottom"/>
          </w:tcPr>
          <w:p>
            <w:pPr>
              <w:spacing w:after="0"/>
              <w:rPr>
                <w:sz w:val="21"/>
                <w:szCs w:val="21"/>
                <w:color w:val="auto"/>
              </w:rPr>
            </w:pPr>
          </w:p>
        </w:tc>
        <w:tc>
          <w:tcPr>
            <w:tcW w:w="3040" w:type="dxa"/>
            <w:vAlign w:val="bottom"/>
            <w:gridSpan w:val="4"/>
          </w:tcPr>
          <w:p>
            <w:pPr>
              <w:jc w:val="center"/>
              <w:ind w:right="280"/>
              <w:spacing w:after="0"/>
              <w:rPr>
                <w:sz w:val="20"/>
                <w:szCs w:val="20"/>
                <w:color w:val="auto"/>
              </w:rPr>
            </w:pPr>
            <w:r>
              <w:rPr>
                <w:rFonts w:ascii="Arial" w:cs="Arial" w:eastAsia="Arial" w:hAnsi="Arial"/>
                <w:sz w:val="22"/>
                <w:szCs w:val="22"/>
                <w:color w:val="auto"/>
                <w:w w:val="89"/>
              </w:rPr>
              <w:t>Three-Months Ended</w:t>
            </w:r>
          </w:p>
        </w:tc>
        <w:tc>
          <w:tcPr>
            <w:tcW w:w="2800" w:type="dxa"/>
            <w:vAlign w:val="bottom"/>
            <w:gridSpan w:val="3"/>
          </w:tcPr>
          <w:p>
            <w:pPr>
              <w:jc w:val="right"/>
              <w:ind w:right="412"/>
              <w:spacing w:after="0"/>
              <w:rPr>
                <w:sz w:val="20"/>
                <w:szCs w:val="20"/>
                <w:color w:val="auto"/>
              </w:rPr>
            </w:pPr>
            <w:r>
              <w:rPr>
                <w:rFonts w:ascii="Arial" w:cs="Arial" w:eastAsia="Arial" w:hAnsi="Arial"/>
                <w:sz w:val="22"/>
                <w:szCs w:val="22"/>
                <w:color w:val="auto"/>
              </w:rPr>
              <w:t>Nine-Months Ended</w:t>
            </w:r>
          </w:p>
        </w:tc>
        <w:tc>
          <w:tcPr>
            <w:tcW w:w="0" w:type="dxa"/>
            <w:vAlign w:val="bottom"/>
          </w:tcPr>
          <w:p>
            <w:pPr>
              <w:spacing w:after="0"/>
              <w:rPr>
                <w:sz w:val="1"/>
                <w:szCs w:val="1"/>
                <w:color w:val="auto"/>
              </w:rPr>
            </w:pPr>
          </w:p>
        </w:tc>
      </w:tr>
      <w:tr>
        <w:trPr>
          <w:trHeight w:val="265"/>
        </w:trPr>
        <w:tc>
          <w:tcPr>
            <w:tcW w:w="4540" w:type="dxa"/>
            <w:vAlign w:val="bottom"/>
          </w:tcPr>
          <w:p>
            <w:pPr>
              <w:spacing w:after="0"/>
              <w:rPr>
                <w:sz w:val="23"/>
                <w:szCs w:val="23"/>
                <w:color w:val="auto"/>
              </w:rPr>
            </w:pPr>
          </w:p>
        </w:tc>
        <w:tc>
          <w:tcPr>
            <w:tcW w:w="3040" w:type="dxa"/>
            <w:vAlign w:val="bottom"/>
            <w:gridSpan w:val="4"/>
          </w:tcPr>
          <w:p>
            <w:pPr>
              <w:jc w:val="center"/>
              <w:ind w:right="280"/>
              <w:spacing w:after="0"/>
              <w:rPr>
                <w:sz w:val="20"/>
                <w:szCs w:val="20"/>
                <w:color w:val="auto"/>
              </w:rPr>
            </w:pPr>
            <w:r>
              <w:rPr>
                <w:rFonts w:ascii="Arial" w:cs="Arial" w:eastAsia="Arial" w:hAnsi="Arial"/>
                <w:sz w:val="22"/>
                <w:szCs w:val="22"/>
                <w:color w:val="auto"/>
                <w:w w:val="85"/>
              </w:rPr>
              <w:t>September 30,</w:t>
            </w:r>
          </w:p>
        </w:tc>
        <w:tc>
          <w:tcPr>
            <w:tcW w:w="2800" w:type="dxa"/>
            <w:vAlign w:val="bottom"/>
            <w:gridSpan w:val="3"/>
          </w:tcPr>
          <w:p>
            <w:pPr>
              <w:jc w:val="right"/>
              <w:ind w:right="712"/>
              <w:spacing w:after="0"/>
              <w:rPr>
                <w:sz w:val="20"/>
                <w:szCs w:val="20"/>
                <w:color w:val="auto"/>
              </w:rPr>
            </w:pPr>
            <w:r>
              <w:rPr>
                <w:rFonts w:ascii="Arial" w:cs="Arial" w:eastAsia="Arial" w:hAnsi="Arial"/>
                <w:sz w:val="22"/>
                <w:szCs w:val="22"/>
                <w:color w:val="auto"/>
              </w:rPr>
              <w:t>Septemer 30,</w:t>
            </w:r>
          </w:p>
        </w:tc>
        <w:tc>
          <w:tcPr>
            <w:tcW w:w="0" w:type="dxa"/>
            <w:vAlign w:val="bottom"/>
          </w:tcPr>
          <w:p>
            <w:pPr>
              <w:spacing w:after="0"/>
              <w:rPr>
                <w:sz w:val="1"/>
                <w:szCs w:val="1"/>
                <w:color w:val="auto"/>
              </w:rPr>
            </w:pPr>
          </w:p>
        </w:tc>
      </w:tr>
      <w:tr>
        <w:trPr>
          <w:trHeight w:val="237"/>
        </w:trPr>
        <w:tc>
          <w:tcPr>
            <w:tcW w:w="4540" w:type="dxa"/>
            <w:vAlign w:val="bottom"/>
            <w:vMerge w:val="restart"/>
          </w:tcPr>
          <w:p>
            <w:pPr>
              <w:spacing w:after="0"/>
              <w:rPr>
                <w:sz w:val="20"/>
                <w:szCs w:val="20"/>
                <w:color w:val="auto"/>
              </w:rPr>
            </w:pPr>
            <w:r>
              <w:rPr>
                <w:rFonts w:ascii="Arial" w:cs="Arial" w:eastAsia="Arial" w:hAnsi="Arial"/>
                <w:sz w:val="22"/>
                <w:szCs w:val="22"/>
                <w:color w:val="auto"/>
              </w:rPr>
              <w:t>Weighted-average shares outstanding:</w:t>
            </w:r>
          </w:p>
        </w:tc>
        <w:tc>
          <w:tcPr>
            <w:tcW w:w="1240" w:type="dxa"/>
            <w:vAlign w:val="bottom"/>
            <w:tcBorders>
              <w:top w:val="single" w:sz="8" w:color="auto"/>
              <w:bottom w:val="single" w:sz="8" w:color="auto"/>
            </w:tcBorders>
          </w:tcPr>
          <w:p>
            <w:pPr>
              <w:jc w:val="right"/>
              <w:ind w:right="292"/>
              <w:spacing w:after="0" w:line="237" w:lineRule="exact"/>
              <w:rPr>
                <w:sz w:val="20"/>
                <w:szCs w:val="20"/>
                <w:color w:val="auto"/>
              </w:rPr>
            </w:pPr>
            <w:r>
              <w:rPr>
                <w:rFonts w:ascii="Arial" w:cs="Arial" w:eastAsia="Arial" w:hAnsi="Arial"/>
                <w:sz w:val="22"/>
                <w:szCs w:val="22"/>
                <w:color w:val="auto"/>
              </w:rPr>
              <w:t>2013</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92"/>
              <w:spacing w:after="0" w:line="237" w:lineRule="exact"/>
              <w:rPr>
                <w:sz w:val="20"/>
                <w:szCs w:val="20"/>
                <w:color w:val="auto"/>
              </w:rPr>
            </w:pPr>
            <w:r>
              <w:rPr>
                <w:rFonts w:ascii="Arial" w:cs="Arial" w:eastAsia="Arial" w:hAnsi="Arial"/>
                <w:sz w:val="22"/>
                <w:szCs w:val="22"/>
                <w:color w:val="auto"/>
              </w:rPr>
              <w:t>2012</w:t>
            </w:r>
          </w:p>
        </w:tc>
        <w:tc>
          <w:tcPr>
            <w:tcW w:w="2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ind w:right="292"/>
              <w:spacing w:after="0" w:line="237" w:lineRule="exact"/>
              <w:rPr>
                <w:sz w:val="20"/>
                <w:szCs w:val="20"/>
                <w:color w:val="auto"/>
              </w:rPr>
            </w:pPr>
            <w:r>
              <w:rPr>
                <w:rFonts w:ascii="Arial" w:cs="Arial" w:eastAsia="Arial" w:hAnsi="Arial"/>
                <w:sz w:val="22"/>
                <w:szCs w:val="22"/>
                <w:color w:val="auto"/>
              </w:rPr>
              <w:t>2013</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312"/>
              <w:spacing w:after="0" w:line="237" w:lineRule="exact"/>
              <w:rPr>
                <w:sz w:val="20"/>
                <w:szCs w:val="20"/>
                <w:color w:val="auto"/>
              </w:rPr>
            </w:pPr>
            <w:r>
              <w:rPr>
                <w:rFonts w:ascii="Arial" w:cs="Arial" w:eastAsia="Arial" w:hAnsi="Arial"/>
                <w:sz w:val="22"/>
                <w:szCs w:val="22"/>
                <w:color w:val="auto"/>
              </w:rPr>
              <w:t>2012</w:t>
            </w:r>
          </w:p>
        </w:tc>
        <w:tc>
          <w:tcPr>
            <w:tcW w:w="0" w:type="dxa"/>
            <w:vAlign w:val="bottom"/>
          </w:tcPr>
          <w:p>
            <w:pPr>
              <w:spacing w:after="0"/>
              <w:rPr>
                <w:sz w:val="1"/>
                <w:szCs w:val="1"/>
                <w:color w:val="auto"/>
              </w:rPr>
            </w:pPr>
          </w:p>
        </w:tc>
      </w:tr>
      <w:tr>
        <w:trPr>
          <w:trHeight w:val="202"/>
        </w:trPr>
        <w:tc>
          <w:tcPr>
            <w:tcW w:w="454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line="243" w:lineRule="exact"/>
              <w:rPr>
                <w:sz w:val="20"/>
                <w:szCs w:val="20"/>
                <w:color w:val="auto"/>
              </w:rPr>
            </w:pPr>
            <w:r>
              <w:rPr>
                <w:rFonts w:ascii="Arial" w:cs="Arial" w:eastAsia="Arial" w:hAnsi="Arial"/>
                <w:sz w:val="22"/>
                <w:szCs w:val="22"/>
                <w:color w:val="auto"/>
              </w:rPr>
              <w:t>Basic</w:t>
            </w:r>
          </w:p>
        </w:tc>
        <w:tc>
          <w:tcPr>
            <w:tcW w:w="1240" w:type="dxa"/>
            <w:vAlign w:val="bottom"/>
          </w:tcPr>
          <w:p>
            <w:pPr>
              <w:jc w:val="right"/>
              <w:spacing w:after="0" w:line="243" w:lineRule="exact"/>
              <w:rPr>
                <w:sz w:val="20"/>
                <w:szCs w:val="20"/>
                <w:color w:val="auto"/>
              </w:rPr>
            </w:pPr>
            <w:r>
              <w:rPr>
                <w:rFonts w:ascii="Arial" w:cs="Arial" w:eastAsia="Arial" w:hAnsi="Arial"/>
                <w:sz w:val="22"/>
                <w:szCs w:val="22"/>
                <w:color w:val="auto"/>
              </w:rPr>
              <w:t>167,457</w:t>
            </w:r>
          </w:p>
        </w:tc>
        <w:tc>
          <w:tcPr>
            <w:tcW w:w="280" w:type="dxa"/>
            <w:vAlign w:val="bottom"/>
          </w:tcPr>
          <w:p>
            <w:pPr>
              <w:spacing w:after="0"/>
              <w:rPr>
                <w:sz w:val="21"/>
                <w:szCs w:val="21"/>
                <w:color w:val="auto"/>
              </w:rPr>
            </w:pPr>
          </w:p>
        </w:tc>
        <w:tc>
          <w:tcPr>
            <w:tcW w:w="1240" w:type="dxa"/>
            <w:vAlign w:val="bottom"/>
          </w:tcPr>
          <w:p>
            <w:pPr>
              <w:jc w:val="right"/>
              <w:spacing w:after="0" w:line="243" w:lineRule="exact"/>
              <w:rPr>
                <w:sz w:val="20"/>
                <w:szCs w:val="20"/>
                <w:color w:val="auto"/>
              </w:rPr>
            </w:pPr>
            <w:r>
              <w:rPr>
                <w:rFonts w:ascii="Arial" w:cs="Arial" w:eastAsia="Arial" w:hAnsi="Arial"/>
                <w:sz w:val="22"/>
                <w:szCs w:val="22"/>
                <w:color w:val="auto"/>
              </w:rPr>
              <w:t>175,026</w:t>
            </w:r>
          </w:p>
        </w:tc>
        <w:tc>
          <w:tcPr>
            <w:tcW w:w="28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166,483</w:t>
            </w:r>
          </w:p>
        </w:tc>
        <w:tc>
          <w:tcPr>
            <w:tcW w:w="28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175,347</w:t>
            </w:r>
          </w:p>
        </w:tc>
        <w:tc>
          <w:tcPr>
            <w:tcW w:w="0" w:type="dxa"/>
            <w:vAlign w:val="bottom"/>
          </w:tcPr>
          <w:p>
            <w:pPr>
              <w:spacing w:after="0"/>
              <w:rPr>
                <w:sz w:val="1"/>
                <w:szCs w:val="1"/>
                <w:color w:val="auto"/>
              </w:rPr>
            </w:pPr>
          </w:p>
        </w:tc>
      </w:tr>
      <w:tr>
        <w:trPr>
          <w:trHeight w:val="265"/>
        </w:trPr>
        <w:tc>
          <w:tcPr>
            <w:tcW w:w="4540" w:type="dxa"/>
            <w:vAlign w:val="bottom"/>
          </w:tcPr>
          <w:p>
            <w:pPr>
              <w:ind w:left="180"/>
              <w:spacing w:after="0"/>
              <w:rPr>
                <w:sz w:val="20"/>
                <w:szCs w:val="20"/>
                <w:color w:val="auto"/>
              </w:rPr>
            </w:pPr>
            <w:r>
              <w:rPr>
                <w:rFonts w:ascii="Arial" w:cs="Arial" w:eastAsia="Arial" w:hAnsi="Arial"/>
                <w:sz w:val="22"/>
                <w:szCs w:val="22"/>
                <w:color w:val="auto"/>
              </w:rPr>
              <w:t>Dilutive securities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6,491</w:t>
            </w:r>
          </w:p>
        </w:tc>
        <w:tc>
          <w:tcPr>
            <w:tcW w:w="28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8,873</w:t>
            </w:r>
          </w:p>
        </w:tc>
        <w:tc>
          <w:tcPr>
            <w:tcW w:w="28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6,861</w:t>
            </w:r>
          </w:p>
        </w:tc>
        <w:tc>
          <w:tcPr>
            <w:tcW w:w="28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10,018</w:t>
            </w:r>
          </w:p>
        </w:tc>
        <w:tc>
          <w:tcPr>
            <w:tcW w:w="0" w:type="dxa"/>
            <w:vAlign w:val="bottom"/>
          </w:tcPr>
          <w:p>
            <w:pPr>
              <w:spacing w:after="0"/>
              <w:rPr>
                <w:sz w:val="1"/>
                <w:szCs w:val="1"/>
                <w:color w:val="auto"/>
              </w:rPr>
            </w:pPr>
          </w:p>
        </w:tc>
      </w:tr>
      <w:tr>
        <w:trPr>
          <w:trHeight w:val="237"/>
        </w:trPr>
        <w:tc>
          <w:tcPr>
            <w:tcW w:w="4540" w:type="dxa"/>
            <w:vAlign w:val="bottom"/>
          </w:tcPr>
          <w:p>
            <w:pPr>
              <w:ind w:left="180"/>
              <w:spacing w:after="0" w:line="237" w:lineRule="exact"/>
              <w:rPr>
                <w:sz w:val="20"/>
                <w:szCs w:val="20"/>
                <w:color w:val="auto"/>
              </w:rPr>
            </w:pPr>
            <w:r>
              <w:rPr>
                <w:rFonts w:ascii="Arial" w:cs="Arial" w:eastAsia="Arial" w:hAnsi="Arial"/>
                <w:sz w:val="22"/>
                <w:szCs w:val="22"/>
                <w:color w:val="auto"/>
              </w:rPr>
              <w:t>Diluted</w:t>
            </w:r>
          </w:p>
        </w:tc>
        <w:tc>
          <w:tcPr>
            <w:tcW w:w="1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173,948</w:t>
            </w:r>
          </w:p>
        </w:tc>
        <w:tc>
          <w:tcPr>
            <w:tcW w:w="280" w:type="dxa"/>
            <w:vAlign w:val="bottom"/>
          </w:tcPr>
          <w:p>
            <w:pPr>
              <w:spacing w:after="0"/>
              <w:rPr>
                <w:sz w:val="20"/>
                <w:szCs w:val="20"/>
                <w:color w:val="auto"/>
              </w:rPr>
            </w:pPr>
          </w:p>
        </w:tc>
        <w:tc>
          <w:tcPr>
            <w:tcW w:w="1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183,899</w:t>
            </w:r>
          </w:p>
        </w:tc>
        <w:tc>
          <w:tcPr>
            <w:tcW w:w="280" w:type="dxa"/>
            <w:vAlign w:val="bottom"/>
          </w:tcPr>
          <w:p>
            <w:pPr>
              <w:spacing w:after="0"/>
              <w:rPr>
                <w:sz w:val="20"/>
                <w:szCs w:val="20"/>
                <w:color w:val="auto"/>
              </w:rPr>
            </w:pPr>
          </w:p>
        </w:tc>
        <w:tc>
          <w:tcPr>
            <w:tcW w:w="1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173,344</w:t>
            </w:r>
          </w:p>
        </w:tc>
        <w:tc>
          <w:tcPr>
            <w:tcW w:w="280" w:type="dxa"/>
            <w:vAlign w:val="bottom"/>
          </w:tcPr>
          <w:p>
            <w:pPr>
              <w:spacing w:after="0"/>
              <w:rPr>
                <w:sz w:val="20"/>
                <w:szCs w:val="20"/>
                <w:color w:val="auto"/>
              </w:rPr>
            </w:pPr>
          </w:p>
        </w:tc>
        <w:tc>
          <w:tcPr>
            <w:tcW w:w="1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185,365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For the three-months ended September 30, 2013 and 2012, options outstanding totaling 1.5 million and 0.4 million shares, respectively, were excluded from the calculations as their effect would have been antidilutive. For the nine-months ended September 30, 2013 and 2012, options outstanding totaling 1.2 million and 0.2 million shares, respectively, were excluded from the calculations as their effect would have been antidilutive.</w:t>
      </w:r>
    </w:p>
    <w:p>
      <w:pPr>
        <w:spacing w:after="0" w:line="21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SEGMENT INFORMATION</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Company has two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have been allocated to “Corporate &amp; Unallocated.”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net revenues derived from the DSD and Warehouse segments and other financial information related thereto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6"/>
          </w:tcPr>
          <w:p>
            <w:pPr>
              <w:ind w:left="140"/>
              <w:spacing w:after="0"/>
              <w:rPr>
                <w:sz w:val="20"/>
                <w:szCs w:val="20"/>
                <w:color w:val="auto"/>
              </w:rPr>
            </w:pPr>
            <w:r>
              <w:rPr>
                <w:rFonts w:ascii="Arial" w:cs="Arial" w:eastAsia="Arial" w:hAnsi="Arial"/>
                <w:sz w:val="20"/>
                <w:szCs w:val="20"/>
                <w:color w:val="auto"/>
                <w:w w:val="99"/>
              </w:rPr>
              <w:t>Three-Months Ended September 30, 2013</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460"/>
              <w:spacing w:after="0" w:line="207" w:lineRule="exact"/>
              <w:rPr>
                <w:sz w:val="20"/>
                <w:szCs w:val="20"/>
                <w:color w:val="auto"/>
              </w:rPr>
            </w:pPr>
            <w:r>
              <w:rPr>
                <w:rFonts w:ascii="Arial" w:cs="Arial" w:eastAsia="Arial" w:hAnsi="Arial"/>
                <w:sz w:val="20"/>
                <w:szCs w:val="20"/>
                <w:color w:val="auto"/>
                <w:w w:val="89"/>
              </w:rPr>
              <w:t>Corporate and</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00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ind w:left="200"/>
              <w:spacing w:after="0"/>
              <w:rPr>
                <w:sz w:val="20"/>
                <w:szCs w:val="20"/>
                <w:color w:val="auto"/>
              </w:rPr>
            </w:pPr>
            <w:r>
              <w:rPr>
                <w:rFonts w:ascii="Arial" w:cs="Arial" w:eastAsia="Arial" w:hAnsi="Arial"/>
                <w:sz w:val="20"/>
                <w:szCs w:val="20"/>
                <w:color w:val="auto"/>
              </w:rPr>
              <w:t>DSD</w:t>
            </w: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Warehouse</w:t>
            </w: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20"/>
                <w:szCs w:val="20"/>
                <w:color w:val="auto"/>
                <w:w w:val="88"/>
              </w:rPr>
              <w:t>Unallocated</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000" w:type="dxa"/>
            <w:vAlign w:val="bottom"/>
            <w:vMerge w:val="continue"/>
          </w:tcPr>
          <w:p>
            <w:pPr>
              <w:spacing w:after="0"/>
              <w:rPr>
                <w:sz w:val="17"/>
                <w:szCs w:val="17"/>
                <w:color w:val="auto"/>
              </w:rPr>
            </w:pPr>
          </w:p>
        </w:tc>
        <w:tc>
          <w:tcPr>
            <w:tcW w:w="42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spacing w:after="0" w:line="207" w:lineRule="exact"/>
              <w:rPr>
                <w:sz w:val="20"/>
                <w:szCs w:val="20"/>
                <w:color w:val="auto"/>
              </w:rPr>
            </w:pPr>
            <w:r>
              <w:rPr>
                <w:rFonts w:ascii="Arial" w:cs="Arial" w:eastAsia="Arial" w:hAnsi="Arial"/>
                <w:sz w:val="20"/>
                <w:szCs w:val="20"/>
                <w:color w:val="auto"/>
              </w:rPr>
              <w:t>566,768</w:t>
            </w:r>
          </w:p>
        </w:tc>
        <w:tc>
          <w:tcPr>
            <w:tcW w:w="240" w:type="dxa"/>
            <w:vAlign w:val="bottom"/>
          </w:tcPr>
          <w:p>
            <w:pPr>
              <w:spacing w:after="0"/>
              <w:rPr>
                <w:sz w:val="17"/>
                <w:szCs w:val="17"/>
                <w:color w:val="auto"/>
              </w:rPr>
            </w:pPr>
          </w:p>
        </w:tc>
        <w:tc>
          <w:tcPr>
            <w:tcW w:w="3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420" w:type="dxa"/>
            <w:vAlign w:val="bottom"/>
          </w:tcPr>
          <w:p>
            <w:pPr>
              <w:jc w:val="right"/>
              <w:ind w:right="1"/>
              <w:spacing w:after="0" w:line="207" w:lineRule="exact"/>
              <w:rPr>
                <w:sz w:val="20"/>
                <w:szCs w:val="20"/>
                <w:color w:val="auto"/>
              </w:rPr>
            </w:pPr>
            <w:r>
              <w:rPr>
                <w:rFonts w:ascii="Arial" w:cs="Arial" w:eastAsia="Arial" w:hAnsi="Arial"/>
                <w:sz w:val="20"/>
                <w:szCs w:val="20"/>
                <w:color w:val="auto"/>
              </w:rPr>
              <w:t>23,654</w:t>
            </w:r>
          </w:p>
        </w:tc>
        <w:tc>
          <w:tcPr>
            <w:tcW w:w="220" w:type="dxa"/>
            <w:vAlign w:val="bottom"/>
          </w:tcPr>
          <w:p>
            <w:pPr>
              <w:spacing w:after="0"/>
              <w:rPr>
                <w:sz w:val="17"/>
                <w:szCs w:val="17"/>
                <w:color w:val="auto"/>
              </w:rPr>
            </w:pPr>
          </w:p>
        </w:tc>
        <w:tc>
          <w:tcPr>
            <w:tcW w:w="24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6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7"/>
                <w:szCs w:val="17"/>
                <w:color w:val="auto"/>
              </w:rPr>
            </w:pPr>
          </w:p>
        </w:tc>
        <w:tc>
          <w:tcPr>
            <w:tcW w:w="38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590,422</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Contribution margin</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194,915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(2,193)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192,722</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Corporate and unallocated expenses</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(41,293)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(41,293)</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Operating income</w:t>
            </w: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151,429</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Other (expense) income</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(886)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(706)</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150,723</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(5,069)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(960)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(6,096)</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685"/>
        </w:trPr>
        <w:tc>
          <w:tcPr>
            <w:tcW w:w="40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ind w:left="140"/>
              <w:spacing w:after="0"/>
              <w:rPr>
                <w:sz w:val="20"/>
                <w:szCs w:val="20"/>
                <w:color w:val="auto"/>
              </w:rPr>
            </w:pPr>
            <w:r>
              <w:rPr>
                <w:rFonts w:ascii="Arial" w:cs="Arial" w:eastAsia="Arial" w:hAnsi="Arial"/>
                <w:sz w:val="20"/>
                <w:szCs w:val="20"/>
                <w:color w:val="auto"/>
                <w:w w:val="99"/>
              </w:rPr>
              <w:t>Three-Months Ended September 30, 2012</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460"/>
              <w:spacing w:after="0" w:line="207" w:lineRule="exact"/>
              <w:rPr>
                <w:sz w:val="20"/>
                <w:szCs w:val="20"/>
                <w:color w:val="auto"/>
              </w:rPr>
            </w:pPr>
            <w:r>
              <w:rPr>
                <w:rFonts w:ascii="Arial" w:cs="Arial" w:eastAsia="Arial" w:hAnsi="Arial"/>
                <w:sz w:val="20"/>
                <w:szCs w:val="20"/>
                <w:color w:val="auto"/>
                <w:w w:val="89"/>
              </w:rPr>
              <w:t>Corporate and</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00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420" w:type="dxa"/>
            <w:vAlign w:val="bottom"/>
          </w:tcPr>
          <w:p>
            <w:pPr>
              <w:spacing w:after="0"/>
              <w:rPr>
                <w:sz w:val="21"/>
                <w:szCs w:val="21"/>
                <w:color w:val="auto"/>
              </w:rPr>
            </w:pPr>
          </w:p>
        </w:tc>
        <w:tc>
          <w:tcPr>
            <w:tcW w:w="1440" w:type="dxa"/>
            <w:vAlign w:val="bottom"/>
            <w:gridSpan w:val="2"/>
          </w:tcPr>
          <w:p>
            <w:pPr>
              <w:ind w:left="200"/>
              <w:spacing w:after="0"/>
              <w:rPr>
                <w:sz w:val="20"/>
                <w:szCs w:val="20"/>
                <w:color w:val="auto"/>
              </w:rPr>
            </w:pPr>
            <w:r>
              <w:rPr>
                <w:rFonts w:ascii="Arial" w:cs="Arial" w:eastAsia="Arial" w:hAnsi="Arial"/>
                <w:sz w:val="20"/>
                <w:szCs w:val="20"/>
                <w:color w:val="auto"/>
              </w:rPr>
              <w:t>DSD</w:t>
            </w:r>
          </w:p>
        </w:tc>
        <w:tc>
          <w:tcPr>
            <w:tcW w:w="320" w:type="dxa"/>
            <w:vAlign w:val="bottom"/>
          </w:tcPr>
          <w:p>
            <w:pPr>
              <w:spacing w:after="0"/>
              <w:rPr>
                <w:sz w:val="21"/>
                <w:szCs w:val="21"/>
                <w:color w:val="auto"/>
              </w:rPr>
            </w:pPr>
          </w:p>
        </w:tc>
        <w:tc>
          <w:tcPr>
            <w:tcW w:w="1640" w:type="dxa"/>
            <w:vAlign w:val="bottom"/>
            <w:gridSpan w:val="2"/>
          </w:tcPr>
          <w:p>
            <w:pPr>
              <w:ind w:left="100"/>
              <w:spacing w:after="0"/>
              <w:rPr>
                <w:sz w:val="20"/>
                <w:szCs w:val="20"/>
                <w:color w:val="auto"/>
              </w:rPr>
            </w:pPr>
            <w:r>
              <w:rPr>
                <w:rFonts w:ascii="Arial" w:cs="Arial" w:eastAsia="Arial" w:hAnsi="Arial"/>
                <w:sz w:val="20"/>
                <w:szCs w:val="20"/>
                <w:color w:val="auto"/>
              </w:rPr>
              <w:t>Warehouse</w:t>
            </w:r>
          </w:p>
        </w:tc>
        <w:tc>
          <w:tcPr>
            <w:tcW w:w="240" w:type="dxa"/>
            <w:vAlign w:val="bottom"/>
          </w:tcPr>
          <w:p>
            <w:pPr>
              <w:spacing w:after="0"/>
              <w:rPr>
                <w:sz w:val="21"/>
                <w:szCs w:val="21"/>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20"/>
                <w:szCs w:val="20"/>
                <w:color w:val="auto"/>
                <w:w w:val="88"/>
              </w:rPr>
              <w:t>Unallocated</w:t>
            </w:r>
          </w:p>
        </w:tc>
        <w:tc>
          <w:tcPr>
            <w:tcW w:w="380" w:type="dxa"/>
            <w:vAlign w:val="bottom"/>
          </w:tcPr>
          <w:p>
            <w:pPr>
              <w:spacing w:after="0"/>
              <w:rPr>
                <w:sz w:val="21"/>
                <w:szCs w:val="21"/>
                <w:color w:val="auto"/>
              </w:rPr>
            </w:pPr>
          </w:p>
        </w:tc>
        <w:tc>
          <w:tcPr>
            <w:tcW w:w="1300" w:type="dxa"/>
            <w:vAlign w:val="bottom"/>
          </w:tcPr>
          <w:p>
            <w:pPr>
              <w:jc w:val="right"/>
              <w:ind w:right="60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000" w:type="dxa"/>
            <w:vAlign w:val="bottom"/>
            <w:vMerge w:val="continue"/>
          </w:tcPr>
          <w:p>
            <w:pPr>
              <w:spacing w:after="0"/>
              <w:rPr>
                <w:sz w:val="17"/>
                <w:szCs w:val="17"/>
                <w:color w:val="auto"/>
              </w:rPr>
            </w:pPr>
          </w:p>
        </w:tc>
        <w:tc>
          <w:tcPr>
            <w:tcW w:w="420" w:type="dxa"/>
            <w:vAlign w:val="bottom"/>
            <w:tcBorders>
              <w:top w:val="single" w:sz="8" w:color="auto"/>
            </w:tcBorders>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516,268</w:t>
            </w:r>
          </w:p>
        </w:tc>
        <w:tc>
          <w:tcPr>
            <w:tcW w:w="240" w:type="dxa"/>
            <w:vAlign w:val="bottom"/>
          </w:tcPr>
          <w:p>
            <w:pPr>
              <w:spacing w:after="0"/>
              <w:rPr>
                <w:sz w:val="17"/>
                <w:szCs w:val="17"/>
                <w:color w:val="auto"/>
              </w:rPr>
            </w:pPr>
          </w:p>
        </w:tc>
        <w:tc>
          <w:tcPr>
            <w:tcW w:w="32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4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25,672</w:t>
            </w: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4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7"/>
                <w:szCs w:val="17"/>
                <w:color w:val="auto"/>
              </w:rPr>
            </w:pPr>
          </w:p>
        </w:tc>
        <w:tc>
          <w:tcPr>
            <w:tcW w:w="380" w:type="dxa"/>
            <w:vAlign w:val="bottom"/>
            <w:tcBorders>
              <w:top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3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541,940</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Contribution margin</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170,096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170,137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Corporate and unallocated expenses</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(29,452)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(29,452)</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Operating income</w:t>
            </w: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140,685</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Other (expense) income</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406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553</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141,238</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(3,884)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(1,233)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(5,155)</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Revenue is derived from sales to external customers. Operating expenses that pertain to each segment are allocated to the appropriate segment.</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Corporate and unallocated expenses were $41.3 million for the three-months ended September 30, 2013 and included $19.8 million of payroll costs, of which $7.2 million was attributable to stock-based compensation expense (see Note 12, “Stock-Based Compensation”), $10.9 million attributable to professional service expenses, including accounting and legal costs, and $10.6 million of other operating expenses. Corporate and unallocated expenses were $29.5 million for the three-months ended</w:t>
      </w:r>
    </w:p>
    <w:p>
      <w:pPr>
        <w:sectPr>
          <w:pgSz w:w="11900" w:h="16935" w:orient="portrait"/>
          <w:cols w:equalWidth="0" w:num="1">
            <w:col w:w="11420"/>
          </w:cols>
          <w:pgMar w:left="240" w:top="361" w:right="239" w:bottom="0" w:gutter="0" w:footer="0" w:header="0"/>
        </w:sectPr>
      </w:pPr>
    </w:p>
    <w:bookmarkStart w:id="18" w:name="page19"/>
    <w:bookmarkEnd w:id="18"/>
    <w:p>
      <w:pPr>
        <w:jc w:val="both"/>
        <w:spacing w:after="0" w:line="258" w:lineRule="auto"/>
        <w:rPr>
          <w:sz w:val="20"/>
          <w:szCs w:val="20"/>
          <w:color w:val="auto"/>
        </w:rPr>
      </w:pPr>
      <w:r>
        <w:rPr>
          <w:rFonts w:ascii="Arial" w:cs="Arial" w:eastAsia="Arial" w:hAnsi="Arial"/>
          <w:sz w:val="21"/>
          <w:szCs w:val="21"/>
          <w:color w:val="auto"/>
        </w:rPr>
        <w:t>September 30, 2012 and included $19.8 million of payroll costs, of which $7.9 million was attributable to stock-based compensation expense (see Note 12, “Stock-Based Compensation”), $4.5 million attributable to professional service expenses, including accounting and legal costs, $1.2 million of depreciation and $4.0 million of other operating expenses.</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Coca-Cola Refreshments USA Inc. (“CCR”), a customer of the DSD segment, accounted for approximately 29% and 28% of the Company’s net sales for the three-months ended September 30, 2013 and 2012,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Net sales to customers outside the United States amounted to $121.1 million and $114.5 million for the three-months ended September 30, 2013 and 2012, respectively.</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net revenues derived from the DSD and Warehouse segments and other financial information related thereto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6"/>
          </w:tcPr>
          <w:p>
            <w:pPr>
              <w:ind w:left="180"/>
              <w:spacing w:after="0"/>
              <w:rPr>
                <w:sz w:val="20"/>
                <w:szCs w:val="20"/>
                <w:color w:val="auto"/>
              </w:rPr>
            </w:pPr>
            <w:r>
              <w:rPr>
                <w:rFonts w:ascii="Arial" w:cs="Arial" w:eastAsia="Arial" w:hAnsi="Arial"/>
                <w:sz w:val="20"/>
                <w:szCs w:val="20"/>
                <w:color w:val="auto"/>
              </w:rPr>
              <w:t>Nine-Months Ended September 30, 2013</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480"/>
              <w:spacing w:after="0" w:line="207" w:lineRule="exact"/>
              <w:rPr>
                <w:sz w:val="20"/>
                <w:szCs w:val="20"/>
                <w:color w:val="auto"/>
              </w:rPr>
            </w:pPr>
            <w:r>
              <w:rPr>
                <w:rFonts w:ascii="Arial" w:cs="Arial" w:eastAsia="Arial" w:hAnsi="Arial"/>
                <w:sz w:val="20"/>
                <w:szCs w:val="20"/>
                <w:color w:val="auto"/>
                <w:w w:val="87"/>
              </w:rPr>
              <w:t>Corporate and</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00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420" w:type="dxa"/>
            <w:vAlign w:val="bottom"/>
          </w:tcPr>
          <w:p>
            <w:pPr>
              <w:spacing w:after="0"/>
              <w:rPr>
                <w:sz w:val="21"/>
                <w:szCs w:val="21"/>
                <w:color w:val="auto"/>
              </w:rPr>
            </w:pPr>
          </w:p>
        </w:tc>
        <w:tc>
          <w:tcPr>
            <w:tcW w:w="1440" w:type="dxa"/>
            <w:vAlign w:val="bottom"/>
            <w:gridSpan w:val="2"/>
          </w:tcPr>
          <w:p>
            <w:pPr>
              <w:ind w:left="200"/>
              <w:spacing w:after="0"/>
              <w:rPr>
                <w:sz w:val="20"/>
                <w:szCs w:val="20"/>
                <w:color w:val="auto"/>
              </w:rPr>
            </w:pPr>
            <w:r>
              <w:rPr>
                <w:rFonts w:ascii="Arial" w:cs="Arial" w:eastAsia="Arial" w:hAnsi="Arial"/>
                <w:sz w:val="20"/>
                <w:szCs w:val="20"/>
                <w:color w:val="auto"/>
              </w:rPr>
              <w:t>DSD</w:t>
            </w:r>
          </w:p>
        </w:tc>
        <w:tc>
          <w:tcPr>
            <w:tcW w:w="300" w:type="dxa"/>
            <w:vAlign w:val="bottom"/>
          </w:tcPr>
          <w:p>
            <w:pPr>
              <w:spacing w:after="0"/>
              <w:rPr>
                <w:sz w:val="21"/>
                <w:szCs w:val="21"/>
                <w:color w:val="auto"/>
              </w:rPr>
            </w:pPr>
          </w:p>
        </w:tc>
        <w:tc>
          <w:tcPr>
            <w:tcW w:w="1660" w:type="dxa"/>
            <w:vAlign w:val="bottom"/>
            <w:gridSpan w:val="2"/>
          </w:tcPr>
          <w:p>
            <w:pPr>
              <w:ind w:left="120"/>
              <w:spacing w:after="0"/>
              <w:rPr>
                <w:sz w:val="20"/>
                <w:szCs w:val="20"/>
                <w:color w:val="auto"/>
              </w:rPr>
            </w:pPr>
            <w:r>
              <w:rPr>
                <w:rFonts w:ascii="Arial" w:cs="Arial" w:eastAsia="Arial" w:hAnsi="Arial"/>
                <w:sz w:val="20"/>
                <w:szCs w:val="20"/>
                <w:color w:val="auto"/>
              </w:rPr>
              <w:t>Warehouse</w:t>
            </w:r>
          </w:p>
        </w:tc>
        <w:tc>
          <w:tcPr>
            <w:tcW w:w="240" w:type="dxa"/>
            <w:vAlign w:val="bottom"/>
          </w:tcPr>
          <w:p>
            <w:pPr>
              <w:spacing w:after="0"/>
              <w:rPr>
                <w:sz w:val="21"/>
                <w:szCs w:val="21"/>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20"/>
                <w:szCs w:val="20"/>
                <w:color w:val="auto"/>
                <w:w w:val="90"/>
              </w:rPr>
              <w:t>Unallocated</w:t>
            </w:r>
          </w:p>
        </w:tc>
        <w:tc>
          <w:tcPr>
            <w:tcW w:w="380" w:type="dxa"/>
            <w:vAlign w:val="bottom"/>
          </w:tcPr>
          <w:p>
            <w:pPr>
              <w:spacing w:after="0"/>
              <w:rPr>
                <w:sz w:val="21"/>
                <w:szCs w:val="21"/>
                <w:color w:val="auto"/>
              </w:rPr>
            </w:pPr>
          </w:p>
        </w:tc>
        <w:tc>
          <w:tcPr>
            <w:tcW w:w="1300" w:type="dxa"/>
            <w:vAlign w:val="bottom"/>
          </w:tcPr>
          <w:p>
            <w:pPr>
              <w:jc w:val="right"/>
              <w:ind w:right="60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000" w:type="dxa"/>
            <w:vAlign w:val="bottom"/>
            <w:vMerge w:val="continue"/>
          </w:tcPr>
          <w:p>
            <w:pPr>
              <w:spacing w:after="0"/>
              <w:rPr>
                <w:sz w:val="17"/>
                <w:szCs w:val="17"/>
                <w:color w:val="auto"/>
              </w:rPr>
            </w:pPr>
          </w:p>
        </w:tc>
        <w:tc>
          <w:tcPr>
            <w:tcW w:w="420" w:type="dxa"/>
            <w:vAlign w:val="bottom"/>
            <w:tcBorders>
              <w:top w:val="single" w:sz="8" w:color="auto"/>
            </w:tcBorders>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1,627,936</w:t>
            </w:r>
          </w:p>
        </w:tc>
        <w:tc>
          <w:tcPr>
            <w:tcW w:w="240" w:type="dxa"/>
            <w:vAlign w:val="bottom"/>
          </w:tcPr>
          <w:p>
            <w:pPr>
              <w:spacing w:after="0"/>
              <w:rPr>
                <w:sz w:val="17"/>
                <w:szCs w:val="17"/>
                <w:color w:val="auto"/>
              </w:rPr>
            </w:pPr>
          </w:p>
        </w:tc>
        <w:tc>
          <w:tcPr>
            <w:tcW w:w="3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4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77,643</w:t>
            </w:r>
          </w:p>
        </w:tc>
        <w:tc>
          <w:tcPr>
            <w:tcW w:w="24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4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7"/>
                <w:szCs w:val="17"/>
                <w:color w:val="auto"/>
              </w:rPr>
            </w:pPr>
          </w:p>
        </w:tc>
        <w:tc>
          <w:tcPr>
            <w:tcW w:w="380" w:type="dxa"/>
            <w:vAlign w:val="bottom"/>
            <w:tcBorders>
              <w:top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3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1,705,579</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Contribution margin</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548,906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(682)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548,224</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Corporate and unallocated expenses</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(110,064)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(110,064)</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Operating income</w:t>
            </w: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438,160</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Other (expense) income</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468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(6,476)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(6,009)</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432,151</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(14,091)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(2,149)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(16,408)</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685"/>
        </w:trPr>
        <w:tc>
          <w:tcPr>
            <w:tcW w:w="40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ind w:left="180"/>
              <w:spacing w:after="0"/>
              <w:rPr>
                <w:sz w:val="20"/>
                <w:szCs w:val="20"/>
                <w:color w:val="auto"/>
              </w:rPr>
            </w:pPr>
            <w:r>
              <w:rPr>
                <w:rFonts w:ascii="Arial" w:cs="Arial" w:eastAsia="Arial" w:hAnsi="Arial"/>
                <w:sz w:val="20"/>
                <w:szCs w:val="20"/>
                <w:color w:val="auto"/>
              </w:rPr>
              <w:t>Nine-Months Ended September 30, 2012</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480"/>
              <w:spacing w:after="0" w:line="207" w:lineRule="exact"/>
              <w:rPr>
                <w:sz w:val="20"/>
                <w:szCs w:val="20"/>
                <w:color w:val="auto"/>
              </w:rPr>
            </w:pPr>
            <w:r>
              <w:rPr>
                <w:rFonts w:ascii="Arial" w:cs="Arial" w:eastAsia="Arial" w:hAnsi="Arial"/>
                <w:sz w:val="20"/>
                <w:szCs w:val="20"/>
                <w:color w:val="auto"/>
                <w:w w:val="87"/>
              </w:rPr>
              <w:t>Corporate and</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00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420" w:type="dxa"/>
            <w:vAlign w:val="bottom"/>
          </w:tcPr>
          <w:p>
            <w:pPr>
              <w:spacing w:after="0"/>
              <w:rPr>
                <w:sz w:val="21"/>
                <w:szCs w:val="21"/>
                <w:color w:val="auto"/>
              </w:rPr>
            </w:pPr>
          </w:p>
        </w:tc>
        <w:tc>
          <w:tcPr>
            <w:tcW w:w="1440" w:type="dxa"/>
            <w:vAlign w:val="bottom"/>
            <w:gridSpan w:val="2"/>
          </w:tcPr>
          <w:p>
            <w:pPr>
              <w:ind w:left="200"/>
              <w:spacing w:after="0"/>
              <w:rPr>
                <w:sz w:val="20"/>
                <w:szCs w:val="20"/>
                <w:color w:val="auto"/>
              </w:rPr>
            </w:pPr>
            <w:r>
              <w:rPr>
                <w:rFonts w:ascii="Arial" w:cs="Arial" w:eastAsia="Arial" w:hAnsi="Arial"/>
                <w:sz w:val="20"/>
                <w:szCs w:val="20"/>
                <w:color w:val="auto"/>
              </w:rPr>
              <w:t>DSD</w:t>
            </w:r>
          </w:p>
        </w:tc>
        <w:tc>
          <w:tcPr>
            <w:tcW w:w="300" w:type="dxa"/>
            <w:vAlign w:val="bottom"/>
          </w:tcPr>
          <w:p>
            <w:pPr>
              <w:spacing w:after="0"/>
              <w:rPr>
                <w:sz w:val="21"/>
                <w:szCs w:val="21"/>
                <w:color w:val="auto"/>
              </w:rPr>
            </w:pPr>
          </w:p>
        </w:tc>
        <w:tc>
          <w:tcPr>
            <w:tcW w:w="1660" w:type="dxa"/>
            <w:vAlign w:val="bottom"/>
            <w:gridSpan w:val="2"/>
          </w:tcPr>
          <w:p>
            <w:pPr>
              <w:ind w:left="120"/>
              <w:spacing w:after="0"/>
              <w:rPr>
                <w:sz w:val="20"/>
                <w:szCs w:val="20"/>
                <w:color w:val="auto"/>
              </w:rPr>
            </w:pPr>
            <w:r>
              <w:rPr>
                <w:rFonts w:ascii="Arial" w:cs="Arial" w:eastAsia="Arial" w:hAnsi="Arial"/>
                <w:sz w:val="20"/>
                <w:szCs w:val="20"/>
                <w:color w:val="auto"/>
              </w:rPr>
              <w:t>Warehouse</w:t>
            </w:r>
          </w:p>
        </w:tc>
        <w:tc>
          <w:tcPr>
            <w:tcW w:w="240" w:type="dxa"/>
            <w:vAlign w:val="bottom"/>
          </w:tcPr>
          <w:p>
            <w:pPr>
              <w:spacing w:after="0"/>
              <w:rPr>
                <w:sz w:val="21"/>
                <w:szCs w:val="21"/>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20"/>
                <w:szCs w:val="20"/>
                <w:color w:val="auto"/>
                <w:w w:val="90"/>
              </w:rPr>
              <w:t>Unallocated</w:t>
            </w:r>
          </w:p>
        </w:tc>
        <w:tc>
          <w:tcPr>
            <w:tcW w:w="380" w:type="dxa"/>
            <w:vAlign w:val="bottom"/>
          </w:tcPr>
          <w:p>
            <w:pPr>
              <w:spacing w:after="0"/>
              <w:rPr>
                <w:sz w:val="21"/>
                <w:szCs w:val="21"/>
                <w:color w:val="auto"/>
              </w:rPr>
            </w:pPr>
          </w:p>
        </w:tc>
        <w:tc>
          <w:tcPr>
            <w:tcW w:w="1300" w:type="dxa"/>
            <w:vAlign w:val="bottom"/>
          </w:tcPr>
          <w:p>
            <w:pPr>
              <w:jc w:val="right"/>
              <w:ind w:right="60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000" w:type="dxa"/>
            <w:vAlign w:val="bottom"/>
            <w:vMerge w:val="continue"/>
          </w:tcPr>
          <w:p>
            <w:pPr>
              <w:spacing w:after="0"/>
              <w:rPr>
                <w:sz w:val="17"/>
                <w:szCs w:val="17"/>
                <w:color w:val="auto"/>
              </w:rPr>
            </w:pPr>
          </w:p>
        </w:tc>
        <w:tc>
          <w:tcPr>
            <w:tcW w:w="420" w:type="dxa"/>
            <w:vAlign w:val="bottom"/>
            <w:tcBorders>
              <w:top w:val="single" w:sz="8" w:color="auto"/>
            </w:tcBorders>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1,515,476</w:t>
            </w:r>
          </w:p>
        </w:tc>
        <w:tc>
          <w:tcPr>
            <w:tcW w:w="240" w:type="dxa"/>
            <w:vAlign w:val="bottom"/>
          </w:tcPr>
          <w:p>
            <w:pPr>
              <w:spacing w:after="0"/>
              <w:rPr>
                <w:sz w:val="17"/>
                <w:szCs w:val="17"/>
                <w:color w:val="auto"/>
              </w:rPr>
            </w:pPr>
          </w:p>
        </w:tc>
        <w:tc>
          <w:tcPr>
            <w:tcW w:w="3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4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73,709</w:t>
            </w:r>
          </w:p>
        </w:tc>
        <w:tc>
          <w:tcPr>
            <w:tcW w:w="24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4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7"/>
                <w:szCs w:val="17"/>
                <w:color w:val="auto"/>
              </w:rPr>
            </w:pPr>
          </w:p>
        </w:tc>
        <w:tc>
          <w:tcPr>
            <w:tcW w:w="380" w:type="dxa"/>
            <w:vAlign w:val="bottom"/>
            <w:tcBorders>
              <w:top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3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1,589,185</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Contribution margin</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515,010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3,817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518,827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Corporate and unallocated expenses</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(82,085)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(82,085)</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Operating income</w:t>
            </w: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436,742</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Other (expense) income</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414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426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840</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437,582</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(11,577)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(93)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(3,558)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(15,228)</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Revenue is derived from sales to external customers. Operating expenses that pertain to each segment are allocated to the appropriate segment.</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Corporate and unallocated expenses were $110.1 million for the nine-months ended September 30, 2013 and included $60.6 million of payroll costs, of which $21.6 million was attributable to stock-based compensation expense (see Note 12, “Stock-Based Compensation”), $27.9 million attributable to professional service expenses, including accounting and legal costs, and $21.6 million of other operating expenses. Corporate and unallocated expenses were $82.1 million for the nine-months ended September 30, 2012 and included $55.4 million of payroll costs, of which $21.6 million was attributable to stock-based compensation expense (see Note 12, “Stock-Based Compensation”), $11.6 million attributable to professional service expenses, including accounting and legal costs, $3.6 million of depreciation and $11.5 million of other operating expenses.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Coca-Cola Refreshments USA Inc. (“CCR”), a customer of the DSD segment, accounted for approximately 29% of the Company’s net sales for both the nine-months ended September 30, 2013 and 2012, respectively.</w:t>
      </w:r>
    </w:p>
    <w:p>
      <w:pPr>
        <w:sectPr>
          <w:pgSz w:w="11900" w:h="16838" w:orient="portrait"/>
          <w:cols w:equalWidth="0" w:num="1">
            <w:col w:w="11420"/>
          </w:cols>
          <w:pgMar w:left="240" w:top="118" w:right="239" w:bottom="0" w:gutter="0" w:footer="0" w:header="0"/>
        </w:sectPr>
      </w:pPr>
    </w:p>
    <w:bookmarkStart w:id="19" w:name="page20"/>
    <w:bookmarkEnd w:id="19"/>
    <w:p>
      <w:pPr>
        <w:ind w:right="140" w:firstLine="648"/>
        <w:spacing w:after="0" w:line="251" w:lineRule="auto"/>
        <w:rPr>
          <w:sz w:val="20"/>
          <w:szCs w:val="20"/>
          <w:color w:val="auto"/>
        </w:rPr>
      </w:pPr>
      <w:r>
        <w:rPr>
          <w:rFonts w:ascii="Arial" w:cs="Arial" w:eastAsia="Arial" w:hAnsi="Arial"/>
          <w:sz w:val="22"/>
          <w:szCs w:val="22"/>
          <w:color w:val="auto"/>
        </w:rPr>
        <w:t>Net sales to customers outside the United States amounted to $354.9 million and $318.0 million for the nine-months ended September 30, 2013 and 2012, respectively.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Company’s net sales by product line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80" w:type="dxa"/>
            <w:vAlign w:val="bottom"/>
            <w:gridSpan w:val="5"/>
          </w:tcPr>
          <w:p>
            <w:pPr>
              <w:ind w:left="480"/>
              <w:spacing w:after="0"/>
              <w:rPr>
                <w:sz w:val="20"/>
                <w:szCs w:val="20"/>
                <w:color w:val="auto"/>
              </w:rPr>
            </w:pPr>
            <w:r>
              <w:rPr>
                <w:rFonts w:ascii="Arial" w:cs="Arial" w:eastAsia="Arial" w:hAnsi="Arial"/>
                <w:sz w:val="20"/>
                <w:szCs w:val="20"/>
                <w:color w:val="auto"/>
              </w:rPr>
              <w:t>Three-Months Ended</w:t>
            </w:r>
          </w:p>
        </w:tc>
        <w:tc>
          <w:tcPr>
            <w:tcW w:w="400" w:type="dxa"/>
            <w:vAlign w:val="bottom"/>
          </w:tcPr>
          <w:p>
            <w:pPr>
              <w:spacing w:after="0"/>
              <w:rPr>
                <w:sz w:val="19"/>
                <w:szCs w:val="19"/>
                <w:color w:val="auto"/>
              </w:rPr>
            </w:pPr>
          </w:p>
        </w:tc>
        <w:tc>
          <w:tcPr>
            <w:tcW w:w="3000" w:type="dxa"/>
            <w:vAlign w:val="bottom"/>
            <w:gridSpan w:val="4"/>
          </w:tcPr>
          <w:p>
            <w:pPr>
              <w:jc w:val="right"/>
              <w:ind w:right="801"/>
              <w:spacing w:after="0"/>
              <w:rPr>
                <w:sz w:val="20"/>
                <w:szCs w:val="20"/>
                <w:color w:val="auto"/>
              </w:rPr>
            </w:pPr>
            <w:r>
              <w:rPr>
                <w:rFonts w:ascii="Arial" w:cs="Arial" w:eastAsia="Arial" w:hAnsi="Arial"/>
                <w:sz w:val="20"/>
                <w:szCs w:val="20"/>
                <w:color w:val="auto"/>
              </w:rPr>
              <w:t>Nine-Months Ended</w:t>
            </w:r>
          </w:p>
        </w:tc>
        <w:tc>
          <w:tcPr>
            <w:tcW w:w="0" w:type="dxa"/>
            <w:vAlign w:val="bottom"/>
          </w:tcPr>
          <w:p>
            <w:pPr>
              <w:spacing w:after="0"/>
              <w:rPr>
                <w:sz w:val="1"/>
                <w:szCs w:val="1"/>
                <w:color w:val="auto"/>
              </w:rPr>
            </w:pPr>
          </w:p>
        </w:tc>
      </w:tr>
      <w:tr>
        <w:trPr>
          <w:trHeight w:val="246"/>
        </w:trPr>
        <w:tc>
          <w:tcPr>
            <w:tcW w:w="4240" w:type="dxa"/>
            <w:vAlign w:val="bottom"/>
            <w:gridSpan w:val="3"/>
            <w:vMerge w:val="restart"/>
          </w:tcPr>
          <w:p>
            <w:pPr>
              <w:spacing w:after="0"/>
              <w:rPr>
                <w:sz w:val="20"/>
                <w:szCs w:val="20"/>
                <w:color w:val="auto"/>
              </w:rPr>
            </w:pPr>
            <w:r>
              <w:rPr>
                <w:rFonts w:ascii="Arial" w:cs="Arial" w:eastAsia="Arial" w:hAnsi="Arial"/>
                <w:sz w:val="20"/>
                <w:szCs w:val="20"/>
                <w:color w:val="auto"/>
              </w:rPr>
              <w:t>Product Line</w:t>
            </w:r>
          </w:p>
        </w:tc>
        <w:tc>
          <w:tcPr>
            <w:tcW w:w="4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gridSpan w:val="3"/>
            <w:vMerge w:val="continue"/>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501"/>
              <w:spacing w:after="0" w:line="223" w:lineRule="exact"/>
              <w:rPr>
                <w:sz w:val="20"/>
                <w:szCs w:val="20"/>
                <w:color w:val="auto"/>
              </w:rPr>
            </w:pPr>
            <w:r>
              <w:rPr>
                <w:rFonts w:ascii="Arial" w:cs="Arial" w:eastAsia="Arial" w:hAnsi="Arial"/>
                <w:sz w:val="20"/>
                <w:szCs w:val="20"/>
                <w:color w:val="auto"/>
              </w:rPr>
              <w:t>2013</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ind w:right="521"/>
              <w:spacing w:after="0" w:line="223" w:lineRule="exact"/>
              <w:rPr>
                <w:sz w:val="20"/>
                <w:szCs w:val="20"/>
                <w:color w:val="auto"/>
              </w:rPr>
            </w:pPr>
            <w:r>
              <w:rPr>
                <w:rFonts w:ascii="Arial" w:cs="Arial" w:eastAsia="Arial" w:hAnsi="Arial"/>
                <w:sz w:val="20"/>
                <w:szCs w:val="20"/>
                <w:color w:val="auto"/>
              </w:rPr>
              <w:t>2012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ind w:right="481"/>
              <w:spacing w:after="0" w:line="223" w:lineRule="exact"/>
              <w:rPr>
                <w:sz w:val="20"/>
                <w:szCs w:val="20"/>
                <w:color w:val="auto"/>
              </w:rPr>
            </w:pPr>
            <w:r>
              <w:rPr>
                <w:rFonts w:ascii="Arial" w:cs="Arial" w:eastAsia="Arial" w:hAnsi="Arial"/>
                <w:sz w:val="20"/>
                <w:szCs w:val="20"/>
                <w:color w:val="auto"/>
              </w:rPr>
              <w:t>2013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501"/>
              <w:spacing w:after="0" w:line="223" w:lineRule="exact"/>
              <w:rPr>
                <w:sz w:val="20"/>
                <w:szCs w:val="20"/>
                <w:color w:val="auto"/>
              </w:rPr>
            </w:pPr>
            <w:r>
              <w:rPr>
                <w:rFonts w:ascii="Arial" w:cs="Arial" w:eastAsia="Arial" w:hAnsi="Arial"/>
                <w:sz w:val="20"/>
                <w:szCs w:val="20"/>
                <w:color w:val="auto"/>
                <w:w w:val="98"/>
              </w:rPr>
              <w:t>2012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Energy drinks</w:t>
            </w:r>
          </w:p>
        </w:tc>
        <w:tc>
          <w:tcPr>
            <w:tcW w:w="240" w:type="dxa"/>
            <w:vAlign w:val="bottom"/>
          </w:tcPr>
          <w:p>
            <w:pPr>
              <w:spacing w:after="0"/>
              <w:rPr>
                <w:sz w:val="17"/>
                <w:szCs w:val="17"/>
                <w:color w:val="auto"/>
              </w:rPr>
            </w:pPr>
          </w:p>
        </w:tc>
        <w:tc>
          <w:tcPr>
            <w:tcW w:w="400" w:type="dxa"/>
            <w:vAlign w:val="bottom"/>
            <w:tcBorders>
              <w:top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548,109</w:t>
            </w:r>
          </w:p>
        </w:tc>
        <w:tc>
          <w:tcPr>
            <w:tcW w:w="240" w:type="dxa"/>
            <w:vAlign w:val="bottom"/>
          </w:tcPr>
          <w:p>
            <w:pPr>
              <w:spacing w:after="0"/>
              <w:rPr>
                <w:sz w:val="17"/>
                <w:szCs w:val="17"/>
                <w:color w:val="auto"/>
              </w:rPr>
            </w:pPr>
          </w:p>
        </w:tc>
        <w:tc>
          <w:tcPr>
            <w:tcW w:w="520" w:type="dxa"/>
            <w:vAlign w:val="bottom"/>
            <w:tcBorders>
              <w:top w:val="single" w:sz="8" w:color="auto"/>
            </w:tcBorders>
          </w:tcPr>
          <w:p>
            <w:pPr>
              <w:jc w:val="right"/>
              <w:ind w:right="241"/>
              <w:spacing w:after="0" w:line="207"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498,563</w:t>
            </w:r>
          </w:p>
        </w:tc>
        <w:tc>
          <w:tcPr>
            <w:tcW w:w="220" w:type="dxa"/>
            <w:vAlign w:val="bottom"/>
          </w:tcPr>
          <w:p>
            <w:pPr>
              <w:spacing w:after="0"/>
              <w:rPr>
                <w:sz w:val="17"/>
                <w:szCs w:val="17"/>
                <w:color w:val="auto"/>
              </w:rPr>
            </w:pPr>
          </w:p>
        </w:tc>
        <w:tc>
          <w:tcPr>
            <w:tcW w:w="400" w:type="dxa"/>
            <w:vAlign w:val="bottom"/>
            <w:tcBorders>
              <w:top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1,577,034</w:t>
            </w:r>
          </w:p>
        </w:tc>
        <w:tc>
          <w:tcPr>
            <w:tcW w:w="220" w:type="dxa"/>
            <w:vAlign w:val="bottom"/>
          </w:tcPr>
          <w:p>
            <w:pPr>
              <w:spacing w:after="0"/>
              <w:rPr>
                <w:sz w:val="17"/>
                <w:szCs w:val="17"/>
                <w:color w:val="auto"/>
              </w:rPr>
            </w:pPr>
          </w:p>
        </w:tc>
        <w:tc>
          <w:tcPr>
            <w:tcW w:w="540" w:type="dxa"/>
            <w:vAlign w:val="bottom"/>
            <w:tcBorders>
              <w:top w:val="single" w:sz="8" w:color="auto"/>
            </w:tcBorders>
          </w:tcPr>
          <w:p>
            <w:pPr>
              <w:jc w:val="right"/>
              <w:ind w:right="241"/>
              <w:spacing w:after="0" w:line="207" w:lineRule="exact"/>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1,468,036</w:t>
            </w:r>
          </w:p>
        </w:tc>
        <w:tc>
          <w:tcPr>
            <w:tcW w:w="0" w:type="dxa"/>
            <w:vAlign w:val="bottom"/>
          </w:tcPr>
          <w:p>
            <w:pPr>
              <w:spacing w:after="0"/>
              <w:rPr>
                <w:sz w:val="1"/>
                <w:szCs w:val="1"/>
                <w:color w:val="auto"/>
              </w:rPr>
            </w:pPr>
          </w:p>
        </w:tc>
      </w:tr>
      <w:tr>
        <w:trPr>
          <w:trHeight w:val="230"/>
        </w:trPr>
        <w:tc>
          <w:tcPr>
            <w:tcW w:w="4240" w:type="dxa"/>
            <w:vAlign w:val="bottom"/>
            <w:gridSpan w:val="3"/>
          </w:tcPr>
          <w:p>
            <w:pPr>
              <w:spacing w:after="0"/>
              <w:rPr>
                <w:sz w:val="20"/>
                <w:szCs w:val="20"/>
                <w:color w:val="auto"/>
              </w:rPr>
            </w:pPr>
            <w:r>
              <w:rPr>
                <w:rFonts w:ascii="Arial" w:cs="Arial" w:eastAsia="Arial" w:hAnsi="Arial"/>
                <w:sz w:val="20"/>
                <w:szCs w:val="20"/>
                <w:color w:val="auto"/>
                <w:w w:val="96"/>
              </w:rPr>
              <w:t>Non-carbonated (primarily juice based beverages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160"/>
              <w:spacing w:after="0"/>
              <w:rPr>
                <w:sz w:val="20"/>
                <w:szCs w:val="20"/>
                <w:color w:val="auto"/>
              </w:rPr>
            </w:pPr>
            <w:r>
              <w:rPr>
                <w:rFonts w:ascii="Arial" w:cs="Arial" w:eastAsia="Arial" w:hAnsi="Arial"/>
                <w:sz w:val="20"/>
                <w:szCs w:val="20"/>
                <w:color w:val="auto"/>
              </w:rPr>
              <w:t>and Peace Tea® iced teas)</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30,622</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32,453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94,760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86,737</w:t>
            </w:r>
          </w:p>
        </w:tc>
        <w:tc>
          <w:tcPr>
            <w:tcW w:w="0" w:type="dxa"/>
            <w:vAlign w:val="bottom"/>
          </w:tcPr>
          <w:p>
            <w:pPr>
              <w:spacing w:after="0"/>
              <w:rPr>
                <w:sz w:val="1"/>
                <w:szCs w:val="1"/>
                <w:color w:val="auto"/>
              </w:rPr>
            </w:pPr>
          </w:p>
        </w:tc>
      </w:tr>
      <w:tr>
        <w:trPr>
          <w:trHeight w:val="230"/>
        </w:trPr>
        <w:tc>
          <w:tcPr>
            <w:tcW w:w="4240" w:type="dxa"/>
            <w:vAlign w:val="bottom"/>
            <w:gridSpan w:val="3"/>
          </w:tcPr>
          <w:p>
            <w:pPr>
              <w:spacing w:after="0"/>
              <w:rPr>
                <w:sz w:val="20"/>
                <w:szCs w:val="20"/>
                <w:color w:val="auto"/>
              </w:rPr>
            </w:pPr>
            <w:r>
              <w:rPr>
                <w:rFonts w:ascii="Arial" w:cs="Arial" w:eastAsia="Arial" w:hAnsi="Arial"/>
                <w:sz w:val="20"/>
                <w:szCs w:val="20"/>
                <w:color w:val="auto"/>
              </w:rPr>
              <w:t>Carbonated (primarily soda beverages)</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8,067</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8,018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22,732</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24,445</w:t>
            </w:r>
          </w:p>
        </w:tc>
        <w:tc>
          <w:tcPr>
            <w:tcW w:w="0" w:type="dxa"/>
            <w:vAlign w:val="bottom"/>
          </w:tcPr>
          <w:p>
            <w:pPr>
              <w:spacing w:after="0"/>
              <w:rPr>
                <w:sz w:val="1"/>
                <w:szCs w:val="1"/>
                <w:color w:val="auto"/>
              </w:rPr>
            </w:pPr>
          </w:p>
        </w:tc>
      </w:tr>
      <w:tr>
        <w:trPr>
          <w:trHeight w:val="246"/>
        </w:trPr>
        <w:tc>
          <w:tcPr>
            <w:tcW w:w="4240" w:type="dxa"/>
            <w:vAlign w:val="bottom"/>
            <w:gridSpan w:val="3"/>
          </w:tcPr>
          <w:p>
            <w:pPr>
              <w:spacing w:after="0"/>
              <w:rPr>
                <w:sz w:val="20"/>
                <w:szCs w:val="20"/>
                <w:color w:val="auto"/>
              </w:rPr>
            </w:pPr>
            <w:r>
              <w:rPr>
                <w:rFonts w:ascii="Arial" w:cs="Arial" w:eastAsia="Arial" w:hAnsi="Arial"/>
                <w:sz w:val="20"/>
                <w:szCs w:val="20"/>
                <w:color w:val="auto"/>
              </w:rPr>
              <w:t>Other</w:t>
            </w: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3,624</w:t>
            </w:r>
          </w:p>
        </w:tc>
        <w:tc>
          <w:tcPr>
            <w:tcW w:w="24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2,906</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11,053</w:t>
            </w:r>
          </w:p>
        </w:tc>
        <w:tc>
          <w:tcPr>
            <w:tcW w:w="2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9,967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590,422</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ind w:right="24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541,940</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1,705,579</w:t>
            </w: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ind w:right="24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1,589,185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RELATED PARTY TRANSACTIONS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September 30, 2013 and 2012 were $0.1 million and $0.6 million, respectively. Expenses incurred with such company in connection with promotional materials purchased during the nine-months ended September 30, 2013 and 2012 were $0.4 million and $0.7 million,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800"/>
        <w:spacing w:after="0" w:line="256"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Overview</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Monster Beverage Corporation was incorporated in Delaware on April 25, 1990. Our principal place of business is located at 1 Monster Way, Corona, California 92879 and our telephone number is (951) 739-6200. When this report uses the words “the Company”, “Hansen Natural Corporation” (the Company’s former name), “we”, “us”, and “our”, these words refer to Monster Beverage Corporation and its subsidiaries, unless the context otherwise requires. We are a holding company and conduct no operating business except through our consolidated subsidiaries.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names: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200" w:type="dxa"/>
            <w:vAlign w:val="bottom"/>
          </w:tcPr>
          <w:p>
            <w:pPr>
              <w:ind w:left="420"/>
              <w:spacing w:after="0"/>
              <w:rPr>
                <w:sz w:val="20"/>
                <w:szCs w:val="20"/>
                <w:color w:val="auto"/>
              </w:rPr>
            </w:pPr>
            <w:r>
              <w:rPr>
                <w:rFonts w:ascii="Arial" w:cs="Arial" w:eastAsia="Arial" w:hAnsi="Arial"/>
                <w:sz w:val="19"/>
                <w:szCs w:val="19"/>
                <w:color w:val="auto"/>
              </w:rPr>
              <w:t>Monster Energy®</w:t>
            </w:r>
          </w:p>
        </w:tc>
        <w:tc>
          <w:tcPr>
            <w:tcW w:w="940" w:type="dxa"/>
            <w:vAlign w:val="bottom"/>
          </w:tcPr>
          <w:p>
            <w:pPr>
              <w:jc w:val="right"/>
              <w:ind w:right="105"/>
              <w:spacing w:after="0"/>
              <w:rPr>
                <w:sz w:val="20"/>
                <w:szCs w:val="20"/>
                <w:color w:val="auto"/>
              </w:rPr>
            </w:pPr>
            <w:r>
              <w:rPr>
                <w:rFonts w:ascii="Arial" w:cs="Arial" w:eastAsia="Arial" w:hAnsi="Arial"/>
                <w:sz w:val="19"/>
                <w:szCs w:val="19"/>
                <w:color w:val="auto"/>
              </w:rPr>
              <w:t>·</w:t>
            </w:r>
          </w:p>
        </w:tc>
        <w:tc>
          <w:tcPr>
            <w:tcW w:w="2520" w:type="dxa"/>
            <w:vAlign w:val="bottom"/>
          </w:tcPr>
          <w:p>
            <w:pPr>
              <w:ind w:left="220"/>
              <w:spacing w:after="0"/>
              <w:rPr>
                <w:sz w:val="20"/>
                <w:szCs w:val="20"/>
                <w:color w:val="auto"/>
              </w:rPr>
            </w:pPr>
            <w:r>
              <w:rPr>
                <w:rFonts w:ascii="Arial" w:cs="Arial" w:eastAsia="Arial" w:hAnsi="Arial"/>
                <w:sz w:val="19"/>
                <w:szCs w:val="19"/>
                <w:color w:val="auto"/>
              </w:rPr>
              <w:t>Hansen’s®</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200" w:type="dxa"/>
            <w:vAlign w:val="bottom"/>
          </w:tcPr>
          <w:p>
            <w:pPr>
              <w:ind w:left="420"/>
              <w:spacing w:after="0" w:line="216" w:lineRule="exact"/>
              <w:rPr>
                <w:sz w:val="20"/>
                <w:szCs w:val="20"/>
                <w:color w:val="auto"/>
              </w:rPr>
            </w:pPr>
            <w:r>
              <w:rPr>
                <w:rFonts w:ascii="Arial" w:cs="Arial" w:eastAsia="Arial" w:hAnsi="Arial"/>
                <w:sz w:val="19"/>
                <w:szCs w:val="19"/>
                <w:color w:val="auto"/>
              </w:rPr>
              <w:t>Monster Rehab®</w:t>
            </w:r>
          </w:p>
        </w:tc>
        <w:tc>
          <w:tcPr>
            <w:tcW w:w="94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2520" w:type="dxa"/>
            <w:vAlign w:val="bottom"/>
          </w:tcPr>
          <w:p>
            <w:pPr>
              <w:ind w:left="220"/>
              <w:spacing w:after="0" w:line="216" w:lineRule="exact"/>
              <w:rPr>
                <w:sz w:val="20"/>
                <w:szCs w:val="20"/>
                <w:color w:val="auto"/>
              </w:rPr>
            </w:pPr>
            <w:r>
              <w:rPr>
                <w:rFonts w:ascii="Arial" w:cs="Arial" w:eastAsia="Arial" w:hAnsi="Arial"/>
                <w:sz w:val="19"/>
                <w:szCs w:val="19"/>
                <w:color w:val="auto"/>
                <w:w w:val="87"/>
              </w:rPr>
              <w:t>Hansen’s Natural Cane Soda®</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20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Extra Strength Nitrous Technology®</w:t>
            </w:r>
          </w:p>
        </w:tc>
        <w:tc>
          <w:tcPr>
            <w:tcW w:w="94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2520" w:type="dxa"/>
            <w:vAlign w:val="bottom"/>
          </w:tcPr>
          <w:p>
            <w:pPr>
              <w:ind w:left="220"/>
              <w:spacing w:after="0" w:line="216" w:lineRule="exact"/>
              <w:rPr>
                <w:sz w:val="20"/>
                <w:szCs w:val="20"/>
                <w:color w:val="auto"/>
              </w:rPr>
            </w:pPr>
            <w:r>
              <w:rPr>
                <w:rFonts w:ascii="Arial" w:cs="Arial" w:eastAsia="Arial" w:hAnsi="Arial"/>
                <w:sz w:val="19"/>
                <w:szCs w:val="19"/>
                <w:color w:val="auto"/>
              </w:rPr>
              <w:t>Junior Juice®</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200" w:type="dxa"/>
            <w:vAlign w:val="bottom"/>
          </w:tcPr>
          <w:p>
            <w:pPr>
              <w:ind w:left="420"/>
              <w:spacing w:after="0" w:line="216" w:lineRule="exact"/>
              <w:rPr>
                <w:sz w:val="20"/>
                <w:szCs w:val="20"/>
                <w:color w:val="auto"/>
              </w:rPr>
            </w:pPr>
            <w:r>
              <w:rPr>
                <w:rFonts w:ascii="Arial" w:cs="Arial" w:eastAsia="Arial" w:hAnsi="Arial"/>
                <w:sz w:val="19"/>
                <w:szCs w:val="19"/>
                <w:color w:val="auto"/>
              </w:rPr>
              <w:t>Java Monster®</w:t>
            </w:r>
          </w:p>
        </w:tc>
        <w:tc>
          <w:tcPr>
            <w:tcW w:w="94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2520" w:type="dxa"/>
            <w:vAlign w:val="bottom"/>
          </w:tcPr>
          <w:p>
            <w:pPr>
              <w:ind w:left="220"/>
              <w:spacing w:after="0" w:line="216" w:lineRule="exact"/>
              <w:rPr>
                <w:sz w:val="20"/>
                <w:szCs w:val="20"/>
                <w:color w:val="auto"/>
              </w:rPr>
            </w:pPr>
            <w:r>
              <w:rPr>
                <w:rFonts w:ascii="Arial" w:cs="Arial" w:eastAsia="Arial" w:hAnsi="Arial"/>
                <w:sz w:val="19"/>
                <w:szCs w:val="19"/>
                <w:color w:val="auto"/>
              </w:rPr>
              <w:t>Blue Sky®</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200" w:type="dxa"/>
            <w:vAlign w:val="bottom"/>
          </w:tcPr>
          <w:p>
            <w:pPr>
              <w:ind w:left="420"/>
              <w:spacing w:after="0" w:line="216" w:lineRule="exact"/>
              <w:rPr>
                <w:sz w:val="20"/>
                <w:szCs w:val="20"/>
                <w:color w:val="auto"/>
              </w:rPr>
            </w:pPr>
            <w:r>
              <w:rPr>
                <w:rFonts w:ascii="Arial" w:cs="Arial" w:eastAsia="Arial" w:hAnsi="Arial"/>
                <w:sz w:val="19"/>
                <w:szCs w:val="19"/>
                <w:color w:val="auto"/>
              </w:rPr>
              <w:t>X-Presso Monster®</w:t>
            </w:r>
          </w:p>
        </w:tc>
        <w:tc>
          <w:tcPr>
            <w:tcW w:w="94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2520" w:type="dxa"/>
            <w:vAlign w:val="bottom"/>
          </w:tcPr>
          <w:p>
            <w:pPr>
              <w:ind w:left="220"/>
              <w:spacing w:after="0" w:line="216" w:lineRule="exact"/>
              <w:rPr>
                <w:sz w:val="20"/>
                <w:szCs w:val="20"/>
                <w:color w:val="auto"/>
              </w:rPr>
            </w:pPr>
            <w:r>
              <w:rPr>
                <w:rFonts w:ascii="Arial" w:cs="Arial" w:eastAsia="Arial" w:hAnsi="Arial"/>
                <w:sz w:val="19"/>
                <w:szCs w:val="19"/>
                <w:color w:val="auto"/>
              </w:rPr>
              <w:t>Hubert’s®</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200" w:type="dxa"/>
            <w:vAlign w:val="bottom"/>
          </w:tcPr>
          <w:p>
            <w:pPr>
              <w:ind w:left="420"/>
              <w:spacing w:after="0" w:line="216" w:lineRule="exact"/>
              <w:rPr>
                <w:sz w:val="20"/>
                <w:szCs w:val="20"/>
                <w:color w:val="auto"/>
              </w:rPr>
            </w:pPr>
            <w:r>
              <w:rPr>
                <w:rFonts w:ascii="Arial" w:cs="Arial" w:eastAsia="Arial" w:hAnsi="Arial"/>
                <w:sz w:val="19"/>
                <w:szCs w:val="19"/>
                <w:color w:val="auto"/>
              </w:rPr>
              <w:t>Muscle Monster®</w:t>
            </w:r>
          </w:p>
        </w:tc>
        <w:tc>
          <w:tcPr>
            <w:tcW w:w="94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2520" w:type="dxa"/>
            <w:vAlign w:val="bottom"/>
          </w:tcPr>
          <w:p>
            <w:pPr>
              <w:ind w:left="220"/>
              <w:spacing w:after="0" w:line="216" w:lineRule="exact"/>
              <w:rPr>
                <w:sz w:val="20"/>
                <w:szCs w:val="20"/>
                <w:color w:val="auto"/>
              </w:rPr>
            </w:pPr>
            <w:r>
              <w:rPr>
                <w:rFonts w:ascii="Arial" w:cs="Arial" w:eastAsia="Arial" w:hAnsi="Arial"/>
                <w:sz w:val="19"/>
                <w:szCs w:val="19"/>
                <w:color w:val="auto"/>
              </w:rPr>
              <w:t>Vidration®</w:t>
            </w:r>
          </w:p>
        </w:tc>
      </w:tr>
      <w:tr>
        <w:trPr>
          <w:trHeight w:val="240"/>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200" w:type="dxa"/>
            <w:vAlign w:val="bottom"/>
          </w:tcPr>
          <w:p>
            <w:pPr>
              <w:ind w:left="420"/>
              <w:spacing w:after="0"/>
              <w:rPr>
                <w:sz w:val="20"/>
                <w:szCs w:val="20"/>
                <w:color w:val="auto"/>
              </w:rPr>
            </w:pPr>
            <w:r>
              <w:rPr>
                <w:rFonts w:ascii="Arial" w:cs="Arial" w:eastAsia="Arial" w:hAnsi="Arial"/>
                <w:sz w:val="19"/>
                <w:szCs w:val="19"/>
                <w:color w:val="auto"/>
              </w:rPr>
              <w:t>Peace Tea®</w:t>
            </w:r>
          </w:p>
        </w:tc>
        <w:tc>
          <w:tcPr>
            <w:tcW w:w="940" w:type="dxa"/>
            <w:vAlign w:val="bottom"/>
          </w:tcPr>
          <w:p>
            <w:pPr>
              <w:jc w:val="right"/>
              <w:ind w:right="105"/>
              <w:spacing w:after="0"/>
              <w:rPr>
                <w:sz w:val="20"/>
                <w:szCs w:val="20"/>
                <w:color w:val="auto"/>
              </w:rPr>
            </w:pPr>
            <w:r>
              <w:rPr>
                <w:rFonts w:ascii="Arial" w:cs="Arial" w:eastAsia="Arial" w:hAnsi="Arial"/>
                <w:sz w:val="19"/>
                <w:szCs w:val="19"/>
                <w:color w:val="auto"/>
              </w:rPr>
              <w:t>·</w:t>
            </w:r>
          </w:p>
        </w:tc>
        <w:tc>
          <w:tcPr>
            <w:tcW w:w="2520" w:type="dxa"/>
            <w:vAlign w:val="bottom"/>
          </w:tcPr>
          <w:p>
            <w:pPr>
              <w:ind w:left="220"/>
              <w:spacing w:after="0"/>
              <w:rPr>
                <w:sz w:val="20"/>
                <w:szCs w:val="20"/>
                <w:color w:val="auto"/>
              </w:rPr>
            </w:pPr>
            <w:r>
              <w:rPr>
                <w:rFonts w:ascii="Arial" w:cs="Arial" w:eastAsia="Arial" w:hAnsi="Arial"/>
                <w:sz w:val="19"/>
                <w:szCs w:val="19"/>
                <w:color w:val="auto"/>
              </w:rPr>
              <w:t>Worx Energy®</w:t>
            </w:r>
          </w:p>
        </w:tc>
      </w:tr>
    </w:tbl>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Our Monster Energy® drinks, which represented 92.7% and 91.8% of our net sales for the three-months ended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September 30, 2013 and 2012, respectively, include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120" w:type="dxa"/>
            <w:vAlign w:val="bottom"/>
          </w:tcPr>
          <w:p>
            <w:pPr>
              <w:ind w:left="420"/>
              <w:spacing w:after="0"/>
              <w:rPr>
                <w:sz w:val="20"/>
                <w:szCs w:val="20"/>
                <w:color w:val="auto"/>
              </w:rPr>
            </w:pPr>
            <w:r>
              <w:rPr>
                <w:rFonts w:ascii="Arial" w:cs="Arial" w:eastAsia="Arial" w:hAnsi="Arial"/>
                <w:sz w:val="19"/>
                <w:szCs w:val="19"/>
                <w:color w:val="auto"/>
              </w:rPr>
              <w:t>Monster Energy®</w:t>
            </w:r>
          </w:p>
        </w:tc>
        <w:tc>
          <w:tcPr>
            <w:tcW w:w="98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4420" w:type="dxa"/>
            <w:vAlign w:val="bottom"/>
          </w:tcPr>
          <w:p>
            <w:pPr>
              <w:ind w:left="360"/>
              <w:spacing w:after="0"/>
              <w:rPr>
                <w:sz w:val="20"/>
                <w:szCs w:val="20"/>
                <w:color w:val="auto"/>
              </w:rPr>
            </w:pPr>
            <w:r>
              <w:rPr>
                <w:rFonts w:ascii="Arial" w:cs="Arial" w:eastAsia="Arial" w:hAnsi="Arial"/>
                <w:sz w:val="19"/>
                <w:szCs w:val="19"/>
                <w:color w:val="auto"/>
              </w:rPr>
              <w:t>Java Monster® Kona Blend</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120" w:type="dxa"/>
            <w:vAlign w:val="bottom"/>
          </w:tcPr>
          <w:p>
            <w:pPr>
              <w:ind w:left="420"/>
              <w:spacing w:after="0" w:line="216" w:lineRule="exact"/>
              <w:rPr>
                <w:sz w:val="20"/>
                <w:szCs w:val="20"/>
                <w:color w:val="auto"/>
              </w:rPr>
            </w:pPr>
            <w:r>
              <w:rPr>
                <w:rFonts w:ascii="Arial" w:cs="Arial" w:eastAsia="Arial" w:hAnsi="Arial"/>
                <w:sz w:val="19"/>
                <w:szCs w:val="19"/>
                <w:color w:val="auto"/>
              </w:rPr>
              <w:t>Lo-Carb Monster Energy®</w:t>
            </w:r>
          </w:p>
        </w:tc>
        <w:tc>
          <w:tcPr>
            <w:tcW w:w="98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Java Monster® Loca Moca®</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12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Assault®</w:t>
            </w:r>
          </w:p>
        </w:tc>
        <w:tc>
          <w:tcPr>
            <w:tcW w:w="98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Java Monster® Mean Bean®</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120" w:type="dxa"/>
            <w:vAlign w:val="bottom"/>
          </w:tcPr>
          <w:p>
            <w:pPr>
              <w:ind w:left="420"/>
              <w:spacing w:after="0" w:line="216" w:lineRule="exact"/>
              <w:rPr>
                <w:sz w:val="20"/>
                <w:szCs w:val="20"/>
                <w:color w:val="auto"/>
              </w:rPr>
            </w:pPr>
            <w:r>
              <w:rPr>
                <w:rFonts w:ascii="Arial" w:cs="Arial" w:eastAsia="Arial" w:hAnsi="Arial"/>
                <w:sz w:val="19"/>
                <w:szCs w:val="19"/>
                <w:color w:val="auto"/>
              </w:rPr>
              <w:t>Monster Khaos®</w:t>
            </w:r>
          </w:p>
        </w:tc>
        <w:tc>
          <w:tcPr>
            <w:tcW w:w="98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Java Monster® Vanilla Light</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120" w:type="dxa"/>
            <w:vAlign w:val="bottom"/>
          </w:tcPr>
          <w:p>
            <w:pPr>
              <w:ind w:left="420"/>
              <w:spacing w:after="0" w:line="216" w:lineRule="exact"/>
              <w:rPr>
                <w:sz w:val="20"/>
                <w:szCs w:val="20"/>
                <w:color w:val="auto"/>
              </w:rPr>
            </w:pPr>
            <w:r>
              <w:rPr>
                <w:rFonts w:ascii="Arial" w:cs="Arial" w:eastAsia="Arial" w:hAnsi="Arial"/>
                <w:sz w:val="19"/>
                <w:szCs w:val="19"/>
                <w:color w:val="auto"/>
              </w:rPr>
              <w:t>Monster M-80® (named Ripper® in certain countries)</w:t>
            </w:r>
          </w:p>
        </w:tc>
        <w:tc>
          <w:tcPr>
            <w:tcW w:w="98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Java Monster® Irish Blend®</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120" w:type="dxa"/>
            <w:vAlign w:val="bottom"/>
          </w:tcPr>
          <w:p>
            <w:pPr>
              <w:ind w:left="420"/>
              <w:spacing w:after="0" w:line="216" w:lineRule="exact"/>
              <w:rPr>
                <w:sz w:val="20"/>
                <w:szCs w:val="20"/>
                <w:color w:val="auto"/>
              </w:rPr>
            </w:pPr>
            <w:r>
              <w:rPr>
                <w:rFonts w:ascii="Arial" w:cs="Arial" w:eastAsia="Arial" w:hAnsi="Arial"/>
                <w:sz w:val="19"/>
                <w:szCs w:val="19"/>
                <w:color w:val="auto"/>
              </w:rPr>
              <w:t>Monster MIXXD®</w:t>
            </w:r>
          </w:p>
        </w:tc>
        <w:tc>
          <w:tcPr>
            <w:tcW w:w="98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Java Monster® Toffee</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12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Absolutely Zero</w:t>
            </w:r>
          </w:p>
        </w:tc>
        <w:tc>
          <w:tcPr>
            <w:tcW w:w="98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Java Monster® Kona Cappuccino</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12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Import</w:t>
            </w:r>
          </w:p>
        </w:tc>
        <w:tc>
          <w:tcPr>
            <w:tcW w:w="98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w w:val="91"/>
              </w:rPr>
              <w:t>Monster Energy Extra Strength Nitrous Technology®</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12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Import Light</w:t>
            </w:r>
          </w:p>
        </w:tc>
        <w:tc>
          <w:tcPr>
            <w:tcW w:w="980" w:type="dxa"/>
            <w:vAlign w:val="bottom"/>
          </w:tcPr>
          <w:p>
            <w:pPr>
              <w:spacing w:after="0"/>
              <w:rPr>
                <w:sz w:val="18"/>
                <w:szCs w:val="18"/>
                <w:color w:val="auto"/>
              </w:rPr>
            </w:pPr>
          </w:p>
        </w:tc>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Super Dry™</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12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Dub Edition Baller’s Blend</w:t>
            </w:r>
          </w:p>
        </w:tc>
        <w:tc>
          <w:tcPr>
            <w:tcW w:w="98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w w:val="91"/>
              </w:rPr>
              <w:t>Monster Energy Extra Strength Nitrous Technology®</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12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Dub Edition Mad Dog</w:t>
            </w:r>
          </w:p>
        </w:tc>
        <w:tc>
          <w:tcPr>
            <w:tcW w:w="980" w:type="dxa"/>
            <w:vAlign w:val="bottom"/>
          </w:tcPr>
          <w:p>
            <w:pPr>
              <w:spacing w:after="0"/>
              <w:rPr>
                <w:sz w:val="18"/>
                <w:szCs w:val="18"/>
                <w:color w:val="auto"/>
              </w:rPr>
            </w:pPr>
          </w:p>
        </w:tc>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rPr>
              <w:t>Anti-Gravity®</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120" w:type="dxa"/>
            <w:vAlign w:val="bottom"/>
          </w:tcPr>
          <w:p>
            <w:pPr>
              <w:ind w:left="420"/>
              <w:spacing w:after="0" w:line="216" w:lineRule="exact"/>
              <w:rPr>
                <w:sz w:val="20"/>
                <w:szCs w:val="20"/>
                <w:color w:val="auto"/>
              </w:rPr>
            </w:pPr>
            <w:r>
              <w:rPr>
                <w:rFonts w:ascii="Arial" w:cs="Arial" w:eastAsia="Arial" w:hAnsi="Arial"/>
                <w:sz w:val="19"/>
                <w:szCs w:val="19"/>
                <w:color w:val="auto"/>
              </w:rPr>
              <w:t>Monster Rehab® Tea + Lemonade + Energy</w:t>
            </w:r>
          </w:p>
        </w:tc>
        <w:tc>
          <w:tcPr>
            <w:tcW w:w="98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4420" w:type="dxa"/>
            <w:vAlign w:val="bottom"/>
          </w:tcPr>
          <w:p>
            <w:pPr>
              <w:ind w:left="360"/>
              <w:spacing w:after="0" w:line="216" w:lineRule="exact"/>
              <w:rPr>
                <w:sz w:val="20"/>
                <w:szCs w:val="20"/>
                <w:color w:val="auto"/>
              </w:rPr>
            </w:pPr>
            <w:r>
              <w:rPr>
                <w:rFonts w:ascii="Arial" w:cs="Arial" w:eastAsia="Arial" w:hAnsi="Arial"/>
                <w:sz w:val="19"/>
                <w:szCs w:val="19"/>
                <w:color w:val="auto"/>
                <w:w w:val="91"/>
              </w:rPr>
              <w:t>Monster Energy Extra Strength Nitrous Technology®</w:t>
            </w:r>
          </w:p>
        </w:tc>
      </w:tr>
      <w:tr>
        <w:trPr>
          <w:trHeight w:val="240"/>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120" w:type="dxa"/>
            <w:vAlign w:val="bottom"/>
          </w:tcPr>
          <w:p>
            <w:pPr>
              <w:ind w:left="420"/>
              <w:spacing w:after="0"/>
              <w:rPr>
                <w:sz w:val="20"/>
                <w:szCs w:val="20"/>
                <w:color w:val="auto"/>
              </w:rPr>
            </w:pPr>
            <w:r>
              <w:rPr>
                <w:rFonts w:ascii="Arial" w:cs="Arial" w:eastAsia="Arial" w:hAnsi="Arial"/>
                <w:sz w:val="19"/>
                <w:szCs w:val="19"/>
                <w:color w:val="auto"/>
              </w:rPr>
              <w:t>Monster Rehab® Rojo Tea + Energy</w:t>
            </w:r>
          </w:p>
        </w:tc>
        <w:tc>
          <w:tcPr>
            <w:tcW w:w="980" w:type="dxa"/>
            <w:vAlign w:val="bottom"/>
          </w:tcPr>
          <w:p>
            <w:pPr>
              <w:spacing w:after="0"/>
              <w:rPr>
                <w:sz w:val="20"/>
                <w:szCs w:val="20"/>
                <w:color w:val="auto"/>
              </w:rPr>
            </w:pPr>
          </w:p>
        </w:tc>
        <w:tc>
          <w:tcPr>
            <w:tcW w:w="4420" w:type="dxa"/>
            <w:vAlign w:val="bottom"/>
          </w:tcPr>
          <w:p>
            <w:pPr>
              <w:ind w:left="360"/>
              <w:spacing w:after="0"/>
              <w:rPr>
                <w:sz w:val="20"/>
                <w:szCs w:val="20"/>
                <w:color w:val="auto"/>
              </w:rPr>
            </w:pPr>
            <w:r>
              <w:rPr>
                <w:rFonts w:ascii="Arial" w:cs="Arial" w:eastAsia="Arial" w:hAnsi="Arial"/>
                <w:sz w:val="19"/>
                <w:szCs w:val="19"/>
                <w:color w:val="auto"/>
              </w:rPr>
              <w:t>Black Ice™</w:t>
            </w:r>
          </w:p>
        </w:tc>
      </w:tr>
    </w:tbl>
    <w:p>
      <w:pPr>
        <w:sectPr>
          <w:pgSz w:w="11900" w:h="16838" w:orient="portrait"/>
          <w:cols w:equalWidth="0" w:num="1">
            <w:col w:w="11420"/>
          </w:cols>
          <w:pgMar w:left="240" w:top="361"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940" w:type="dxa"/>
            <w:vAlign w:val="bottom"/>
          </w:tcPr>
          <w:p>
            <w:pPr>
              <w:ind w:left="420"/>
              <w:spacing w:after="0"/>
              <w:rPr>
                <w:sz w:val="20"/>
                <w:szCs w:val="20"/>
                <w:color w:val="auto"/>
              </w:rPr>
            </w:pPr>
            <w:r>
              <w:rPr>
                <w:rFonts w:ascii="Arial" w:cs="Arial" w:eastAsia="Arial" w:hAnsi="Arial"/>
                <w:sz w:val="19"/>
                <w:szCs w:val="19"/>
                <w:color w:val="auto"/>
              </w:rPr>
              <w:t>Monster Rehab® Green Tea + Energy</w:t>
            </w:r>
          </w:p>
        </w:tc>
        <w:tc>
          <w:tcPr>
            <w:tcW w:w="116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3620" w:type="dxa"/>
            <w:vAlign w:val="bottom"/>
          </w:tcPr>
          <w:p>
            <w:pPr>
              <w:ind w:left="360"/>
              <w:spacing w:after="0"/>
              <w:rPr>
                <w:sz w:val="20"/>
                <w:szCs w:val="20"/>
                <w:color w:val="auto"/>
              </w:rPr>
            </w:pPr>
            <w:r>
              <w:rPr>
                <w:rFonts w:ascii="Arial" w:cs="Arial" w:eastAsia="Arial" w:hAnsi="Arial"/>
                <w:sz w:val="19"/>
                <w:szCs w:val="19"/>
                <w:color w:val="auto"/>
              </w:rPr>
              <w:t>X-Presso Monster® Hammer</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940" w:type="dxa"/>
            <w:vAlign w:val="bottom"/>
          </w:tcPr>
          <w:p>
            <w:pPr>
              <w:ind w:left="420"/>
              <w:spacing w:after="0" w:line="216" w:lineRule="exact"/>
              <w:rPr>
                <w:sz w:val="20"/>
                <w:szCs w:val="20"/>
                <w:color w:val="auto"/>
              </w:rPr>
            </w:pPr>
            <w:r>
              <w:rPr>
                <w:rFonts w:ascii="Arial" w:cs="Arial" w:eastAsia="Arial" w:hAnsi="Arial"/>
                <w:sz w:val="19"/>
                <w:szCs w:val="19"/>
                <w:color w:val="auto"/>
              </w:rPr>
              <w:t>Monster Rehab® Protean + Energy</w:t>
            </w:r>
          </w:p>
        </w:tc>
        <w:tc>
          <w:tcPr>
            <w:tcW w:w="116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3620" w:type="dxa"/>
            <w:vAlign w:val="bottom"/>
          </w:tcPr>
          <w:p>
            <w:pPr>
              <w:ind w:left="360"/>
              <w:spacing w:after="0" w:line="216" w:lineRule="exact"/>
              <w:rPr>
                <w:sz w:val="20"/>
                <w:szCs w:val="20"/>
                <w:color w:val="auto"/>
              </w:rPr>
            </w:pPr>
            <w:r>
              <w:rPr>
                <w:rFonts w:ascii="Arial" w:cs="Arial" w:eastAsia="Arial" w:hAnsi="Arial"/>
                <w:sz w:val="19"/>
                <w:szCs w:val="19"/>
                <w:color w:val="auto"/>
              </w:rPr>
              <w:t>X-Presso Monster® Midnite</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940" w:type="dxa"/>
            <w:vAlign w:val="bottom"/>
          </w:tcPr>
          <w:p>
            <w:pPr>
              <w:ind w:left="420"/>
              <w:spacing w:after="0" w:line="216" w:lineRule="exact"/>
              <w:rPr>
                <w:sz w:val="20"/>
                <w:szCs w:val="20"/>
                <w:color w:val="auto"/>
              </w:rPr>
            </w:pPr>
            <w:r>
              <w:rPr>
                <w:rFonts w:ascii="Arial" w:cs="Arial" w:eastAsia="Arial" w:hAnsi="Arial"/>
                <w:sz w:val="19"/>
                <w:szCs w:val="19"/>
                <w:color w:val="auto"/>
              </w:rPr>
              <w:t>Monster Rehab® Tea + Orangeade + Energy</w:t>
            </w:r>
          </w:p>
        </w:tc>
        <w:tc>
          <w:tcPr>
            <w:tcW w:w="116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3620" w:type="dxa"/>
            <w:vAlign w:val="bottom"/>
          </w:tcPr>
          <w:p>
            <w:pPr>
              <w:ind w:left="360"/>
              <w:spacing w:after="0" w:line="216" w:lineRule="exact"/>
              <w:rPr>
                <w:sz w:val="20"/>
                <w:szCs w:val="20"/>
                <w:color w:val="auto"/>
              </w:rPr>
            </w:pPr>
            <w:r>
              <w:rPr>
                <w:rFonts w:ascii="Arial" w:cs="Arial" w:eastAsia="Arial" w:hAnsi="Arial"/>
                <w:sz w:val="19"/>
                <w:szCs w:val="19"/>
                <w:color w:val="auto"/>
              </w:rPr>
              <w:t>Monster Cuba-Lima®</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940" w:type="dxa"/>
            <w:vAlign w:val="bottom"/>
          </w:tcPr>
          <w:p>
            <w:pPr>
              <w:ind w:left="420"/>
              <w:spacing w:after="0" w:line="216" w:lineRule="exact"/>
              <w:rPr>
                <w:sz w:val="20"/>
                <w:szCs w:val="20"/>
                <w:color w:val="auto"/>
              </w:rPr>
            </w:pPr>
            <w:r>
              <w:rPr>
                <w:rFonts w:ascii="Arial" w:cs="Arial" w:eastAsia="Arial" w:hAnsi="Arial"/>
                <w:sz w:val="19"/>
                <w:szCs w:val="19"/>
                <w:color w:val="auto"/>
              </w:rPr>
              <w:t>Monster Rehab® Tea + Pink Lemonade + Energy</w:t>
            </w:r>
          </w:p>
        </w:tc>
        <w:tc>
          <w:tcPr>
            <w:tcW w:w="116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3620" w:type="dxa"/>
            <w:vAlign w:val="bottom"/>
          </w:tcPr>
          <w:p>
            <w:pPr>
              <w:ind w:left="360"/>
              <w:spacing w:after="0" w:line="216" w:lineRule="exact"/>
              <w:rPr>
                <w:sz w:val="20"/>
                <w:szCs w:val="20"/>
                <w:color w:val="auto"/>
              </w:rPr>
            </w:pPr>
            <w:r>
              <w:rPr>
                <w:rFonts w:ascii="Arial" w:cs="Arial" w:eastAsia="Arial" w:hAnsi="Arial"/>
                <w:sz w:val="19"/>
                <w:szCs w:val="19"/>
                <w:color w:val="auto"/>
              </w:rPr>
              <w:t>Monster Energy® Zero Ultra</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940" w:type="dxa"/>
            <w:vAlign w:val="bottom"/>
          </w:tcPr>
          <w:p>
            <w:pPr>
              <w:ind w:left="420"/>
              <w:spacing w:after="0" w:line="216" w:lineRule="exact"/>
              <w:rPr>
                <w:sz w:val="20"/>
                <w:szCs w:val="20"/>
                <w:color w:val="auto"/>
              </w:rPr>
            </w:pPr>
            <w:r>
              <w:rPr>
                <w:rFonts w:ascii="Arial" w:cs="Arial" w:eastAsia="Arial" w:hAnsi="Arial"/>
                <w:sz w:val="19"/>
                <w:szCs w:val="19"/>
                <w:color w:val="auto"/>
              </w:rPr>
              <w:t>Muscle Monster® Vanilla</w:t>
            </w:r>
          </w:p>
        </w:tc>
        <w:tc>
          <w:tcPr>
            <w:tcW w:w="116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3620" w:type="dxa"/>
            <w:vAlign w:val="bottom"/>
          </w:tcPr>
          <w:p>
            <w:pPr>
              <w:ind w:left="360"/>
              <w:spacing w:after="0" w:line="216" w:lineRule="exact"/>
              <w:rPr>
                <w:sz w:val="20"/>
                <w:szCs w:val="20"/>
                <w:color w:val="auto"/>
              </w:rPr>
            </w:pPr>
            <w:r>
              <w:rPr>
                <w:rFonts w:ascii="Arial" w:cs="Arial" w:eastAsia="Arial" w:hAnsi="Arial"/>
                <w:sz w:val="19"/>
                <w:szCs w:val="19"/>
                <w:color w:val="auto"/>
              </w:rPr>
              <w:t>Monster Energy® Ultra Blue</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940" w:type="dxa"/>
            <w:vAlign w:val="bottom"/>
          </w:tcPr>
          <w:p>
            <w:pPr>
              <w:ind w:left="420"/>
              <w:spacing w:after="0" w:line="216" w:lineRule="exact"/>
              <w:rPr>
                <w:sz w:val="20"/>
                <w:szCs w:val="20"/>
                <w:color w:val="auto"/>
              </w:rPr>
            </w:pPr>
            <w:r>
              <w:rPr>
                <w:rFonts w:ascii="Arial" w:cs="Arial" w:eastAsia="Arial" w:hAnsi="Arial"/>
                <w:sz w:val="19"/>
                <w:szCs w:val="19"/>
                <w:color w:val="auto"/>
              </w:rPr>
              <w:t>Muscle Monster® Chocolate</w:t>
            </w:r>
          </w:p>
        </w:tc>
        <w:tc>
          <w:tcPr>
            <w:tcW w:w="116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3620" w:type="dxa"/>
            <w:vAlign w:val="bottom"/>
          </w:tcPr>
          <w:p>
            <w:pPr>
              <w:ind w:left="360"/>
              <w:spacing w:after="0" w:line="216" w:lineRule="exact"/>
              <w:rPr>
                <w:sz w:val="20"/>
                <w:szCs w:val="20"/>
                <w:color w:val="auto"/>
              </w:rPr>
            </w:pPr>
            <w:r>
              <w:rPr>
                <w:rFonts w:ascii="Arial" w:cs="Arial" w:eastAsia="Arial" w:hAnsi="Arial"/>
                <w:sz w:val="19"/>
                <w:szCs w:val="19"/>
                <w:color w:val="auto"/>
              </w:rPr>
              <w:t>Monster Energy® Ultra Red</w:t>
            </w:r>
          </w:p>
        </w:tc>
      </w:tr>
      <w:tr>
        <w:trPr>
          <w:trHeight w:val="232"/>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940" w:type="dxa"/>
            <w:vAlign w:val="bottom"/>
          </w:tcPr>
          <w:p>
            <w:pPr>
              <w:ind w:left="420"/>
              <w:spacing w:after="0"/>
              <w:rPr>
                <w:sz w:val="20"/>
                <w:szCs w:val="20"/>
                <w:color w:val="auto"/>
              </w:rPr>
            </w:pPr>
            <w:r>
              <w:rPr>
                <w:rFonts w:ascii="Arial" w:cs="Arial" w:eastAsia="Arial" w:hAnsi="Arial"/>
                <w:sz w:val="19"/>
                <w:szCs w:val="19"/>
                <w:color w:val="auto"/>
              </w:rPr>
              <w:t>Muscle Monster® Coffee</w:t>
            </w:r>
          </w:p>
        </w:tc>
        <w:tc>
          <w:tcPr>
            <w:tcW w:w="116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3620" w:type="dxa"/>
            <w:vAlign w:val="bottom"/>
          </w:tcPr>
          <w:p>
            <w:pPr>
              <w:ind w:left="360"/>
              <w:spacing w:after="0"/>
              <w:rPr>
                <w:sz w:val="20"/>
                <w:szCs w:val="20"/>
                <w:color w:val="auto"/>
              </w:rPr>
            </w:pPr>
            <w:r>
              <w:rPr>
                <w:rFonts w:ascii="Arial" w:cs="Arial" w:eastAsia="Arial" w:hAnsi="Arial"/>
                <w:sz w:val="19"/>
                <w:szCs w:val="19"/>
                <w:color w:val="auto"/>
                <w:w w:val="90"/>
              </w:rPr>
              <w:t>M3® Monster Energy® Super Concentrate</w:t>
            </w:r>
          </w:p>
        </w:tc>
      </w:tr>
    </w:tbl>
    <w:p>
      <w:pPr>
        <w:ind w:left="920" w:hanging="912"/>
        <w:spacing w:after="0"/>
        <w:tabs>
          <w:tab w:leader="none" w:pos="9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Übermonster® Energy Brew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have two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During the nine-months ended September 30, 2013, we continued to expand our existing product lines and flavors and further developed our markets. In particular, we continued to focus on developing and marketing beverages that fall within the category generally described as the “alternative” beverage category. During the nine-months ended September 30, 2013, we introduced the following products:</w:t>
      </w:r>
    </w:p>
    <w:p>
      <w:pPr>
        <w:spacing w:after="0" w:line="212" w:lineRule="exact"/>
        <w:rPr>
          <w:sz w:val="20"/>
          <w:szCs w:val="20"/>
          <w:color w:val="auto"/>
        </w:rPr>
      </w:pPr>
    </w:p>
    <w:p>
      <w:pPr>
        <w:ind w:left="780" w:hanging="448"/>
        <w:spacing w:after="0"/>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Monster Mini’s™, 12-packs in 8-ounce size cans (January 2013).</w:t>
      </w:r>
    </w:p>
    <w:p>
      <w:pPr>
        <w:spacing w:after="0" w:line="8" w:lineRule="exact"/>
        <w:rPr>
          <w:rFonts w:ascii="Arial" w:cs="Arial" w:eastAsia="Arial" w:hAnsi="Arial"/>
          <w:sz w:val="22"/>
          <w:szCs w:val="22"/>
          <w:color w:val="auto"/>
        </w:rPr>
      </w:pPr>
    </w:p>
    <w:p>
      <w:pPr>
        <w:ind w:left="780" w:hanging="448"/>
        <w:spacing w:after="0" w:line="230" w:lineRule="auto"/>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Peace Tea® iced teas, 12-packs in 8.4-ounce size cans (February 2013).</w:t>
      </w:r>
    </w:p>
    <w:p>
      <w:pPr>
        <w:ind w:left="780" w:hanging="448"/>
        <w:spacing w:after="0" w:line="230" w:lineRule="auto"/>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Muscle Monster® Energy Shakes, non-carbonated energy shakes with 25-grams of protein (March 2013).</w:t>
      </w:r>
    </w:p>
    <w:p>
      <w:pPr>
        <w:ind w:left="780" w:hanging="448"/>
        <w:spacing w:after="0" w:line="230" w:lineRule="auto"/>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Monster Rehab® Tea + Pink Lemonade + Energy (March 2013).</w:t>
      </w:r>
    </w:p>
    <w:p>
      <w:pPr>
        <w:ind w:left="780" w:hanging="448"/>
        <w:spacing w:after="0"/>
        <w:tabs>
          <w:tab w:leader="none" w:pos="7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Monster Energy® Ultra Blue, a carbonated energy drink which contains zero calories and zero sugar (March 2013).</w:t>
      </w:r>
    </w:p>
    <w:p>
      <w:pPr>
        <w:spacing w:after="0" w:line="24" w:lineRule="exact"/>
        <w:rPr>
          <w:rFonts w:ascii="Arial" w:cs="Arial" w:eastAsia="Arial" w:hAnsi="Arial"/>
          <w:sz w:val="19"/>
          <w:szCs w:val="19"/>
          <w:color w:val="auto"/>
        </w:rPr>
      </w:pPr>
    </w:p>
    <w:p>
      <w:pPr>
        <w:ind w:left="780" w:hanging="448"/>
        <w:spacing w:after="0" w:line="230" w:lineRule="auto"/>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Java Monster® Kona Cappuccino™ (March 2013).</w:t>
      </w:r>
    </w:p>
    <w:p>
      <w:pPr>
        <w:ind w:left="780" w:hanging="448"/>
        <w:spacing w:after="0" w:line="230" w:lineRule="auto"/>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Hansen’s® Sparkling beverages, a line of 10-calorie beverages with all natural sweeteners (March 2013).</w:t>
      </w:r>
    </w:p>
    <w:p>
      <w:pPr>
        <w:ind w:left="780" w:hanging="448"/>
        <w:spacing w:after="0" w:line="230" w:lineRule="auto"/>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Peace Tea® Peach and Sno-Berry, ready-to-drink iced teas (June 2013).</w:t>
      </w:r>
    </w:p>
    <w:p>
      <w:pPr>
        <w:ind w:left="780" w:right="680" w:hanging="448"/>
        <w:spacing w:after="0" w:line="230" w:lineRule="auto"/>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Hubert’s® Lemonade, Strawberry Lemonade, Blackberry Lemonade and Cherry Limeade in 40-ounce glass bottles (July 2013).</w:t>
      </w:r>
    </w:p>
    <w:p>
      <w:pPr>
        <w:spacing w:after="0" w:line="1" w:lineRule="exact"/>
        <w:rPr>
          <w:rFonts w:ascii="Arial" w:cs="Arial" w:eastAsia="Arial" w:hAnsi="Arial"/>
          <w:sz w:val="22"/>
          <w:szCs w:val="22"/>
          <w:color w:val="auto"/>
        </w:rPr>
      </w:pPr>
    </w:p>
    <w:p>
      <w:pPr>
        <w:ind w:left="780" w:hanging="448"/>
        <w:spacing w:after="0"/>
        <w:tabs>
          <w:tab w:leader="none" w:pos="7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Monster Energy® Ultra Red, a carbonated energy drink which contains zero calories and zero sugar (September 2013).</w:t>
      </w:r>
    </w:p>
    <w:p>
      <w:pPr>
        <w:spacing w:after="0" w:line="25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the normal course of business we discontinue certain products and/or product lines. Those products or product lines discontinued during the three- and nine-months ended September 30, 2013, either individually or in aggregate, did not have a material adverse impact on our financial position, results of operations or liquidity.</w:t>
      </w:r>
    </w:p>
    <w:p>
      <w:pPr>
        <w:spacing w:after="0" w:line="213"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During the three- and nine-months ended September 30, 2013, we incurred an increase in professional service costs, net of insurance reimbursements, of $6.5 million and $16.4 million, respectively. The increase included $5.3 million and $12.5 million for the three- and nine-months ended September 30, 2013, respectively, related to regulatory matters and litigation concerning the advertising, marketing, promotion, ingredients, usage, safety and sale of our Monster Energy® brand energy drinks.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Our gross sales (as defined below) of $686.6 million for the three-months ended September 30, 2013 represented record sales for our third fiscal quarter. The vast majority of our gross sales are derived from our Monster Energy® brand energy drinks. Gross sales of our Monster Energy® brand energy drinks were $638.7 million for the three-months ended September 30, 2013, an increase of $53.5 million, or 98.5% of our overall increase in gross sales for the three-months ended September 30, 2013.</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percentage increase in gross sales was 8.6% and 15.4% for the three-months ended September 30, 2013 and 2012, respectively. We believe the decrease in the percentage growth rate for the three-months ended September 30, 2013 was primarily attributable to less robust growth of our Monster Energy® drink line in our United States and European energy drink markets. In addition, the growth rate for the three-months ended September 30, 2012 was positively impacted by sales in Japan, which began in the second quarter of 2012 and therefore did not have a 2011 third quarter comparable.</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Our DSD segment represented 96.0% and 95.3% of our consolidated net sales for the three-months ended September 30, 2013 and 2012, respectively. Our Warehouse segment represented 4.0% and 4.7% of our consolidated net sales for the three-months ended September 30, 2013 and 2012, respectively. Our DSD segment represented 95.4% of our consolidated net sales for both the nine-months ended September 30, 2013 and 2012. Our Warehouse segment represented 4.6% of our consolidated net sales for both the nine-months ended September 30, 2013 and 2012.</w:t>
      </w:r>
    </w:p>
    <w:p>
      <w:pPr>
        <w:spacing w:after="0" w:line="20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Our sales and marketing strategy for all our beverages is to focus our efforts on developing brand awareness through image enhancing programs and product sampling. We use our branded vehicles and other promotional vehicles at events where we offer</w:t>
      </w:r>
    </w:p>
    <w:p>
      <w:pPr>
        <w:sectPr>
          <w:pgSz w:w="11900" w:h="16838" w:orient="portrait"/>
          <w:cols w:equalWidth="0" w:num="1">
            <w:col w:w="11420"/>
          </w:cols>
          <w:pgMar w:left="240" w:top="115" w:right="239" w:bottom="0" w:gutter="0" w:footer="0" w:header="0"/>
        </w:sectPr>
      </w:pPr>
    </w:p>
    <w:bookmarkStart w:id="21" w:name="page22"/>
    <w:bookmarkEnd w:id="21"/>
    <w:p>
      <w:pPr>
        <w:jc w:val="both"/>
        <w:spacing w:after="0" w:line="247" w:lineRule="auto"/>
        <w:rPr>
          <w:sz w:val="20"/>
          <w:szCs w:val="20"/>
          <w:color w:val="auto"/>
        </w:rPr>
      </w:pPr>
      <w:r>
        <w:rPr>
          <w:rFonts w:ascii="Arial" w:cs="Arial" w:eastAsia="Arial" w:hAnsi="Arial"/>
          <w:sz w:val="21"/>
          <w:szCs w:val="21"/>
          <w:color w:val="auto"/>
        </w:rPr>
        <w:t>samples of our products to consumers. We utilize “push-pull” methods to enhance shelf and display space exposure in sales outlets (including advertising, in-store promotions and in-store placement of point-of-sale materials, racks, coolers and barrel coolers) to enhance demand from consumers for our products. We also support our brands with prize promotions, price promotions, competitions, endorsements from selected public and sports figures, personality endorsements (including from television and other well known sports personalities), coupons, sampling and sponsorship of selected causes, events, athletes and teams. In-store posters, outdoor posters, print, radio and television advertising (directly and through our sponsorships and endorsements) and coupons may also be used to promote our brands.</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We have historically marketed our Monster Energy®, Hansen’s® and Blue Energy® energy drink products as dietary supplements in accordance with the statutory definition of “dietary supplement” set forth in the Federal Food, Drug, and Cosmetic Act (the “Act”). However, as permitted under that Act and FDA regulations, we determined to transition the labeling and marketing of these energy drink products from dietary supplements to conventional foods. In the first quarter of 2013, we began transitioning the labeling of such products. Products marketed under the Worx Energy® brand, which are sold in 2-ounce bottles, will continue to be labeled as dietary supplements. The costs of the labeling changes have not been significant and we do not expect the remaining costs, if any, to be significant.</w:t>
      </w:r>
    </w:p>
    <w:p>
      <w:pPr>
        <w:spacing w:after="0" w:line="21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21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All of our beverage products are manufactured by various third party bottlers and co-packers situated throughout the United States and abroad, under separate arrangements with each party.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Our growth strategy includes expanding our international business. Gross sales to customers outside the United States amounted to $151.6 million and $144.7 million for the three-months ended September 30, 2013 and 2012, respectively. Such sales were approximately 22% and 23% of gross sales for the three-months ended September 30, 2013 and 2012, respectively. Gross sales to customers outside the United States amounted to $442.6 million and $398.7 million for the nine-months ended September 30, 2013 and 2012, respectively. Such sales were approximately 23% and 22% of gross sales for the nine-months ended September 30, 2013 and 2012, respectively.</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three- and nine-months ended September 30, 2013 and 2012 are reflected below. Such information includes sales made by us directly to the customer types concerned, which include our full service beverage distributors in the United States. Such full service beverage distributors in turn sell certain of our products to the same customer types listed below as well as to other customer types. We limit our description of our customer types to include only our sales to such full service distributors without reference to such distributors’ sales to their own customers.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3220" w:type="dxa"/>
            <w:vAlign w:val="bottom"/>
            <w:gridSpan w:val="3"/>
          </w:tcPr>
          <w:p>
            <w:pPr>
              <w:jc w:val="center"/>
              <w:ind w:right="240"/>
              <w:spacing w:after="0"/>
              <w:rPr>
                <w:sz w:val="20"/>
                <w:szCs w:val="20"/>
                <w:color w:val="auto"/>
              </w:rPr>
            </w:pPr>
            <w:r>
              <w:rPr>
                <w:rFonts w:ascii="Arial" w:cs="Arial" w:eastAsia="Arial" w:hAnsi="Arial"/>
                <w:sz w:val="20"/>
                <w:szCs w:val="20"/>
                <w:color w:val="auto"/>
                <w:w w:val="90"/>
              </w:rPr>
              <w:t>Three-Months Ended</w:t>
            </w:r>
          </w:p>
        </w:tc>
        <w:tc>
          <w:tcPr>
            <w:tcW w:w="2980" w:type="dxa"/>
            <w:vAlign w:val="bottom"/>
            <w:gridSpan w:val="2"/>
          </w:tcPr>
          <w:p>
            <w:pPr>
              <w:jc w:val="center"/>
              <w:spacing w:after="0"/>
              <w:rPr>
                <w:sz w:val="20"/>
                <w:szCs w:val="20"/>
                <w:color w:val="auto"/>
              </w:rPr>
            </w:pPr>
            <w:r>
              <w:rPr>
                <w:rFonts w:ascii="Arial" w:cs="Arial" w:eastAsia="Arial" w:hAnsi="Arial"/>
                <w:sz w:val="20"/>
                <w:szCs w:val="20"/>
                <w:color w:val="auto"/>
                <w:w w:val="91"/>
              </w:rPr>
              <w:t>Nine-Months Ended</w:t>
            </w:r>
          </w:p>
        </w:tc>
        <w:tc>
          <w:tcPr>
            <w:tcW w:w="0" w:type="dxa"/>
            <w:vAlign w:val="bottom"/>
          </w:tcPr>
          <w:p>
            <w:pPr>
              <w:spacing w:after="0"/>
              <w:rPr>
                <w:sz w:val="1"/>
                <w:szCs w:val="1"/>
                <w:color w:val="auto"/>
              </w:rPr>
            </w:pPr>
          </w:p>
        </w:tc>
      </w:tr>
      <w:tr>
        <w:trPr>
          <w:trHeight w:val="246"/>
        </w:trPr>
        <w:tc>
          <w:tcPr>
            <w:tcW w:w="5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320" w:type="dxa"/>
            <w:vAlign w:val="bottom"/>
            <w:gridSpan w:val="2"/>
          </w:tcPr>
          <w:p>
            <w:pPr>
              <w:jc w:val="center"/>
              <w:ind w:right="1140"/>
              <w:spacing w:after="0"/>
              <w:rPr>
                <w:sz w:val="20"/>
                <w:szCs w:val="20"/>
                <w:color w:val="auto"/>
              </w:rPr>
            </w:pPr>
            <w:r>
              <w:rPr>
                <w:rFonts w:ascii="Arial" w:cs="Arial" w:eastAsia="Arial" w:hAnsi="Arial"/>
                <w:sz w:val="20"/>
                <w:szCs w:val="20"/>
                <w:color w:val="auto"/>
                <w:w w:val="86"/>
              </w:rPr>
              <w:t>September 30,</w:t>
            </w:r>
          </w:p>
        </w:tc>
        <w:tc>
          <w:tcPr>
            <w:tcW w:w="900" w:type="dxa"/>
            <w:vAlign w:val="bottom"/>
          </w:tcPr>
          <w:p>
            <w:pPr>
              <w:spacing w:after="0"/>
              <w:rPr>
                <w:sz w:val="21"/>
                <w:szCs w:val="21"/>
                <w:color w:val="auto"/>
              </w:rPr>
            </w:pPr>
          </w:p>
        </w:tc>
        <w:tc>
          <w:tcPr>
            <w:tcW w:w="2080" w:type="dxa"/>
            <w:vAlign w:val="bottom"/>
          </w:tcPr>
          <w:p>
            <w:pPr>
              <w:jc w:val="center"/>
              <w:ind w:right="801"/>
              <w:spacing w:after="0"/>
              <w:rPr>
                <w:sz w:val="20"/>
                <w:szCs w:val="20"/>
                <w:color w:val="auto"/>
              </w:rPr>
            </w:pPr>
            <w:r>
              <w:rPr>
                <w:rFonts w:ascii="Arial" w:cs="Arial" w:eastAsia="Arial" w:hAnsi="Arial"/>
                <w:sz w:val="20"/>
                <w:szCs w:val="20"/>
                <w:color w:val="auto"/>
                <w:w w:val="86"/>
              </w:rPr>
              <w:t>September 30,</w:t>
            </w:r>
          </w:p>
        </w:tc>
        <w:tc>
          <w:tcPr>
            <w:tcW w:w="0" w:type="dxa"/>
            <w:vAlign w:val="bottom"/>
          </w:tcPr>
          <w:p>
            <w:pPr>
              <w:spacing w:after="0"/>
              <w:rPr>
                <w:sz w:val="1"/>
                <w:szCs w:val="1"/>
                <w:color w:val="auto"/>
              </w:rPr>
            </w:pPr>
          </w:p>
        </w:tc>
      </w:tr>
      <w:tr>
        <w:trPr>
          <w:trHeight w:val="223"/>
        </w:trPr>
        <w:tc>
          <w:tcPr>
            <w:tcW w:w="5220" w:type="dxa"/>
            <w:vAlign w:val="bottom"/>
            <w:vMerge w:val="restart"/>
          </w:tcPr>
          <w:p>
            <w:pPr>
              <w:spacing w:after="0"/>
              <w:rPr>
                <w:sz w:val="20"/>
                <w:szCs w:val="20"/>
                <w:color w:val="auto"/>
              </w:rPr>
            </w:pPr>
            <w:r>
              <w:rPr>
                <w:rFonts w:ascii="Arial" w:cs="Arial" w:eastAsia="Arial" w:hAnsi="Arial"/>
                <w:sz w:val="20"/>
                <w:szCs w:val="20"/>
                <w:color w:val="auto"/>
              </w:rPr>
              <w:t>Full service distributors</w:t>
            </w:r>
          </w:p>
        </w:tc>
        <w:tc>
          <w:tcPr>
            <w:tcW w:w="900" w:type="dxa"/>
            <w:vAlign w:val="bottom"/>
            <w:tcBorders>
              <w:top w:val="single" w:sz="8" w:color="auto"/>
              <w:bottom w:val="single" w:sz="8" w:color="auto"/>
            </w:tcBorders>
          </w:tcPr>
          <w:p>
            <w:pPr>
              <w:jc w:val="center"/>
              <w:ind w:left="381"/>
              <w:spacing w:after="0" w:line="223" w:lineRule="exact"/>
              <w:rPr>
                <w:sz w:val="20"/>
                <w:szCs w:val="20"/>
                <w:color w:val="auto"/>
              </w:rPr>
            </w:pPr>
            <w:r>
              <w:rPr>
                <w:rFonts w:ascii="Arial" w:cs="Arial" w:eastAsia="Arial" w:hAnsi="Arial"/>
                <w:sz w:val="20"/>
                <w:szCs w:val="20"/>
                <w:color w:val="auto"/>
                <w:w w:val="85"/>
              </w:rPr>
              <w:t>2013</w:t>
            </w:r>
          </w:p>
        </w:tc>
        <w:tc>
          <w:tcPr>
            <w:tcW w:w="2080" w:type="dxa"/>
            <w:vAlign w:val="bottom"/>
            <w:tcBorders>
              <w:top w:val="single" w:sz="8" w:color="auto"/>
              <w:bottom w:val="single" w:sz="8" w:color="auto"/>
            </w:tcBorders>
          </w:tcPr>
          <w:p>
            <w:pPr>
              <w:jc w:val="center"/>
              <w:ind w:left="621"/>
              <w:spacing w:after="0" w:line="223" w:lineRule="exact"/>
              <w:rPr>
                <w:sz w:val="20"/>
                <w:szCs w:val="20"/>
                <w:color w:val="auto"/>
              </w:rPr>
            </w:pPr>
            <w:r>
              <w:rPr>
                <w:rFonts w:ascii="Arial" w:cs="Arial" w:eastAsia="Arial" w:hAnsi="Arial"/>
                <w:sz w:val="20"/>
                <w:szCs w:val="20"/>
                <w:color w:val="auto"/>
                <w:w w:val="89"/>
              </w:rPr>
              <w:t>2012</w:t>
            </w: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ind w:left="361"/>
              <w:spacing w:after="0" w:line="223" w:lineRule="exact"/>
              <w:rPr>
                <w:sz w:val="20"/>
                <w:szCs w:val="20"/>
                <w:color w:val="auto"/>
              </w:rPr>
            </w:pPr>
            <w:r>
              <w:rPr>
                <w:rFonts w:ascii="Arial" w:cs="Arial" w:eastAsia="Arial" w:hAnsi="Arial"/>
                <w:sz w:val="20"/>
                <w:szCs w:val="20"/>
                <w:color w:val="auto"/>
                <w:w w:val="89"/>
              </w:rPr>
              <w:t>2013</w:t>
            </w:r>
          </w:p>
        </w:tc>
        <w:tc>
          <w:tcPr>
            <w:tcW w:w="2080" w:type="dxa"/>
            <w:vAlign w:val="bottom"/>
            <w:tcBorders>
              <w:top w:val="single" w:sz="8" w:color="auto"/>
              <w:bottom w:val="single" w:sz="8" w:color="auto"/>
            </w:tcBorders>
          </w:tcPr>
          <w:p>
            <w:pPr>
              <w:jc w:val="center"/>
              <w:ind w:left="601"/>
              <w:spacing w:after="0" w:line="223" w:lineRule="exact"/>
              <w:rPr>
                <w:sz w:val="20"/>
                <w:szCs w:val="20"/>
                <w:color w:val="auto"/>
              </w:rPr>
            </w:pPr>
            <w:r>
              <w:rPr>
                <w:rFonts w:ascii="Arial" w:cs="Arial" w:eastAsia="Arial" w:hAnsi="Arial"/>
                <w:sz w:val="20"/>
                <w:szCs w:val="20"/>
                <w:color w:val="auto"/>
                <w:w w:val="85"/>
              </w:rPr>
              <w:t>2012</w:t>
            </w:r>
          </w:p>
        </w:tc>
        <w:tc>
          <w:tcPr>
            <w:tcW w:w="0" w:type="dxa"/>
            <w:vAlign w:val="bottom"/>
          </w:tcPr>
          <w:p>
            <w:pPr>
              <w:spacing w:after="0"/>
              <w:rPr>
                <w:sz w:val="1"/>
                <w:szCs w:val="1"/>
                <w:color w:val="auto"/>
              </w:rPr>
            </w:pPr>
          </w:p>
        </w:tc>
      </w:tr>
      <w:tr>
        <w:trPr>
          <w:trHeight w:val="206"/>
        </w:trPr>
        <w:tc>
          <w:tcPr>
            <w:tcW w:w="5220" w:type="dxa"/>
            <w:vAlign w:val="bottom"/>
            <w:vMerge w:val="continue"/>
          </w:tcPr>
          <w:p>
            <w:pPr>
              <w:spacing w:after="0"/>
              <w:rPr>
                <w:sz w:val="17"/>
                <w:szCs w:val="17"/>
                <w:color w:val="auto"/>
              </w:rPr>
            </w:pPr>
          </w:p>
        </w:tc>
        <w:tc>
          <w:tcPr>
            <w:tcW w:w="900" w:type="dxa"/>
            <w:vAlign w:val="bottom"/>
          </w:tcPr>
          <w:p>
            <w:pPr>
              <w:jc w:val="center"/>
              <w:ind w:left="381"/>
              <w:spacing w:after="0" w:line="207" w:lineRule="exact"/>
              <w:rPr>
                <w:sz w:val="20"/>
                <w:szCs w:val="20"/>
                <w:color w:val="auto"/>
              </w:rPr>
            </w:pPr>
            <w:r>
              <w:rPr>
                <w:rFonts w:ascii="Arial" w:cs="Arial" w:eastAsia="Arial" w:hAnsi="Arial"/>
                <w:sz w:val="20"/>
                <w:szCs w:val="20"/>
                <w:color w:val="auto"/>
                <w:w w:val="94"/>
              </w:rPr>
              <w:t>63%</w:t>
            </w:r>
          </w:p>
        </w:tc>
        <w:tc>
          <w:tcPr>
            <w:tcW w:w="2080" w:type="dxa"/>
            <w:vAlign w:val="bottom"/>
          </w:tcPr>
          <w:p>
            <w:pPr>
              <w:jc w:val="center"/>
              <w:ind w:left="621"/>
              <w:spacing w:after="0" w:line="207" w:lineRule="exact"/>
              <w:rPr>
                <w:sz w:val="20"/>
                <w:szCs w:val="20"/>
                <w:color w:val="auto"/>
              </w:rPr>
            </w:pPr>
            <w:r>
              <w:rPr>
                <w:rFonts w:ascii="Arial" w:cs="Arial" w:eastAsia="Arial" w:hAnsi="Arial"/>
                <w:sz w:val="20"/>
                <w:szCs w:val="20"/>
                <w:color w:val="auto"/>
                <w:w w:val="89"/>
              </w:rPr>
              <w:t>62%</w:t>
            </w:r>
          </w:p>
        </w:tc>
        <w:tc>
          <w:tcPr>
            <w:tcW w:w="240" w:type="dxa"/>
            <w:vAlign w:val="bottom"/>
          </w:tcPr>
          <w:p>
            <w:pPr>
              <w:spacing w:after="0"/>
              <w:rPr>
                <w:sz w:val="17"/>
                <w:szCs w:val="17"/>
                <w:color w:val="auto"/>
              </w:rPr>
            </w:pPr>
          </w:p>
        </w:tc>
        <w:tc>
          <w:tcPr>
            <w:tcW w:w="900" w:type="dxa"/>
            <w:vAlign w:val="bottom"/>
          </w:tcPr>
          <w:p>
            <w:pPr>
              <w:jc w:val="center"/>
              <w:ind w:left="361"/>
              <w:spacing w:after="0" w:line="207" w:lineRule="exact"/>
              <w:rPr>
                <w:sz w:val="20"/>
                <w:szCs w:val="20"/>
                <w:color w:val="auto"/>
              </w:rPr>
            </w:pPr>
            <w:r>
              <w:rPr>
                <w:rFonts w:ascii="Arial" w:cs="Arial" w:eastAsia="Arial" w:hAnsi="Arial"/>
                <w:sz w:val="20"/>
                <w:szCs w:val="20"/>
                <w:color w:val="auto"/>
                <w:w w:val="89"/>
              </w:rPr>
              <w:t>63%</w:t>
            </w:r>
          </w:p>
        </w:tc>
        <w:tc>
          <w:tcPr>
            <w:tcW w:w="2080" w:type="dxa"/>
            <w:vAlign w:val="bottom"/>
          </w:tcPr>
          <w:p>
            <w:pPr>
              <w:jc w:val="center"/>
              <w:ind w:left="601"/>
              <w:spacing w:after="0" w:line="207" w:lineRule="exact"/>
              <w:rPr>
                <w:sz w:val="20"/>
                <w:szCs w:val="20"/>
                <w:color w:val="auto"/>
              </w:rPr>
            </w:pPr>
            <w:r>
              <w:rPr>
                <w:rFonts w:ascii="Arial" w:cs="Arial" w:eastAsia="Arial" w:hAnsi="Arial"/>
                <w:sz w:val="20"/>
                <w:szCs w:val="20"/>
                <w:color w:val="auto"/>
                <w:w w:val="94"/>
              </w:rPr>
              <w:t>63%</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900" w:type="dxa"/>
            <w:vAlign w:val="bottom"/>
          </w:tcPr>
          <w:p>
            <w:pPr>
              <w:jc w:val="center"/>
              <w:ind w:left="381"/>
              <w:spacing w:after="0"/>
              <w:rPr>
                <w:sz w:val="20"/>
                <w:szCs w:val="20"/>
                <w:color w:val="auto"/>
              </w:rPr>
            </w:pPr>
            <w:r>
              <w:rPr>
                <w:rFonts w:ascii="Arial" w:cs="Arial" w:eastAsia="Arial" w:hAnsi="Arial"/>
                <w:sz w:val="20"/>
                <w:szCs w:val="20"/>
                <w:color w:val="auto"/>
                <w:w w:val="89"/>
              </w:rPr>
              <w:t>9%</w:t>
            </w:r>
          </w:p>
        </w:tc>
        <w:tc>
          <w:tcPr>
            <w:tcW w:w="2080" w:type="dxa"/>
            <w:vAlign w:val="bottom"/>
          </w:tcPr>
          <w:p>
            <w:pPr>
              <w:jc w:val="center"/>
              <w:ind w:left="621"/>
              <w:spacing w:after="0"/>
              <w:rPr>
                <w:sz w:val="20"/>
                <w:szCs w:val="20"/>
                <w:color w:val="auto"/>
              </w:rPr>
            </w:pPr>
            <w:r>
              <w:rPr>
                <w:rFonts w:ascii="Arial" w:cs="Arial" w:eastAsia="Arial" w:hAnsi="Arial"/>
                <w:sz w:val="20"/>
                <w:szCs w:val="20"/>
                <w:color w:val="auto"/>
                <w:w w:val="89"/>
              </w:rPr>
              <w:t>10%</w:t>
            </w:r>
          </w:p>
        </w:tc>
        <w:tc>
          <w:tcPr>
            <w:tcW w:w="240" w:type="dxa"/>
            <w:vAlign w:val="bottom"/>
          </w:tcPr>
          <w:p>
            <w:pPr>
              <w:spacing w:after="0"/>
              <w:rPr>
                <w:sz w:val="19"/>
                <w:szCs w:val="19"/>
                <w:color w:val="auto"/>
              </w:rPr>
            </w:pPr>
          </w:p>
        </w:tc>
        <w:tc>
          <w:tcPr>
            <w:tcW w:w="900" w:type="dxa"/>
            <w:vAlign w:val="bottom"/>
          </w:tcPr>
          <w:p>
            <w:pPr>
              <w:jc w:val="center"/>
              <w:ind w:left="361"/>
              <w:spacing w:after="0"/>
              <w:rPr>
                <w:sz w:val="20"/>
                <w:szCs w:val="20"/>
                <w:color w:val="auto"/>
              </w:rPr>
            </w:pPr>
            <w:r>
              <w:rPr>
                <w:rFonts w:ascii="Arial" w:cs="Arial" w:eastAsia="Arial" w:hAnsi="Arial"/>
                <w:sz w:val="20"/>
                <w:szCs w:val="20"/>
                <w:color w:val="auto"/>
                <w:w w:val="89"/>
              </w:rPr>
              <w:t>10%</w:t>
            </w:r>
          </w:p>
        </w:tc>
        <w:tc>
          <w:tcPr>
            <w:tcW w:w="2080" w:type="dxa"/>
            <w:vAlign w:val="bottom"/>
          </w:tcPr>
          <w:p>
            <w:pPr>
              <w:jc w:val="center"/>
              <w:ind w:left="601"/>
              <w:spacing w:after="0"/>
              <w:rPr>
                <w:sz w:val="20"/>
                <w:szCs w:val="20"/>
                <w:color w:val="auto"/>
              </w:rPr>
            </w:pPr>
            <w:r>
              <w:rPr>
                <w:rFonts w:ascii="Arial" w:cs="Arial" w:eastAsia="Arial" w:hAnsi="Arial"/>
                <w:sz w:val="20"/>
                <w:szCs w:val="20"/>
                <w:color w:val="auto"/>
                <w:w w:val="89"/>
              </w:rPr>
              <w:t>9%</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20"/>
                <w:szCs w:val="20"/>
                <w:color w:val="auto"/>
              </w:rPr>
              <w:t>Outside the U.S.</w:t>
            </w:r>
          </w:p>
        </w:tc>
        <w:tc>
          <w:tcPr>
            <w:tcW w:w="900" w:type="dxa"/>
            <w:vAlign w:val="bottom"/>
          </w:tcPr>
          <w:p>
            <w:pPr>
              <w:jc w:val="center"/>
              <w:ind w:left="381"/>
              <w:spacing w:after="0"/>
              <w:rPr>
                <w:sz w:val="20"/>
                <w:szCs w:val="20"/>
                <w:color w:val="auto"/>
              </w:rPr>
            </w:pPr>
            <w:r>
              <w:rPr>
                <w:rFonts w:ascii="Arial" w:cs="Arial" w:eastAsia="Arial" w:hAnsi="Arial"/>
                <w:sz w:val="20"/>
                <w:szCs w:val="20"/>
                <w:color w:val="auto"/>
                <w:w w:val="94"/>
              </w:rPr>
              <w:t>22%</w:t>
            </w:r>
          </w:p>
        </w:tc>
        <w:tc>
          <w:tcPr>
            <w:tcW w:w="2080" w:type="dxa"/>
            <w:vAlign w:val="bottom"/>
          </w:tcPr>
          <w:p>
            <w:pPr>
              <w:jc w:val="center"/>
              <w:ind w:left="621"/>
              <w:spacing w:after="0"/>
              <w:rPr>
                <w:sz w:val="20"/>
                <w:szCs w:val="20"/>
                <w:color w:val="auto"/>
              </w:rPr>
            </w:pPr>
            <w:r>
              <w:rPr>
                <w:rFonts w:ascii="Arial" w:cs="Arial" w:eastAsia="Arial" w:hAnsi="Arial"/>
                <w:sz w:val="20"/>
                <w:szCs w:val="20"/>
                <w:color w:val="auto"/>
                <w:w w:val="89"/>
              </w:rPr>
              <w:t>23%</w:t>
            </w:r>
          </w:p>
        </w:tc>
        <w:tc>
          <w:tcPr>
            <w:tcW w:w="240" w:type="dxa"/>
            <w:vAlign w:val="bottom"/>
          </w:tcPr>
          <w:p>
            <w:pPr>
              <w:spacing w:after="0"/>
              <w:rPr>
                <w:sz w:val="19"/>
                <w:szCs w:val="19"/>
                <w:color w:val="auto"/>
              </w:rPr>
            </w:pPr>
          </w:p>
        </w:tc>
        <w:tc>
          <w:tcPr>
            <w:tcW w:w="900" w:type="dxa"/>
            <w:vAlign w:val="bottom"/>
          </w:tcPr>
          <w:p>
            <w:pPr>
              <w:jc w:val="center"/>
              <w:ind w:left="361"/>
              <w:spacing w:after="0"/>
              <w:rPr>
                <w:sz w:val="20"/>
                <w:szCs w:val="20"/>
                <w:color w:val="auto"/>
              </w:rPr>
            </w:pPr>
            <w:r>
              <w:rPr>
                <w:rFonts w:ascii="Arial" w:cs="Arial" w:eastAsia="Arial" w:hAnsi="Arial"/>
                <w:sz w:val="20"/>
                <w:szCs w:val="20"/>
                <w:color w:val="auto"/>
                <w:w w:val="89"/>
              </w:rPr>
              <w:t>23%</w:t>
            </w:r>
          </w:p>
        </w:tc>
        <w:tc>
          <w:tcPr>
            <w:tcW w:w="2080" w:type="dxa"/>
            <w:vAlign w:val="bottom"/>
          </w:tcPr>
          <w:p>
            <w:pPr>
              <w:jc w:val="center"/>
              <w:ind w:left="601"/>
              <w:spacing w:after="0"/>
              <w:rPr>
                <w:sz w:val="20"/>
                <w:szCs w:val="20"/>
                <w:color w:val="auto"/>
              </w:rPr>
            </w:pPr>
            <w:r>
              <w:rPr>
                <w:rFonts w:ascii="Arial" w:cs="Arial" w:eastAsia="Arial" w:hAnsi="Arial"/>
                <w:sz w:val="20"/>
                <w:szCs w:val="20"/>
                <w:color w:val="auto"/>
                <w:w w:val="94"/>
              </w:rPr>
              <w:t>22%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900" w:type="dxa"/>
            <w:vAlign w:val="bottom"/>
          </w:tcPr>
          <w:p>
            <w:pPr>
              <w:jc w:val="center"/>
              <w:ind w:left="381"/>
              <w:spacing w:after="0"/>
              <w:rPr>
                <w:sz w:val="20"/>
                <w:szCs w:val="20"/>
                <w:color w:val="auto"/>
              </w:rPr>
            </w:pPr>
            <w:r>
              <w:rPr>
                <w:rFonts w:ascii="Arial" w:cs="Arial" w:eastAsia="Arial" w:hAnsi="Arial"/>
                <w:sz w:val="20"/>
                <w:szCs w:val="20"/>
                <w:color w:val="auto"/>
                <w:w w:val="89"/>
              </w:rPr>
              <w:t>4%</w:t>
            </w:r>
          </w:p>
        </w:tc>
        <w:tc>
          <w:tcPr>
            <w:tcW w:w="2080" w:type="dxa"/>
            <w:vAlign w:val="bottom"/>
          </w:tcPr>
          <w:p>
            <w:pPr>
              <w:jc w:val="center"/>
              <w:ind w:left="601"/>
              <w:spacing w:after="0"/>
              <w:rPr>
                <w:sz w:val="20"/>
                <w:szCs w:val="20"/>
                <w:color w:val="auto"/>
              </w:rPr>
            </w:pPr>
            <w:r>
              <w:rPr>
                <w:rFonts w:ascii="Arial" w:cs="Arial" w:eastAsia="Arial" w:hAnsi="Arial"/>
                <w:sz w:val="20"/>
                <w:szCs w:val="20"/>
                <w:color w:val="auto"/>
                <w:w w:val="89"/>
              </w:rPr>
              <w:t>3%</w:t>
            </w:r>
          </w:p>
        </w:tc>
        <w:tc>
          <w:tcPr>
            <w:tcW w:w="240" w:type="dxa"/>
            <w:vAlign w:val="bottom"/>
          </w:tcPr>
          <w:p>
            <w:pPr>
              <w:spacing w:after="0"/>
              <w:rPr>
                <w:sz w:val="19"/>
                <w:szCs w:val="19"/>
                <w:color w:val="auto"/>
              </w:rPr>
            </w:pPr>
          </w:p>
        </w:tc>
        <w:tc>
          <w:tcPr>
            <w:tcW w:w="900" w:type="dxa"/>
            <w:vAlign w:val="bottom"/>
          </w:tcPr>
          <w:p>
            <w:pPr>
              <w:jc w:val="center"/>
              <w:ind w:left="381"/>
              <w:spacing w:after="0"/>
              <w:rPr>
                <w:sz w:val="20"/>
                <w:szCs w:val="20"/>
                <w:color w:val="auto"/>
              </w:rPr>
            </w:pPr>
            <w:r>
              <w:rPr>
                <w:rFonts w:ascii="Arial" w:cs="Arial" w:eastAsia="Arial" w:hAnsi="Arial"/>
                <w:sz w:val="20"/>
                <w:szCs w:val="20"/>
                <w:color w:val="auto"/>
                <w:w w:val="89"/>
              </w:rPr>
              <w:t>3%</w:t>
            </w:r>
          </w:p>
        </w:tc>
        <w:tc>
          <w:tcPr>
            <w:tcW w:w="2080" w:type="dxa"/>
            <w:vAlign w:val="bottom"/>
          </w:tcPr>
          <w:p>
            <w:pPr>
              <w:jc w:val="center"/>
              <w:ind w:left="601"/>
              <w:spacing w:after="0"/>
              <w:rPr>
                <w:sz w:val="20"/>
                <w:szCs w:val="20"/>
                <w:color w:val="auto"/>
              </w:rPr>
            </w:pPr>
            <w:r>
              <w:rPr>
                <w:rFonts w:ascii="Arial" w:cs="Arial" w:eastAsia="Arial" w:hAnsi="Arial"/>
                <w:sz w:val="20"/>
                <w:szCs w:val="20"/>
                <w:color w:val="auto"/>
                <w:w w:val="89"/>
              </w:rPr>
              <w:t>4%</w:t>
            </w:r>
          </w:p>
        </w:tc>
        <w:tc>
          <w:tcPr>
            <w:tcW w:w="0" w:type="dxa"/>
            <w:vAlign w:val="bottom"/>
          </w:tcPr>
          <w:p>
            <w:pPr>
              <w:spacing w:after="0"/>
              <w:rPr>
                <w:sz w:val="1"/>
                <w:szCs w:val="1"/>
                <w:color w:val="auto"/>
              </w:rPr>
            </w:pPr>
          </w:p>
        </w:tc>
      </w:tr>
      <w:tr>
        <w:trPr>
          <w:trHeight w:val="250"/>
        </w:trPr>
        <w:tc>
          <w:tcPr>
            <w:tcW w:w="5220" w:type="dxa"/>
            <w:vAlign w:val="bottom"/>
          </w:tcPr>
          <w:p>
            <w:pPr>
              <w:spacing w:after="0"/>
              <w:rPr>
                <w:sz w:val="20"/>
                <w:szCs w:val="20"/>
                <w:color w:val="auto"/>
              </w:rPr>
            </w:pPr>
            <w:r>
              <w:rPr>
                <w:rFonts w:ascii="Arial" w:cs="Arial" w:eastAsia="Arial" w:hAnsi="Arial"/>
                <w:sz w:val="20"/>
                <w:szCs w:val="20"/>
                <w:color w:val="auto"/>
              </w:rPr>
              <w:t>Other</w:t>
            </w:r>
          </w:p>
        </w:tc>
        <w:tc>
          <w:tcPr>
            <w:tcW w:w="900" w:type="dxa"/>
            <w:vAlign w:val="bottom"/>
          </w:tcPr>
          <w:p>
            <w:pPr>
              <w:jc w:val="center"/>
              <w:ind w:left="381"/>
              <w:spacing w:after="0"/>
              <w:rPr>
                <w:sz w:val="20"/>
                <w:szCs w:val="20"/>
                <w:color w:val="auto"/>
              </w:rPr>
            </w:pPr>
            <w:r>
              <w:rPr>
                <w:rFonts w:ascii="Arial" w:cs="Arial" w:eastAsia="Arial" w:hAnsi="Arial"/>
                <w:sz w:val="20"/>
                <w:szCs w:val="20"/>
                <w:color w:val="auto"/>
                <w:w w:val="89"/>
              </w:rPr>
              <w:t>2%</w:t>
            </w:r>
          </w:p>
        </w:tc>
        <w:tc>
          <w:tcPr>
            <w:tcW w:w="2080" w:type="dxa"/>
            <w:vAlign w:val="bottom"/>
          </w:tcPr>
          <w:p>
            <w:pPr>
              <w:jc w:val="center"/>
              <w:ind w:left="601"/>
              <w:spacing w:after="0"/>
              <w:rPr>
                <w:sz w:val="20"/>
                <w:szCs w:val="20"/>
                <w:color w:val="auto"/>
              </w:rPr>
            </w:pPr>
            <w:r>
              <w:rPr>
                <w:rFonts w:ascii="Arial" w:cs="Arial" w:eastAsia="Arial" w:hAnsi="Arial"/>
                <w:sz w:val="20"/>
                <w:szCs w:val="20"/>
                <w:color w:val="auto"/>
                <w:w w:val="89"/>
              </w:rPr>
              <w:t>2%</w:t>
            </w:r>
          </w:p>
        </w:tc>
        <w:tc>
          <w:tcPr>
            <w:tcW w:w="240" w:type="dxa"/>
            <w:vAlign w:val="bottom"/>
          </w:tcPr>
          <w:p>
            <w:pPr>
              <w:spacing w:after="0"/>
              <w:rPr>
                <w:sz w:val="21"/>
                <w:szCs w:val="21"/>
                <w:color w:val="auto"/>
              </w:rPr>
            </w:pPr>
          </w:p>
        </w:tc>
        <w:tc>
          <w:tcPr>
            <w:tcW w:w="900" w:type="dxa"/>
            <w:vAlign w:val="bottom"/>
          </w:tcPr>
          <w:p>
            <w:pPr>
              <w:jc w:val="center"/>
              <w:ind w:left="381"/>
              <w:spacing w:after="0"/>
              <w:rPr>
                <w:sz w:val="20"/>
                <w:szCs w:val="20"/>
                <w:color w:val="auto"/>
              </w:rPr>
            </w:pPr>
            <w:r>
              <w:rPr>
                <w:rFonts w:ascii="Arial" w:cs="Arial" w:eastAsia="Arial" w:hAnsi="Arial"/>
                <w:sz w:val="20"/>
                <w:szCs w:val="20"/>
                <w:color w:val="auto"/>
                <w:w w:val="89"/>
              </w:rPr>
              <w:t>1%</w:t>
            </w:r>
          </w:p>
        </w:tc>
        <w:tc>
          <w:tcPr>
            <w:tcW w:w="2080" w:type="dxa"/>
            <w:vAlign w:val="bottom"/>
          </w:tcPr>
          <w:p>
            <w:pPr>
              <w:jc w:val="center"/>
              <w:ind w:left="601"/>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Our customers include Coca-Cola Refreshments USA Inc. (“CCR”), Coca-Cola Enterprises, Coca-Cola Refreshments Canada, Ltd. (formerly known as Coca-Cola Bottling Company), CCBCC Operations, LLC, United Bottling Contracts Company, LLC and other Coca-Cola Company independent bottlers, Wal-Mart, Inc. (including Sam’s Club), select Anheuser-Busch, Inc. distributors, certain bottlers of the Coca-Cola Hellenic group, Kalil Bottling Group, Trader Joe’s, Swire Coca-Cola, Costco, The Kroger Co. and Safeway, Inc. A decision by any large customer to decrease amounts purchased from us or to cease carrying our products could have a material negative effect on our financial condition and consolidated results of operations. CCR accounted for approximately 29% and 28% of our net sales for the three-months ended September 30, 2013 and 2012, respectively. CCR accounted for approximately 29% of our net sales for both the nine-months ended September 30, 2013 and 2012.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18" w:right="23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ectPr>
          <w:pgSz w:w="11900" w:h="16838" w:orient="portrait"/>
          <w:cols w:equalWidth="0" w:num="1">
            <w:col w:w="11420"/>
          </w:cols>
          <w:pgMar w:left="240" w:top="118" w:right="239" w:bottom="0" w:gutter="0" w:footer="0" w:header="0"/>
          <w:type w:val="continuous"/>
        </w:sectPr>
      </w:pPr>
    </w:p>
    <w:bookmarkStart w:id="22" w:name="page23"/>
    <w:bookmarkEnd w:id="22"/>
    <w:p>
      <w:pPr>
        <w:ind w:firstLine="648"/>
        <w:spacing w:after="0" w:line="251" w:lineRule="auto"/>
        <w:rPr>
          <w:sz w:val="20"/>
          <w:szCs w:val="20"/>
          <w:color w:val="auto"/>
        </w:rPr>
      </w:pPr>
      <w:r>
        <w:rPr>
          <w:rFonts w:ascii="Arial" w:cs="Arial" w:eastAsia="Arial" w:hAnsi="Arial"/>
          <w:sz w:val="22"/>
          <w:szCs w:val="22"/>
          <w:color w:val="auto"/>
        </w:rPr>
        <w:t>The following table sets forth key statistics for the three- and nine-months ended September 30, 2013 and 2012,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(In thousands, except per share</w:t>
            </w:r>
          </w:p>
        </w:tc>
        <w:tc>
          <w:tcPr>
            <w:tcW w:w="320" w:type="dxa"/>
            <w:vAlign w:val="bottom"/>
          </w:tcPr>
          <w:p>
            <w:pPr>
              <w:spacing w:after="0"/>
              <w:rPr>
                <w:sz w:val="18"/>
                <w:szCs w:val="18"/>
                <w:color w:val="auto"/>
              </w:rPr>
            </w:pPr>
          </w:p>
        </w:tc>
        <w:tc>
          <w:tcPr>
            <w:tcW w:w="24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Three-Months Ended</w:t>
            </w:r>
          </w:p>
        </w:tc>
        <w:tc>
          <w:tcPr>
            <w:tcW w:w="24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320" w:type="dxa"/>
            <w:vAlign w:val="bottom"/>
          </w:tcPr>
          <w:p>
            <w:pPr>
              <w:spacing w:after="0"/>
              <w:rPr>
                <w:sz w:val="18"/>
                <w:szCs w:val="18"/>
                <w:color w:val="auto"/>
              </w:rPr>
            </w:pPr>
          </w:p>
        </w:tc>
        <w:tc>
          <w:tcPr>
            <w:tcW w:w="24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Nine-Months Ended</w:t>
            </w: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r>
              <w:rPr>
                <w:rFonts w:ascii="Arial" w:cs="Arial" w:eastAsia="Arial" w:hAnsi="Arial"/>
                <w:sz w:val="18"/>
                <w:szCs w:val="18"/>
                <w:color w:val="auto"/>
              </w:rPr>
              <w:t>amounts)</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Change</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0"/>
        </w:trPr>
        <w:tc>
          <w:tcPr>
            <w:tcW w:w="3000" w:type="dxa"/>
            <w:vAlign w:val="bottom"/>
            <w:vMerge w:val="restart"/>
          </w:tcPr>
          <w:p>
            <w:pPr>
              <w:spacing w:after="0"/>
              <w:rPr>
                <w:sz w:val="20"/>
                <w:szCs w:val="20"/>
                <w:color w:val="auto"/>
              </w:rPr>
            </w:pPr>
            <w:r>
              <w:rPr>
                <w:rFonts w:ascii="Arial" w:cs="Arial" w:eastAsia="Arial" w:hAnsi="Arial"/>
                <w:sz w:val="18"/>
                <w:szCs w:val="18"/>
                <w:color w:val="auto"/>
              </w:rPr>
              <w:t>Gross sales, net of discounts &amp;</w:t>
            </w:r>
          </w:p>
        </w:tc>
        <w:tc>
          <w:tcPr>
            <w:tcW w:w="32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13 vs. 12</w:t>
            </w:r>
          </w:p>
        </w:tc>
        <w:tc>
          <w:tcPr>
            <w:tcW w:w="32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13 vs. 12</w:t>
            </w:r>
          </w:p>
        </w:tc>
        <w:tc>
          <w:tcPr>
            <w:tcW w:w="0" w:type="dxa"/>
            <w:vAlign w:val="bottom"/>
          </w:tcPr>
          <w:p>
            <w:pPr>
              <w:spacing w:after="0"/>
              <w:rPr>
                <w:sz w:val="1"/>
                <w:szCs w:val="1"/>
                <w:color w:val="auto"/>
              </w:rPr>
            </w:pPr>
          </w:p>
        </w:tc>
      </w:tr>
      <w:tr>
        <w:trPr>
          <w:trHeight w:val="182"/>
        </w:trPr>
        <w:tc>
          <w:tcPr>
            <w:tcW w:w="3000" w:type="dxa"/>
            <w:vAlign w:val="bottom"/>
            <w:vMerge w:val="continue"/>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returns *</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686,623</w:t>
            </w:r>
          </w:p>
        </w:tc>
        <w:tc>
          <w:tcPr>
            <w:tcW w:w="240" w:type="dxa"/>
            <w:vAlign w:val="bottom"/>
          </w:tcPr>
          <w:p>
            <w:pPr>
              <w:spacing w:after="0"/>
              <w:rPr>
                <w:sz w:val="18"/>
                <w:szCs w:val="18"/>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632,290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1,965,461</w:t>
            </w:r>
          </w:p>
        </w:tc>
        <w:tc>
          <w:tcPr>
            <w:tcW w:w="220" w:type="dxa"/>
            <w:vAlign w:val="bottom"/>
          </w:tcPr>
          <w:p>
            <w:pPr>
              <w:spacing w:after="0"/>
              <w:rPr>
                <w:sz w:val="18"/>
                <w:szCs w:val="18"/>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1,828,455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Less: Promotional and other</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allowances**</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96,201</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90,350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259,882</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239,270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4"/>
        </w:trPr>
        <w:tc>
          <w:tcPr>
            <w:tcW w:w="3000" w:type="dxa"/>
            <w:vAlign w:val="bottom"/>
          </w:tcPr>
          <w:p>
            <w:pPr>
              <w:spacing w:after="0"/>
              <w:rPr>
                <w:sz w:val="20"/>
                <w:szCs w:val="20"/>
                <w:color w:val="auto"/>
              </w:rPr>
            </w:pPr>
            <w:r>
              <w:rPr>
                <w:rFonts w:ascii="Arial" w:cs="Arial" w:eastAsia="Arial" w:hAnsi="Arial"/>
                <w:sz w:val="18"/>
                <w:szCs w:val="18"/>
                <w:color w:val="auto"/>
              </w:rPr>
              <w:t>Net sales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590,422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541,940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1,705,579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1,589,185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37"/>
        </w:trPr>
        <w:tc>
          <w:tcPr>
            <w:tcW w:w="300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282,952</w:t>
            </w: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268,348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809,809</w:t>
            </w: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767,417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5"/>
        </w:trPr>
        <w:tc>
          <w:tcPr>
            <w:tcW w:w="3000" w:type="dxa"/>
            <w:vAlign w:val="bottom"/>
          </w:tcPr>
          <w:p>
            <w:pPr>
              <w:spacing w:after="0" w:line="195" w:lineRule="exact"/>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307,470</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273,592</w:t>
            </w:r>
          </w:p>
        </w:tc>
        <w:tc>
          <w:tcPr>
            <w:tcW w:w="14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12.4%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895,770</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821,768</w:t>
            </w:r>
          </w:p>
        </w:tc>
        <w:tc>
          <w:tcPr>
            <w:tcW w:w="12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w w:val="97"/>
              </w:rPr>
              <w:t>Gross profit margin as a percentage of</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300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156,041</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132,907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457,610</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385,026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w w:val="94"/>
              </w:rPr>
              <w:t>Operating expenses as a percentage of</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300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151,429</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140,685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438,160</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436,742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Operating income as a percentage of</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3000" w:type="dxa"/>
            <w:vAlign w:val="bottom"/>
          </w:tcPr>
          <w:p>
            <w:pPr>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Interest and other (expense) income,</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net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326.6%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(8,690)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3,507.8%</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Gain on investments and put options,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net</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(80.2%)</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20"/>
                <w:szCs w:val="20"/>
                <w:color w:val="auto"/>
              </w:rPr>
            </w:pPr>
            <w:r>
              <w:rPr>
                <w:rFonts w:ascii="Arial" w:cs="Arial" w:eastAsia="Arial" w:hAnsi="Arial"/>
                <w:sz w:val="18"/>
                <w:szCs w:val="18"/>
                <w:color w:val="auto"/>
              </w:rPr>
              <w:t>Total other (expense) income</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227.7%</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(6,009)</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815.4%</w:t>
            </w:r>
          </w:p>
        </w:tc>
        <w:tc>
          <w:tcPr>
            <w:tcW w:w="0" w:type="dxa"/>
            <w:vAlign w:val="bottom"/>
          </w:tcPr>
          <w:p>
            <w:pPr>
              <w:spacing w:after="0"/>
              <w:rPr>
                <w:sz w:val="1"/>
                <w:szCs w:val="1"/>
                <w:color w:val="auto"/>
              </w:rPr>
            </w:pPr>
          </w:p>
        </w:tc>
      </w:tr>
      <w:tr>
        <w:trPr>
          <w:trHeight w:val="330"/>
        </w:trPr>
        <w:tc>
          <w:tcPr>
            <w:tcW w:w="3000" w:type="dxa"/>
            <w:vAlign w:val="bottom"/>
          </w:tcPr>
          <w:p>
            <w:pPr>
              <w:spacing w:after="0"/>
              <w:rPr>
                <w:sz w:val="20"/>
                <w:szCs w:val="20"/>
                <w:color w:val="auto"/>
              </w:rPr>
            </w:pPr>
            <w:r>
              <w:rPr>
                <w:rFonts w:ascii="Arial" w:cs="Arial" w:eastAsia="Arial" w:hAnsi="Arial"/>
                <w:sz w:val="18"/>
                <w:szCs w:val="18"/>
                <w:color w:val="auto"/>
              </w:rPr>
              <w:t>Income before provision for income</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taxes</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150,723</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141,238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432,151</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437,582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51"/>
        </w:trPr>
        <w:tc>
          <w:tcPr>
            <w:tcW w:w="3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58,536</w:t>
            </w: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169,596</w:t>
            </w: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165,545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45"/>
        </w:trPr>
        <w:tc>
          <w:tcPr>
            <w:tcW w:w="300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92,187</w:t>
            </w:r>
          </w:p>
        </w:tc>
        <w:tc>
          <w:tcPr>
            <w:tcW w:w="240" w:type="dxa"/>
            <w:vAlign w:val="bottom"/>
          </w:tcPr>
          <w:p>
            <w:pPr>
              <w:spacing w:after="0"/>
              <w:rPr>
                <w:sz w:val="24"/>
                <w:szCs w:val="24"/>
                <w:color w:val="auto"/>
              </w:rPr>
            </w:pP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86,142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4"/>
                <w:szCs w:val="24"/>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262,555</w:t>
            </w:r>
          </w:p>
        </w:tc>
        <w:tc>
          <w:tcPr>
            <w:tcW w:w="220" w:type="dxa"/>
            <w:vAlign w:val="bottom"/>
          </w:tcPr>
          <w:p>
            <w:pPr>
              <w:spacing w:after="0"/>
              <w:rPr>
                <w:sz w:val="24"/>
                <w:szCs w:val="24"/>
                <w:color w:val="auto"/>
              </w:rPr>
            </w:pP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line="195" w:lineRule="exact"/>
              <w:rPr>
                <w:sz w:val="20"/>
                <w:szCs w:val="20"/>
                <w:color w:val="auto"/>
              </w:rPr>
            </w:pPr>
            <w:r>
              <w:rPr>
                <w:rFonts w:ascii="Arial" w:cs="Arial" w:eastAsia="Arial" w:hAnsi="Arial"/>
                <w:sz w:val="18"/>
                <w:szCs w:val="18"/>
                <w:color w:val="auto"/>
              </w:rPr>
              <w:t>Net income as a percentage of net</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sales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$0.53</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rPr>
              <w:t>Case sales (in thousands) (in 192-</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ounce case equivalents)</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59,204</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54,611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168,568</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156,532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spacing w:after="0" w:line="234"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$0.4 million and $0.01 million for the three-months ended September 30, 2013 and 2012, respectively, and $10.7 million and $0.6 million for the nine-months ended September 30, 2013 and 2012, respectively, related to expenditures attributable to the costs associated with terminating existing distributors.</w:t>
      </w:r>
    </w:p>
    <w:p>
      <w:pPr>
        <w:spacing w:after="0" w:line="20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8"/>
        <w:spacing w:after="0" w:line="287" w:lineRule="auto"/>
        <w:tabs>
          <w:tab w:leader="none" w:pos="225" w:val="left"/>
        </w:tabs>
        <w:numPr>
          <w:ilvl w:val="0"/>
          <w:numId w:val="23"/>
        </w:numPr>
        <w:rPr>
          <w:rFonts w:ascii="Arial" w:cs="Arial" w:eastAsia="Arial" w:hAnsi="Arial"/>
          <w:sz w:val="16"/>
          <w:szCs w:val="16"/>
          <w:b w:val="1"/>
          <w:bCs w:val="1"/>
          <w:color w:val="auto"/>
        </w:rPr>
      </w:pPr>
      <w:r>
        <w:rPr>
          <w:rFonts w:ascii="Arial" w:cs="Arial" w:eastAsia="Arial" w:hAnsi="Arial"/>
          <w:sz w:val="16"/>
          <w:szCs w:val="16"/>
          <w:i w:val="1"/>
          <w:iCs w:val="1"/>
          <w:color w:val="auto"/>
        </w:rPr>
        <w:t>Although the expenditures described in this line item are determined in accordance with GAAP and meet GAAP requirements, the disclosure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discounts granted off list prices to support price promotions to end-consumers by retailers; (ii) reimbursements given to the Company’s distributors for agreed portions of their promotional spend with retailers, including slotting, shelf space allowances and other fees for both new and existing products; (iii) the Company’s agreed share of fees given to distributors and/or directly to retailers for advertising, in-store marketing and promotional activities; (iv) the Company’s agreed share of slotting, shelf space allowances and other fees given directly to retailers; (v) incentives given to the Company’s distributors and/or retailers for achieving or exceeding certain predetermined sales goals; (vi) discounted or free products; (vii) contractual fees given to the Company’s distributors related to sales made by the Company direct to certain customers that fall within the 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w:t>
      </w:r>
    </w:p>
    <w:p>
      <w:pPr>
        <w:sectPr>
          <w:pgSz w:w="11900" w:h="16838" w:orient="portrait"/>
          <w:cols w:equalWidth="0" w:num="1">
            <w:col w:w="11420"/>
          </w:cols>
          <w:pgMar w:left="240" w:top="361" w:right="239" w:bottom="0" w:gutter="0" w:footer="0" w:header="0"/>
        </w:sectPr>
      </w:pPr>
    </w:p>
    <w:bookmarkStart w:id="23" w:name="page24"/>
    <w:bookmarkEnd w:id="23"/>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auto"/>
        </w:rPr>
        <w:t>Results of Operations for the Three-Months Ended September 30, 2013 Compared to the Three-Months Ended September 30, 2012.</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$686.6 million for the three-months ended September 30, 2013,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$54.3 million, or 8.6% higher than gross sales of $632.3 million for the three-months ended September 30, 2012. The increase in the gross sales of our Monster Energy® brand energy drinks represented approximately $53.5 million, or 98.5%, of the overall increase in gross sales. Gross sales of our Monster Energy® brand energy drinks increased primarily due to increased sales by volume as a result of increased domestic and international demand as well as our expansion into new international markets. Pricing changes did not have a material impact on the increase in gross sales. No other individual product line contributed either a material increase or decrease to gross sales for the three-months ended September 30, 2013. Promotional and other allowances, as described in the footnote above, were $96.2 million for the three-months ended September 30, 2013, an increase of $5.9 million, or 6.5% higher than promotional and other allowances of $90.3 million for the three-months ended September 30, 2012. Promotional and other allowances as a percentage of gross sales decreased to 14.0% from 14.3% for the three-months ended September 30, 2013 and 2012, respectively. As a result, the percentage increase in gross sales for the three-months ended September 30, 2013 was lower than the percentage increase in net sales.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87"/>
        <w:spacing w:after="0" w:line="277" w:lineRule="auto"/>
        <w:rPr>
          <w:sz w:val="20"/>
          <w:szCs w:val="20"/>
          <w:color w:val="auto"/>
        </w:rPr>
      </w:pPr>
      <w:r>
        <w:rPr>
          <w:rFonts w:ascii="Arial" w:cs="Arial" w:eastAsia="Arial" w:hAnsi="Arial"/>
          <w:sz w:val="19"/>
          <w:szCs w:val="19"/>
          <w:i w:val="1"/>
          <w:iCs w:val="1"/>
          <w:color w:val="auto"/>
        </w:rPr>
        <w:t xml:space="preserve">Net Sales. </w:t>
      </w:r>
      <w:r>
        <w:rPr>
          <w:rFonts w:ascii="Arial" w:cs="Arial" w:eastAsia="Arial" w:hAnsi="Arial"/>
          <w:sz w:val="19"/>
          <w:szCs w:val="19"/>
          <w:color w:val="auto"/>
        </w:rPr>
        <w:t>Net sales were $590.4 million for the three-months ended September 30, 2013,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$48.5 million, or 8.9% higher than net sales of $541.9 million for the three-months ended September 30, 2012. The increase in net sales of our Monster Energy® brand energy drinks represented approximately $49.8 million, or 102.7%, of the overall increase in net sales. Net sales of our Monster Energy® brand energy drinks increased primarily due to increased sales by volume as a result of increased domestic and international demand as well as our expansion into new international markets. Pricing changes did not have a material impact on the increase in net sales. No other individual product line contributed either a material increase or decrease to net sales for the three-months ended September 30, 2013.</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Case sales, in 192-ounce case equivalents, were 59.2 million cases for the three-months ended September 30, 2013, an increase of approximately 4.6 million cases or 8.4% higher than case sales of 54.6 million cases for the three-months ended September 30, 2012. The overall average net sales per case was $9.97 for the three-months ended September 30, 2013, which was 0.5% higher than the average net sales per case of $9.92 for the three-months ended September 30, 2012.</w:t>
      </w:r>
    </w:p>
    <w:p>
      <w:pPr>
        <w:spacing w:after="0" w:line="170" w:lineRule="exact"/>
        <w:rPr>
          <w:sz w:val="20"/>
          <w:szCs w:val="20"/>
          <w:color w:val="auto"/>
        </w:rPr>
      </w:pPr>
    </w:p>
    <w:p>
      <w:pPr>
        <w:jc w:val="both"/>
        <w:ind w:firstLine="687"/>
        <w:spacing w:after="0" w:line="246" w:lineRule="auto"/>
        <w:rPr>
          <w:sz w:val="20"/>
          <w:szCs w:val="20"/>
          <w:color w:val="auto"/>
        </w:rPr>
      </w:pPr>
      <w:r>
        <w:rPr>
          <w:rFonts w:ascii="Arial" w:cs="Arial" w:eastAsia="Arial" w:hAnsi="Arial"/>
          <w:sz w:val="21"/>
          <w:szCs w:val="21"/>
          <w:color w:val="auto"/>
        </w:rPr>
        <w:t>Net sales for the DSD segment were $566.8 million for the three-months ended September 30, 2013, an increase of approximately $50.5 million, or 9.8% higher than net sales of $516.3 million for the three-months ended September 30, 2012. The increase in net sales of our Monster Energy® brand energy drinks represented approximately $49.8 million, or 98.6%, of the overall increase in net sales for the DSD segment. Net sales for the DSD segment of our Monster Energy® brand energy drinks increased primarily due to increased sales by volume as a result of increased domestic and international demand as well as our expansion into new international markets. Pricing changes did not have a material impact on the increase in net sales for the DSD segment. No other individual product line contributed either a material increase or decrease to net sales for the DSD segment for the three-months ended September 30, 2013.</w:t>
      </w:r>
    </w:p>
    <w:p>
      <w:pPr>
        <w:spacing w:after="0" w:line="20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Net sales for the Warehouse segment were $23.7 million for the three-months ended September 30, 2013, a decrease of approximately $2.0 million, or 7.9% lower than net sales of $25.7 million for the three-months ended September 30, 2012. The decrease in net sales for the Warehouse segment was primarily attributable to lower net sales of Hubert’s® lemonades as a result of increased promotional and other allowances.</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i w:val="1"/>
          <w:iCs w:val="1"/>
          <w:color w:val="auto"/>
        </w:rPr>
        <w:t xml:space="preserve">Gross Profit. </w:t>
      </w:r>
      <w:r>
        <w:rPr>
          <w:rFonts w:ascii="Arial" w:cs="Arial" w:eastAsia="Arial" w:hAnsi="Arial"/>
          <w:sz w:val="19"/>
          <w:szCs w:val="19"/>
          <w:color w:val="auto"/>
        </w:rPr>
        <w:t>Gross profit was $307.5 million for the three-months ended September 30, 2013,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$33.9 million, or 12.4% higher than the gross profit of $273.6 million for the three-months ended September 30, 2012. Gross profit as a percentage of net sales increased to 52.1% for the three-months ended September 30, 2013 from 50.5% for the three-months ended September 30, 2012. The increase in gross profit dollars was primarily the result of the $53.5 million increase in gross sales of our Monster Energy® brand energy drinks. The increase in gross profit as a percentage of net sales was largely attributable to changes in product sales mix, a reduction in product damages as well as compensation for past product damages in connection with shipments to Asia and a reduction in the cost of certain containers.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$156.0 million for the three-months ended September 30, 2013, an</w:t>
      </w:r>
      <w:r>
        <w:rPr>
          <w:rFonts w:ascii="Arial" w:cs="Arial" w:eastAsia="Arial" w:hAnsi="Arial"/>
          <w:sz w:val="19"/>
          <w:szCs w:val="19"/>
          <w:i w:val="1"/>
          <w:iCs w:val="1"/>
          <w:color w:val="auto"/>
        </w:rPr>
        <w:t xml:space="preserve"> </w:t>
      </w:r>
      <w:r>
        <w:rPr>
          <w:rFonts w:ascii="Arial" w:cs="Arial" w:eastAsia="Arial" w:hAnsi="Arial"/>
          <w:sz w:val="19"/>
          <w:szCs w:val="19"/>
          <w:color w:val="auto"/>
        </w:rPr>
        <w:t>increase of approximately $23.1 million, or 17.4% higher than total operating expenses of $132.9 million for the three-months ended September 30, 2012. The increase in operating expenses was partially attributable to increased expenditures of $6.5 million for professional service costs, including legal and accounting fees (of which $5.3 million related to regulatory matters and litigation concerning our Monster Energy® brand energy drinks), increased expenditures of $4.6 million for sponsorships and endorsements,</w:t>
      </w:r>
    </w:p>
    <w:p>
      <w:pPr>
        <w:sectPr>
          <w:pgSz w:w="11900" w:h="16877" w:orient="portrait"/>
          <w:cols w:equalWidth="0" w:num="1">
            <w:col w:w="11420"/>
          </w:cols>
          <w:pgMar w:left="240" w:top="125" w:right="239" w:bottom="0" w:gutter="0" w:footer="0" w:header="0"/>
        </w:sectPr>
      </w:pPr>
    </w:p>
    <w:bookmarkStart w:id="24" w:name="page25"/>
    <w:bookmarkEnd w:id="24"/>
    <w:p>
      <w:pPr>
        <w:jc w:val="both"/>
        <w:spacing w:after="0" w:line="238" w:lineRule="auto"/>
        <w:rPr>
          <w:sz w:val="20"/>
          <w:szCs w:val="20"/>
          <w:color w:val="auto"/>
        </w:rPr>
      </w:pPr>
      <w:r>
        <w:rPr>
          <w:rFonts w:ascii="Arial" w:cs="Arial" w:eastAsia="Arial" w:hAnsi="Arial"/>
          <w:sz w:val="22"/>
          <w:szCs w:val="22"/>
          <w:color w:val="auto"/>
        </w:rPr>
        <w:t>increased out-bound freight and warehouse costs of $3.3 million, a $2.5 million non-routine indirect tax related provision, increased expenditures of $2.0 for merchandise displays and increased expenditures of $1.2 million for allocated trade development. Total operating expenses as a percentage of net sales was 26.4% for the three-months ended September 30, 2013, compared to 24.5% for the three-months ended September 30, 2012.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i w:val="1"/>
          <w:iCs w:val="1"/>
          <w:color w:val="auto"/>
        </w:rPr>
        <w:t xml:space="preserve">Contribution Margin. </w:t>
      </w:r>
      <w:r>
        <w:rPr>
          <w:rFonts w:ascii="Arial" w:cs="Arial" w:eastAsia="Arial" w:hAnsi="Arial"/>
          <w:sz w:val="22"/>
          <w:szCs w:val="22"/>
          <w:color w:val="auto"/>
        </w:rPr>
        <w:t>Contribution margin for the DSD segment was $194.9 million for the three-months ended</w:t>
      </w:r>
      <w:r>
        <w:rPr>
          <w:rFonts w:ascii="Arial" w:cs="Arial" w:eastAsia="Arial" w:hAnsi="Arial"/>
          <w:sz w:val="22"/>
          <w:szCs w:val="22"/>
          <w:i w:val="1"/>
          <w:iCs w:val="1"/>
          <w:color w:val="auto"/>
        </w:rPr>
        <w:t xml:space="preserve"> </w:t>
      </w:r>
      <w:r>
        <w:rPr>
          <w:rFonts w:ascii="Arial" w:cs="Arial" w:eastAsia="Arial" w:hAnsi="Arial"/>
          <w:sz w:val="22"/>
          <w:szCs w:val="22"/>
          <w:color w:val="auto"/>
        </w:rPr>
        <w:t>September 30, 2013, an increase of approximately $24.8 million, or 14.6% higher than the contribution margin of $170.1 million for the three-months ended September 30, 2012. The increase in the contribution margin for the DSD segment was primarily the result of the $53.5 million increase in gross sales of our Monster Energy® brand energy drinks. Contribution margin for the Warehouse segment was ($2.2) million for the three-months ended September 30, 2013, approximately $2.2 million lower than the contribution margin of $0.04 million for the three-months ended September 30, 2012. The decrease in the contribution margin for the Warehouse segment was primarily attributable to increased promotional and other allowances as well as increased operating expenses.</w:t>
      </w:r>
    </w:p>
    <w:p>
      <w:pPr>
        <w:spacing w:after="0" w:line="21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i w:val="1"/>
          <w:iCs w:val="1"/>
          <w:color w:val="auto"/>
        </w:rPr>
        <w:t xml:space="preserve">Operating Income. </w:t>
      </w:r>
      <w:r>
        <w:rPr>
          <w:rFonts w:ascii="Arial" w:cs="Arial" w:eastAsia="Arial" w:hAnsi="Arial"/>
          <w:sz w:val="21"/>
          <w:szCs w:val="21"/>
          <w:color w:val="auto"/>
        </w:rPr>
        <w:t>Operating income was $151.4 million for the three-months ended September 30, 2013, an increase of</w:t>
      </w:r>
      <w:r>
        <w:rPr>
          <w:rFonts w:ascii="Arial" w:cs="Arial" w:eastAsia="Arial" w:hAnsi="Arial"/>
          <w:sz w:val="21"/>
          <w:szCs w:val="21"/>
          <w:i w:val="1"/>
          <w:iCs w:val="1"/>
          <w:color w:val="auto"/>
        </w:rPr>
        <w:t xml:space="preserve"> </w:t>
      </w:r>
      <w:r>
        <w:rPr>
          <w:rFonts w:ascii="Arial" w:cs="Arial" w:eastAsia="Arial" w:hAnsi="Arial"/>
          <w:sz w:val="21"/>
          <w:szCs w:val="21"/>
          <w:color w:val="auto"/>
        </w:rPr>
        <w:t>approximately $10.7 million, or 7.6% higher than operating income of $140.7 million for the three-months ended September 30, 2012. Operating income as a percentage of net sales decreased slightly to 25.6% for the three-months ended September 30, 2013 from 26.0% for the three-months ended September 30, 2012, primarily due to the increase in operating expenses as a percentage of net sales. The increase in operating income dollars was primarily due to a $33.9 million increase in gross profit, partially offset by an increase in operating expenses of $23.1 million. Operating income was negatively affected by combined operating losses of $5.2 million (which includes a $2.5 million non-routine indirect tax related provision) and $2.5 million for the three-months ended September 30, 2013 and 2012, respectively, in relation to our operations in Africa, Asia, Australia, Europe, the Middle East and South America.</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i w:val="1"/>
          <w:iCs w:val="1"/>
          <w:color w:val="auto"/>
        </w:rPr>
        <w:t>Other (Expense) Income</w:t>
      </w:r>
      <w:r>
        <w:rPr>
          <w:rFonts w:ascii="Arial" w:cs="Arial" w:eastAsia="Arial" w:hAnsi="Arial"/>
          <w:sz w:val="21"/>
          <w:szCs w:val="21"/>
          <w:color w:val="auto"/>
        </w:rPr>
        <w:t>. Other (expense) was ($0.7) million for the three-months ended September 30, 2013, as compared</w:t>
      </w:r>
      <w:r>
        <w:rPr>
          <w:rFonts w:ascii="Arial" w:cs="Arial" w:eastAsia="Arial" w:hAnsi="Arial"/>
          <w:sz w:val="21"/>
          <w:szCs w:val="21"/>
          <w:i w:val="1"/>
          <w:iCs w:val="1"/>
          <w:color w:val="auto"/>
        </w:rPr>
        <w:t xml:space="preserve"> </w:t>
      </w:r>
      <w:r>
        <w:rPr>
          <w:rFonts w:ascii="Arial" w:cs="Arial" w:eastAsia="Arial" w:hAnsi="Arial"/>
          <w:sz w:val="21"/>
          <w:szCs w:val="21"/>
          <w:color w:val="auto"/>
        </w:rPr>
        <w:t>to other income of $0.6 million for the three-months ended September 30, 2012. Foreign currency transaction losses were $1.0 million and $0.01 million for the three-months ended September 30, 2013 and 2012, respectively. Interest income was $0.3 million and $0.4 million for the three-months ended September 30, 2013 and 2012, respectively.</w:t>
      </w:r>
    </w:p>
    <w:p>
      <w:pPr>
        <w:spacing w:after="0" w:line="20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$58.5 million for the three-months ended September 30, 2013,</w:t>
      </w:r>
      <w:r>
        <w:rPr>
          <w:rFonts w:ascii="Arial" w:cs="Arial" w:eastAsia="Arial" w:hAnsi="Arial"/>
          <w:sz w:val="19"/>
          <w:szCs w:val="19"/>
          <w:i w:val="1"/>
          <w:iCs w:val="1"/>
          <w:color w:val="auto"/>
        </w:rPr>
        <w:t xml:space="preserve"> </w:t>
      </w:r>
      <w:r>
        <w:rPr>
          <w:rFonts w:ascii="Arial" w:cs="Arial" w:eastAsia="Arial" w:hAnsi="Arial"/>
          <w:sz w:val="19"/>
          <w:szCs w:val="19"/>
          <w:color w:val="auto"/>
        </w:rPr>
        <w:t>an increase of $3.4 million or 6.2% higher than the provision for income taxes of $55.1 million for the three-months ended September 30, 2012. The effective combined federal, state and foreign tax rate decreased slightly to 38.8% from 39.0% for the three-months ended September 30, 2013 and 2012, respectively. The decrease in the combined effective tax rate for the three-months ended September 30, 2013 was primarily the result of the lower non-deductible stock equity compensation as well a higher domestic production deduction in the three-months ended September 30,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Net Income</w:t>
      </w:r>
      <w:r>
        <w:rPr>
          <w:rFonts w:ascii="Arial" w:cs="Arial" w:eastAsia="Arial" w:hAnsi="Arial"/>
          <w:sz w:val="19"/>
          <w:szCs w:val="19"/>
          <w:color w:val="auto"/>
        </w:rPr>
        <w:t>. Net income was $92.2 million for the three-months ended September 30, 2013, an increase of $6.0 million or</w:t>
      </w:r>
      <w:r>
        <w:rPr>
          <w:rFonts w:ascii="Arial" w:cs="Arial" w:eastAsia="Arial" w:hAnsi="Arial"/>
          <w:sz w:val="19"/>
          <w:szCs w:val="19"/>
          <w:i w:val="1"/>
          <w:iCs w:val="1"/>
          <w:color w:val="auto"/>
        </w:rPr>
        <w:t xml:space="preserve"> </w:t>
      </w:r>
      <w:r>
        <w:rPr>
          <w:rFonts w:ascii="Arial" w:cs="Arial" w:eastAsia="Arial" w:hAnsi="Arial"/>
          <w:sz w:val="19"/>
          <w:szCs w:val="19"/>
          <w:color w:val="auto"/>
        </w:rPr>
        <w:t>7.0% higher than net income of $86.1 million for the three-months ended September 30, 2012. The increase in net income was primarily attributable to an increase in gross profit of $33.9 million. The increase in net income was partially offset by an increase in operating expenses of $23.1 million and an increase in the provision for income taxes of $3.4 million.</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auto"/>
        </w:rPr>
        <w:t>Results of Operations for the Nine-Months Ended September 30, 2013 Compared to the Nine-Months Ended September 30, 2012.</w:t>
      </w:r>
    </w:p>
    <w:p>
      <w:pPr>
        <w:spacing w:after="0" w:line="2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$1,965.5 million for the nine-months ended September 30, 2013,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$137.0 million, or 7.5% higher than gross sales of $1,828.5 million for the nine-months ended September 30, 2012. The increase in the gross sales of our Monster Energy® brand energy drinks represented approximately $133.2 million, or 97.2%, of the overall increase in gross sales. Gross sales of our Monster Energy® brand energy drinks increased primarily due to increased sales by volume as a result of increased domestic and international demand as well as our expansion into new international markets. The increase in gross sales of our Hubert’s® lemonades represented approximately $10.2 million, or 7.4%, of the overall increase in gross sales. Gross sales of our Hubert’s® lemonades increased primarily due to increased sales by volume as a result of increased distribution and increased domestic demand. Pricing changes did not have a material impact on the increase in gross sales. No other individual product line contributed either a material increase or decrease to gross sales for the nine-months ended September 30, 2013. Promotional and other allowances, as described in the footnote above, were $259.9 million for the nine-months ended September 30, 2013, an increase of $20.6 million, or 8.6% higher than promotional and other allowances of $239.3 million for the nine-months ended September 30, 2012. Promotional and other allowances as a percentage of gross sales increased to 13.2% from 13.1% for the nine-months ended September 30, 2013 and 2012, respectively. As a result, the percentage increase in gross sales for the nine-months ended September 30, 2013 was higher than the percentage increase in net sales.</w:t>
      </w:r>
    </w:p>
    <w:p>
      <w:pPr>
        <w:sectPr>
          <w:pgSz w:w="11900" w:h="16838" w:orient="portrait"/>
          <w:cols w:equalWidth="0" w:num="1">
            <w:col w:w="11420"/>
          </w:cols>
          <w:pgMar w:left="240" w:top="118" w:right="239" w:bottom="0" w:gutter="0" w:footer="0" w:header="0"/>
        </w:sectPr>
      </w:pPr>
    </w:p>
    <w:bookmarkStart w:id="25" w:name="page26"/>
    <w:bookmarkEnd w:id="25"/>
    <w:p>
      <w:pPr>
        <w:jc w:val="both"/>
        <w:ind w:firstLine="687"/>
        <w:spacing w:after="0" w:line="274" w:lineRule="auto"/>
        <w:rPr>
          <w:sz w:val="20"/>
          <w:szCs w:val="20"/>
          <w:color w:val="auto"/>
        </w:rPr>
      </w:pPr>
      <w:r>
        <w:rPr>
          <w:rFonts w:ascii="Arial" w:cs="Arial" w:eastAsia="Arial" w:hAnsi="Arial"/>
          <w:sz w:val="19"/>
          <w:szCs w:val="19"/>
          <w:i w:val="1"/>
          <w:iCs w:val="1"/>
          <w:color w:val="auto"/>
        </w:rPr>
        <w:t xml:space="preserve">Net Sales. </w:t>
      </w:r>
      <w:r>
        <w:rPr>
          <w:rFonts w:ascii="Arial" w:cs="Arial" w:eastAsia="Arial" w:hAnsi="Arial"/>
          <w:sz w:val="19"/>
          <w:szCs w:val="19"/>
          <w:color w:val="auto"/>
        </w:rPr>
        <w:t>Net sales were $1,705.6 million for the nine-months ended September 30, 2013,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$116.4 million, or 7.3% higher than net sales of $1,589.2 million for the nine-months ended September 30, 2012. The increase in net sales of our Monster Energy® brand energy drinks represented approximately $111.8 million, or 96.1%, of the overall increase in net sales. Net sales of our Monster Energy® brand energy drinks increased primarily due to increased sales by volume as a result of increased domestic and international demand as well as our expansion into new international markets. The increase in net sales of our Hubert’s® lemonades represented approximately $8.1 million, or 7.0%, of the overall increase in net sales. Net sales of our Hubert’s® lemonades increased primarily due to increased sales by volume as a result of increased distribution and increased domestic demand. Pricing changes did not have a material impact on the increase in net sales. No other individual product line contributed either a material increase or decrease to net sales for the nine-months ended September 30, 2013.</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Case sales, in 192-ounce case equivalents, were 168.6 million cases for the nine-months ended September 30, 2013, an increase of approximately 12.0 million cases or 7.7% higher than case sales of 156.5 million cases for the nine-months ended September 30, 2012. The overall average net sales per case decreased to $10.12 for the nine-months ended September 30, 2013, which was 0.3% lower than the average net sales per case of $10.15 for the nine-months ended September 30, 2012.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87"/>
        <w:spacing w:after="0" w:line="246" w:lineRule="auto"/>
        <w:rPr>
          <w:sz w:val="20"/>
          <w:szCs w:val="20"/>
          <w:color w:val="auto"/>
        </w:rPr>
      </w:pPr>
      <w:r>
        <w:rPr>
          <w:rFonts w:ascii="Arial" w:cs="Arial" w:eastAsia="Arial" w:hAnsi="Arial"/>
          <w:sz w:val="21"/>
          <w:szCs w:val="21"/>
          <w:color w:val="auto"/>
        </w:rPr>
        <w:t>Net sales for the DSD segment were $1,627.9 million for the nine-months ended September 30, 2013, an increase of approximately $112.5 million, or 7.4% higher than net sales of $1,515.5 million for the nine-months ended September 30, 2012. The increase in net sales of our Monster Energy® brand energy drinks represented approximately $111.8 million, or 99.4%, of the overall increase in net sales for the DSD segment. Net sales for the DSD segment of our Monster Energy® brand energy drinks increased primarily due to increased sales by volume as a result of increased domestic and international demand as well as our expansion into new international markets. Pricing changes did not have a material impact on the increase in net sales for the DSD segment. No other individual product line contributed either a material increase or decrease to net sales for the DSD segment for the nine-months ended September 30, 2013.</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Net sales for the Warehouse segment were $77.6 million for the nine-months ended September 30, 2013, an increase of approximately $3.9 million, or 5.3% higher than net sales of $73.7 million for the nine-months ended September 30, 2012. The increase in net sales for the Warehouse segment was primarily attributable to increased sales by volume of Hubert’s® lemonades. The increase in net sales for the Warehouse segment was partially offset by decreased sales by volume of Hansen’s® soda.</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i w:val="1"/>
          <w:iCs w:val="1"/>
          <w:color w:val="auto"/>
        </w:rPr>
        <w:t xml:space="preserve">Gross Profit. </w:t>
      </w:r>
      <w:r>
        <w:rPr>
          <w:rFonts w:ascii="Arial" w:cs="Arial" w:eastAsia="Arial" w:hAnsi="Arial"/>
          <w:sz w:val="19"/>
          <w:szCs w:val="19"/>
          <w:color w:val="auto"/>
        </w:rPr>
        <w:t>Gross profit was $895.8 million for the nine-months ended September 30, 2013,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$74.0 million, or 9.0% higher than the gross profit of $821.8 million for the nine-months ended September 30, 2012. Gross profit as a percentage of net sales increased to 52.5% for the nine-months ended September 30, 2013 from 51.7% for the nine-months ended September 30, 2012. The increase in gross profit dollars was primarily the result of the $133.2 million increase in gross sales of our Monster Energy® brand energy drinks. The increase in gross profit as a percentage of net sales was largely attributable to changes in product sales mix as well as a reduction in the cost of certain containers.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$457.6 million for the nine-months ended September 30, 2013, an</w:t>
      </w:r>
      <w:r>
        <w:rPr>
          <w:rFonts w:ascii="Arial" w:cs="Arial" w:eastAsia="Arial" w:hAnsi="Arial"/>
          <w:sz w:val="19"/>
          <w:szCs w:val="19"/>
          <w:i w:val="1"/>
          <w:iCs w:val="1"/>
          <w:color w:val="auto"/>
        </w:rPr>
        <w:t xml:space="preserve"> </w:t>
      </w:r>
      <w:r>
        <w:rPr>
          <w:rFonts w:ascii="Arial" w:cs="Arial" w:eastAsia="Arial" w:hAnsi="Arial"/>
          <w:sz w:val="19"/>
          <w:szCs w:val="19"/>
          <w:color w:val="auto"/>
        </w:rPr>
        <w:t>increase of approximately $72.6 million, or 18.9% higher than total operating expenses of $385.0 million for the nine-months ended September 30, 2012. The increase in operating expenses was partially attributable to increased expenditures of $16.4 million for professional service costs, including legal and accounting fees (of which $12.5 million related to regulatory matters and litigation concerning our Monster Energy® brand energy drinks), increased expenditures of $10.1 million relating to the costs associated with terminating existing distributors, increased out-bound freight and warehouse costs of $10.0 million, increased payroll expenses of $8.7 million (of which $0.01 million was related to an increase in stock-based compensation), increased expenditures of $5.4 million for sponsorships and endorsements, increased expenditures of $4.3 million for allocated trade development, increased expenditures of $4.0 million for merchandise displays, increased expenditures of $3.8 million for point-of-sale materials, increased expenditures of $3.1 million for other marketing expenses and increased expenditures of $2.1 million for premiums. Total operating expenses as a percentage of net sales was 26.8% for the nine-months ended September 30, 2013, compared to 24.2% for the nine-months ended September 30, 2012.</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Contribution Margin. </w:t>
      </w:r>
      <w:r>
        <w:rPr>
          <w:rFonts w:ascii="Arial" w:cs="Arial" w:eastAsia="Arial" w:hAnsi="Arial"/>
          <w:sz w:val="22"/>
          <w:szCs w:val="22"/>
          <w:color w:val="auto"/>
        </w:rPr>
        <w:t>Contribution margin for the DSD segment was $548.9 million for the nine-months ended</w:t>
      </w:r>
      <w:r>
        <w:rPr>
          <w:rFonts w:ascii="Arial" w:cs="Arial" w:eastAsia="Arial" w:hAnsi="Arial"/>
          <w:sz w:val="22"/>
          <w:szCs w:val="22"/>
          <w:i w:val="1"/>
          <w:iCs w:val="1"/>
          <w:color w:val="auto"/>
        </w:rPr>
        <w:t xml:space="preserve"> </w:t>
      </w:r>
      <w:r>
        <w:rPr>
          <w:rFonts w:ascii="Arial" w:cs="Arial" w:eastAsia="Arial" w:hAnsi="Arial"/>
          <w:sz w:val="22"/>
          <w:szCs w:val="22"/>
          <w:color w:val="auto"/>
        </w:rPr>
        <w:t>September 30, 2013, an increase of approximately $33.9 million, or 6.6% higher than the contribution margin of $515.0 million for the nine-months ended September 30, 2012. The increase in the contribution margin for the DSD segment was primarily the result of the $133.2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million increase in gross sales of our Monster Energy® brand energy drinks. Contribution margin for the Warehouse segment was ($0.7) million for the nine-months ended September 30, 2013, approximately $4.5 million lower than the contribution margin of</w:t>
      </w:r>
    </w:p>
    <w:p>
      <w:pPr>
        <w:sectPr>
          <w:pgSz w:w="11900" w:h="16838" w:orient="portrait"/>
          <w:cols w:equalWidth="0" w:num="1">
            <w:col w:w="11420"/>
          </w:cols>
          <w:pgMar w:left="240" w:top="361" w:right="239" w:bottom="0" w:gutter="0" w:footer="0" w:header="0"/>
        </w:sectPr>
      </w:pPr>
    </w:p>
    <w:bookmarkStart w:id="26" w:name="page27"/>
    <w:bookmarkEnd w:id="26"/>
    <w:p>
      <w:pPr>
        <w:jc w:val="both"/>
        <w:spacing w:after="0" w:line="329" w:lineRule="auto"/>
        <w:rPr>
          <w:sz w:val="20"/>
          <w:szCs w:val="20"/>
          <w:color w:val="auto"/>
        </w:rPr>
      </w:pPr>
      <w:r>
        <w:rPr>
          <w:rFonts w:ascii="Arial" w:cs="Arial" w:eastAsia="Arial" w:hAnsi="Arial"/>
          <w:sz w:val="19"/>
          <w:szCs w:val="19"/>
          <w:color w:val="auto"/>
        </w:rPr>
        <w:t>$3.8 million for the nine-months ended September 30, 2012. The decrease in the contribution margin for the Warehouse segment was primarily attributable to increased promotional and other allowances as well as increased operating expenses.</w:t>
      </w:r>
    </w:p>
    <w:p>
      <w:pPr>
        <w:spacing w:after="0" w:line="13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i w:val="1"/>
          <w:iCs w:val="1"/>
          <w:color w:val="auto"/>
        </w:rPr>
        <w:t xml:space="preserve">Operating Income. </w:t>
      </w:r>
      <w:r>
        <w:rPr>
          <w:rFonts w:ascii="Arial" w:cs="Arial" w:eastAsia="Arial" w:hAnsi="Arial"/>
          <w:sz w:val="21"/>
          <w:szCs w:val="21"/>
          <w:color w:val="auto"/>
        </w:rPr>
        <w:t>Operating income was $438.2 million for the nine-months ended September 30, 2013, an increase of</w:t>
      </w:r>
      <w:r>
        <w:rPr>
          <w:rFonts w:ascii="Arial" w:cs="Arial" w:eastAsia="Arial" w:hAnsi="Arial"/>
          <w:sz w:val="21"/>
          <w:szCs w:val="21"/>
          <w:i w:val="1"/>
          <w:iCs w:val="1"/>
          <w:color w:val="auto"/>
        </w:rPr>
        <w:t xml:space="preserve"> </w:t>
      </w:r>
      <w:r>
        <w:rPr>
          <w:rFonts w:ascii="Arial" w:cs="Arial" w:eastAsia="Arial" w:hAnsi="Arial"/>
          <w:sz w:val="21"/>
          <w:szCs w:val="21"/>
          <w:color w:val="auto"/>
        </w:rPr>
        <w:t>approximately $1.4 million, or 0.3% higher than operating income of $436.7 million for the nine-months ended September 30, 2012. Operating income as a percentage of net sales decreased to 25.7% for the nine-months ended September 30, 2013 from 27.5% for the nine-months ended September 30, 2012, primarily due to the increase in operating expenses as a percentage of net sales. The increase in operating income dollars was primarily due to an increase in gross profit of $74.0 million, partially offset by a $72.6 million increase in operating expenses. Operating income was negatively affected by combined operating losses of $9.1 million and $9.4 million for the nine-months ended September 30, 2013 and 2012, respectively, in relation to our operations in Africa, Asia, Australia, Europe, the Middle East and South America.</w:t>
      </w:r>
    </w:p>
    <w:p>
      <w:pPr>
        <w:spacing w:after="0" w:line="20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i w:val="1"/>
          <w:iCs w:val="1"/>
          <w:color w:val="auto"/>
        </w:rPr>
        <w:t>Other (Expense) Income</w:t>
      </w:r>
      <w:r>
        <w:rPr>
          <w:rFonts w:ascii="Arial" w:cs="Arial" w:eastAsia="Arial" w:hAnsi="Arial"/>
          <w:sz w:val="22"/>
          <w:szCs w:val="22"/>
          <w:color w:val="auto"/>
        </w:rPr>
        <w:t>. Other (expense) was ($6.0) million for the nine-months ended September 30, 2013, as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to other income of $0.8 million for the nine-months ended September 30, 2012. Foreign currency transaction losses were $9.3 million and $1.0 million for the nine-months ended September 30, 2013 and 2012, respectively. The increase in foreign currency losses during the nine-months ended September 30, 2013 was primarily related to our operations in Australia, Europe, Japan and South Africa. Interest income was $0.6 million and $1.2 million for the nine-months ended September 30, 2013 and 2012, respectively.</w:t>
      </w: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i w:val="1"/>
          <w:iCs w:val="1"/>
          <w:color w:val="auto"/>
        </w:rPr>
        <w:t>Provision for Income Taxes</w:t>
      </w:r>
      <w:r>
        <w:rPr>
          <w:rFonts w:ascii="Arial" w:cs="Arial" w:eastAsia="Arial" w:hAnsi="Arial"/>
          <w:sz w:val="21"/>
          <w:szCs w:val="21"/>
          <w:color w:val="auto"/>
        </w:rPr>
        <w:t>. Provision for income taxes was $169.6 million for the nine-months ended September 30, 2013,</w:t>
      </w:r>
      <w:r>
        <w:rPr>
          <w:rFonts w:ascii="Arial" w:cs="Arial" w:eastAsia="Arial" w:hAnsi="Arial"/>
          <w:sz w:val="21"/>
          <w:szCs w:val="21"/>
          <w:i w:val="1"/>
          <w:iCs w:val="1"/>
          <w:color w:val="auto"/>
        </w:rPr>
        <w:t xml:space="preserve"> </w:t>
      </w:r>
      <w:r>
        <w:rPr>
          <w:rFonts w:ascii="Arial" w:cs="Arial" w:eastAsia="Arial" w:hAnsi="Arial"/>
          <w:sz w:val="21"/>
          <w:szCs w:val="21"/>
          <w:color w:val="auto"/>
        </w:rPr>
        <w:t>an increase of $4.1 million or 2.4% higher than the provision for income taxes of $165.5 million for the nine-months ended September 30, 2012. The effective combined federal, state and foreign tax rate increased to 39.2% from 37.8% for the nine-months ended September 30, 2013 and 2012, respectively. The increase in the effective tax rate during the nine-months ended September 30, 2013 was primarily the result of the impact of losses in certain foreign subsidiaries for which there is no tax benefit, the establishment of a full valuation allowance against a tax capital loss recognized on the sale of certain available-for-sale auction rate securities, the release of $1.8 million of unrecognized tax benefits during the nine-months ended September 30, 2012 and a decrease in the domestic production deduction.</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i w:val="1"/>
          <w:iCs w:val="1"/>
          <w:color w:val="auto"/>
        </w:rPr>
        <w:t>Net Income</w:t>
      </w:r>
      <w:r>
        <w:rPr>
          <w:rFonts w:ascii="Arial" w:cs="Arial" w:eastAsia="Arial" w:hAnsi="Arial"/>
          <w:sz w:val="22"/>
          <w:szCs w:val="22"/>
          <w:color w:val="auto"/>
        </w:rPr>
        <w:t>. Net income was $262.6 million for the nine-months ended September 30, 2013, a decrease of $9.5 million or</w:t>
      </w:r>
      <w:r>
        <w:rPr>
          <w:rFonts w:ascii="Arial" w:cs="Arial" w:eastAsia="Arial" w:hAnsi="Arial"/>
          <w:sz w:val="22"/>
          <w:szCs w:val="22"/>
          <w:i w:val="1"/>
          <w:iCs w:val="1"/>
          <w:color w:val="auto"/>
        </w:rPr>
        <w:t xml:space="preserve"> </w:t>
      </w:r>
      <w:r>
        <w:rPr>
          <w:rFonts w:ascii="Arial" w:cs="Arial" w:eastAsia="Arial" w:hAnsi="Arial"/>
          <w:sz w:val="22"/>
          <w:szCs w:val="22"/>
          <w:color w:val="auto"/>
        </w:rPr>
        <w:t>3.5% lower than net income of $272.0 million for the nine-months ended September 30, 2012. The decrease in net income was primarily attributable to an increase in operating expenses of $72.6 million, an increase in other expenses of $6.8 million and an increase in the effective combined federal, state and foreign tax rate. The decrease in net income was partially offset by an increase in gross profit of $74.0 million.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i w:val="1"/>
          <w:iCs w:val="1"/>
          <w:color w:val="auto"/>
        </w:rPr>
        <w:t xml:space="preserve">Cash flows provided by operating activities. </w:t>
      </w:r>
      <w:r>
        <w:rPr>
          <w:rFonts w:ascii="Arial" w:cs="Arial" w:eastAsia="Arial" w:hAnsi="Arial"/>
          <w:sz w:val="19"/>
          <w:szCs w:val="19"/>
          <w:color w:val="auto"/>
        </w:rPr>
        <w:t>Net cash provided by operating activities was $275.8 million for the nine-months ended September 30, 2013, as compared with net cash provided by operating activities of $218.0 million for the nine-months ended September 30, 2012. For the nine-months ended September 30, 2013, cash provided by operating activities was primarily attributable to net income earned of $262.6 million and adjustments for certain non-cash expenses consisting of $21.6 million of stock-based compensation and $16.4 million of depreciation and other amortization. For the nine-months ended September 30, 2013, cash provided by operating activities also increased due to a $78.4 million increase in income taxes payable, a $40.2 million increase in accrued promotional allowances, a $33.7 million increase in accounts payable, a $21.2 million increase in accrued liabilities, a $4.8 million increase in deferred revenue and a $3.5 million increase in accrued distributor terminations. For the nine-months ended September 30, 2013, cash provided by operating activities was reduced due to a $104.7 million increase in accounts receivable, a $46.7 million increase in inventory, a $30.3 million increase in tax benefit from the exercise of stock options, a $13.0 million increase in prepaid expenses and other current assets, a $3.4 million increase in distributor receivables, a $4.9 million increase in prepaid income taxes and a $3.1 million gain on investments.</w:t>
      </w:r>
    </w:p>
    <w:p>
      <w:pPr>
        <w:spacing w:after="0" w:line="18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For the nine-months ended September 30, 2012, cash provided by operating activities was primarily attributable to net income earned of $272.0 million and adjustments for certain non-cash expenses consisting of $21.6 million of stock-based compensation, $15.2 million of depreciation and other amortization, a $2.6 million decrease in deferred income taxes and a $1.1 million loss on put options. For the nine-months ended September 30, 2012, cash provided by operating activities also increased due to a $27.8 million increase in accounts payable, a $26.7 million increase in accrued liabilities and a $1.5 million increase in accrued compensation. For the nine-months ended September 30, 2012, cash provided by operating activities was reduced due to a $70.5 million increase in accounts receivable, a $38.6 million increase in inventory, an $18.0 million increase in prepaid income taxes, a $9.3 million decrease in accrued promotional allowances, a $3.8 million decrease in income taxes payable, a $4.2 million decrease in deferred revenue, a $4.3 million increase in tax benefit from the exercise of stock options and a $1.7 million gain on investments.</w:t>
      </w:r>
    </w:p>
    <w:p>
      <w:pPr>
        <w:spacing w:after="0" w:line="20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i w:val="1"/>
          <w:iCs w:val="1"/>
          <w:color w:val="auto"/>
        </w:rPr>
        <w:t xml:space="preserve">Cash flows (used in) provided by investing activities. </w:t>
      </w:r>
      <w:r>
        <w:rPr>
          <w:rFonts w:ascii="Arial" w:cs="Arial" w:eastAsia="Arial" w:hAnsi="Arial"/>
          <w:sz w:val="19"/>
          <w:szCs w:val="19"/>
          <w:color w:val="auto"/>
        </w:rPr>
        <w:t>Net cash used in investing activities was $246.7 million for the nine-months ended September 30, 2013, as compared to net cash provided by investing activities of $79.0 million for the nine-months ended September 30, 2012. For the nine-months ended September 30, 2013, cash used in investing activities was primarily</w:t>
      </w:r>
    </w:p>
    <w:p>
      <w:pPr>
        <w:sectPr>
          <w:pgSz w:w="11900" w:h="16838" w:orient="portrait"/>
          <w:cols w:equalWidth="0" w:num="1">
            <w:col w:w="11420"/>
          </w:cols>
          <w:pgMar w:left="240" w:top="118" w:right="239" w:bottom="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9"/>
          <w:szCs w:val="19"/>
          <w:color w:val="auto"/>
        </w:rPr>
        <w:t>attributable to purchases of held-to-maturity investments, purchases of property and equipment, and additions to intangibles. For the nine-months ended September 30, 2012, cash used in investing activities was primarily attributable to purchases of held-to-maturity investments, purchases of available-for-sale investments, purchases of property and equipment, including the purchase of real property and additions to intangibles. For the nine-months ended September 30, 2013, cash provided by investing activities was primarily attributable to maturities of held-to-maturity investments and proceeds from the sale of property and equipment. For the nine-months ended September 30, 2012, cash provided by investing activities was primarily attributable to maturities of held-to-maturity investments, sales of available-for-sale investments and sales of trading investments.</w:t>
      </w:r>
    </w:p>
    <w:p>
      <w:pPr>
        <w:spacing w:after="0" w:line="1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For both the nine-months ended September 30, 2013 and 2012,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 continue to use a portion of our cash in excess of our requirements for operations for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purchasing short-term and long-term investments, and for other corporate purposes, including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21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i w:val="1"/>
          <w:iCs w:val="1"/>
          <w:color w:val="auto"/>
        </w:rPr>
        <w:t xml:space="preserve">Cash flows provided by (used in) financing activities. </w:t>
      </w:r>
      <w:r>
        <w:rPr>
          <w:rFonts w:ascii="Arial" w:cs="Arial" w:eastAsia="Arial" w:hAnsi="Arial"/>
          <w:sz w:val="21"/>
          <w:szCs w:val="21"/>
          <w:color w:val="auto"/>
        </w:rPr>
        <w:t>Net cash provided by financing activities was $33.7 million for the</w:t>
      </w:r>
      <w:r>
        <w:rPr>
          <w:rFonts w:ascii="Arial" w:cs="Arial" w:eastAsia="Arial" w:hAnsi="Arial"/>
          <w:sz w:val="21"/>
          <w:szCs w:val="21"/>
          <w:i w:val="1"/>
          <w:iCs w:val="1"/>
          <w:color w:val="auto"/>
        </w:rPr>
        <w:t xml:space="preserve"> </w:t>
      </w:r>
      <w:r>
        <w:rPr>
          <w:rFonts w:ascii="Arial" w:cs="Arial" w:eastAsia="Arial" w:hAnsi="Arial"/>
          <w:sz w:val="21"/>
          <w:szCs w:val="21"/>
          <w:color w:val="auto"/>
        </w:rPr>
        <w:t>nine-months ended September 30, 2013, as compared to net cash used in financing activities of $375.7 million for the nine-months ended September 30, 2012. For the nine-months ended September 30, 2013, cash provided by financing activities was primarily attributable to a $30.3 million tax benefit from the exercise of stock options and $18.2 million received from the issuance of common stock in connection with the exercise of certain stock options. For the nine-months ended September 30, 2013, cash used in financing activities was primarily attributable to $13.4 million of re-purchases of common stock. For the nine-months ended September 30, 2012, cash used in financing activities was primarily attributable to $386.8 million of re-purchases of the Company’s common stock. For the nine-months ended September 30, 2012, cash provided by financing activities was primarily attributable to $8.4 million received from the issuance of common stock in connection with the exercise of certain stock options and a $4.3 million tax benefit from the exercise of stock options.</w:t>
      </w:r>
    </w:p>
    <w:p>
      <w:pPr>
        <w:spacing w:after="0" w:line="20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Purchases of inventories, increases in accounts receivable and other assets, acquisition of property and equipment, leasehold improvements, acquisition and maintenance of trademarks, payments of accounts payable, income taxes payable and purchases of our common stock are expected to remain our principal recurring uses of cash.</w:t>
      </w:r>
    </w:p>
    <w:p>
      <w:pPr>
        <w:spacing w:after="0" w:line="19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i w:val="1"/>
          <w:iCs w:val="1"/>
          <w:color w:val="auto"/>
        </w:rPr>
        <w:t xml:space="preserve">Cash and cash equivalents, short-term and long-term investments. </w:t>
      </w:r>
      <w:r>
        <w:rPr>
          <w:rFonts w:ascii="Arial" w:cs="Arial" w:eastAsia="Arial" w:hAnsi="Arial"/>
          <w:sz w:val="21"/>
          <w:szCs w:val="21"/>
          <w:color w:val="auto"/>
        </w:rPr>
        <w:t>At September 30, 2013, we had $287.0 million in cash</w:t>
      </w:r>
      <w:r>
        <w:rPr>
          <w:rFonts w:ascii="Arial" w:cs="Arial" w:eastAsia="Arial" w:hAnsi="Arial"/>
          <w:sz w:val="21"/>
          <w:szCs w:val="21"/>
          <w:i w:val="1"/>
          <w:iCs w:val="1"/>
          <w:color w:val="auto"/>
        </w:rPr>
        <w:t xml:space="preserve"> </w:t>
      </w:r>
      <w:r>
        <w:rPr>
          <w:rFonts w:ascii="Arial" w:cs="Arial" w:eastAsia="Arial" w:hAnsi="Arial"/>
          <w:sz w:val="21"/>
          <w:szCs w:val="21"/>
          <w:color w:val="auto"/>
        </w:rPr>
        <w:t>and cash equivalents and $325.3 million in short-term and long-term investments. We have historically invested these amounts in U.S. Treasury bills, U.S. government agency securities and municipal securities (which may have an auction reset feature), corporate notes and bonds, commercial paper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20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We believe that cash available from operations, including our cash resources and the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equipment and properties, through at least the next 12 months. Based on our current plans, at this time we estimate that capital expenditures are likely to be less than $100.0 million through September 30, 2014. However, future business opportunities may cause a change in this estimate.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represents a summary of the Company’s contractual commitments and related scheduled maturities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September 30, 2013:</w:t>
      </w:r>
    </w:p>
    <w:p>
      <w:pPr>
        <w:spacing w:after="0" w:line="215"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Payments due by period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7620</wp:posOffset>
            </wp:positionV>
            <wp:extent cx="53511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53"/>
        </w:trPr>
        <w:tc>
          <w:tcPr>
            <w:tcW w:w="3000" w:type="dxa"/>
            <w:vAlign w:val="bottom"/>
            <w:gridSpan w:val="2"/>
          </w:tcPr>
          <w:p>
            <w:pPr>
              <w:ind w:left="880"/>
              <w:spacing w:after="0"/>
              <w:rPr>
                <w:sz w:val="20"/>
                <w:szCs w:val="20"/>
                <w:color w:val="auto"/>
              </w:rPr>
            </w:pPr>
            <w:r>
              <w:rPr>
                <w:rFonts w:ascii="Arial" w:cs="Arial" w:eastAsia="Arial" w:hAnsi="Arial"/>
                <w:sz w:val="22"/>
                <w:szCs w:val="22"/>
                <w:color w:val="auto"/>
              </w:rPr>
              <w:t>Obligations</w:t>
            </w:r>
          </w:p>
        </w:tc>
        <w:tc>
          <w:tcPr>
            <w:tcW w:w="360" w:type="dxa"/>
            <w:vAlign w:val="bottom"/>
          </w:tcPr>
          <w:p>
            <w:pPr>
              <w:spacing w:after="0"/>
              <w:rPr>
                <w:sz w:val="21"/>
                <w:szCs w:val="21"/>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rPr>
              <w:t>Total</w:t>
            </w:r>
          </w:p>
        </w:tc>
        <w:tc>
          <w:tcPr>
            <w:tcW w:w="28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Arial" w:cs="Arial" w:eastAsia="Arial" w:hAnsi="Arial"/>
                <w:sz w:val="22"/>
                <w:szCs w:val="22"/>
                <w:color w:val="auto"/>
              </w:rPr>
              <w:t>Less than</w:t>
            </w:r>
          </w:p>
        </w:tc>
        <w:tc>
          <w:tcPr>
            <w:tcW w:w="360" w:type="dxa"/>
            <w:vAlign w:val="bottom"/>
          </w:tcPr>
          <w:p>
            <w:pPr>
              <w:spacing w:after="0"/>
              <w:rPr>
                <w:sz w:val="21"/>
                <w:szCs w:val="21"/>
                <w:color w:val="auto"/>
              </w:rPr>
            </w:pPr>
          </w:p>
        </w:tc>
        <w:tc>
          <w:tcPr>
            <w:tcW w:w="1140" w:type="dxa"/>
            <w:vAlign w:val="bottom"/>
          </w:tcPr>
          <w:p>
            <w:pPr>
              <w:jc w:val="right"/>
              <w:ind w:right="492"/>
              <w:spacing w:after="0"/>
              <w:rPr>
                <w:sz w:val="20"/>
                <w:szCs w:val="20"/>
                <w:color w:val="auto"/>
              </w:rPr>
            </w:pPr>
            <w:r>
              <w:rPr>
                <w:rFonts w:ascii="Arial" w:cs="Arial" w:eastAsia="Arial" w:hAnsi="Arial"/>
                <w:sz w:val="22"/>
                <w:szCs w:val="22"/>
                <w:color w:val="auto"/>
              </w:rPr>
              <w:t>1-3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492"/>
              <w:spacing w:after="0"/>
              <w:rPr>
                <w:sz w:val="20"/>
                <w:szCs w:val="20"/>
                <w:color w:val="auto"/>
              </w:rPr>
            </w:pPr>
            <w:r>
              <w:rPr>
                <w:rFonts w:ascii="Arial" w:cs="Arial" w:eastAsia="Arial" w:hAnsi="Arial"/>
                <w:sz w:val="22"/>
                <w:szCs w:val="22"/>
                <w:color w:val="auto"/>
              </w:rPr>
              <w:t>3-5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w w:val="92"/>
              </w:rPr>
              <w:t>More than</w:t>
            </w:r>
          </w:p>
        </w:tc>
      </w:tr>
      <w:tr>
        <w:trPr>
          <w:trHeight w:val="265"/>
        </w:trPr>
        <w:tc>
          <w:tcPr>
            <w:tcW w:w="278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1 year</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years</w:t>
            </w: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years</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5 years</w:t>
            </w:r>
          </w:p>
        </w:tc>
      </w:tr>
      <w:tr>
        <w:trPr>
          <w:trHeight w:val="458"/>
        </w:trPr>
        <w:tc>
          <w:tcPr>
            <w:tcW w:w="3000" w:type="dxa"/>
            <w:vAlign w:val="bottom"/>
            <w:gridSpan w:val="2"/>
          </w:tcPr>
          <w:p>
            <w:pPr>
              <w:spacing w:after="0"/>
              <w:rPr>
                <w:sz w:val="20"/>
                <w:szCs w:val="20"/>
                <w:color w:val="auto"/>
              </w:rPr>
            </w:pPr>
            <w:r>
              <w:rPr>
                <w:rFonts w:ascii="Arial" w:cs="Arial" w:eastAsia="Arial" w:hAnsi="Arial"/>
                <w:sz w:val="22"/>
                <w:szCs w:val="22"/>
                <w:color w:val="auto"/>
              </w:rPr>
              <w:t>Contractual Obligations¹</w:t>
            </w:r>
          </w:p>
        </w:tc>
        <w:tc>
          <w:tcPr>
            <w:tcW w:w="3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74,919</w:t>
            </w:r>
          </w:p>
        </w:tc>
        <w:tc>
          <w:tcPr>
            <w:tcW w:w="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38,206</w:t>
            </w:r>
          </w:p>
        </w:tc>
        <w:tc>
          <w:tcPr>
            <w:tcW w:w="240" w:type="dxa"/>
            <w:vAlign w:val="bottom"/>
          </w:tcPr>
          <w:p>
            <w:pPr>
              <w:spacing w:after="0"/>
              <w:rPr>
                <w:sz w:val="24"/>
                <w:szCs w:val="24"/>
                <w:color w:val="auto"/>
              </w:rPr>
            </w:pPr>
          </w:p>
        </w:tc>
        <w:tc>
          <w:tcPr>
            <w:tcW w:w="3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35,900</w:t>
            </w:r>
          </w:p>
        </w:tc>
        <w:tc>
          <w:tcPr>
            <w:tcW w:w="220" w:type="dxa"/>
            <w:vAlign w:val="bottom"/>
          </w:tcPr>
          <w:p>
            <w:pPr>
              <w:spacing w:after="0"/>
              <w:rPr>
                <w:sz w:val="24"/>
                <w:szCs w:val="24"/>
                <w:color w:val="auto"/>
              </w:rPr>
            </w:pPr>
          </w:p>
        </w:tc>
        <w:tc>
          <w:tcPr>
            <w:tcW w:w="3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813</w:t>
            </w:r>
          </w:p>
        </w:tc>
        <w:tc>
          <w:tcPr>
            <w:tcW w:w="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43"/>
        </w:trPr>
        <w:tc>
          <w:tcPr>
            <w:tcW w:w="3000" w:type="dxa"/>
            <w:vAlign w:val="bottom"/>
            <w:gridSpan w:val="2"/>
          </w:tcPr>
          <w:p>
            <w:pPr>
              <w:spacing w:after="0" w:line="243" w:lineRule="exact"/>
              <w:rPr>
                <w:sz w:val="20"/>
                <w:szCs w:val="20"/>
                <w:color w:val="auto"/>
              </w:rPr>
            </w:pPr>
            <w:r>
              <w:rPr>
                <w:rFonts w:ascii="Arial" w:cs="Arial" w:eastAsia="Arial" w:hAnsi="Arial"/>
                <w:sz w:val="22"/>
                <w:szCs w:val="22"/>
                <w:color w:val="auto"/>
              </w:rPr>
              <w:t>Capital Leases</w:t>
            </w:r>
          </w:p>
        </w:tc>
        <w:tc>
          <w:tcPr>
            <w:tcW w:w="36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1,159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1,159</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r>
      <w:tr>
        <w:trPr>
          <w:trHeight w:val="243"/>
        </w:trPr>
        <w:tc>
          <w:tcPr>
            <w:tcW w:w="3000" w:type="dxa"/>
            <w:vAlign w:val="bottom"/>
            <w:gridSpan w:val="2"/>
          </w:tcPr>
          <w:p>
            <w:pPr>
              <w:spacing w:after="0" w:line="243" w:lineRule="exact"/>
              <w:rPr>
                <w:sz w:val="20"/>
                <w:szCs w:val="20"/>
                <w:color w:val="auto"/>
              </w:rPr>
            </w:pPr>
            <w:r>
              <w:rPr>
                <w:rFonts w:ascii="Arial" w:cs="Arial" w:eastAsia="Arial" w:hAnsi="Arial"/>
                <w:sz w:val="22"/>
                <w:szCs w:val="22"/>
                <w:color w:val="auto"/>
              </w:rPr>
              <w:t>Operating Leases</w:t>
            </w:r>
          </w:p>
        </w:tc>
        <w:tc>
          <w:tcPr>
            <w:tcW w:w="36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16,732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4,708</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9,232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2,336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456</w:t>
            </w:r>
          </w:p>
        </w:tc>
      </w:tr>
      <w:tr>
        <w:trPr>
          <w:trHeight w:val="265"/>
        </w:trPr>
        <w:tc>
          <w:tcPr>
            <w:tcW w:w="3000" w:type="dxa"/>
            <w:vAlign w:val="bottom"/>
            <w:gridSpan w:val="2"/>
          </w:tcPr>
          <w:p>
            <w:pPr>
              <w:spacing w:after="0"/>
              <w:rPr>
                <w:sz w:val="20"/>
                <w:szCs w:val="20"/>
                <w:color w:val="auto"/>
              </w:rPr>
            </w:pPr>
            <w:r>
              <w:rPr>
                <w:rFonts w:ascii="Arial" w:cs="Arial" w:eastAsia="Arial" w:hAnsi="Arial"/>
                <w:sz w:val="22"/>
                <w:szCs w:val="22"/>
                <w:color w:val="auto"/>
              </w:rPr>
              <w:t>Purchase Commitments²</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34,904</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34,904</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37"/>
        </w:trPr>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127,714</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78,977</w:t>
            </w:r>
          </w:p>
        </w:tc>
        <w:tc>
          <w:tcPr>
            <w:tcW w:w="240" w:type="dxa"/>
            <w:vAlign w:val="bottom"/>
          </w:tcPr>
          <w:p>
            <w:pPr>
              <w:spacing w:after="0"/>
              <w:rPr>
                <w:sz w:val="20"/>
                <w:szCs w:val="20"/>
                <w:color w:val="auto"/>
              </w:rPr>
            </w:pPr>
          </w:p>
        </w:tc>
        <w:tc>
          <w:tcPr>
            <w:tcW w:w="36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45,132</w:t>
            </w:r>
          </w:p>
        </w:tc>
        <w:tc>
          <w:tcPr>
            <w:tcW w:w="220" w:type="dxa"/>
            <w:vAlign w:val="bottom"/>
          </w:tcPr>
          <w:p>
            <w:pPr>
              <w:spacing w:after="0"/>
              <w:rPr>
                <w:sz w:val="20"/>
                <w:szCs w:val="20"/>
                <w:color w:val="auto"/>
              </w:rPr>
            </w:pPr>
          </w:p>
        </w:tc>
        <w:tc>
          <w:tcPr>
            <w:tcW w:w="38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3,149</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456</w:t>
            </w:r>
          </w:p>
        </w:tc>
      </w:tr>
      <w:tr>
        <w:trPr>
          <w:trHeight w:val="20"/>
        </w:trPr>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¹Contractual obligations include our obligations related to sponsorships and other commitments.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addition, approximately $0.9 million of unrecognized tax benefits have been recorded as liabilities as of September 30, 2013. It is expected that the amount of unrecognized tax benefits will not significantly change within the next 12 months. We have also recorded a liability for potential penalties and interest of $0.4 million as of September 30, 2013.</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On August 12, 2013, the Company moved into its new corporate headquarters located in Corona, CA, which was previously acquired by the Company in October 2012.</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table below discloses selected quarterly data regarding sales for the three- and nine-months ended September 30, 2013 and 2012, respectively. Data from any one or more quarters or periods is not necessarily indicative of annual results or continuing trends.</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Sales of beverages are expressed in unit case volume. A “unit case” means a unit of measurement equal to 192 U.S. fluid ounces of finished beverage (24 eight-ounce servings). Unit case volume means the number of unit cases (or unit case equivalents) of beverages sold by us.</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Because the primary historical market for our products is California, which has a year-long temperate climate, the effect of seasonal fluctuations on quarterly results may have been somewhat mitigated; however, such fluctuations may become more pronounced with the expansion of the distribution of our products outside of California. In addition, our experience with our energy drink products suggests they may be less seasonal than the seasonality ordinarily expected from traditional beverages.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40" w:type="dxa"/>
            <w:vAlign w:val="bottom"/>
            <w:gridSpan w:val="2"/>
          </w:tcPr>
          <w:p>
            <w:pPr>
              <w:spacing w:after="0"/>
              <w:rPr>
                <w:sz w:val="20"/>
                <w:szCs w:val="20"/>
                <w:color w:val="auto"/>
              </w:rPr>
            </w:pPr>
            <w:r>
              <w:rPr>
                <w:rFonts w:ascii="Arial" w:cs="Arial" w:eastAsia="Arial" w:hAnsi="Arial"/>
                <w:sz w:val="21"/>
                <w:szCs w:val="21"/>
                <w:color w:val="auto"/>
              </w:rPr>
              <w:t>(In thousands, except average</w:t>
            </w:r>
          </w:p>
        </w:tc>
        <w:tc>
          <w:tcPr>
            <w:tcW w:w="380" w:type="dxa"/>
            <w:vAlign w:val="bottom"/>
          </w:tcPr>
          <w:p>
            <w:pPr>
              <w:spacing w:after="0"/>
              <w:rPr>
                <w:sz w:val="21"/>
                <w:szCs w:val="21"/>
                <w:color w:val="auto"/>
              </w:rPr>
            </w:pPr>
          </w:p>
        </w:tc>
        <w:tc>
          <w:tcPr>
            <w:tcW w:w="3040" w:type="dxa"/>
            <w:vAlign w:val="bottom"/>
            <w:gridSpan w:val="5"/>
          </w:tcPr>
          <w:p>
            <w:pPr>
              <w:ind w:left="340"/>
              <w:spacing w:after="0"/>
              <w:rPr>
                <w:sz w:val="20"/>
                <w:szCs w:val="20"/>
                <w:color w:val="auto"/>
              </w:rPr>
            </w:pPr>
            <w:r>
              <w:rPr>
                <w:rFonts w:ascii="Arial" w:cs="Arial" w:eastAsia="Arial" w:hAnsi="Arial"/>
                <w:sz w:val="21"/>
                <w:szCs w:val="21"/>
                <w:color w:val="auto"/>
              </w:rPr>
              <w:t>Three-Months Ended</w:t>
            </w:r>
          </w:p>
        </w:tc>
        <w:tc>
          <w:tcPr>
            <w:tcW w:w="400" w:type="dxa"/>
            <w:vAlign w:val="bottom"/>
          </w:tcPr>
          <w:p>
            <w:pPr>
              <w:spacing w:after="0"/>
              <w:rPr>
                <w:sz w:val="21"/>
                <w:szCs w:val="21"/>
                <w:color w:val="auto"/>
              </w:rPr>
            </w:pPr>
          </w:p>
        </w:tc>
        <w:tc>
          <w:tcPr>
            <w:tcW w:w="2860" w:type="dxa"/>
            <w:vAlign w:val="bottom"/>
            <w:gridSpan w:val="4"/>
          </w:tcPr>
          <w:p>
            <w:pPr>
              <w:jc w:val="right"/>
              <w:ind w:right="680"/>
              <w:spacing w:after="0"/>
              <w:rPr>
                <w:sz w:val="20"/>
                <w:szCs w:val="20"/>
                <w:color w:val="auto"/>
              </w:rPr>
            </w:pPr>
            <w:r>
              <w:rPr>
                <w:rFonts w:ascii="Arial" w:cs="Arial" w:eastAsia="Arial" w:hAnsi="Arial"/>
                <w:sz w:val="21"/>
                <w:szCs w:val="21"/>
                <w:color w:val="auto"/>
              </w:rPr>
              <w:t>Nine-Months Ended</w:t>
            </w:r>
          </w:p>
        </w:tc>
      </w:tr>
      <w:tr>
        <w:trPr>
          <w:trHeight w:val="256"/>
        </w:trPr>
        <w:tc>
          <w:tcPr>
            <w:tcW w:w="4740" w:type="dxa"/>
            <w:vAlign w:val="bottom"/>
            <w:gridSpan w:val="2"/>
          </w:tcPr>
          <w:p>
            <w:pPr>
              <w:ind w:left="180"/>
              <w:spacing w:after="0"/>
              <w:rPr>
                <w:sz w:val="20"/>
                <w:szCs w:val="20"/>
                <w:color w:val="auto"/>
              </w:rPr>
            </w:pPr>
            <w:r>
              <w:rPr>
                <w:rFonts w:ascii="Arial" w:cs="Arial" w:eastAsia="Arial" w:hAnsi="Arial"/>
                <w:sz w:val="21"/>
                <w:szCs w:val="21"/>
                <w:color w:val="auto"/>
              </w:rPr>
              <w:t>net sales per case)</w:t>
            </w:r>
          </w:p>
        </w:tc>
        <w:tc>
          <w:tcPr>
            <w:tcW w:w="380" w:type="dxa"/>
            <w:vAlign w:val="bottom"/>
          </w:tcPr>
          <w:p>
            <w:pPr>
              <w:spacing w:after="0"/>
              <w:rPr>
                <w:sz w:val="22"/>
                <w:szCs w:val="22"/>
                <w:color w:val="auto"/>
              </w:rPr>
            </w:pPr>
          </w:p>
        </w:tc>
        <w:tc>
          <w:tcPr>
            <w:tcW w:w="1840" w:type="dxa"/>
            <w:vAlign w:val="bottom"/>
            <w:gridSpan w:val="3"/>
          </w:tcPr>
          <w:p>
            <w:pPr>
              <w:jc w:val="right"/>
              <w:spacing w:after="0"/>
              <w:rPr>
                <w:sz w:val="20"/>
                <w:szCs w:val="20"/>
                <w:color w:val="auto"/>
              </w:rPr>
            </w:pPr>
            <w:r>
              <w:rPr>
                <w:rFonts w:ascii="Arial" w:cs="Arial" w:eastAsia="Arial" w:hAnsi="Arial"/>
                <w:sz w:val="21"/>
                <w:szCs w:val="21"/>
                <w:color w:val="auto"/>
              </w:rPr>
              <w:t>September 30,</w:t>
            </w: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80" w:type="dxa"/>
            <w:vAlign w:val="bottom"/>
            <w:gridSpan w:val="3"/>
          </w:tcPr>
          <w:p>
            <w:pPr>
              <w:jc w:val="right"/>
              <w:spacing w:after="0"/>
              <w:rPr>
                <w:sz w:val="20"/>
                <w:szCs w:val="20"/>
                <w:color w:val="auto"/>
              </w:rPr>
            </w:pPr>
            <w:r>
              <w:rPr>
                <w:rFonts w:ascii="Arial" w:cs="Arial" w:eastAsia="Arial" w:hAnsi="Arial"/>
                <w:sz w:val="21"/>
                <w:szCs w:val="21"/>
                <w:color w:val="auto"/>
              </w:rPr>
              <w:t>September 30,</w:t>
            </w:r>
          </w:p>
        </w:tc>
        <w:tc>
          <w:tcPr>
            <w:tcW w:w="980" w:type="dxa"/>
            <w:vAlign w:val="bottom"/>
          </w:tcPr>
          <w:p>
            <w:pPr>
              <w:spacing w:after="0"/>
              <w:rPr>
                <w:sz w:val="22"/>
                <w:szCs w:val="22"/>
                <w:color w:val="auto"/>
              </w:rPr>
            </w:pPr>
          </w:p>
        </w:tc>
      </w:tr>
      <w:tr>
        <w:trPr>
          <w:trHeight w:val="210"/>
        </w:trPr>
        <w:tc>
          <w:tcPr>
            <w:tcW w:w="4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8"/>
                <w:szCs w:val="18"/>
                <w:color w:val="auto"/>
              </w:rPr>
              <w:t>2013</w:t>
            </w: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8"/>
                <w:szCs w:val="18"/>
                <w:color w:val="auto"/>
                <w:w w:val="94"/>
              </w:rPr>
              <w:t>2012</w:t>
            </w:r>
          </w:p>
        </w:tc>
        <w:tc>
          <w:tcPr>
            <w:tcW w:w="2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8"/>
                <w:szCs w:val="18"/>
                <w:color w:val="auto"/>
              </w:rPr>
              <w:t>2013</w:t>
            </w: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8"/>
                <w:szCs w:val="18"/>
                <w:color w:val="auto"/>
                <w:w w:val="94"/>
              </w:rPr>
              <w:t>2012</w:t>
            </w:r>
          </w:p>
        </w:tc>
      </w:tr>
      <w:tr>
        <w:trPr>
          <w:trHeight w:val="399"/>
        </w:trPr>
        <w:tc>
          <w:tcPr>
            <w:tcW w:w="4740" w:type="dxa"/>
            <w:vAlign w:val="bottom"/>
            <w:gridSpan w:val="2"/>
          </w:tcPr>
          <w:p>
            <w:pPr>
              <w:spacing w:after="0"/>
              <w:rPr>
                <w:sz w:val="20"/>
                <w:szCs w:val="20"/>
                <w:color w:val="auto"/>
              </w:rPr>
            </w:pPr>
            <w:r>
              <w:rPr>
                <w:rFonts w:ascii="Arial" w:cs="Arial" w:eastAsia="Arial" w:hAnsi="Arial"/>
                <w:sz w:val="21"/>
                <w:szCs w:val="21"/>
                <w:color w:val="auto"/>
              </w:rPr>
              <w:t>Net sales</w:t>
            </w:r>
          </w:p>
        </w:tc>
        <w:tc>
          <w:tcPr>
            <w:tcW w:w="380" w:type="dxa"/>
            <w:vAlign w:val="bottom"/>
          </w:tcPr>
          <w:p>
            <w:pPr>
              <w:jc w:val="right"/>
              <w:ind w:right="76"/>
              <w:spacing w:after="0"/>
              <w:rPr>
                <w:sz w:val="20"/>
                <w:szCs w:val="20"/>
                <w:color w:val="auto"/>
              </w:rPr>
            </w:pPr>
            <w:r>
              <w:rPr>
                <w:rFonts w:ascii="Arial" w:cs="Arial" w:eastAsia="Arial" w:hAnsi="Arial"/>
                <w:sz w:val="21"/>
                <w:szCs w:val="21"/>
                <w:color w:val="auto"/>
              </w:rPr>
              <w:t>$</w:t>
            </w:r>
          </w:p>
        </w:tc>
        <w:tc>
          <w:tcPr>
            <w:tcW w:w="1080" w:type="dxa"/>
            <w:vAlign w:val="bottom"/>
          </w:tcPr>
          <w:p>
            <w:pPr>
              <w:jc w:val="right"/>
              <w:spacing w:after="0"/>
              <w:rPr>
                <w:sz w:val="20"/>
                <w:szCs w:val="20"/>
                <w:color w:val="auto"/>
              </w:rPr>
            </w:pPr>
            <w:r>
              <w:rPr>
                <w:rFonts w:ascii="Arial" w:cs="Arial" w:eastAsia="Arial" w:hAnsi="Arial"/>
                <w:sz w:val="21"/>
                <w:szCs w:val="21"/>
                <w:color w:val="auto"/>
              </w:rPr>
              <w:t>590,422</w:t>
            </w:r>
          </w:p>
        </w:tc>
        <w:tc>
          <w:tcPr>
            <w:tcW w:w="240" w:type="dxa"/>
            <w:vAlign w:val="bottom"/>
          </w:tcPr>
          <w:p>
            <w:pPr>
              <w:spacing w:after="0"/>
              <w:rPr>
                <w:sz w:val="24"/>
                <w:szCs w:val="24"/>
                <w:color w:val="auto"/>
              </w:rPr>
            </w:pPr>
          </w:p>
        </w:tc>
        <w:tc>
          <w:tcPr>
            <w:tcW w:w="520" w:type="dxa"/>
            <w:vAlign w:val="bottom"/>
          </w:tcPr>
          <w:p>
            <w:pPr>
              <w:jc w:val="right"/>
              <w:ind w:right="216"/>
              <w:spacing w:after="0"/>
              <w:rPr>
                <w:sz w:val="20"/>
                <w:szCs w:val="20"/>
                <w:color w:val="auto"/>
              </w:rPr>
            </w:pPr>
            <w:r>
              <w:rPr>
                <w:rFonts w:ascii="Arial" w:cs="Arial" w:eastAsia="Arial" w:hAnsi="Arial"/>
                <w:sz w:val="21"/>
                <w:szCs w:val="21"/>
                <w:color w:val="auto"/>
              </w:rPr>
              <w:t>$</w:t>
            </w:r>
          </w:p>
        </w:tc>
        <w:tc>
          <w:tcPr>
            <w:tcW w:w="980" w:type="dxa"/>
            <w:vAlign w:val="bottom"/>
          </w:tcPr>
          <w:p>
            <w:pPr>
              <w:jc w:val="right"/>
              <w:spacing w:after="0"/>
              <w:rPr>
                <w:sz w:val="20"/>
                <w:szCs w:val="20"/>
                <w:color w:val="auto"/>
              </w:rPr>
            </w:pPr>
            <w:r>
              <w:rPr>
                <w:rFonts w:ascii="Arial" w:cs="Arial" w:eastAsia="Arial" w:hAnsi="Arial"/>
                <w:sz w:val="21"/>
                <w:szCs w:val="21"/>
                <w:color w:val="auto"/>
              </w:rPr>
              <w:t>541,940</w:t>
            </w:r>
          </w:p>
        </w:tc>
        <w:tc>
          <w:tcPr>
            <w:tcW w:w="220" w:type="dxa"/>
            <w:vAlign w:val="bottom"/>
          </w:tcPr>
          <w:p>
            <w:pPr>
              <w:spacing w:after="0"/>
              <w:rPr>
                <w:sz w:val="24"/>
                <w:szCs w:val="24"/>
                <w:color w:val="auto"/>
              </w:rPr>
            </w:pPr>
          </w:p>
        </w:tc>
        <w:tc>
          <w:tcPr>
            <w:tcW w:w="400" w:type="dxa"/>
            <w:vAlign w:val="bottom"/>
          </w:tcPr>
          <w:p>
            <w:pPr>
              <w:jc w:val="right"/>
              <w:ind w:right="76"/>
              <w:spacing w:after="0"/>
              <w:rPr>
                <w:sz w:val="20"/>
                <w:szCs w:val="20"/>
                <w:color w:val="auto"/>
              </w:rPr>
            </w:pPr>
            <w:r>
              <w:rPr>
                <w:rFonts w:ascii="Arial" w:cs="Arial" w:eastAsia="Arial" w:hAnsi="Arial"/>
                <w:sz w:val="21"/>
                <w:szCs w:val="21"/>
                <w:color w:val="auto"/>
              </w:rPr>
              <w:t>$</w:t>
            </w:r>
          </w:p>
        </w:tc>
        <w:tc>
          <w:tcPr>
            <w:tcW w:w="1100" w:type="dxa"/>
            <w:vAlign w:val="bottom"/>
          </w:tcPr>
          <w:p>
            <w:pPr>
              <w:jc w:val="right"/>
              <w:spacing w:after="0"/>
              <w:rPr>
                <w:sz w:val="20"/>
                <w:szCs w:val="20"/>
                <w:color w:val="auto"/>
              </w:rPr>
            </w:pPr>
            <w:r>
              <w:rPr>
                <w:rFonts w:ascii="Arial" w:cs="Arial" w:eastAsia="Arial" w:hAnsi="Arial"/>
                <w:sz w:val="21"/>
                <w:szCs w:val="21"/>
                <w:color w:val="auto"/>
              </w:rPr>
              <w:t>1,705,579</w:t>
            </w:r>
          </w:p>
        </w:tc>
        <w:tc>
          <w:tcPr>
            <w:tcW w:w="240" w:type="dxa"/>
            <w:vAlign w:val="bottom"/>
          </w:tcPr>
          <w:p>
            <w:pPr>
              <w:spacing w:after="0"/>
              <w:rPr>
                <w:sz w:val="24"/>
                <w:szCs w:val="24"/>
                <w:color w:val="auto"/>
              </w:rPr>
            </w:pPr>
          </w:p>
        </w:tc>
        <w:tc>
          <w:tcPr>
            <w:tcW w:w="540" w:type="dxa"/>
            <w:vAlign w:val="bottom"/>
          </w:tcPr>
          <w:p>
            <w:pPr>
              <w:jc w:val="right"/>
              <w:ind w:right="236"/>
              <w:spacing w:after="0"/>
              <w:rPr>
                <w:sz w:val="20"/>
                <w:szCs w:val="20"/>
                <w:color w:val="auto"/>
              </w:rPr>
            </w:pPr>
            <w:r>
              <w:rPr>
                <w:rFonts w:ascii="Arial" w:cs="Arial" w:eastAsia="Arial" w:hAnsi="Arial"/>
                <w:sz w:val="21"/>
                <w:szCs w:val="21"/>
                <w:color w:val="auto"/>
              </w:rPr>
              <w:t>$</w:t>
            </w:r>
          </w:p>
        </w:tc>
        <w:tc>
          <w:tcPr>
            <w:tcW w:w="980" w:type="dxa"/>
            <w:vAlign w:val="bottom"/>
          </w:tcPr>
          <w:p>
            <w:pPr>
              <w:jc w:val="right"/>
              <w:spacing w:after="0"/>
              <w:rPr>
                <w:sz w:val="20"/>
                <w:szCs w:val="20"/>
                <w:color w:val="auto"/>
              </w:rPr>
            </w:pPr>
            <w:r>
              <w:rPr>
                <w:rFonts w:ascii="Arial" w:cs="Arial" w:eastAsia="Arial" w:hAnsi="Arial"/>
                <w:sz w:val="21"/>
                <w:szCs w:val="21"/>
                <w:color w:val="auto"/>
                <w:w w:val="92"/>
              </w:rPr>
              <w:t>1,589,185</w:t>
            </w:r>
          </w:p>
        </w:tc>
      </w:tr>
      <w:tr>
        <w:trPr>
          <w:trHeight w:val="256"/>
        </w:trPr>
        <w:tc>
          <w:tcPr>
            <w:tcW w:w="4740" w:type="dxa"/>
            <w:vAlign w:val="bottom"/>
            <w:gridSpan w:val="2"/>
          </w:tcPr>
          <w:p>
            <w:pPr>
              <w:spacing w:after="0"/>
              <w:rPr>
                <w:sz w:val="20"/>
                <w:szCs w:val="20"/>
                <w:color w:val="auto"/>
              </w:rPr>
            </w:pPr>
            <w:r>
              <w:rPr>
                <w:rFonts w:ascii="Arial" w:cs="Arial" w:eastAsia="Arial" w:hAnsi="Arial"/>
                <w:sz w:val="21"/>
                <w:szCs w:val="21"/>
                <w:color w:val="auto"/>
              </w:rPr>
              <w:t>Case sales (192-ounce case equivalents)</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59,204</w:t>
            </w:r>
          </w:p>
        </w:tc>
        <w:tc>
          <w:tcPr>
            <w:tcW w:w="24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54,611</w:t>
            </w:r>
          </w:p>
        </w:tc>
        <w:tc>
          <w:tcPr>
            <w:tcW w:w="2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168,568</w:t>
            </w:r>
          </w:p>
        </w:tc>
        <w:tc>
          <w:tcPr>
            <w:tcW w:w="24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156,532</w:t>
            </w:r>
          </w:p>
        </w:tc>
      </w:tr>
      <w:tr>
        <w:trPr>
          <w:trHeight w:val="237"/>
        </w:trPr>
        <w:tc>
          <w:tcPr>
            <w:tcW w:w="4740" w:type="dxa"/>
            <w:vAlign w:val="bottom"/>
            <w:gridSpan w:val="2"/>
          </w:tcPr>
          <w:p>
            <w:pPr>
              <w:spacing w:after="0" w:line="237" w:lineRule="exact"/>
              <w:rPr>
                <w:sz w:val="20"/>
                <w:szCs w:val="20"/>
                <w:color w:val="auto"/>
              </w:rPr>
            </w:pPr>
            <w:r>
              <w:rPr>
                <w:rFonts w:ascii="Arial" w:cs="Arial" w:eastAsia="Arial" w:hAnsi="Arial"/>
                <w:sz w:val="21"/>
                <w:szCs w:val="21"/>
                <w:color w:val="auto"/>
              </w:rPr>
              <w:t>Average net sales per case</w:t>
            </w:r>
          </w:p>
        </w:tc>
        <w:tc>
          <w:tcPr>
            <w:tcW w:w="38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0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9.97</w:t>
            </w:r>
          </w:p>
        </w:tc>
        <w:tc>
          <w:tcPr>
            <w:tcW w:w="240" w:type="dxa"/>
            <w:vAlign w:val="bottom"/>
          </w:tcPr>
          <w:p>
            <w:pPr>
              <w:spacing w:after="0"/>
              <w:rPr>
                <w:sz w:val="20"/>
                <w:szCs w:val="20"/>
                <w:color w:val="auto"/>
              </w:rPr>
            </w:pPr>
          </w:p>
        </w:tc>
        <w:tc>
          <w:tcPr>
            <w:tcW w:w="520" w:type="dxa"/>
            <w:vAlign w:val="bottom"/>
            <w:tcBorders>
              <w:bottom w:val="single" w:sz="8" w:color="auto"/>
            </w:tcBorders>
          </w:tcPr>
          <w:p>
            <w:pPr>
              <w:jc w:val="right"/>
              <w:ind w:right="216"/>
              <w:spacing w:after="0" w:line="237" w:lineRule="exact"/>
              <w:rPr>
                <w:sz w:val="20"/>
                <w:szCs w:val="20"/>
                <w:color w:val="auto"/>
              </w:rPr>
            </w:pPr>
            <w:r>
              <w:rPr>
                <w:rFonts w:ascii="Arial" w:cs="Arial" w:eastAsia="Arial" w:hAnsi="Arial"/>
                <w:sz w:val="21"/>
                <w:szCs w:val="21"/>
                <w:color w:val="auto"/>
              </w:rPr>
              <w:t>$</w:t>
            </w:r>
          </w:p>
        </w:tc>
        <w:tc>
          <w:tcPr>
            <w:tcW w:w="9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9.92</w:t>
            </w:r>
          </w:p>
        </w:tc>
        <w:tc>
          <w:tcPr>
            <w:tcW w:w="220" w:type="dxa"/>
            <w:vAlign w:val="bottom"/>
          </w:tcPr>
          <w:p>
            <w:pPr>
              <w:spacing w:after="0"/>
              <w:rPr>
                <w:sz w:val="20"/>
                <w:szCs w:val="20"/>
                <w:color w:val="auto"/>
              </w:rPr>
            </w:pPr>
          </w:p>
        </w:tc>
        <w:tc>
          <w:tcPr>
            <w:tcW w:w="40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1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10.12</w:t>
            </w:r>
          </w:p>
        </w:tc>
        <w:tc>
          <w:tcPr>
            <w:tcW w:w="240" w:type="dxa"/>
            <w:vAlign w:val="bottom"/>
          </w:tcPr>
          <w:p>
            <w:pPr>
              <w:spacing w:after="0"/>
              <w:rPr>
                <w:sz w:val="20"/>
                <w:szCs w:val="20"/>
                <w:color w:val="auto"/>
              </w:rPr>
            </w:pPr>
          </w:p>
        </w:tc>
        <w:tc>
          <w:tcPr>
            <w:tcW w:w="540" w:type="dxa"/>
            <w:vAlign w:val="bottom"/>
            <w:tcBorders>
              <w:bottom w:val="single" w:sz="8" w:color="auto"/>
            </w:tcBorders>
          </w:tcPr>
          <w:p>
            <w:pPr>
              <w:jc w:val="right"/>
              <w:ind w:right="236"/>
              <w:spacing w:after="0" w:line="237" w:lineRule="exact"/>
              <w:rPr>
                <w:sz w:val="20"/>
                <w:szCs w:val="20"/>
                <w:color w:val="auto"/>
              </w:rPr>
            </w:pPr>
            <w:r>
              <w:rPr>
                <w:rFonts w:ascii="Arial" w:cs="Arial" w:eastAsia="Arial" w:hAnsi="Arial"/>
                <w:sz w:val="21"/>
                <w:szCs w:val="21"/>
                <w:color w:val="auto"/>
              </w:rPr>
              <w:t>$</w:t>
            </w:r>
          </w:p>
        </w:tc>
        <w:tc>
          <w:tcPr>
            <w:tcW w:w="9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10.15</w:t>
            </w:r>
          </w:p>
        </w:tc>
      </w:tr>
      <w:tr>
        <w:trPr>
          <w:trHeight w:val="20"/>
        </w:trPr>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See Item 2, “Management’s Discussion and Analysis of Financial Condition and Results of Operations - Our Business” for additional information related to the increase in sales.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There have been no material changes to our critical accounting policies from the information provided in Item 7, “Management’s Discussion and Analysis of Financial Condition and Results of Operations”, included in our Form 10-K for the fiscal year ended December 31, 2012.</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39" w:lineRule="exact"/>
        <w:rPr>
          <w:sz w:val="20"/>
          <w:szCs w:val="20"/>
          <w:color w:val="auto"/>
        </w:rPr>
      </w:pPr>
    </w:p>
    <w:p>
      <w:pPr>
        <w:jc w:val="both"/>
        <w:ind w:firstLine="492"/>
        <w:spacing w:after="0" w:line="297" w:lineRule="auto"/>
        <w:rPr>
          <w:sz w:val="20"/>
          <w:szCs w:val="20"/>
          <w:color w:val="auto"/>
        </w:rPr>
      </w:pPr>
      <w:r>
        <w:rPr>
          <w:rFonts w:ascii="Arial" w:cs="Arial" w:eastAsia="Arial" w:hAnsi="Arial"/>
          <w:sz w:val="19"/>
          <w:szCs w:val="19"/>
          <w:color w:val="auto"/>
        </w:rPr>
        <w:t>In July 2013, the FASB issued ASU No. 2013-11, “Income Taxes (Topic 740): Presentation of an Unrecognized Tax Benefit when a Net Operating Loss Carryforward, a Similar Tax Loss, or a Tax Credit Carryforward Exists (a consensus of the FASB Emerging Issues Task Force)”. The amendments in this ASU provide guidance on the financial statements presentation of an</w:t>
      </w:r>
    </w:p>
    <w:p>
      <w:pPr>
        <w:sectPr>
          <w:pgSz w:w="11900" w:h="16838" w:orient="portrait"/>
          <w:cols w:equalWidth="0" w:num="1">
            <w:col w:w="11420"/>
          </w:cols>
          <w:pgMar w:left="240" w:top="108" w:right="239" w:bottom="0" w:gutter="0" w:footer="0" w:header="0"/>
        </w:sectPr>
      </w:pPr>
    </w:p>
    <w:bookmarkStart w:id="29" w:name="page30"/>
    <w:bookmarkEnd w:id="29"/>
    <w:p>
      <w:pPr>
        <w:jc w:val="both"/>
        <w:spacing w:after="0" w:line="247" w:lineRule="auto"/>
        <w:rPr>
          <w:sz w:val="20"/>
          <w:szCs w:val="20"/>
          <w:color w:val="auto"/>
        </w:rPr>
      </w:pPr>
      <w:r>
        <w:rPr>
          <w:rFonts w:ascii="Arial" w:cs="Arial" w:eastAsia="Arial" w:hAnsi="Arial"/>
          <w:sz w:val="21"/>
          <w:szCs w:val="21"/>
          <w:color w:val="auto"/>
        </w:rPr>
        <w:t>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 fiscal years, and interim periods within those years, beginning after December 15, 2013. The amendments in ASU No. 2013-11 are not expected to have a material impact on the Company’s financial position, results of operations or liquidity.</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In February 2013, the FASB issued ASU No. 2013-02, “Comprehensive Income (Topic 220): Reporting of Amounts Reclassified Out of Accumulated Other Comprehensive Income”. ASU 2013-02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GAAP to be reclassified to net income in its entirety in the same reporting period. For other amounts that are not required under GAAP to be reclassified in their entirety to net income, an entity is required to cross-reference to other disclosures required under GAAP that provide additional detail about those amounts. The guidance became effective for the Company on January 1, 2013. The adoption of ASU 2013-02 did not have a material impact on the Company’s financial position, results of operations or liquidity.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Inflation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do not believe that inflation had a significant impact on our results of operations for the periods presented.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213" w:lineRule="exact"/>
        <w:rPr>
          <w:sz w:val="20"/>
          <w:szCs w:val="20"/>
          <w:color w:val="auto"/>
        </w:rPr>
      </w:pPr>
    </w:p>
    <w:p>
      <w:pPr>
        <w:ind w:left="500" w:hanging="492"/>
        <w:spacing w:after="0" w:line="239"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Disruption in distribution or sales and/or decline in sales due to the termination and/or appointment of existing and/or new domestic and/or international distributors;</w:t>
      </w:r>
    </w:p>
    <w:p>
      <w:pPr>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Lack of anticipated demand for our products in international markets;</w:t>
      </w:r>
    </w:p>
    <w:p>
      <w:pPr>
        <w:ind w:left="500" w:hanging="492"/>
        <w:spacing w:after="0"/>
        <w:tabs>
          <w:tab w:leader="none" w:pos="5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Unfavorable regulations, including taxation requirements, product registration requirements, tariffs and/or trade restrictions;</w:t>
      </w:r>
    </w:p>
    <w:p>
      <w:pPr>
        <w:spacing w:after="0" w:line="24" w:lineRule="exact"/>
        <w:rPr>
          <w:rFonts w:ascii="Arial" w:cs="Arial" w:eastAsia="Arial" w:hAnsi="Arial"/>
          <w:sz w:val="19"/>
          <w:szCs w:val="19"/>
          <w:color w:val="auto"/>
        </w:rPr>
      </w:pPr>
    </w:p>
    <w:p>
      <w:pPr>
        <w:jc w:val="both"/>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effect of inquiries from and/or actions by state attorneys general or city attorneys and/or other government agencies and/or quasi-government agencies and/or government officials, including members of Congress, into the advertising, marketing, promotion, ingredients, sale and/or consumption of our energy drink products, including voluntary changes to our business practices;</w:t>
      </w:r>
    </w:p>
    <w:p>
      <w:pPr>
        <w:spacing w:after="0" w:line="2"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ability to achieve profitability from our operations outside the United States;</w:t>
      </w:r>
    </w:p>
    <w:p>
      <w:pPr>
        <w:jc w:val="both"/>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spacing w:after="0" w:line="2"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ability to produce our products in international markets in which they are sold, thereby reducing freight costs and/or product damages;</w:t>
      </w:r>
    </w:p>
    <w:p>
      <w:pPr>
        <w:spacing w:after="0" w:line="1"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ability to effectively manage our inventories and/or our accounts receivables;</w:t>
      </w:r>
    </w:p>
    <w:p>
      <w:pPr>
        <w:jc w:val="both"/>
        <w:ind w:left="500" w:hanging="492"/>
        <w:spacing w:after="0" w:line="234"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foreign currency exchange rate risk with respect to our sales, expenses, profits, assets and liabilities denominated in currencies other than the U.S. dollar, which will continue to increase as foreign sales increase, since we do not use derivative financial instruments to reduce our net exposure to currency fluctuations;</w:t>
      </w:r>
    </w:p>
    <w:p>
      <w:pPr>
        <w:sectPr>
          <w:pgSz w:w="11900" w:h="16838" w:orient="portrait"/>
          <w:cols w:equalWidth="0" w:num="1">
            <w:col w:w="11420"/>
          </w:cols>
          <w:pgMar w:left="240" w:top="118" w:right="239" w:bottom="258"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258"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Changes in accounting standards may affect our reported profitability;</w:t>
      </w:r>
    </w:p>
    <w:p>
      <w:pPr>
        <w:spacing w:after="0" w:line="8" w:lineRule="exact"/>
        <w:rPr>
          <w:rFonts w:ascii="Arial" w:cs="Arial" w:eastAsia="Arial" w:hAnsi="Arial"/>
          <w:sz w:val="22"/>
          <w:szCs w:val="22"/>
          <w:color w:val="auto"/>
        </w:rPr>
      </w:pPr>
    </w:p>
    <w:p>
      <w:pPr>
        <w:ind w:left="500" w:right="3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proceedings which may be brought against us by the Securities and Exchange Commission (the “SEC”), the FDA, the Federal Trade Commission (the “FTC”) or other governmental agencies or bodies;</w:t>
      </w:r>
    </w:p>
    <w:p>
      <w:pPr>
        <w:spacing w:after="0" w:line="1"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outcome of shareholder securities litigation and/or shareholder derivative actions filed against us and/or against certain of our officers and directors, and the possibility of other private shareholder litigation;</w:t>
      </w:r>
    </w:p>
    <w:p>
      <w:pPr>
        <w:spacing w:after="0" w:line="1"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possibility of future shareholder derivative actions or shareholder securities litigation filed against us;</w:t>
      </w:r>
    </w:p>
    <w:p>
      <w:pPr>
        <w:jc w:val="both"/>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2"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current uncertainty and volatility in the national and global economy;</w:t>
      </w:r>
    </w:p>
    <w:p>
      <w:pPr>
        <w:jc w:val="both"/>
        <w:ind w:left="500" w:hanging="492"/>
        <w:spacing w:after="0" w:line="241" w:lineRule="auto"/>
        <w:tabs>
          <w:tab w:leader="none" w:pos="5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outcome of future auctions of auction rate securities and/or our ability to recover payments thereunder and/or the creditworthiness of issuers of our auction rate securities and/or our 2011 Put Option (as defined in Note 4 of Notes to the Condensed Consolidated Financial Statements) and/or their ability to make payment thereunder;</w:t>
      </w:r>
    </w:p>
    <w:p>
      <w:pPr>
        <w:spacing w:after="0" w:line="1" w:lineRule="exact"/>
        <w:rPr>
          <w:rFonts w:ascii="Arial" w:cs="Arial" w:eastAsia="Arial" w:hAnsi="Arial"/>
          <w:sz w:val="21"/>
          <w:szCs w:val="21"/>
          <w:color w:val="auto"/>
        </w:rPr>
      </w:pPr>
    </w:p>
    <w:p>
      <w:pPr>
        <w:ind w:left="500" w:hanging="492"/>
        <w:spacing w:after="0"/>
        <w:tabs>
          <w:tab w:leader="none" w:pos="5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Our ability to address any significant deficiencies or material weakness in our internal control over financial reporting;</w:t>
      </w:r>
    </w:p>
    <w:p>
      <w:pPr>
        <w:spacing w:after="0" w:line="1" w:lineRule="exact"/>
        <w:rPr>
          <w:rFonts w:ascii="Arial" w:cs="Arial" w:eastAsia="Arial" w:hAnsi="Arial"/>
          <w:sz w:val="21"/>
          <w:szCs w:val="21"/>
          <w:color w:val="auto"/>
        </w:rPr>
      </w:pP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generate sufficient cash flows to support capital expansion plans and general operating activities;</w:t>
      </w: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Decreased demand for our products resulting from changes in consumer preferences and/or from decreased consumer discretionary spending power and/or from high gasoline prices;</w:t>
      </w:r>
    </w:p>
    <w:p>
      <w:pPr>
        <w:spacing w:after="0" w:line="1"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Changes in demand that are weather related, particularly in areas outside of California;</w:t>
      </w: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introduce new products;</w:t>
      </w: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 inability to achieve volume growth through product and packaging initiatives;</w:t>
      </w: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sustain the current level of sales and/or increase the sales of our Monster Energy® brand energy drinks and/or our Peace Tea® iced teas and/or our other products;</w:t>
      </w:r>
    </w:p>
    <w:p>
      <w:pPr>
        <w:spacing w:after="0" w:line="1" w:lineRule="exact"/>
        <w:rPr>
          <w:rFonts w:ascii="Arial" w:cs="Arial" w:eastAsia="Arial" w:hAnsi="Arial"/>
          <w:sz w:val="22"/>
          <w:szCs w:val="22"/>
          <w:color w:val="auto"/>
        </w:rPr>
      </w:pPr>
    </w:p>
    <w:p>
      <w:pPr>
        <w:jc w:val="both"/>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impact of criticism of our energy drink products and/or the energy drink market generally and/or legislation enacted, whether as a result of such criticism or otherwise, that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sizes or impose age restrictions for the sale of energy drinks;</w:t>
      </w:r>
    </w:p>
    <w:p>
      <w:pPr>
        <w:spacing w:after="0" w:line="3" w:lineRule="exact"/>
        <w:rPr>
          <w:rFonts w:ascii="Arial" w:cs="Arial" w:eastAsia="Arial" w:hAnsi="Arial"/>
          <w:sz w:val="22"/>
          <w:szCs w:val="22"/>
          <w:color w:val="auto"/>
        </w:rPr>
      </w:pPr>
    </w:p>
    <w:p>
      <w:pPr>
        <w:jc w:val="both"/>
        <w:ind w:left="500" w:hanging="492"/>
        <w:spacing w:after="0" w:line="271" w:lineRule="auto"/>
        <w:tabs>
          <w:tab w:leader="none" w:pos="5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and/or sales and/or other taxes on our products and revised tax law interpretations) and environmental laws, as well as the Federal Food, Drug and Cosmetic Act, including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sizes, or impose age restrictions for the sale of energy drinks, as well as laws and regulations or rules made or enforced by the FDA, and/or the Bureau of Alcohol, Tobacco and Firearms and Explosives, and/or the Federal Trade Commission;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left="500" w:hanging="492"/>
        <w:spacing w:after="0" w:line="236" w:lineRule="auto"/>
        <w:tabs>
          <w:tab w:leader="none" w:pos="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Our ability to satisfy all criteria set forth in any model energy drink guidelines, including, without limitation, those proposed by the Company in letters to senators or proposed by the American Beverage Association, of which the Company is a member, and the impact on the Company of such guidelines;</w:t>
      </w:r>
    </w:p>
    <w:p>
      <w:pPr>
        <w:spacing w:after="0" w:line="1"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effect of unfavorable press and/or articles, comments and/or media attention;</w:t>
      </w:r>
    </w:p>
    <w:p>
      <w:pPr>
        <w:jc w:val="both"/>
        <w:ind w:left="500" w:hanging="492"/>
        <w:spacing w:after="0" w:line="241" w:lineRule="auto"/>
        <w:tabs>
          <w:tab w:leader="none" w:pos="500" w:val="left"/>
        </w:tabs>
        <w:numPr>
          <w:ilvl w:val="0"/>
          <w:numId w:val="26"/>
        </w:numPr>
        <w:rPr>
          <w:rFonts w:ascii="Arial" w:cs="Arial" w:eastAsia="Arial" w:hAnsi="Arial"/>
          <w:sz w:val="21"/>
          <w:szCs w:val="21"/>
          <w:color w:val="auto"/>
        </w:rPr>
      </w:pPr>
      <w:r>
        <w:rPr>
          <w:rFonts w:ascii="Arial" w:cs="Arial" w:eastAsia="Arial" w:hAnsi="Arial"/>
          <w:sz w:val="21"/>
          <w:szCs w:val="21"/>
          <w:color w:val="auto"/>
        </w:rPr>
        <w:t>Changes in the cost, quality and availability of containers, packaging materials, raw materials,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Arial" w:cs="Arial" w:eastAsia="Arial" w:hAnsi="Arial"/>
          <w:sz w:val="21"/>
          <w:szCs w:val="21"/>
          <w:color w:val="auto"/>
        </w:rPr>
      </w:pPr>
    </w:p>
    <w:p>
      <w:pPr>
        <w:ind w:left="500" w:hanging="492"/>
        <w:spacing w:after="0" w:line="230" w:lineRule="auto"/>
        <w:tabs>
          <w:tab w:leader="none" w:pos="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Our ability to pass on to our customers all or a portion of the increasing costs of fuel and/or raw materials and/or ingredients and/or commodities affecting our business;</w:t>
      </w:r>
    </w:p>
    <w:p>
      <w:pPr>
        <w:spacing w:after="0" w:line="1" w:lineRule="exact"/>
        <w:rPr>
          <w:rFonts w:ascii="Arial" w:cs="Arial" w:eastAsia="Arial" w:hAnsi="Arial"/>
          <w:sz w:val="22"/>
          <w:szCs w:val="22"/>
          <w:color w:val="auto"/>
        </w:rPr>
      </w:pPr>
    </w:p>
    <w:p>
      <w:pPr>
        <w:jc w:val="both"/>
        <w:ind w:left="500" w:hanging="492"/>
        <w:spacing w:after="0" w:line="241" w:lineRule="auto"/>
        <w:tabs>
          <w:tab w:leader="none" w:pos="500" w:val="left"/>
        </w:tabs>
        <w:numPr>
          <w:ilvl w:val="0"/>
          <w:numId w:val="26"/>
        </w:numPr>
        <w:rPr>
          <w:rFonts w:ascii="Arial" w:cs="Arial" w:eastAsia="Arial" w:hAnsi="Arial"/>
          <w:sz w:val="21"/>
          <w:szCs w:val="21"/>
          <w:color w:val="auto"/>
        </w:rPr>
      </w:pPr>
      <w:r>
        <w:rPr>
          <w:rFonts w:ascii="Arial" w:cs="Arial" w:eastAsia="Arial" w:hAnsi="Arial"/>
          <w:sz w:val="21"/>
          <w:szCs w:val="21"/>
          <w:color w:val="auto"/>
        </w:rPr>
        <w:t>Our ability to achieve both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21"/>
          <w:szCs w:val="21"/>
          <w:color w:val="auto"/>
        </w:rPr>
      </w:pPr>
    </w:p>
    <w:p>
      <w:pPr>
        <w:ind w:left="500" w:hanging="492"/>
        <w:spacing w:after="0" w:line="230" w:lineRule="auto"/>
        <w:tabs>
          <w:tab w:leader="none" w:pos="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Economic or political instability in one or more of our international markets;</w:t>
      </w:r>
    </w:p>
    <w:p>
      <w:pPr>
        <w:ind w:left="500" w:hanging="492"/>
        <w:spacing w:after="0" w:line="230" w:lineRule="auto"/>
        <w:tabs>
          <w:tab w:leader="none" w:pos="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Our ability to secure and/or retain competent and/or effective distributors internationally;</w:t>
      </w:r>
    </w:p>
    <w:p>
      <w:pPr>
        <w:ind w:left="500" w:hanging="492"/>
        <w:spacing w:after="0" w:line="230" w:lineRule="auto"/>
        <w:tabs>
          <w:tab w:leader="none" w:pos="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effectiveness of sales and/or marketing efforts of distributors of our products, most of which distribute products that are competitive with our products;</w:t>
      </w:r>
    </w:p>
    <w:p>
      <w:pPr>
        <w:spacing w:after="0" w:line="1" w:lineRule="exact"/>
        <w:rPr>
          <w:rFonts w:ascii="Arial" w:cs="Arial" w:eastAsia="Arial" w:hAnsi="Arial"/>
          <w:sz w:val="22"/>
          <w:szCs w:val="22"/>
          <w:color w:val="auto"/>
        </w:rPr>
      </w:pPr>
    </w:p>
    <w:p>
      <w:pPr>
        <w:jc w:val="both"/>
        <w:ind w:left="500" w:hanging="492"/>
        <w:spacing w:after="0" w:line="308" w:lineRule="auto"/>
        <w:tabs>
          <w:tab w:leader="none" w:pos="5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Unilateral decisions by distributors, convenience chains, grocery chains, specialty chain stores, club stores and other customers to discontinue carrying all or any of our products that they are carrying at any time and/or restrict the range of our</w:t>
      </w:r>
    </w:p>
    <w:p>
      <w:pPr>
        <w:sectPr>
          <w:pgSz w:w="11900" w:h="16838" w:orient="portrait"/>
          <w:cols w:equalWidth="0" w:num="1">
            <w:col w:w="11420"/>
          </w:cols>
          <w:pgMar w:left="240" w:top="125" w:right="239" w:bottom="0" w:gutter="0" w:footer="0" w:header="0"/>
        </w:sectPr>
      </w:pPr>
    </w:p>
    <w:bookmarkStart w:id="31" w:name="page32"/>
    <w:bookmarkEnd w:id="31"/>
    <w:p>
      <w:pPr>
        <w:ind w:left="500"/>
        <w:spacing w:after="0"/>
        <w:rPr>
          <w:sz w:val="20"/>
          <w:szCs w:val="20"/>
          <w:color w:val="auto"/>
        </w:rPr>
      </w:pPr>
      <w:r>
        <w:rPr>
          <w:rFonts w:ascii="Arial" w:cs="Arial" w:eastAsia="Arial" w:hAnsi="Arial"/>
          <w:sz w:val="22"/>
          <w:szCs w:val="22"/>
          <w:color w:val="auto"/>
        </w:rPr>
        <w:t>products they carry and/or devote less resources to the sale of our products;</w:t>
      </w:r>
    </w:p>
    <w:p>
      <w:pPr>
        <w:ind w:left="500" w:hanging="492"/>
        <w:spacing w:after="0" w:line="238" w:lineRule="auto"/>
        <w:tabs>
          <w:tab w:leader="none" w:pos="5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costs and/or effectiveness, now or in the future, of our advertising, marketing and promotional strategies;</w:t>
      </w:r>
    </w:p>
    <w:p>
      <w:pPr>
        <w:ind w:left="500" w:hanging="492"/>
        <w:spacing w:after="0" w:line="230" w:lineRule="auto"/>
        <w:tabs>
          <w:tab w:leader="none" w:pos="5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Changes in product category consumption;</w:t>
      </w:r>
    </w:p>
    <w:p>
      <w:pPr>
        <w:ind w:left="500" w:hanging="492"/>
        <w:spacing w:after="0" w:line="230" w:lineRule="auto"/>
        <w:tabs>
          <w:tab w:leader="none" w:pos="5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Unforeseen economic and political changes;</w:t>
      </w:r>
    </w:p>
    <w:p>
      <w:pPr>
        <w:ind w:left="500" w:hanging="492"/>
        <w:spacing w:after="0" w:line="230" w:lineRule="auto"/>
        <w:tabs>
          <w:tab w:leader="none" w:pos="5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Possible recalls of our products and/or defective production;</w:t>
      </w:r>
    </w:p>
    <w:p>
      <w:pPr>
        <w:ind w:left="500" w:hanging="492"/>
        <w:spacing w:after="0" w:line="230" w:lineRule="auto"/>
        <w:tabs>
          <w:tab w:leader="none" w:pos="5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Our ability to make suitable arrangements for the co-packing of any of our products both domestically and internationally and/or the timely replacement of discontinued co-packing arrangements;</w:t>
      </w:r>
    </w:p>
    <w:p>
      <w:pPr>
        <w:spacing w:after="0" w:line="1"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Our ability to make suitable arrangements for the procurement of non-defective raw materials;</w:t>
      </w:r>
    </w:p>
    <w:p>
      <w:pPr>
        <w:ind w:left="500" w:hanging="492"/>
        <w:spacing w:after="0" w:line="230" w:lineRule="auto"/>
        <w:tabs>
          <w:tab w:leader="none" w:pos="5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Our inability to protect and/or the loss of our intellectual property rights and/or our inability to use our trademarks and/or trade names or designs in certain countries;</w:t>
      </w:r>
    </w:p>
    <w:p>
      <w:pPr>
        <w:spacing w:after="0" w:line="1"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Volatility of stock prices which may restrict stock sales, stock purchases or other opportunities;</w:t>
      </w:r>
    </w:p>
    <w:p>
      <w:pPr>
        <w:ind w:left="500" w:right="20" w:hanging="492"/>
        <w:spacing w:after="0" w:line="230" w:lineRule="auto"/>
        <w:tabs>
          <w:tab w:leader="none" w:pos="5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failure of our bottlers and contract packers to manufacture our products on a timely basis or at all;</w:t>
      </w:r>
    </w:p>
    <w:p>
      <w:pPr>
        <w:ind w:left="500" w:hanging="492"/>
        <w:spacing w:after="0"/>
        <w:tabs>
          <w:tab w:leader="none" w:pos="5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Exposure to significant liabilities due to litigation, legal or regulatory proceedings;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ind w:left="500" w:right="20" w:hanging="492"/>
        <w:spacing w:after="0" w:line="239" w:lineRule="auto"/>
        <w:tabs>
          <w:tab w:leader="none" w:pos="5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Any disruption in and/or lack of effectiveness of our information technology systems that disrupts our business or negatively impacts customer relationships; and</w:t>
      </w:r>
    </w:p>
    <w:p>
      <w:pPr>
        <w:ind w:left="500" w:hanging="492"/>
        <w:spacing w:after="0"/>
        <w:tabs>
          <w:tab w:leader="none" w:pos="5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Recruitment and retention of senior management, other key employees and our employee base in general.</w:t>
      </w:r>
    </w:p>
    <w:p>
      <w:pPr>
        <w:spacing w:after="0" w:line="21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The foregoing list of important factors and other risks detailed from time to time in our reports filed with the SEC is not exhaustive. See the section entitled “Risk Factors” in our Form 10-K for the fiscal year ended December 31, 2012,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9"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There have been no material changes in our market risk during the three- and nine-months ended September 30, 2013 compared with the disclosures in Part II, Item 7A of our Annual Report on Form 10-K for the year ended December 31, 2012.</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 Under the supervision and with the participation of the Company’s</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85"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i w:val="1"/>
          <w:iCs w:val="1"/>
          <w:color w:val="auto"/>
        </w:rPr>
        <w:t xml:space="preserve">Changes in Internal Control Over Financial Reporting </w:t>
      </w:r>
      <w:r>
        <w:rPr>
          <w:rFonts w:ascii="Arial" w:cs="Arial" w:eastAsia="Arial" w:hAnsi="Arial"/>
          <w:sz w:val="22"/>
          <w:szCs w:val="22"/>
          <w:color w:val="auto"/>
        </w:rPr>
        <w:t>– There were no changes in the Company’s internal controls over</w:t>
      </w:r>
      <w:r>
        <w:rPr>
          <w:rFonts w:ascii="Arial" w:cs="Arial" w:eastAsia="Arial" w:hAnsi="Arial"/>
          <w:sz w:val="22"/>
          <w:szCs w:val="22"/>
          <w:i w:val="1"/>
          <w:iCs w:val="1"/>
          <w:color w:val="auto"/>
        </w:rPr>
        <w:t xml:space="preserve"> </w:t>
      </w:r>
      <w:r>
        <w:rPr>
          <w:rFonts w:ascii="Arial" w:cs="Arial" w:eastAsia="Arial" w:hAnsi="Arial"/>
          <w:sz w:val="22"/>
          <w:szCs w:val="22"/>
          <w:color w:val="auto"/>
        </w:rPr>
        <w:t>financial reporting during the quarter ended September 30, 2013, that have materially affected, or are reasonably likely to materially affect, our internal control over financial reporting.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ectPr>
          <w:pgSz w:w="11900" w:h="16838" w:orient="portrait"/>
          <w:cols w:equalWidth="0" w:num="1">
            <w:col w:w="11420"/>
          </w:cols>
          <w:pgMar w:left="240" w:top="118" w:right="239" w:bottom="296" w:gutter="0" w:footer="0" w:header="0"/>
        </w:sectPr>
      </w:pPr>
    </w:p>
    <w:bookmarkStart w:id="32" w:name="page33"/>
    <w:bookmarkEnd w:id="32"/>
    <w:p>
      <w:pPr>
        <w:jc w:val="both"/>
        <w:ind w:firstLine="648"/>
        <w:spacing w:after="0" w:line="244" w:lineRule="auto"/>
        <w:rPr>
          <w:sz w:val="20"/>
          <w:szCs w:val="20"/>
          <w:color w:val="auto"/>
        </w:rPr>
      </w:pPr>
      <w:r>
        <w:rPr>
          <w:rFonts w:ascii="Arial" w:cs="Arial" w:eastAsia="Arial" w:hAnsi="Arial"/>
          <w:sz w:val="21"/>
          <w:szCs w:val="21"/>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“Wellman Action”).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 been filed. The Company believes that any such damages, if awarded, would not have a material adverse effect on the Company’s financial position or results of operations.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On October 17, 2012, Wendy Crossland and Richard Fournier filed a lawsuit in the Superior Court of the State of California, County of Riverside, styled </w:t>
      </w:r>
      <w:r>
        <w:rPr>
          <w:rFonts w:ascii="Arial" w:cs="Arial" w:eastAsia="Arial" w:hAnsi="Arial"/>
          <w:sz w:val="21"/>
          <w:szCs w:val="21"/>
          <w:i w:val="1"/>
          <w:iCs w:val="1"/>
          <w:color w:val="auto"/>
        </w:rPr>
        <w:t>Wendy Crossland and Richard Fournier v. Monster Beverage Corporation</w:t>
      </w:r>
      <w:r>
        <w:rPr>
          <w:rFonts w:ascii="Arial" w:cs="Arial" w:eastAsia="Arial" w:hAnsi="Arial"/>
          <w:sz w:val="21"/>
          <w:szCs w:val="21"/>
          <w:color w:val="auto"/>
        </w:rPr>
        <w:t>,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filed a demurrer and a motion to strike the plaintiffs’ complaint on November 19, 2012, and the plaintiffs filed a first amended complaint on December 19, 2012. The Company filed its answer to the first amended complaint on June 7, 2013. The court set a mediation completion date of November 26, 2013 and indicated that if the parties needed additional time to complete the mediation, the mediation could be scheduled for a later date. Discovery has commenced but no trial date has been set.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21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Company has also been named as a defendant in other complaints containing similar allegations to those presented in the Fournier lawsuit, each of which the Company believes is also without merit and would not have a material adverse effect on the Company’s financial position or results of operations in the event any damages were awarded.</w:t>
      </w:r>
    </w:p>
    <w:p>
      <w:pPr>
        <w:spacing w:after="0" w:line="19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i w:val="1"/>
          <w:iCs w:val="1"/>
          <w:color w:val="auto"/>
        </w:rPr>
        <w:t xml:space="preserve">Securities Litigation </w:t>
      </w:r>
      <w:r>
        <w:rPr>
          <w:rFonts w:ascii="Arial" w:cs="Arial" w:eastAsia="Arial" w:hAnsi="Arial"/>
          <w:sz w:val="22"/>
          <w:szCs w:val="22"/>
          <w:color w:val="auto"/>
        </w:rPr>
        <w:t>– On September 11, 2008, a federal securities class action complaint styled</w:t>
      </w:r>
      <w:r>
        <w:rPr>
          <w:rFonts w:ascii="Arial" w:cs="Arial" w:eastAsia="Arial" w:hAnsi="Arial"/>
          <w:sz w:val="22"/>
          <w:szCs w:val="22"/>
          <w:i w:val="1"/>
          <w:iCs w:val="1"/>
          <w:color w:val="auto"/>
        </w:rPr>
        <w:t xml:space="preserve"> Cunha v. Hansen Natural Corp., et al. </w:t>
      </w:r>
      <w:r>
        <w:rPr>
          <w:rFonts w:ascii="Arial" w:cs="Arial" w:eastAsia="Arial" w:hAnsi="Arial"/>
          <w:sz w:val="22"/>
          <w:szCs w:val="22"/>
          <w:color w:val="auto"/>
        </w:rPr>
        <w:t>was filed in the United States District Court for the Central District of California (the “District Court”). 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September 17, 2008, a second federal securities class action complaint styled </w:t>
      </w:r>
      <w:r>
        <w:rPr>
          <w:rFonts w:ascii="Arial" w:cs="Arial" w:eastAsia="Arial" w:hAnsi="Arial"/>
          <w:sz w:val="22"/>
          <w:szCs w:val="22"/>
          <w:i w:val="1"/>
          <w:iCs w:val="1"/>
          <w:color w:val="auto"/>
        </w:rPr>
        <w:t>Brown v. Hansen Natural Corp., et al.</w:t>
      </w:r>
      <w:r>
        <w:rPr>
          <w:rFonts w:ascii="Arial" w:cs="Arial" w:eastAsia="Arial" w:hAnsi="Arial"/>
          <w:sz w:val="22"/>
          <w:szCs w:val="22"/>
          <w:color w:val="auto"/>
        </w:rPr>
        <w:t xml:space="preserve"> was also filed in the District Court. After the District Court consolidated the two actions and appointed the Structural Ironworkers Local Union #1 Pension Fund as lead plaintiff, a Consolidated Complaint for Violations of Federal Securities Laws was filed on August 28, 2009 (the “Consolidated Class Action Complaint”).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2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District Court dismissed the Consolidated Class Action Complaint, with leave to amend, on July 12, 2010. Plaintiff thereafter filed a Consolidated Amended Class Action Complaint for Violations of Federal Securities Laws on August 27, 2010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w:t>
      </w:r>
    </w:p>
    <w:p>
      <w:pPr>
        <w:spacing w:after="0" w:line="21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On September 4, 2012, the District Court dismissed certain of the claims in the Amended Class Action Complaint, including plaintiff’s allegations relating to promotional expenses, but denied defendants’ motion to dismiss with regard to the majority of plaintiff’s claims, including plaintiff’s channel stuffing allegations. Plaintiff filed a motion seeking class certification on December 6, 2012. At a hearing on plaintiff’s class certification motion held on June 20, 2013, the District Court issued a tentative ruling indicating that it was inclined to deny the motion, without prejudice. The District Court has not yet, however, issued a final ruling and the motion for class certification remains sub judice. Fact discovery in the action has been stayed pending resolution of the class certification motion.</w:t>
      </w:r>
    </w:p>
    <w:p>
      <w:pPr>
        <w:sectPr>
          <w:pgSz w:w="11900" w:h="16838" w:orient="portrait"/>
          <w:cols w:equalWidth="0" w:num="1">
            <w:col w:w="11420"/>
          </w:cols>
          <w:pgMar w:left="240" w:top="118" w:right="239" w:bottom="0" w:gutter="0" w:footer="0" w:header="0"/>
        </w:sectPr>
      </w:pPr>
    </w:p>
    <w:bookmarkStart w:id="33" w:name="page34"/>
    <w:bookmarkEnd w:id="33"/>
    <w:p>
      <w:pPr>
        <w:jc w:val="both"/>
        <w:ind w:firstLine="648"/>
        <w:spacing w:after="0" w:line="238" w:lineRule="auto"/>
        <w:rPr>
          <w:sz w:val="20"/>
          <w:szCs w:val="20"/>
          <w:color w:val="auto"/>
        </w:rPr>
      </w:pPr>
      <w:r>
        <w:rPr>
          <w:rFonts w:ascii="Arial" w:cs="Arial" w:eastAsia="Arial" w:hAnsi="Arial"/>
          <w:sz w:val="22"/>
          <w:szCs w:val="22"/>
          <w:color w:val="auto"/>
        </w:rPr>
        <w:t>The Amended Class Action Complaint seeks an unspecified amount of damages. As a result, the amount or range of reasonably possible litigation losses to which the Company is exposed cannot be estimated. Although the ultimate outcome of this action cannot be determined with certainty, the Company believes that the allegations in the Amended Class Action Complaint are without merit. The Company intends to vigorously defend against this lawsuit.</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 xml:space="preserve">State Attorney General Inquiry </w:t>
      </w:r>
      <w:r>
        <w:rPr>
          <w:rFonts w:ascii="Arial" w:cs="Arial" w:eastAsia="Arial" w:hAnsi="Arial"/>
          <w:sz w:val="19"/>
          <w:szCs w:val="19"/>
          <w:color w:val="auto"/>
        </w:rPr>
        <w:t>– In July 2012, the Company received a subpoena from a state attorney general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an investigation concerning the Company’s advertising, marketing, promotion, ingredients, usage and sale of its Monster Energy® brand of energy drinks. As the investigation is in an early stage,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i w:val="1"/>
          <w:iCs w:val="1"/>
          <w:color w:val="auto"/>
        </w:rPr>
        <w:t>San Francisco City Attorney Litigation</w:t>
      </w:r>
      <w:r>
        <w:rPr>
          <w:rFonts w:ascii="Arial" w:cs="Arial" w:eastAsia="Arial" w:hAnsi="Arial"/>
          <w:sz w:val="21"/>
          <w:szCs w:val="21"/>
          <w:color w:val="auto"/>
        </w:rPr>
        <w:t>. On October 31, 2012, the Company received a written request for information from</w:t>
      </w:r>
      <w:r>
        <w:rPr>
          <w:rFonts w:ascii="Arial" w:cs="Arial" w:eastAsia="Arial" w:hAnsi="Arial"/>
          <w:sz w:val="21"/>
          <w:szCs w:val="21"/>
          <w:i w:val="1"/>
          <w:iCs w:val="1"/>
          <w:color w:val="auto"/>
        </w:rPr>
        <w:t xml:space="preserve"> </w:t>
      </w:r>
      <w:r>
        <w:rPr>
          <w:rFonts w:ascii="Arial" w:cs="Arial" w:eastAsia="Arial" w:hAnsi="Arial"/>
          <w:sz w:val="21"/>
          <w:szCs w:val="21"/>
          <w:color w:val="auto"/>
        </w:rPr>
        <w:t>the City Attorney for the City and County of San Francisco concerning the Company’s advertising and marketing of its Monster Energy® brand of energy drinks and specifically concerning the safety of its products for consumption by adolescents. In a letter dated March 29, 2013, the San Francisco City Attorney threatened to bring suit against the Company if it did not agree to take the following five steps immediately: (i) “Reformulate its product to lower the caffeine content to safe levels”; (ii) “Provide adequate warning labels”; (iii) “Cease promoting over-consumption in marketing”; (iv) “Cease use of alcohol and drug references in marketing”; and (v) “Cease targeting minors.”</w:t>
      </w:r>
    </w:p>
    <w:p>
      <w:pPr>
        <w:spacing w:after="0" w:line="20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On April 29, 2013, the Company and its wholly owned subsidiary, Monster Energy Company, filed a complaint for declaratory and injunctive relief against the San Francisco City Attorney in United States District Court for the Central District of California (the “Central District Court”), styled </w:t>
      </w:r>
      <w:r>
        <w:rPr>
          <w:rFonts w:ascii="Arial" w:cs="Arial" w:eastAsia="Arial" w:hAnsi="Arial"/>
          <w:sz w:val="19"/>
          <w:szCs w:val="19"/>
          <w:i w:val="1"/>
          <w:iCs w:val="1"/>
          <w:color w:val="auto"/>
        </w:rPr>
        <w:t>Monster Beverage Corp., et al. v. Dennis Herrera.</w:t>
      </w:r>
      <w:r>
        <w:rPr>
          <w:rFonts w:ascii="Arial" w:cs="Arial" w:eastAsia="Arial" w:hAnsi="Arial"/>
          <w:sz w:val="19"/>
          <w:szCs w:val="19"/>
          <w:color w:val="auto"/>
        </w:rPr>
        <w:t xml:space="preserve"> The Company seeks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Company’s complaint, arguing in part that the complaint should be dismissed in light of the San Francisco Action (described below) filed on May 6, 2013. On August 22, 2013, the Central District Court granted in part and denied in part the City Attorney’s motion.</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On October 17, 2013 (after the San Francisco Action described below was remanded to San Francisco Superior Court), the City Attorney filed a renewed motion to dismiss. A hearing on that motion is scheduled for December 9, 2013.</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On May 6, 2013, the San Francisco City Attorney filed a complaint for declaratory and injunctive relief, civil penalties and restitution for alleged violation of California’s Unfair Competition Law, Business &amp; Professions Code sections 17200, et seq., styled </w:t>
      </w:r>
      <w:r>
        <w:rPr>
          <w:rFonts w:ascii="Arial" w:cs="Arial" w:eastAsia="Arial" w:hAnsi="Arial"/>
          <w:sz w:val="19"/>
          <w:szCs w:val="19"/>
          <w:i w:val="1"/>
          <w:iCs w:val="1"/>
          <w:color w:val="auto"/>
        </w:rPr>
        <w:t>People Of The State Of California ex rel. Dennis Herrera, San Francisco City Attorney v. Monster Beverage Corporation</w:t>
      </w:r>
      <w:r>
        <w:rPr>
          <w:rFonts w:ascii="Arial" w:cs="Arial" w:eastAsia="Arial" w:hAnsi="Arial"/>
          <w:sz w:val="19"/>
          <w:szCs w:val="19"/>
          <w:color w:val="auto"/>
        </w:rPr>
        <w:t>, San Francisco Superior Court (the “San Francisco Action”). The City Attorney alleges that the Company (1) mislabeled its products as a dietary supplement, in violation of California’s Sherman Food, Drug and Cosmetic Law, California Health &amp; Safety Code sections 109875 et. seq.; (2) is selling an “adulterated” product because caffeine is not generally recognized as safe (“GRAS”)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seeks a declaration that the Company has engaged in unfair and unlawful business acts and practices in violation of the Unfair Competition Law; an injunction from performing or proposing to perform any acts in violation of the Unfair Competition Law; restitution; and civil penalties. On June 3, 2013, the Company removed the case to the United States District Court for the Northern District of California (the “Northern District Court”). On July 3, 2013, the Company filed a motion to dismiss, stay, or transfer the action to the Central District Court. On that same day, the City Attorney filed a motion to remand the case back to state court. On September 18, 2013, the Northern District Court granted the City Attorney’s motion to remand. Because of the remand, the Northern District Court did not reach the merits of the Company’s motion to dismiss, stay, or transfer the action.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Following remand of the San Francisco Action, the Superior Court designated the case as complex and set an initial case management conference for December 13, 2013. The Company’s initial response to the complaint is due 30 days after the case management conference.</w:t>
      </w:r>
    </w:p>
    <w:p>
      <w:pPr>
        <w:spacing w:after="0" w:line="213"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The Company denies that it has violated the Unfair Competition Law or any other law and believes that the City Attorney’s claims and demands are preempted and unconstitutional, as alleged in the action the Company filed in the Central District Court.</w:t>
      </w:r>
    </w:p>
    <w:p>
      <w:pPr>
        <w:sectPr>
          <w:pgSz w:w="11900" w:h="16838" w:orient="portrait"/>
          <w:cols w:equalWidth="0" w:num="1">
            <w:col w:w="11420"/>
          </w:cols>
          <w:pgMar w:left="240" w:top="361" w:right="239" w:bottom="0" w:gutter="0" w:footer="0" w:header="0"/>
        </w:sectPr>
      </w:pPr>
    </w:p>
    <w:bookmarkStart w:id="34" w:name="page35"/>
    <w:bookmarkEnd w:id="34"/>
    <w:p>
      <w:pPr>
        <w:ind w:right="20"/>
        <w:spacing w:after="0" w:line="251" w:lineRule="auto"/>
        <w:rPr>
          <w:sz w:val="20"/>
          <w:szCs w:val="20"/>
          <w:color w:val="auto"/>
        </w:rPr>
      </w:pPr>
      <w:r>
        <w:rPr>
          <w:rFonts w:ascii="Arial" w:cs="Arial" w:eastAsia="Arial" w:hAnsi="Arial"/>
          <w:sz w:val="22"/>
          <w:szCs w:val="22"/>
          <w:color w:val="auto"/>
        </w:rPr>
        <w:t>The Company intends to vigorously defend against this lawsuit. At this time, no evaluation of the likelihood of an unfavorable outcome or range of potential loss can be expressed.</w:t>
      </w:r>
    </w:p>
    <w:p>
      <w:pPr>
        <w:spacing w:after="0" w:line="201"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In addition to the above matters, the Company has been named as a defendant in various false advertising putative class actions and in a private attorney general action, each of which contains certain allegations similar to those presented in the Wellman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Furthermore, the Company is subject to litigation from time to time in the normal course of business, including intellectual property litigation and claims from terminated distributors. Although it is not possible to predict the outcome of such litigation, based on the facts known to the Company, management believes that such litigation in the aggregate will likely not have a material adverse effect on the Company’s financial position or results of operations.</w:t>
      </w:r>
    </w:p>
    <w:p>
      <w:pPr>
        <w:spacing w:after="0" w:line="191"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21"/>
          <w:szCs w:val="21"/>
          <w:b w:val="1"/>
          <w:bCs w:val="1"/>
          <w:color w:val="auto"/>
        </w:rPr>
        <w:t>RISK FACTORS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Risk Factors are discussed in our Annual Report on Form 10-K for the fiscal year ended December 31, 2012. There have been no material changes with respect to the risk factors disclosed in our Annual Report on Form 10-K for the period ended December 31, 2012.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UNREGISTERED SALES OF EQUITY SECURITIES AND USE OF PROCEEDS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During the three-months ended September 30, 2013, 87 shares were purchased from employees in lieu of cash payments for options exercised or withholding taxes due for a total amount of $0.005 million. While such purchases are considered common stock repurchases, they are not counted as purchases against our authorized share repurchase programs, including the April 2013 Repurchase Plan.</w:t>
      </w:r>
    </w:p>
    <w:p>
      <w:pPr>
        <w:spacing w:after="0" w:line="206"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80" w:type="dxa"/>
            <w:vAlign w:val="bottom"/>
          </w:tcPr>
          <w:p>
            <w:pPr>
              <w:ind w:left="40"/>
              <w:spacing w:after="0"/>
              <w:rPr>
                <w:sz w:val="20"/>
                <w:szCs w:val="20"/>
                <w:color w:val="auto"/>
              </w:rPr>
            </w:pPr>
            <w:r>
              <w:rPr>
                <w:rFonts w:ascii="Arial" w:cs="Arial" w:eastAsia="Arial" w:hAnsi="Arial"/>
                <w:sz w:val="22"/>
                <w:szCs w:val="22"/>
                <w:b w:val="1"/>
                <w:bCs w:val="1"/>
                <w:color w:val="auto"/>
              </w:rPr>
              <w:t>OTHER INFORMATION</w:t>
            </w:r>
          </w:p>
        </w:tc>
      </w:tr>
      <w:tr>
        <w:trPr>
          <w:trHeight w:val="486"/>
        </w:trPr>
        <w:tc>
          <w:tcPr>
            <w:tcW w:w="1240" w:type="dxa"/>
            <w:vAlign w:val="bottom"/>
          </w:tcPr>
          <w:p>
            <w:pPr>
              <w:ind w:left="660"/>
              <w:spacing w:after="0"/>
              <w:rPr>
                <w:sz w:val="20"/>
                <w:szCs w:val="20"/>
                <w:color w:val="auto"/>
              </w:rPr>
            </w:pPr>
            <w:r>
              <w:rPr>
                <w:rFonts w:ascii="Arial" w:cs="Arial" w:eastAsia="Arial" w:hAnsi="Arial"/>
                <w:sz w:val="22"/>
                <w:szCs w:val="22"/>
                <w:color w:val="auto"/>
                <w:w w:val="95"/>
              </w:rPr>
              <w:t>None.</w:t>
            </w:r>
          </w:p>
        </w:tc>
        <w:tc>
          <w:tcPr>
            <w:tcW w:w="1008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80" w:type="dxa"/>
            <w:vAlign w:val="bottom"/>
          </w:tcPr>
          <w:p>
            <w:pPr>
              <w:ind w:left="40"/>
              <w:spacing w:after="0"/>
              <w:rPr>
                <w:sz w:val="20"/>
                <w:szCs w:val="20"/>
                <w:color w:val="auto"/>
              </w:rPr>
            </w:pPr>
            <w:r>
              <w:rPr>
                <w:rFonts w:ascii="Arial" w:cs="Arial" w:eastAsia="Arial" w:hAnsi="Arial"/>
                <w:sz w:val="22"/>
                <w:szCs w:val="22"/>
                <w:b w:val="1"/>
                <w:bCs w:val="1"/>
                <w:color w:val="auto"/>
              </w:rPr>
              <w:t>EXHIBITS</w:t>
            </w: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rPr>
              <w:t>31.1*</w:t>
            </w:r>
          </w:p>
        </w:tc>
        <w:tc>
          <w:tcPr>
            <w:tcW w:w="10080" w:type="dxa"/>
            <w:vAlign w:val="bottom"/>
          </w:tcPr>
          <w:p>
            <w:pPr>
              <w:ind w:left="300"/>
              <w:spacing w:after="0"/>
              <w:rPr>
                <w:sz w:val="20"/>
                <w:szCs w:val="20"/>
                <w:color w:val="auto"/>
              </w:rPr>
            </w:pPr>
            <w:r>
              <w:rPr>
                <w:rFonts w:ascii="Arial" w:cs="Arial" w:eastAsia="Arial" w:hAnsi="Arial"/>
                <w:sz w:val="22"/>
                <w:szCs w:val="22"/>
                <w:color w:val="auto"/>
              </w:rPr>
              <w:t>Certification of Chief Executive Officer Pursuant to Section 302 of the Sarbanes-Oxley Act of 2002</w:t>
            </w: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rPr>
              <w:t>31.2*</w:t>
            </w:r>
          </w:p>
        </w:tc>
        <w:tc>
          <w:tcPr>
            <w:tcW w:w="10080" w:type="dxa"/>
            <w:vAlign w:val="bottom"/>
          </w:tcPr>
          <w:p>
            <w:pPr>
              <w:ind w:left="300"/>
              <w:spacing w:after="0"/>
              <w:rPr>
                <w:sz w:val="20"/>
                <w:szCs w:val="20"/>
                <w:color w:val="auto"/>
              </w:rPr>
            </w:pPr>
            <w:r>
              <w:rPr>
                <w:rFonts w:ascii="Arial" w:cs="Arial" w:eastAsia="Arial" w:hAnsi="Arial"/>
                <w:sz w:val="22"/>
                <w:szCs w:val="22"/>
                <w:color w:val="auto"/>
              </w:rPr>
              <w:t>Certification of Chief Financial Officer Pursuant to Section 302 of the Sarbanes-Oxley Act of 2002</w:t>
            </w:r>
          </w:p>
        </w:tc>
      </w:tr>
      <w:tr>
        <w:trPr>
          <w:trHeight w:val="455"/>
        </w:trPr>
        <w:tc>
          <w:tcPr>
            <w:tcW w:w="1240" w:type="dxa"/>
            <w:vAlign w:val="bottom"/>
          </w:tcPr>
          <w:p>
            <w:pPr>
              <w:spacing w:after="0"/>
              <w:rPr>
                <w:sz w:val="20"/>
                <w:szCs w:val="20"/>
                <w:color w:val="auto"/>
              </w:rPr>
            </w:pPr>
            <w:r>
              <w:rPr>
                <w:rFonts w:ascii="Arial" w:cs="Arial" w:eastAsia="Arial" w:hAnsi="Arial"/>
                <w:sz w:val="22"/>
                <w:szCs w:val="22"/>
                <w:color w:val="auto"/>
              </w:rPr>
              <w:t>32.1*</w:t>
            </w:r>
          </w:p>
        </w:tc>
        <w:tc>
          <w:tcPr>
            <w:tcW w:w="10080" w:type="dxa"/>
            <w:vAlign w:val="bottom"/>
          </w:tcPr>
          <w:p>
            <w:pPr>
              <w:ind w:left="300"/>
              <w:spacing w:after="0"/>
              <w:rPr>
                <w:sz w:val="20"/>
                <w:szCs w:val="20"/>
                <w:color w:val="auto"/>
              </w:rPr>
            </w:pPr>
            <w:r>
              <w:rPr>
                <w:rFonts w:ascii="Arial" w:cs="Arial" w:eastAsia="Arial" w:hAnsi="Arial"/>
                <w:sz w:val="22"/>
                <w:szCs w:val="22"/>
                <w:color w:val="auto"/>
                <w:w w:val="89"/>
              </w:rPr>
              <w:t>Certification of Chief Executive Officer Pursuant to 18 U.S.C. Section 1350, as Adopted Pursuant to Section 906</w:t>
            </w:r>
          </w:p>
        </w:tc>
      </w:tr>
      <w:tr>
        <w:trPr>
          <w:trHeight w:val="275"/>
        </w:trPr>
        <w:tc>
          <w:tcPr>
            <w:tcW w:w="1240" w:type="dxa"/>
            <w:vAlign w:val="bottom"/>
          </w:tcPr>
          <w:p>
            <w:pPr>
              <w:spacing w:after="0"/>
              <w:rPr>
                <w:sz w:val="23"/>
                <w:szCs w:val="23"/>
                <w:color w:val="auto"/>
              </w:rPr>
            </w:pPr>
          </w:p>
        </w:tc>
        <w:tc>
          <w:tcPr>
            <w:tcW w:w="10080" w:type="dxa"/>
            <w:vAlign w:val="bottom"/>
          </w:tcPr>
          <w:p>
            <w:pPr>
              <w:ind w:left="300"/>
              <w:spacing w:after="0"/>
              <w:rPr>
                <w:sz w:val="20"/>
                <w:szCs w:val="20"/>
                <w:color w:val="auto"/>
              </w:rPr>
            </w:pPr>
            <w:r>
              <w:rPr>
                <w:rFonts w:ascii="Arial" w:cs="Arial" w:eastAsia="Arial" w:hAnsi="Arial"/>
                <w:sz w:val="22"/>
                <w:szCs w:val="22"/>
                <w:color w:val="auto"/>
              </w:rPr>
              <w:t>of the Sarbanes-Oxley Act of 2002</w:t>
            </w:r>
          </w:p>
        </w:tc>
      </w:tr>
      <w:tr>
        <w:trPr>
          <w:trHeight w:val="455"/>
        </w:trPr>
        <w:tc>
          <w:tcPr>
            <w:tcW w:w="1240" w:type="dxa"/>
            <w:vAlign w:val="bottom"/>
          </w:tcPr>
          <w:p>
            <w:pPr>
              <w:spacing w:after="0"/>
              <w:rPr>
                <w:sz w:val="20"/>
                <w:szCs w:val="20"/>
                <w:color w:val="auto"/>
              </w:rPr>
            </w:pPr>
            <w:r>
              <w:rPr>
                <w:rFonts w:ascii="Arial" w:cs="Arial" w:eastAsia="Arial" w:hAnsi="Arial"/>
                <w:sz w:val="22"/>
                <w:szCs w:val="22"/>
                <w:color w:val="auto"/>
              </w:rPr>
              <w:t>32.2*</w:t>
            </w:r>
          </w:p>
        </w:tc>
        <w:tc>
          <w:tcPr>
            <w:tcW w:w="10080" w:type="dxa"/>
            <w:vAlign w:val="bottom"/>
          </w:tcPr>
          <w:p>
            <w:pPr>
              <w:ind w:left="300"/>
              <w:spacing w:after="0"/>
              <w:rPr>
                <w:sz w:val="20"/>
                <w:szCs w:val="20"/>
                <w:color w:val="auto"/>
              </w:rPr>
            </w:pPr>
            <w:r>
              <w:rPr>
                <w:rFonts w:ascii="Arial" w:cs="Arial" w:eastAsia="Arial" w:hAnsi="Arial"/>
                <w:sz w:val="22"/>
                <w:szCs w:val="22"/>
                <w:color w:val="auto"/>
                <w:w w:val="89"/>
              </w:rPr>
              <w:t>Certification by Chief Financial Officer Pursuant to 18 U.S.C. Section 1350, as Adopted Pursuant to Section 906</w:t>
            </w:r>
          </w:p>
        </w:tc>
      </w:tr>
      <w:tr>
        <w:trPr>
          <w:trHeight w:val="275"/>
        </w:trPr>
        <w:tc>
          <w:tcPr>
            <w:tcW w:w="1240" w:type="dxa"/>
            <w:vAlign w:val="bottom"/>
          </w:tcPr>
          <w:p>
            <w:pPr>
              <w:spacing w:after="0"/>
              <w:rPr>
                <w:sz w:val="23"/>
                <w:szCs w:val="23"/>
                <w:color w:val="auto"/>
              </w:rPr>
            </w:pPr>
          </w:p>
        </w:tc>
        <w:tc>
          <w:tcPr>
            <w:tcW w:w="10080" w:type="dxa"/>
            <w:vAlign w:val="bottom"/>
          </w:tcPr>
          <w:p>
            <w:pPr>
              <w:ind w:left="300"/>
              <w:spacing w:after="0"/>
              <w:rPr>
                <w:sz w:val="20"/>
                <w:szCs w:val="20"/>
                <w:color w:val="auto"/>
              </w:rPr>
            </w:pPr>
            <w:r>
              <w:rPr>
                <w:rFonts w:ascii="Arial" w:cs="Arial" w:eastAsia="Arial" w:hAnsi="Arial"/>
                <w:sz w:val="22"/>
                <w:szCs w:val="22"/>
                <w:color w:val="auto"/>
              </w:rPr>
              <w:t>of the Sarbanes-Oxley Act of 2002</w:t>
            </w:r>
          </w:p>
        </w:tc>
      </w:tr>
      <w:tr>
        <w:trPr>
          <w:trHeight w:val="455"/>
        </w:trPr>
        <w:tc>
          <w:tcPr>
            <w:tcW w:w="1240" w:type="dxa"/>
            <w:vAlign w:val="bottom"/>
          </w:tcPr>
          <w:p>
            <w:pPr>
              <w:spacing w:after="0"/>
              <w:rPr>
                <w:sz w:val="20"/>
                <w:szCs w:val="20"/>
                <w:color w:val="auto"/>
              </w:rPr>
            </w:pPr>
            <w:r>
              <w:rPr>
                <w:rFonts w:ascii="Arial" w:cs="Arial" w:eastAsia="Arial" w:hAnsi="Arial"/>
                <w:sz w:val="22"/>
                <w:szCs w:val="22"/>
                <w:color w:val="auto"/>
              </w:rPr>
              <w:t>101*</w:t>
            </w:r>
          </w:p>
        </w:tc>
        <w:tc>
          <w:tcPr>
            <w:tcW w:w="10080" w:type="dxa"/>
            <w:vAlign w:val="bottom"/>
          </w:tcPr>
          <w:p>
            <w:pPr>
              <w:ind w:left="300"/>
              <w:spacing w:after="0"/>
              <w:rPr>
                <w:sz w:val="20"/>
                <w:szCs w:val="20"/>
                <w:color w:val="auto"/>
              </w:rPr>
            </w:pPr>
            <w:r>
              <w:rPr>
                <w:rFonts w:ascii="Arial" w:cs="Arial" w:eastAsia="Arial" w:hAnsi="Arial"/>
                <w:sz w:val="22"/>
                <w:szCs w:val="22"/>
                <w:color w:val="auto"/>
                <w:w w:val="93"/>
              </w:rPr>
              <w:t>The following financial information from Monster Beverage Corporation’s Quarterly Report on Form 10-Q for</w:t>
            </w:r>
          </w:p>
        </w:tc>
      </w:tr>
      <w:tr>
        <w:trPr>
          <w:trHeight w:val="261"/>
        </w:trPr>
        <w:tc>
          <w:tcPr>
            <w:tcW w:w="1240" w:type="dxa"/>
            <w:vAlign w:val="bottom"/>
          </w:tcPr>
          <w:p>
            <w:pPr>
              <w:spacing w:after="0"/>
              <w:rPr>
                <w:sz w:val="22"/>
                <w:szCs w:val="22"/>
                <w:color w:val="auto"/>
              </w:rPr>
            </w:pPr>
          </w:p>
        </w:tc>
        <w:tc>
          <w:tcPr>
            <w:tcW w:w="10080" w:type="dxa"/>
            <w:vAlign w:val="bottom"/>
          </w:tcPr>
          <w:p>
            <w:pPr>
              <w:ind w:left="300"/>
              <w:spacing w:after="0"/>
              <w:rPr>
                <w:sz w:val="20"/>
                <w:szCs w:val="20"/>
                <w:color w:val="auto"/>
              </w:rPr>
            </w:pPr>
            <w:r>
              <w:rPr>
                <w:rFonts w:ascii="Arial" w:cs="Arial" w:eastAsia="Arial" w:hAnsi="Arial"/>
                <w:sz w:val="22"/>
                <w:szCs w:val="22"/>
                <w:color w:val="auto"/>
                <w:w w:val="97"/>
              </w:rPr>
              <w:t>the quarter ended September 30, 2013, formatted in XBRL (eXtensible Business Reporting Language):</w:t>
            </w:r>
          </w:p>
        </w:tc>
      </w:tr>
    </w:tbl>
    <w:p>
      <w:pPr>
        <w:ind w:left="1540" w:right="340" w:hanging="6"/>
        <w:spacing w:after="0" w:line="267" w:lineRule="auto"/>
        <w:tabs>
          <w:tab w:leader="none" w:pos="1798" w:val="left"/>
        </w:tabs>
        <w:numPr>
          <w:ilvl w:val="0"/>
          <w:numId w:val="29"/>
        </w:numPr>
        <w:rPr>
          <w:rFonts w:ascii="Arial" w:cs="Arial" w:eastAsia="Arial" w:hAnsi="Arial"/>
          <w:sz w:val="19"/>
          <w:szCs w:val="19"/>
          <w:color w:val="auto"/>
        </w:rPr>
      </w:pPr>
      <w:r>
        <w:rPr>
          <w:rFonts w:ascii="Arial" w:cs="Arial" w:eastAsia="Arial" w:hAnsi="Arial"/>
          <w:sz w:val="19"/>
          <w:szCs w:val="19"/>
          <w:color w:val="auto"/>
        </w:rPr>
        <w:t>Condensed Consolidated Balance Sheets as of September 30, 2013 and December 31, 2012, (ii) Condensed Consolidated Statements of Income for the three- and nine-months ended September 30, 2013 and 2012,</w:t>
      </w:r>
    </w:p>
    <w:p>
      <w:pPr>
        <w:ind w:left="1920" w:hanging="386"/>
        <w:spacing w:after="0"/>
        <w:tabs>
          <w:tab w:leader="none" w:pos="19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Condensed Consolidated Statements of Comprehensive Income for the three- and nine-months ended</w:t>
      </w:r>
    </w:p>
    <w:p>
      <w:pPr>
        <w:sectPr>
          <w:pgSz w:w="11900" w:h="16838" w:orient="portrait"/>
          <w:cols w:equalWidth="0" w:num="1">
            <w:col w:w="11420"/>
          </w:cols>
          <w:pgMar w:left="240" w:top="118" w:right="239" w:bottom="0" w:gutter="0" w:footer="0" w:header="0"/>
        </w:sectPr>
      </w:pPr>
    </w:p>
    <w:bookmarkStart w:id="35" w:name="page36"/>
    <w:bookmarkEnd w:id="35"/>
    <w:p>
      <w:pPr>
        <w:ind w:left="1540" w:right="80"/>
        <w:spacing w:after="0" w:line="329" w:lineRule="auto"/>
        <w:rPr>
          <w:sz w:val="20"/>
          <w:szCs w:val="20"/>
          <w:color w:val="auto"/>
        </w:rPr>
      </w:pPr>
      <w:r>
        <w:rPr>
          <w:rFonts w:ascii="Arial" w:cs="Arial" w:eastAsia="Arial" w:hAnsi="Arial"/>
          <w:sz w:val="19"/>
          <w:szCs w:val="19"/>
          <w:color w:val="auto"/>
        </w:rPr>
        <w:t>September 30, 2013 and 2012, (iv) Condensed Consolidated Statements of Cash Flows for the nine-months ended September 30, 2013 and 2012, and (v) the Notes to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Filed herewith</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2"/>
                <w:szCs w:val="22"/>
                <w:color w:val="auto"/>
              </w:rPr>
              <w:t>MONSTER BEVERAGE CORPORATION</w:t>
            </w:r>
          </w:p>
        </w:tc>
      </w:tr>
      <w:tr>
        <w:trPr>
          <w:trHeight w:val="275"/>
        </w:trPr>
        <w:tc>
          <w:tcPr>
            <w:tcW w:w="38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5740" w:type="dxa"/>
            <w:vAlign w:val="bottom"/>
            <w:gridSpan w:val="2"/>
          </w:tcPr>
          <w:p>
            <w:pPr>
              <w:spacing w:after="0"/>
              <w:rPr>
                <w:sz w:val="20"/>
                <w:szCs w:val="20"/>
                <w:color w:val="auto"/>
              </w:rPr>
            </w:pPr>
            <w:r>
              <w:rPr>
                <w:rFonts w:ascii="Arial" w:cs="Arial" w:eastAsia="Arial" w:hAnsi="Arial"/>
                <w:sz w:val="22"/>
                <w:szCs w:val="22"/>
                <w:color w:val="auto"/>
              </w:rPr>
              <w:t>Registrant</w:t>
            </w:r>
          </w:p>
        </w:tc>
      </w:tr>
      <w:tr>
        <w:trPr>
          <w:trHeight w:val="679"/>
        </w:trPr>
        <w:tc>
          <w:tcPr>
            <w:tcW w:w="3880" w:type="dxa"/>
            <w:vAlign w:val="bottom"/>
          </w:tcPr>
          <w:p>
            <w:pPr>
              <w:spacing w:after="0"/>
              <w:rPr>
                <w:sz w:val="20"/>
                <w:szCs w:val="20"/>
                <w:color w:val="auto"/>
              </w:rPr>
            </w:pPr>
            <w:r>
              <w:rPr>
                <w:rFonts w:ascii="Arial" w:cs="Arial" w:eastAsia="Arial" w:hAnsi="Arial"/>
                <w:sz w:val="22"/>
                <w:szCs w:val="22"/>
                <w:color w:val="auto"/>
              </w:rPr>
              <w:t>Date: November 8, 2013</w:t>
            </w:r>
          </w:p>
        </w:tc>
        <w:tc>
          <w:tcPr>
            <w:tcW w:w="184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22"/>
                <w:szCs w:val="22"/>
                <w:color w:val="auto"/>
              </w:rPr>
              <w:t>/s/ RODNEY C. SACKS</w:t>
            </w:r>
          </w:p>
        </w:tc>
      </w:tr>
      <w:tr>
        <w:trPr>
          <w:trHeight w:val="242"/>
        </w:trPr>
        <w:tc>
          <w:tcPr>
            <w:tcW w:w="38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16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Rodney C. Sacks</w:t>
            </w:r>
          </w:p>
        </w:tc>
        <w:tc>
          <w:tcPr>
            <w:tcW w:w="3580" w:type="dxa"/>
            <w:vAlign w:val="bottom"/>
          </w:tcPr>
          <w:p>
            <w:pPr>
              <w:spacing w:after="0"/>
              <w:rPr>
                <w:sz w:val="21"/>
                <w:szCs w:val="21"/>
                <w:color w:val="auto"/>
              </w:rPr>
            </w:pPr>
          </w:p>
        </w:tc>
      </w:tr>
      <w:tr>
        <w:trPr>
          <w:trHeight w:val="275"/>
        </w:trPr>
        <w:tc>
          <w:tcPr>
            <w:tcW w:w="38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5740" w:type="dxa"/>
            <w:vAlign w:val="bottom"/>
            <w:gridSpan w:val="2"/>
          </w:tcPr>
          <w:p>
            <w:pPr>
              <w:spacing w:after="0"/>
              <w:rPr>
                <w:sz w:val="20"/>
                <w:szCs w:val="20"/>
                <w:color w:val="auto"/>
              </w:rPr>
            </w:pPr>
            <w:r>
              <w:rPr>
                <w:rFonts w:ascii="Arial" w:cs="Arial" w:eastAsia="Arial" w:hAnsi="Arial"/>
                <w:sz w:val="22"/>
                <w:szCs w:val="22"/>
                <w:color w:val="auto"/>
                <w:w w:val="93"/>
              </w:rPr>
              <w:t>Chairman of the Board of Directors and Chief Executive Officer</w:t>
            </w:r>
          </w:p>
        </w:tc>
      </w:tr>
      <w:tr>
        <w:trPr>
          <w:trHeight w:val="422"/>
        </w:trPr>
        <w:tc>
          <w:tcPr>
            <w:tcW w:w="3880" w:type="dxa"/>
            <w:vAlign w:val="bottom"/>
          </w:tcPr>
          <w:p>
            <w:pPr>
              <w:spacing w:after="0"/>
              <w:rPr>
                <w:sz w:val="24"/>
                <w:szCs w:val="24"/>
                <w:color w:val="auto"/>
              </w:rPr>
            </w:pPr>
          </w:p>
        </w:tc>
        <w:tc>
          <w:tcPr>
            <w:tcW w:w="4000" w:type="dxa"/>
            <w:vAlign w:val="bottom"/>
            <w:gridSpan w:val="2"/>
          </w:tcPr>
          <w:p>
            <w:pPr>
              <w:jc w:val="right"/>
              <w:ind w:right="1972"/>
              <w:spacing w:after="0"/>
              <w:rPr>
                <w:sz w:val="20"/>
                <w:szCs w:val="20"/>
                <w:color w:val="auto"/>
              </w:rPr>
            </w:pPr>
            <w:r>
              <w:rPr>
                <w:rFonts w:ascii="Arial" w:cs="Arial" w:eastAsia="Arial" w:hAnsi="Arial"/>
                <w:sz w:val="18"/>
                <w:szCs w:val="18"/>
                <w:color w:val="auto"/>
              </w:rPr>
              <w:t>54</w:t>
            </w:r>
          </w:p>
        </w:tc>
        <w:tc>
          <w:tcPr>
            <w:tcW w:w="3580" w:type="dxa"/>
            <w:vAlign w:val="bottom"/>
          </w:tcPr>
          <w:p>
            <w:pPr>
              <w:spacing w:after="0"/>
              <w:rPr>
                <w:sz w:val="24"/>
                <w:szCs w:val="24"/>
                <w:color w:val="auto"/>
              </w:rPr>
            </w:pPr>
          </w:p>
        </w:tc>
      </w:tr>
      <w:tr>
        <w:trPr>
          <w:trHeight w:val="132"/>
        </w:trPr>
        <w:tc>
          <w:tcPr>
            <w:tcW w:w="388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tcPr>
          <w:p>
            <w:pPr>
              <w:spacing w:after="0"/>
              <w:rPr>
                <w:sz w:val="11"/>
                <w:szCs w:val="11"/>
                <w:color w:val="auto"/>
              </w:rPr>
            </w:pPr>
          </w:p>
        </w:tc>
        <w:tc>
          <w:tcPr>
            <w:tcW w:w="35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36" w:name="page37"/>
    <w:bookmarkEnd w:id="36"/>
    <w:p>
      <w:pPr>
        <w:jc w:val="right"/>
        <w:ind w:right="40"/>
        <w:spacing w:after="0"/>
        <w:rPr>
          <w:sz w:val="20"/>
          <w:szCs w:val="20"/>
          <w:color w:val="auto"/>
        </w:rPr>
      </w:pPr>
      <w:r>
        <w:rPr>
          <w:rFonts w:ascii="Arial" w:cs="Arial" w:eastAsia="Arial" w:hAnsi="Arial"/>
          <w:sz w:val="20"/>
          <w:szCs w:val="20"/>
          <w:b w:val="1"/>
          <w:bCs w:val="1"/>
          <w:color w:val="auto"/>
        </w:rPr>
        <w:t>EXHIBIT 31.1</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3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3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3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719" w:val="left"/>
        </w:tabs>
        <w:numPr>
          <w:ilvl w:val="1"/>
          <w:numId w:val="3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00" w:type="dxa"/>
            <w:vAlign w:val="bottom"/>
          </w:tcPr>
          <w:p>
            <w:pPr>
              <w:spacing w:after="0"/>
              <w:rPr>
                <w:sz w:val="20"/>
                <w:szCs w:val="20"/>
                <w:color w:val="auto"/>
              </w:rPr>
            </w:pPr>
            <w:r>
              <w:rPr>
                <w:rFonts w:ascii="Arial" w:cs="Arial" w:eastAsia="Arial" w:hAnsi="Arial"/>
                <w:sz w:val="20"/>
                <w:szCs w:val="20"/>
                <w:color w:val="auto"/>
              </w:rPr>
              <w:t>Date:</w:t>
            </w:r>
          </w:p>
        </w:tc>
        <w:tc>
          <w:tcPr>
            <w:tcW w:w="4940" w:type="dxa"/>
            <w:vAlign w:val="bottom"/>
          </w:tcPr>
          <w:p>
            <w:pPr>
              <w:ind w:left="360"/>
              <w:spacing w:after="0"/>
              <w:rPr>
                <w:sz w:val="20"/>
                <w:szCs w:val="20"/>
                <w:color w:val="auto"/>
              </w:rPr>
            </w:pPr>
            <w:r>
              <w:rPr>
                <w:rFonts w:ascii="Arial" w:cs="Arial" w:eastAsia="Arial" w:hAnsi="Arial"/>
                <w:sz w:val="20"/>
                <w:szCs w:val="20"/>
                <w:color w:val="auto"/>
              </w:rPr>
              <w:t>November 8, 2013</w:t>
            </w:r>
          </w:p>
        </w:tc>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8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68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50"/>
        </w:trPr>
        <w:tc>
          <w:tcPr>
            <w:tcW w:w="80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20"/>
                <w:szCs w:val="20"/>
                <w:color w:val="auto"/>
              </w:rPr>
              <w:t>Chairman of the Board of Directors and Chief Executive Officer</w:t>
            </w:r>
          </w:p>
        </w:tc>
        <w:tc>
          <w:tcPr>
            <w:tcW w:w="40" w:type="dxa"/>
            <w:vAlign w:val="bottom"/>
          </w:tcPr>
          <w:p>
            <w:pPr>
              <w:spacing w:after="0"/>
              <w:rPr>
                <w:sz w:val="21"/>
                <w:szCs w:val="21"/>
                <w:color w:val="auto"/>
              </w:rPr>
            </w:pPr>
          </w:p>
        </w:tc>
      </w:tr>
      <w:tr>
        <w:trPr>
          <w:trHeight w:val="357"/>
        </w:trPr>
        <w:tc>
          <w:tcPr>
            <w:tcW w:w="80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7" w:name="page38"/>
    <w:bookmarkEnd w:id="37"/>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3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3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3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3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00" w:type="dxa"/>
            <w:vAlign w:val="bottom"/>
          </w:tcPr>
          <w:p>
            <w:pPr>
              <w:spacing w:after="0"/>
              <w:rPr>
                <w:sz w:val="20"/>
                <w:szCs w:val="20"/>
                <w:color w:val="auto"/>
              </w:rPr>
            </w:pPr>
            <w:r>
              <w:rPr>
                <w:rFonts w:ascii="Arial" w:cs="Arial" w:eastAsia="Arial" w:hAnsi="Arial"/>
                <w:sz w:val="20"/>
                <w:szCs w:val="20"/>
                <w:color w:val="auto"/>
              </w:rPr>
              <w:t>Date:</w:t>
            </w:r>
          </w:p>
        </w:tc>
        <w:tc>
          <w:tcPr>
            <w:tcW w:w="4940" w:type="dxa"/>
            <w:vAlign w:val="bottom"/>
          </w:tcPr>
          <w:p>
            <w:pPr>
              <w:ind w:left="360"/>
              <w:spacing w:after="0"/>
              <w:rPr>
                <w:sz w:val="20"/>
                <w:szCs w:val="20"/>
                <w:color w:val="auto"/>
              </w:rPr>
            </w:pPr>
            <w:r>
              <w:rPr>
                <w:rFonts w:ascii="Arial" w:cs="Arial" w:eastAsia="Arial" w:hAnsi="Arial"/>
                <w:sz w:val="20"/>
                <w:szCs w:val="20"/>
                <w:color w:val="auto"/>
              </w:rPr>
              <w:t>November 8, 2013</w:t>
            </w:r>
          </w:p>
        </w:tc>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68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20"/>
                <w:szCs w:val="20"/>
                <w:color w:val="auto"/>
                <w:w w:val="94"/>
              </w:rPr>
              <w:t>Vice Chairman of the Board of Directors, President, Chief Operating</w:t>
            </w:r>
          </w:p>
        </w:tc>
        <w:tc>
          <w:tcPr>
            <w:tcW w:w="40" w:type="dxa"/>
            <w:vAlign w:val="bottom"/>
          </w:tcPr>
          <w:p>
            <w:pPr>
              <w:spacing w:after="0"/>
              <w:rPr>
                <w:sz w:val="19"/>
                <w:szCs w:val="19"/>
                <w:color w:val="auto"/>
              </w:rPr>
            </w:pPr>
          </w:p>
        </w:tc>
      </w:tr>
      <w:tr>
        <w:trPr>
          <w:trHeight w:val="250"/>
        </w:trPr>
        <w:tc>
          <w:tcPr>
            <w:tcW w:w="80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20"/>
                <w:szCs w:val="20"/>
                <w:color w:val="auto"/>
              </w:rPr>
              <w:t>Officer, Chief Financial Officer and Secretary</w:t>
            </w:r>
          </w:p>
        </w:tc>
        <w:tc>
          <w:tcPr>
            <w:tcW w:w="40" w:type="dxa"/>
            <w:vAlign w:val="bottom"/>
          </w:tcPr>
          <w:p>
            <w:pPr>
              <w:spacing w:after="0"/>
              <w:rPr>
                <w:sz w:val="21"/>
                <w:szCs w:val="21"/>
                <w:color w:val="auto"/>
              </w:rPr>
            </w:pPr>
          </w:p>
        </w:tc>
      </w:tr>
      <w:tr>
        <w:trPr>
          <w:trHeight w:val="357"/>
        </w:trPr>
        <w:tc>
          <w:tcPr>
            <w:tcW w:w="80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6" w:right="199" w:bottom="1440" w:gutter="0" w:footer="0" w:header="0"/>
        </w:sectPr>
      </w:pPr>
    </w:p>
    <w:bookmarkStart w:id="38" w:name="page39"/>
    <w:bookmarkEnd w:id="38"/>
    <w:p>
      <w:pPr>
        <w:jc w:val="right"/>
        <w:ind w:right="40"/>
        <w:spacing w:after="0"/>
        <w:rPr>
          <w:sz w:val="20"/>
          <w:szCs w:val="20"/>
          <w:color w:val="auto"/>
        </w:rPr>
      </w:pPr>
      <w:r>
        <w:rPr>
          <w:rFonts w:ascii="Arial" w:cs="Arial" w:eastAsia="Arial" w:hAnsi="Arial"/>
          <w:sz w:val="22"/>
          <w:szCs w:val="22"/>
          <w:b w:val="1"/>
          <w:bCs w:val="1"/>
          <w:color w:val="auto"/>
        </w:rPr>
        <w:t>EXHIBIT 32.1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September 30, 2013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1020" w:hanging="364"/>
        <w:spacing w:after="0"/>
        <w:tabs>
          <w:tab w:leader="none" w:pos="10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60" w:hanging="324"/>
        <w:spacing w:after="0" w:line="260" w:lineRule="auto"/>
        <w:tabs>
          <w:tab w:leader="none" w:pos="966"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0" w:type="dxa"/>
            <w:vAlign w:val="bottom"/>
          </w:tcPr>
          <w:p>
            <w:pPr>
              <w:spacing w:after="0"/>
              <w:rPr>
                <w:sz w:val="20"/>
                <w:szCs w:val="20"/>
                <w:color w:val="auto"/>
              </w:rPr>
            </w:pPr>
            <w:r>
              <w:rPr>
                <w:rFonts w:ascii="Arial" w:cs="Arial" w:eastAsia="Arial" w:hAnsi="Arial"/>
                <w:sz w:val="20"/>
                <w:szCs w:val="20"/>
                <w:color w:val="auto"/>
              </w:rPr>
              <w:t>Date:</w:t>
            </w:r>
          </w:p>
        </w:tc>
        <w:tc>
          <w:tcPr>
            <w:tcW w:w="4900" w:type="dxa"/>
            <w:vAlign w:val="bottom"/>
          </w:tcPr>
          <w:p>
            <w:pPr>
              <w:ind w:left="380"/>
              <w:spacing w:after="0"/>
              <w:rPr>
                <w:sz w:val="20"/>
                <w:szCs w:val="20"/>
                <w:color w:val="auto"/>
              </w:rPr>
            </w:pPr>
            <w:r>
              <w:rPr>
                <w:rFonts w:ascii="Arial" w:cs="Arial" w:eastAsia="Arial" w:hAnsi="Arial"/>
                <w:sz w:val="20"/>
                <w:szCs w:val="20"/>
                <w:color w:val="auto"/>
              </w:rPr>
              <w:t>November 8, 2013</w:t>
            </w:r>
          </w:p>
        </w:tc>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8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568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50"/>
        </w:trPr>
        <w:tc>
          <w:tcPr>
            <w:tcW w:w="84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20"/>
                <w:szCs w:val="20"/>
                <w:color w:val="auto"/>
              </w:rPr>
              <w:t>Chairman of the Board of Directors and Chief Executive Officer</w:t>
            </w:r>
          </w:p>
        </w:tc>
        <w:tc>
          <w:tcPr>
            <w:tcW w:w="40" w:type="dxa"/>
            <w:vAlign w:val="bottom"/>
          </w:tcPr>
          <w:p>
            <w:pPr>
              <w:spacing w:after="0"/>
              <w:rPr>
                <w:sz w:val="21"/>
                <w:szCs w:val="21"/>
                <w:color w:val="auto"/>
              </w:rPr>
            </w:pPr>
          </w:p>
        </w:tc>
      </w:tr>
      <w:tr>
        <w:trPr>
          <w:trHeight w:val="357"/>
        </w:trPr>
        <w:tc>
          <w:tcPr>
            <w:tcW w:w="840" w:type="dxa"/>
            <w:vAlign w:val="bottom"/>
            <w:tcBorders>
              <w:bottom w:val="single" w:sz="8" w:color="010101"/>
            </w:tcBorders>
          </w:tcPr>
          <w:p>
            <w:pPr>
              <w:spacing w:after="0"/>
              <w:rPr>
                <w:sz w:val="24"/>
                <w:szCs w:val="24"/>
                <w:color w:val="auto"/>
              </w:rPr>
            </w:pPr>
          </w:p>
        </w:tc>
        <w:tc>
          <w:tcPr>
            <w:tcW w:w="490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1440" w:gutter="0" w:footer="0" w:header="0"/>
        </w:sectPr>
      </w:pPr>
    </w:p>
    <w:bookmarkStart w:id="39" w:name="page40"/>
    <w:bookmarkEnd w:id="39"/>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September 30, 2013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1020" w:hanging="364"/>
        <w:spacing w:after="0"/>
        <w:tabs>
          <w:tab w:leader="none" w:pos="10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60" w:type="dxa"/>
            <w:vAlign w:val="bottom"/>
          </w:tcPr>
          <w:p>
            <w:pPr>
              <w:spacing w:after="0"/>
              <w:rPr>
                <w:sz w:val="20"/>
                <w:szCs w:val="20"/>
                <w:color w:val="auto"/>
              </w:rPr>
            </w:pPr>
            <w:r>
              <w:rPr>
                <w:rFonts w:ascii="Arial" w:cs="Arial" w:eastAsia="Arial" w:hAnsi="Arial"/>
                <w:sz w:val="20"/>
                <w:szCs w:val="20"/>
                <w:color w:val="auto"/>
              </w:rPr>
              <w:t>Date:</w:t>
            </w:r>
          </w:p>
        </w:tc>
        <w:tc>
          <w:tcPr>
            <w:tcW w:w="4880" w:type="dxa"/>
            <w:vAlign w:val="bottom"/>
          </w:tcPr>
          <w:p>
            <w:pPr>
              <w:ind w:left="400"/>
              <w:spacing w:after="0"/>
              <w:rPr>
                <w:sz w:val="20"/>
                <w:szCs w:val="20"/>
                <w:color w:val="auto"/>
              </w:rPr>
            </w:pPr>
            <w:r>
              <w:rPr>
                <w:rFonts w:ascii="Arial" w:cs="Arial" w:eastAsia="Arial" w:hAnsi="Arial"/>
                <w:sz w:val="20"/>
                <w:szCs w:val="20"/>
                <w:color w:val="auto"/>
              </w:rPr>
              <w:t>November 8, 2013</w:t>
            </w:r>
          </w:p>
        </w:tc>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68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20"/>
                <w:szCs w:val="20"/>
                <w:color w:val="auto"/>
                <w:w w:val="94"/>
              </w:rPr>
              <w:t>Vice Chairman of the Board of Directors, President, Chief Operating</w:t>
            </w:r>
          </w:p>
        </w:tc>
        <w:tc>
          <w:tcPr>
            <w:tcW w:w="40" w:type="dxa"/>
            <w:vAlign w:val="bottom"/>
          </w:tcPr>
          <w:p>
            <w:pPr>
              <w:spacing w:after="0"/>
              <w:rPr>
                <w:sz w:val="19"/>
                <w:szCs w:val="19"/>
                <w:color w:val="auto"/>
              </w:rPr>
            </w:pPr>
          </w:p>
        </w:tc>
      </w:tr>
      <w:tr>
        <w:trPr>
          <w:trHeight w:val="250"/>
        </w:trPr>
        <w:tc>
          <w:tcPr>
            <w:tcW w:w="86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20"/>
                <w:szCs w:val="20"/>
                <w:color w:val="auto"/>
              </w:rPr>
              <w:t>Officer, Chief Financial Officer and Secretary</w:t>
            </w:r>
          </w:p>
        </w:tc>
        <w:tc>
          <w:tcPr>
            <w:tcW w:w="40" w:type="dxa"/>
            <w:vAlign w:val="bottom"/>
          </w:tcPr>
          <w:p>
            <w:pPr>
              <w:spacing w:after="0"/>
              <w:rPr>
                <w:sz w:val="21"/>
                <w:szCs w:val="21"/>
                <w:color w:val="auto"/>
              </w:rPr>
            </w:pPr>
          </w:p>
        </w:tc>
      </w:tr>
      <w:tr>
        <w:trPr>
          <w:trHeight w:val="357"/>
        </w:trPr>
        <w:tc>
          <w:tcPr>
            <w:tcW w:w="86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2"/>
    </w:lvl>
  </w:abstractNum>
  <w:abstractNum w:abstractNumId="2">
    <w:nsid w:val="3F2DBA31"/>
    <w:multiLevelType w:val="hybridMultilevel"/>
    <w:lvl w:ilvl="0">
      <w:lvlJc w:val="left"/>
      <w:lvlText w:val="%1."/>
      <w:numFmt w:val="decimal"/>
      <w:start w:val="3"/>
    </w:lvl>
  </w:abstractNum>
  <w:abstractNum w:abstractNumId="3">
    <w:nsid w:val="7C83E458"/>
    <w:multiLevelType w:val="hybridMultilevel"/>
    <w:lvl w:ilvl="0">
      <w:lvlJc w:val="left"/>
      <w:lvlText w:val="%1."/>
      <w:numFmt w:val="decimal"/>
      <w:start w:val="4"/>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lowerRoman"/>
      <w:start w:val="3"/>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6"/>
    </w:lvl>
  </w:abstractNum>
  <w:abstractNum w:abstractNumId="8">
    <w:nsid w:val="333AB105"/>
    <w:multiLevelType w:val="hybridMultilevel"/>
    <w:lvl w:ilvl="0">
      <w:lvlJc w:val="left"/>
      <w:lvlText w:val="%1."/>
      <w:numFmt w:val="decimal"/>
      <w:start w:val="7"/>
    </w:lvl>
  </w:abstractNum>
  <w:abstractNum w:abstractNumId="9">
    <w:nsid w:val="721DA317"/>
    <w:multiLevelType w:val="hybridMultilevel"/>
    <w:lvl w:ilvl="0">
      <w:lvlJc w:val="left"/>
      <w:lvlText w:val="%1."/>
      <w:numFmt w:val="decimal"/>
      <w:start w:val="8"/>
    </w:lvl>
  </w:abstractNum>
  <w:abstractNum w:abstractNumId="10">
    <w:nsid w:val="2443A858"/>
    <w:multiLevelType w:val="hybridMultilevel"/>
    <w:lvl w:ilvl="0">
      <w:lvlJc w:val="left"/>
      <w:lvlText w:val="%1."/>
      <w:numFmt w:val="decimal"/>
      <w:start w:val="9"/>
    </w:lvl>
  </w:abstractNum>
  <w:abstractNum w:abstractNumId="11">
    <w:nsid w:val="2D1D5AE9"/>
    <w:multiLevelType w:val="hybridMultilevel"/>
    <w:lvl w:ilvl="0">
      <w:lvlJc w:val="left"/>
      <w:lvlText w:val="%1."/>
      <w:numFmt w:val="decimal"/>
      <w:start w:val="10"/>
    </w:lvl>
  </w:abstractNum>
  <w:abstractNum w:abstractNumId="12">
    <w:nsid w:val="6763845E"/>
    <w:multiLevelType w:val="hybridMultilevel"/>
    <w:lvl w:ilvl="0">
      <w:lvlJc w:val="left"/>
      <w:lvlText w:val="1"/>
      <w:numFmt w:val="bullet"/>
      <w:start w:val="1"/>
    </w:lvl>
  </w:abstractNum>
  <w:abstractNum w:abstractNumId="13">
    <w:nsid w:val="75A2A8D4"/>
    <w:multiLevelType w:val="hybridMultilevel"/>
    <w:lvl w:ilvl="0">
      <w:lvlJc w:val="left"/>
      <w:lvlText w:val="%1."/>
      <w:numFmt w:val="decimal"/>
      <w:start w:val="11"/>
    </w:lvl>
  </w:abstractNum>
  <w:abstractNum w:abstractNumId="14">
    <w:nsid w:val="8EDBDAB"/>
    <w:multiLevelType w:val="hybridMultilevel"/>
    <w:lvl w:ilvl="0">
      <w:lvlJc w:val="left"/>
      <w:lvlText w:val="%1."/>
      <w:numFmt w:val="decimal"/>
      <w:start w:val="12"/>
    </w:lvl>
  </w:abstractNum>
  <w:abstractNum w:abstractNumId="15">
    <w:nsid w:val="79838CB2"/>
    <w:multiLevelType w:val="hybridMultilevel"/>
    <w:lvl w:ilvl="0">
      <w:lvlJc w:val="left"/>
      <w:lvlText w:val="1"/>
      <w:numFmt w:val="bullet"/>
      <w:start w:val="1"/>
    </w:lvl>
  </w:abstractNum>
  <w:abstractNum w:abstractNumId="16">
    <w:nsid w:val="4353D0CD"/>
    <w:multiLevelType w:val="hybridMultilevel"/>
    <w:lvl w:ilvl="0">
      <w:lvlJc w:val="left"/>
      <w:lvlText w:val="%1."/>
      <w:numFmt w:val="decimal"/>
      <w:start w:val="13"/>
    </w:lvl>
  </w:abstractNum>
  <w:abstractNum w:abstractNumId="17">
    <w:nsid w:val="B03E0C6"/>
    <w:multiLevelType w:val="hybridMultilevel"/>
    <w:lvl w:ilvl="0">
      <w:lvlJc w:val="left"/>
      <w:lvlText w:val="%1."/>
      <w:numFmt w:val="decimal"/>
      <w:start w:val="14"/>
    </w:lvl>
  </w:abstractNum>
  <w:abstractNum w:abstractNumId="18">
    <w:nsid w:val="189A769B"/>
    <w:multiLevelType w:val="hybridMultilevel"/>
    <w:lvl w:ilvl="0">
      <w:lvlJc w:val="left"/>
      <w:lvlText w:val="%1."/>
      <w:numFmt w:val="decimal"/>
      <w:start w:val="15"/>
    </w:lvl>
  </w:abstractNum>
  <w:abstractNum w:abstractNumId="19">
    <w:nsid w:val="54E49EB4"/>
    <w:multiLevelType w:val="hybridMultilevel"/>
    <w:lvl w:ilvl="0">
      <w:lvlJc w:val="left"/>
      <w:lvlText w:val="%1."/>
      <w:numFmt w:val="decimal"/>
      <w:start w:val="16"/>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lowerRoman"/>
      <w:start w:val="1"/>
    </w:lvl>
  </w:abstractNum>
  <w:abstractNum w:abstractNumId="29">
    <w:nsid w:val="6CEAF087"/>
    <w:multiLevelType w:val="hybridMultilevel"/>
    <w:lvl w:ilvl="0">
      <w:lvlJc w:val="left"/>
      <w:lvlText w:val="(%1)"/>
      <w:numFmt w:val="lowerRoman"/>
      <w:start w:val="3"/>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2019-12-06T04:58:43Z</dcterms:created>
  <dcterms:modified xsi:type="dcterms:W3CDTF">2019-12-06T04:58:43Z</dcterms:modified>
</cp:coreProperties>
</file>