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mnst-20211231x10k.htm"/>
        <w:bookmarkStart w:id="1" w:name="ksmnst2021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pPr>
      <w:bookmarkStart w:id="2" w:name="_af406e53_0e22_44d5_aed7_f9dfbaee2717"/>
      <w:bookmarkEnd w:id="2"/>
      <w:r>
        <w:rPr/>
        <w:t>​</w:t>
      </w:r>
    </w:p>
    <w:p>
      <w:pPr>
        <w:pStyle w:val="TextBody"/>
        <w:pBdr>
          <w:top w:val="single" w:sz="24" w:space="1" w:color="000000"/>
          <w:bottom w:val="single" w:sz="8" w:space="1" w:color="000000"/>
        </w:pBdr>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Form 10-K</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(Mark One)</w:t>
      </w:r>
    </w:p>
    <w:p>
      <w:pPr>
        <w:pStyle w:val="TextBody"/>
        <w:spacing w:before="0" w:after="0"/>
        <w:ind w:left="0" w:right="0" w:hanging="0"/>
        <w:jc w:val="center"/>
        <w:rPr/>
      </w:pPr>
      <w:r>
        <w:rPr/>
        <w:t xml:space="preserve">☒ </w:t>
      </w:r>
      <w:r>
        <w:rPr>
          <w:rFonts w:ascii="Times New Roman;Times;serif" w:hAnsi="Times New Roman;Times;serif"/>
          <w:sz w:val="16"/>
        </w:rPr>
        <w:t>ANNUAL REPORT PURSUANT TO SECTION 13 OR 15(d) OF</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4"/>
        </w:rPr>
      </w:pPr>
      <w:r>
        <w:rPr>
          <w:rFonts w:ascii="Times New Roman;Times;serif" w:hAnsi="Times New Roman;Times;serif"/>
          <w:sz w:val="14"/>
        </w:rPr>
        <w:t>For the fiscal year ended December 31, 2021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spacing w:before="0" w:after="0"/>
        <w:ind w:left="0" w:right="0" w:hanging="0"/>
        <w:jc w:val="center"/>
        <w:rPr/>
      </w:pPr>
      <w:r>
        <w:rPr/>
        <w:t>​</w:t>
      </w:r>
    </w:p>
    <w:p>
      <w:pPr>
        <w:pStyle w:val="TextBody"/>
        <w:spacing w:before="0" w:after="0"/>
        <w:ind w:left="0" w:right="0" w:hanging="0"/>
        <w:jc w:val="center"/>
        <w:rPr/>
      </w:pPr>
      <w:r>
        <w:rPr/>
        <w:t xml:space="preserve">☐ </w:t>
      </w:r>
      <w:r>
        <w:rPr>
          <w:rFonts w:ascii="Times New Roman;Times;serif" w:hAnsi="Times New Roman;Times;serif"/>
          <w:sz w:val="16"/>
        </w:rPr>
        <w:t>TRANSITION REPORT PURSUANT TO SECTION 13 OR 15(d) OF</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2"/>
        </w:rPr>
      </w:pPr>
      <w:r>
        <w:rPr>
          <w:rFonts w:ascii="Times New Roman;Times;serif" w:hAnsi="Times New Roman;Times;serif"/>
          <w:sz w:val="12"/>
        </w:rPr>
        <w:t>For the transition period from _____ to _____</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001-18761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MONSTER BEVERAGE CORPORATION</w:t>
      </w:r>
    </w:p>
    <w:p>
      <w:pPr>
        <w:pStyle w:val="TextBody"/>
        <w:spacing w:before="0" w:after="0"/>
        <w:ind w:left="0" w:right="0" w:hanging="0"/>
        <w:jc w:val="center"/>
        <w:rPr>
          <w:rFonts w:ascii="Times New Roman;Times;serif" w:hAnsi="Times New Roman;Times;serif"/>
          <w:sz w:val="12"/>
        </w:rPr>
      </w:pPr>
      <w:r>
        <w:rPr>
          <w:rFonts w:ascii="Times New Roman;Times;serif" w:hAnsi="Times New Roman;Times;serif"/>
          <w:sz w:val="12"/>
        </w:rPr>
        <w:t>(Exact name of registrant as specified in its charter)</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mWgCwCXnlku8jjEV1wBTdw_2_2"/>
      <w:bookmarkStart w:id="4" w:name="Tc_kfGsRp7Mf0WKVONUaAPfzw_2_0"/>
      <w:bookmarkStart w:id="5" w:name="Tc_ak5stHkA3Eqbhsfs96D_kg_1_2"/>
      <w:bookmarkStart w:id="6" w:name="Tc_MsNnDZcSNUO5IFE2aoTmqw_1_0"/>
      <w:bookmarkStart w:id="7" w:name="_e3db508f_8ddd_4980_a97d_7e903ae63cc3"/>
      <w:bookmarkStart w:id="8" w:name="Tc_mWgCwCXnlku8jjEV1wBTdw_2_2"/>
      <w:bookmarkStart w:id="9" w:name="Tc_kfGsRp7Mf0WKVONUaAPfzw_2_0"/>
      <w:bookmarkStart w:id="10" w:name="Tc_ak5stHkA3Eqbhsfs96D_kg_1_2"/>
      <w:bookmarkStart w:id="11" w:name="Tc_MsNnDZcSNUO5IFE2aoTmqw_1_0"/>
      <w:bookmarkStart w:id="12" w:name="_e3db508f_8ddd_4980_a97d_7e903ae63cc3"/>
      <w:bookmarkEnd w:id="8"/>
      <w:bookmarkEnd w:id="9"/>
      <w:bookmarkEnd w:id="10"/>
      <w:bookmarkEnd w:id="11"/>
      <w:bookmarkEnd w:id="12"/>
    </w:p>
    <w:tbl>
      <w:tblPr>
        <w:tblW w:w="2998" w:type="dxa"/>
        <w:jc w:val="left"/>
        <w:tblInd w:w="0" w:type="dxa"/>
        <w:tblCellMar>
          <w:top w:w="0" w:type="dxa"/>
          <w:left w:w="0" w:type="dxa"/>
          <w:bottom w:w="0" w:type="dxa"/>
          <w:right w:w="0" w:type="dxa"/>
        </w:tblCellMar>
      </w:tblPr>
      <w:tblGrid>
        <w:gridCol w:w="1606"/>
        <w:gridCol w:w="326"/>
        <w:gridCol w:w="1066"/>
      </w:tblGrid>
      <w:tr>
        <w:trPr/>
        <w:tc>
          <w:tcPr>
            <w:tcW w:w="1606" w:type="dxa"/>
            <w:tcBorders/>
            <w:shd w:fill="auto" w:val="clear"/>
            <w:vAlign w:val="center"/>
          </w:tcPr>
          <w:p>
            <w:pPr>
              <w:pStyle w:val="TableContents"/>
              <w:pBdr/>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Delaware</w:t>
            </w:r>
          </w:p>
        </w:tc>
        <w:tc>
          <w:tcPr>
            <w:tcW w:w="326" w:type="dxa"/>
            <w:tcBorders/>
            <w:shd w:fill="auto" w:val="clear"/>
            <w:vAlign w:val="center"/>
          </w:tcPr>
          <w:p>
            <w:pPr>
              <w:pStyle w:val="TableContents"/>
              <w:spacing w:lineRule="atLeast" w:line="200" w:before="0" w:after="0"/>
              <w:ind w:left="0" w:right="0" w:hanging="0"/>
              <w:rPr/>
            </w:pPr>
            <w:r>
              <w:rPr/>
              <w:t>    </w:t>
            </w:r>
          </w:p>
        </w:tc>
        <w:tc>
          <w:tcPr>
            <w:tcW w:w="1066" w:type="dxa"/>
            <w:tcBorders/>
            <w:shd w:fill="auto" w:val="clear"/>
            <w:vAlign w:val="center"/>
          </w:tcPr>
          <w:p>
            <w:pPr>
              <w:pStyle w:val="TableContents"/>
              <w:spacing w:lineRule="atLeast" w:line="200" w:before="0" w:after="0"/>
              <w:ind w:left="0" w:right="0" w:hanging="0"/>
              <w:jc w:val="center"/>
              <w:rPr>
                <w:rFonts w:ascii="Times New Roman;Times;serif" w:hAnsi="Times New Roman;Times;serif"/>
                <w:sz w:val="16"/>
              </w:rPr>
            </w:pPr>
            <w:r>
              <w:rPr>
                <w:rFonts w:ascii="Times New Roman;Times;serif" w:hAnsi="Times New Roman;Times;serif"/>
                <w:sz w:val="16"/>
              </w:rPr>
              <w:t>47-1809393</w:t>
            </w:r>
          </w:p>
        </w:tc>
      </w:tr>
      <w:tr>
        <w:trPr/>
        <w:tc>
          <w:tcPr>
            <w:tcW w:w="1606" w:type="dxa"/>
            <w:tcBorders/>
            <w:shd w:fill="auto" w:val="clear"/>
            <w:vAlign w:val="center"/>
          </w:tcPr>
          <w:p>
            <w:pPr>
              <w:pStyle w:val="TableContents"/>
              <w:pBdr/>
              <w:spacing w:lineRule="atLeast" w:line="141"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326" w:type="dxa"/>
            <w:tcBorders/>
            <w:shd w:fill="auto" w:val="clear"/>
            <w:vAlign w:val="center"/>
          </w:tcPr>
          <w:p>
            <w:pPr>
              <w:pStyle w:val="TableContents"/>
              <w:spacing w:lineRule="atLeast" w:line="141" w:before="0" w:after="0"/>
              <w:ind w:left="0" w:right="0" w:hanging="0"/>
              <w:rPr/>
            </w:pPr>
            <w:r>
              <w:rPr/>
              <w:t>​</w:t>
            </w:r>
          </w:p>
        </w:tc>
        <w:tc>
          <w:tcPr>
            <w:tcW w:w="1066" w:type="dxa"/>
            <w:tcBorders/>
            <w:shd w:fill="auto" w:val="clear"/>
            <w:vAlign w:val="center"/>
          </w:tcPr>
          <w:p>
            <w:pPr>
              <w:pStyle w:val="TableContents"/>
              <w:spacing w:lineRule="atLeast" w:line="141"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1606" w:type="dxa"/>
            <w:tcBorders/>
            <w:shd w:fill="auto" w:val="clear"/>
            <w:vAlign w:val="center"/>
          </w:tcPr>
          <w:p>
            <w:pPr>
              <w:pStyle w:val="TableContents"/>
              <w:pBdr/>
              <w:spacing w:lineRule="atLeast" w:line="141"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326" w:type="dxa"/>
            <w:tcBorders/>
            <w:shd w:fill="auto" w:val="clear"/>
            <w:vAlign w:val="center"/>
          </w:tcPr>
          <w:p>
            <w:pPr>
              <w:pStyle w:val="TableContents"/>
              <w:spacing w:lineRule="atLeast" w:line="141" w:before="0" w:after="0"/>
              <w:ind w:left="0" w:right="0" w:hanging="0"/>
              <w:rPr/>
            </w:pPr>
            <w:r>
              <w:rPr/>
              <w:t>​</w:t>
            </w:r>
          </w:p>
        </w:tc>
        <w:tc>
          <w:tcPr>
            <w:tcW w:w="1066" w:type="dxa"/>
            <w:tcBorders/>
            <w:shd w:fill="auto" w:val="clear"/>
            <w:vAlign w:val="center"/>
          </w:tcPr>
          <w:p>
            <w:pPr>
              <w:pStyle w:val="TableContents"/>
              <w:spacing w:lineRule="atLeast" w:line="141"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12"/>
        </w:rPr>
        <w:t>1 Monster Way</w:t>
        <w:br/>
        <w:t>Corona, California</w:t>
      </w:r>
      <w:r>
        <w:rPr>
          <w:rFonts w:ascii="Times New Roman;Times;serif" w:hAnsi="Times New Roman;Times;serif"/>
          <w:sz w:val="20"/>
        </w:rPr>
        <w:t xml:space="preserve"> </w:t>
      </w:r>
      <w:r>
        <w:rPr>
          <w:rFonts w:ascii="Times New Roman;Times;serif" w:hAnsi="Times New Roman;Times;serif"/>
          <w:sz w:val="12"/>
        </w:rPr>
        <w:t>92879</w:t>
      </w:r>
    </w:p>
    <w:p>
      <w:pPr>
        <w:pStyle w:val="TextBody"/>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offices)(Zip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12"/>
        </w:rPr>
        <w:t xml:space="preserve">Registrant’s telephone number, including area code: (951) 739 </w:t>
      </w:r>
      <w:r>
        <w:rPr>
          <w:rFonts w:ascii="Times New Roman;Times;serif" w:hAnsi="Times New Roman;Times;serif"/>
          <w:sz w:val="16"/>
        </w:rPr>
        <w:t>-</w:t>
      </w:r>
      <w:r>
        <w:rPr>
          <w:rFonts w:ascii="Times New Roman;Times;serif" w:hAnsi="Times New Roman;Times;serif"/>
          <w:sz w:val="20"/>
        </w:rPr>
        <w:t xml:space="preserve"> </w:t>
      </w:r>
      <w:r>
        <w:rPr>
          <w:rFonts w:ascii="Times New Roman;Times;serif" w:hAnsi="Times New Roman;Times;serif"/>
          <w:sz w:val="12"/>
        </w:rPr>
        <w:t>6200</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2"/>
        </w:rPr>
      </w:pPr>
      <w:r>
        <w:rPr>
          <w:rFonts w:ascii="Times New Roman;Times;serif" w:hAnsi="Times New Roman;Times;serif"/>
          <w:sz w:val="12"/>
        </w:rPr>
        <w:t>Securities registered pursuant to Section 12(b) of the Act: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3" w:name="Tc_09-lVkhYiEGuKcK3J5M_RA_1_4"/>
      <w:bookmarkStart w:id="14" w:name="Tc_9trKrF4Qj0GHoAfzXZKQEg_0_4"/>
      <w:bookmarkStart w:id="15" w:name="Tc_AGARd_PiP02Vyft-y3pGdw_0_2"/>
      <w:bookmarkStart w:id="16" w:name="Tc_uZkEh5i5y0G0LwZ24R-jjA_0_0"/>
      <w:bookmarkStart w:id="17" w:name="_967319fd_fb36_44f2_a5a8_f7ab490d50b1"/>
      <w:bookmarkStart w:id="18" w:name="Tc_09-lVkhYiEGuKcK3J5M_RA_1_4"/>
      <w:bookmarkStart w:id="19" w:name="Tc_9trKrF4Qj0GHoAfzXZKQEg_0_4"/>
      <w:bookmarkStart w:id="20" w:name="Tc_AGARd_PiP02Vyft-y3pGdw_0_2"/>
      <w:bookmarkStart w:id="21" w:name="Tc_uZkEh5i5y0G0LwZ24R-jjA_0_0"/>
      <w:bookmarkStart w:id="22" w:name="_967319fd_fb36_44f2_a5a8_f7ab490d50b1"/>
      <w:bookmarkEnd w:id="18"/>
      <w:bookmarkEnd w:id="19"/>
      <w:bookmarkEnd w:id="20"/>
      <w:bookmarkEnd w:id="21"/>
      <w:bookmarkEnd w:id="22"/>
    </w:p>
    <w:tbl>
      <w:tblPr>
        <w:tblW w:w="6280" w:type="dxa"/>
        <w:jc w:val="left"/>
        <w:tblInd w:w="0" w:type="dxa"/>
        <w:tblCellMar>
          <w:top w:w="0" w:type="dxa"/>
          <w:left w:w="0" w:type="dxa"/>
          <w:bottom w:w="28" w:type="dxa"/>
          <w:right w:w="0" w:type="dxa"/>
        </w:tblCellMar>
      </w:tblPr>
      <w:tblGrid>
        <w:gridCol w:w="2236"/>
        <w:gridCol w:w="326"/>
        <w:gridCol w:w="1021"/>
        <w:gridCol w:w="326"/>
        <w:gridCol w:w="2371"/>
      </w:tblGrid>
      <w:tr>
        <w:trPr/>
        <w:tc>
          <w:tcPr>
            <w:tcW w:w="223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Trading Symbol(s)</w:t>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237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 on which registered</w:t>
            </w:r>
          </w:p>
        </w:tc>
      </w:tr>
      <w:tr>
        <w:trPr/>
        <w:tc>
          <w:tcPr>
            <w:tcW w:w="223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Common Stock, $0.005 par value per share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02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MNST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237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2"/>
              </w:rPr>
              <w:t>Nasdaq</w:t>
            </w:r>
            <w:r>
              <w:rPr>
                <w:rFonts w:ascii="Times New Roman;Times;serif" w:hAnsi="Times New Roman;Times;serif"/>
                <w:sz w:val="20"/>
              </w:rPr>
              <w:t xml:space="preserve"> </w:t>
            </w:r>
            <w:r>
              <w:rPr>
                <w:rFonts w:ascii="Times New Roman;Times;serif" w:hAnsi="Times New Roman;Times;serif"/>
                <w:sz w:val="12"/>
              </w:rPr>
              <w:t>Global Select Market</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2"/>
        </w:rPr>
      </w:pPr>
      <w:r>
        <w:rPr>
          <w:rFonts w:ascii="Times New Roman;Times;serif" w:hAnsi="Times New Roman;Times;serif"/>
          <w:sz w:val="12"/>
        </w:rPr>
        <w:t>Securities registered pursuant to Section 12(g) of the Act: None</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2"/>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2"/>
        </w:rPr>
        <w:t xml:space="preserve">No </w:t>
      </w:r>
      <w:r>
        <w:rPr>
          <w:rFonts w:ascii="Times New Roman;Times;serif" w:hAnsi="Times New Roman;Times;serif"/>
          <w:sz w:val="20"/>
        </w:rPr>
        <w:t xml:space="preserve">☐ </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2"/>
        </w:rPr>
        <w:t xml:space="preserve">Indicate by check mark if the registrant is not required to file reports pursuant to Section 13 or Section 15(d) of the Exchange Act. Yes </w:t>
      </w:r>
      <w:r>
        <w:rPr>
          <w:rFonts w:ascii="Times New Roman;Times;serif" w:hAnsi="Times New Roman;Times;serif"/>
          <w:sz w:val="20"/>
        </w:rPr>
        <w:t>☐  </w:t>
      </w:r>
      <w:r>
        <w:rPr>
          <w:rFonts w:ascii="Times New Roman;Times;serif" w:hAnsi="Times New Roman;Times;serif"/>
          <w:sz w:val="12"/>
        </w:rPr>
        <w:t>No</w:t>
      </w:r>
      <w:r>
        <w:rPr>
          <w:rFonts w:ascii="Times New Roman;Times;serif" w:hAnsi="Times New Roman;Times;serif"/>
          <w:sz w:val="20"/>
        </w:rPr>
        <w:t xml:space="preserve"> ☑</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xml:space="preserve">☑ </w:t>
      </w:r>
      <w:r>
        <w:rPr>
          <w:rFonts w:ascii="Times New Roman;Times;serif" w:hAnsi="Times New Roman;Times;serif"/>
          <w:sz w:val="12"/>
        </w:rPr>
        <w:t xml:space="preserve">No </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2"/>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2"/>
        </w:rPr>
        <w:t xml:space="preserve">No </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12"/>
        </w:rPr>
      </w:pPr>
      <w:r>
        <w:rPr>
          <w:rFonts w:ascii="Times New Roman;Times;serif" w:hAnsi="Times New Roman;Times;serif"/>
          <w:sz w:val="12"/>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spacing w:before="0" w:after="0"/>
        <w:ind w:left="0" w:right="0" w:hanging="0"/>
        <w:jc w:val="both"/>
        <w:rPr/>
      </w:pPr>
      <w:r>
        <w:rPr/>
        <w:t>​</w:t>
      </w:r>
    </w:p>
    <w:tbl>
      <w:tblPr>
        <w:tblW w:w="3523" w:type="dxa"/>
        <w:jc w:val="left"/>
        <w:tblInd w:w="0" w:type="dxa"/>
        <w:tblCellMar>
          <w:top w:w="0" w:type="dxa"/>
          <w:left w:w="0" w:type="dxa"/>
          <w:bottom w:w="0" w:type="dxa"/>
          <w:right w:w="0" w:type="dxa"/>
        </w:tblCellMar>
      </w:tblPr>
      <w:tblGrid>
        <w:gridCol w:w="1501"/>
        <w:gridCol w:w="326"/>
        <w:gridCol w:w="1696"/>
      </w:tblGrid>
      <w:tr>
        <w:trPr/>
        <w:tc>
          <w:tcPr>
            <w:tcW w:w="15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2"/>
              </w:rPr>
              <w:t>Large accelerated filer</w:t>
            </w: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0"/>
              <w:ind w:left="0" w:right="0" w:hanging="0"/>
              <w:rPr/>
            </w:pPr>
            <w:r>
              <w:rPr/>
              <w:t>    </w:t>
            </w:r>
          </w:p>
        </w:tc>
        <w:tc>
          <w:tcPr>
            <w:tcW w:w="169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Accelerated filer ☐</w:t>
            </w:r>
          </w:p>
        </w:tc>
      </w:tr>
      <w:tr>
        <w:trPr/>
        <w:tc>
          <w:tcPr>
            <w:tcW w:w="150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Non-accelerated filer ☐</w:t>
            </w:r>
          </w:p>
        </w:tc>
        <w:tc>
          <w:tcPr>
            <w:tcW w:w="326" w:type="dxa"/>
            <w:tcBorders/>
            <w:shd w:fill="auto" w:val="clear"/>
            <w:vAlign w:val="center"/>
          </w:tcPr>
          <w:p>
            <w:pPr>
              <w:pStyle w:val="TableContents"/>
              <w:spacing w:before="0" w:after="0"/>
              <w:ind w:left="0" w:right="0" w:hanging="0"/>
              <w:rPr/>
            </w:pPr>
            <w:r>
              <w:rPr/>
              <w:t>​</w:t>
            </w:r>
          </w:p>
        </w:tc>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2"/>
              </w:rPr>
              <w:t xml:space="preserve">Smaller reporting company </w:t>
            </w:r>
            <w:r>
              <w:rPr>
                <w:rFonts w:ascii="Times New Roman;Times;serif" w:hAnsi="Times New Roman;Times;serif"/>
                <w:sz w:val="20"/>
              </w:rPr>
              <w:t>☐</w:t>
            </w:r>
          </w:p>
        </w:tc>
      </w:tr>
      <w:tr>
        <w:trPr/>
        <w:tc>
          <w:tcPr>
            <w:tcW w:w="15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2"/>
              </w:rPr>
              <w:t xml:space="preserve">Emerging growth company </w:t>
            </w:r>
            <w:r>
              <w:rPr>
                <w:rFonts w:ascii="Times New Roman;Times;serif" w:hAnsi="Times New Roman;Times;serif"/>
                <w:sz w:val="20"/>
              </w:rPr>
              <w:t>☐</w:t>
            </w:r>
          </w:p>
        </w:tc>
      </w:tr>
    </w:tbl>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12"/>
        </w:rPr>
      </w:pPr>
      <w:r>
        <w:rPr>
          <w:rFonts w:ascii="Times New Roman;Times;serif" w:hAnsi="Times New Roman;Times;serif"/>
          <w:sz w:val="12"/>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2"/>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2"/>
        </w:rPr>
        <w:t xml:space="preserve">Indicate by check mark whether the registrant is a shell company (as defined by Rule 12b-2 of the Exchange Act.).     Yes </w:t>
      </w:r>
      <w:r>
        <w:rPr>
          <w:rFonts w:ascii="Times New Roman;Times;serif" w:hAnsi="Times New Roman;Times;serif"/>
          <w:sz w:val="20"/>
        </w:rPr>
        <w:t xml:space="preserve">☐ </w:t>
      </w:r>
      <w:r>
        <w:rPr>
          <w:rFonts w:ascii="Times New Roman;Times;serif" w:hAnsi="Times New Roman;Times;serif"/>
          <w:sz w:val="12"/>
        </w:rPr>
        <w:t xml:space="preserve">No </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12"/>
        </w:rPr>
      </w:pPr>
      <w:r>
        <w:rPr>
          <w:rFonts w:ascii="Times New Roman;Times;serif" w:hAnsi="Times New Roman;Times;serif"/>
          <w:sz w:val="12"/>
        </w:rPr>
        <w:t>The aggregate market value of the voting and non-voting common equity held by non-affiliates of the registrant was $43,749,615,959 computed by reference to the closing sale price for such stock on the Nasdaq Global Select Market on June 30, 2021, the last business day of the registrant’s most recently completed second fiscal quarter.</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12"/>
        </w:rPr>
      </w:pPr>
      <w:r>
        <w:rPr>
          <w:rFonts w:ascii="Times New Roman;Times;serif" w:hAnsi="Times New Roman;Times;serif"/>
          <w:sz w:val="12"/>
        </w:rPr>
        <w:t>The number of shares of the registrant’s common stock, $0.005 par value per share (being the only class of common stock of the registrant), outstanding on February 16, 2022 was 529,358,860 shares.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12"/>
        </w:rPr>
      </w:pPr>
      <w:r>
        <w:rPr>
          <w:rFonts w:ascii="Times New Roman;Times;serif" w:hAnsi="Times New Roman;Times;serif"/>
          <w:sz w:val="12"/>
        </w:rPr>
        <w:t>DOCUMENTS INCORPORATED BY REFERENCE:</w:t>
      </w:r>
    </w:p>
    <w:p>
      <w:pPr>
        <w:pStyle w:val="TextBody"/>
        <w:spacing w:before="0" w:after="0"/>
        <w:ind w:left="0" w:right="0" w:hanging="0"/>
        <w:jc w:val="center"/>
        <w:rPr/>
      </w:pPr>
      <w:r>
        <w:rPr/>
        <w:t>​</w:t>
      </w:r>
    </w:p>
    <w:p>
      <w:pPr>
        <w:pStyle w:val="TextBody"/>
        <w:spacing w:before="0" w:after="0"/>
        <w:ind w:left="0" w:right="0" w:firstLine="490"/>
        <w:jc w:val="both"/>
        <w:rPr>
          <w:rFonts w:ascii="Times New Roman;Times;serif" w:hAnsi="Times New Roman;Times;serif"/>
          <w:sz w:val="12"/>
        </w:rPr>
      </w:pPr>
      <w:r>
        <w:rPr>
          <w:rFonts w:ascii="Times New Roman;Times;serif" w:hAnsi="Times New Roman;Times;serif"/>
          <w:sz w:val="12"/>
        </w:rPr>
        <w:t>Portions of the registrant’s Definitive Proxy Statement to be filed subsequent to the date hereof with the Commission pursuant to Regulation 14A in connection with the registrant’s 2022 Annual Meeting of Stockholders are incorporated by reference into Part III of this Report. Such Definitive Proxy Statement will be filed with the Securities and Exchange Commission no later than 120 days after the conclusion of the registrant’s fiscal year ended December 31, 2021.</w:t>
      </w:r>
    </w:p>
    <w:p>
      <w:pPr>
        <w:pStyle w:val="TextBody"/>
        <w:spacing w:before="0" w:after="0"/>
        <w:ind w:left="0" w:right="0" w:firstLine="490"/>
        <w:jc w:val="both"/>
        <w:rPr/>
      </w:pPr>
      <w:r>
        <w:rPr/>
        <w:t>​</w:t>
      </w:r>
    </w:p>
    <w:p>
      <w:pPr>
        <w:pStyle w:val="TextBody"/>
        <w:pBdr>
          <w:top w:val="single" w:sz="8" w:space="1" w:color="000000"/>
          <w:bottom w:val="single" w:sz="24" w:space="1" w:color="000000"/>
        </w:pBdr>
        <w:spacing w:before="0" w:after="0"/>
        <w:ind w:left="0" w:right="0" w:firstLine="490"/>
        <w:jc w:val="both"/>
        <w:rPr/>
      </w:pPr>
      <w:r>
        <w:rPr/>
        <w:t>​</w:t>
      </w:r>
    </w:p>
    <w:p>
      <w:pPr>
        <w:pStyle w:val="TextBody"/>
        <w:spacing w:before="0" w:after="0"/>
        <w:ind w:left="0" w:right="0" w:firstLine="49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2"/>
        </w:rPr>
      </w:pPr>
      <w:bookmarkStart w:id="23" w:name="_4e318ce9_0815_488e_94cd_de6ebb30a838"/>
      <w:bookmarkEnd w:id="23"/>
      <w:r>
        <w:rPr>
          <w:rFonts w:ascii="Times New Roman;Times;serif" w:hAnsi="Times New Roman;Times;serif"/>
          <w:b/>
          <w:sz w:val="22"/>
        </w:rPr>
        <w:t>MONSTER BEVERAGE CORPORATION</w:t>
      </w:r>
    </w:p>
    <w:p>
      <w:pPr>
        <w:pStyle w:val="TextBody"/>
        <w:spacing w:before="0" w:after="240"/>
        <w:ind w:left="0" w:right="0" w:hanging="0"/>
        <w:jc w:val="center"/>
        <w:rPr>
          <w:rFonts w:ascii="Times New Roman;Times;serif" w:hAnsi="Times New Roman;Times;serif"/>
          <w:b/>
          <w:sz w:val="22"/>
        </w:rPr>
      </w:pPr>
      <w:r>
        <w:rPr>
          <w:rFonts w:ascii="Times New Roman;Times;serif" w:hAnsi="Times New Roman;Times;serif"/>
          <w:b/>
          <w:sz w:val="22"/>
        </w:rPr>
        <w:t>FORM 10-K</w:t>
      </w:r>
    </w:p>
    <w:p>
      <w:pPr>
        <w:pStyle w:val="TextBody"/>
        <w:spacing w:before="0" w:after="240"/>
        <w:ind w:left="0" w:right="0" w:hanging="0"/>
        <w:jc w:val="center"/>
        <w:rPr>
          <w:rFonts w:ascii="Times New Roman;Times;serif" w:hAnsi="Times New Roman;Times;serif"/>
          <w:b/>
          <w:sz w:val="22"/>
        </w:rPr>
      </w:pPr>
      <w:bookmarkStart w:id="24" w:name="TOC"/>
      <w:bookmarkEnd w:id="24"/>
      <w:r>
        <w:rPr>
          <w:rFonts w:ascii="Times New Roman;Times;serif" w:hAnsi="Times New Roman;Times;serif"/>
          <w:b/>
          <w:sz w:val="22"/>
        </w:rPr>
        <w:t>TABLE OF CONTENTS</w:t>
      </w:r>
    </w:p>
    <w:tbl>
      <w:tblPr>
        <w:tblW w:w="10205" w:type="dxa"/>
        <w:jc w:val="left"/>
        <w:tblInd w:w="0" w:type="dxa"/>
        <w:tblCellMar>
          <w:top w:w="0" w:type="dxa"/>
          <w:left w:w="0" w:type="dxa"/>
          <w:bottom w:w="0" w:type="dxa"/>
          <w:right w:w="0" w:type="dxa"/>
        </w:tblCellMar>
      </w:tblPr>
      <w:tblGrid>
        <w:gridCol w:w="466"/>
        <w:gridCol w:w="326"/>
        <w:gridCol w:w="7927"/>
        <w:gridCol w:w="1486"/>
      </w:tblGrid>
      <w:tr>
        <w:trPr/>
        <w:tc>
          <w:tcPr>
            <w:tcW w:w="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283"/>
              <w:ind w:left="0" w:right="0" w:hanging="0"/>
              <w:rPr>
                <w:sz w:val="4"/>
                <w:szCs w:val="4"/>
              </w:rPr>
            </w:pPr>
            <w:r>
              <w:rPr>
                <w:sz w:val="4"/>
                <w:szCs w:val="4"/>
              </w:rPr>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43610" cy="175260"/>
                      <wp:effectExtent l="0" t="0" r="0" b="0"/>
                      <wp:wrapNone/>
                      <wp:docPr id="1" name="Frame1"/>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719" w:type="dxa"/>
            <w:gridSpan w:val="3"/>
            <w:tcBorders/>
            <w:shd w:fill="auto" w:val="clear"/>
            <w:vAlign w:val="center"/>
          </w:tcPr>
          <w:p>
            <w:pPr>
              <w:pStyle w:val="TableContents"/>
              <w:spacing w:before="0" w:after="0"/>
              <w:ind w:left="0" w:right="0" w:hanging="0"/>
              <w:rPr>
                <w:rFonts w:ascii="Times New Roman;Times;serif" w:hAnsi="Times New Roman;Times;serif"/>
                <w:b/>
                <w:sz w:val="22"/>
              </w:rPr>
            </w:pPr>
            <w:r>
              <w:rPr>
                <w:rFonts w:ascii="Times New Roman;Times;serif" w:hAnsi="Times New Roman;Times;serif"/>
                <w:b/>
                <w:sz w:val="22"/>
              </w:rPr>
              <w:t>Item Number</w:t>
            </w:r>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b/>
                <w:sz w:val="22"/>
              </w:rPr>
            </w:pPr>
            <w:r>
              <w:rPr>
                <w:rFonts w:ascii="Times New Roman;Times;serif" w:hAnsi="Times New Roman;Times;serif"/>
                <w:b/>
                <w:sz w:val="22"/>
              </w:rPr>
              <w:t>Page Number</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927" w:type="dxa"/>
            <w:tcBorders/>
            <w:shd w:fill="auto" w:val="clear"/>
            <w:vAlign w:val="center"/>
          </w:tcPr>
          <w:p>
            <w:pPr>
              <w:pStyle w:val="TableContents"/>
              <w:spacing w:before="0" w:after="0"/>
              <w:ind w:left="0" w:right="0" w:hanging="0"/>
              <w:jc w:val="center"/>
              <w:rPr/>
            </w:pPr>
            <w:hyperlink w:anchor="PARTI_926281">
              <w:r>
                <w:rPr>
                  <w:rStyle w:val="InternetLink"/>
                  <w:rFonts w:ascii="Times New Roman;Times;serif" w:hAnsi="Times New Roman;Times;serif"/>
                  <w:b/>
                  <w:i w:val="false"/>
                  <w:caps w:val="false"/>
                  <w:smallCaps w:val="false"/>
                  <w:sz w:val="22"/>
                </w:rPr>
                <w:t>PART I</w:t>
              </w:r>
            </w:hyperlink>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hyperlink w:anchor="ITEM1BUSINESS_471503">
              <w:r>
                <w:rPr>
                  <w:rStyle w:val="InternetLink"/>
                  <w:rFonts w:ascii="Times New Roman;Times;serif" w:hAnsi="Times New Roman;Times;serif"/>
                  <w:b w:val="false"/>
                  <w:i w:val="false"/>
                  <w:caps w:val="false"/>
                  <w:smallCaps w:val="false"/>
                  <w:sz w:val="22"/>
                </w:rPr>
                <w:t>1.</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BUSINESS_471503">
              <w:r>
                <w:rPr>
                  <w:rStyle w:val="InternetLink"/>
                  <w:rFonts w:ascii="Times New Roman;Times;serif" w:hAnsi="Times New Roman;Times;serif"/>
                  <w:b w:val="false"/>
                  <w:i w:val="false"/>
                  <w:caps w:val="false"/>
                  <w:smallCaps w:val="false"/>
                  <w:sz w:val="22"/>
                </w:rPr>
                <w:t>Business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3</w:t>
            </w:r>
          </w:p>
        </w:tc>
      </w:tr>
      <w:tr>
        <w:trPr/>
        <w:tc>
          <w:tcPr>
            <w:tcW w:w="466" w:type="dxa"/>
            <w:tcBorders/>
            <w:shd w:fill="auto" w:val="clear"/>
            <w:vAlign w:val="center"/>
          </w:tcPr>
          <w:p>
            <w:pPr>
              <w:pStyle w:val="TableContents"/>
              <w:spacing w:before="0" w:after="0"/>
              <w:ind w:left="0" w:right="0" w:hanging="0"/>
              <w:jc w:val="right"/>
              <w:rPr/>
            </w:pPr>
            <w:hyperlink w:anchor="ITEM1ARISKFACTORS_382207">
              <w:r>
                <w:rPr>
                  <w:rStyle w:val="InternetLink"/>
                  <w:rFonts w:ascii="Times New Roman;Times;serif" w:hAnsi="Times New Roman;Times;serif"/>
                  <w:b w:val="false"/>
                  <w:i w:val="false"/>
                  <w:caps w:val="false"/>
                  <w:smallCaps w:val="false"/>
                  <w:sz w:val="22"/>
                </w:rPr>
                <w:t>1A.</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ARISKFACTORS_382207">
              <w:r>
                <w:rPr>
                  <w:rStyle w:val="InternetLink"/>
                  <w:rFonts w:ascii="Times New Roman;Times;serif" w:hAnsi="Times New Roman;Times;serif"/>
                  <w:b w:val="false"/>
                  <w:i w:val="false"/>
                  <w:caps w:val="false"/>
                  <w:smallCaps w:val="false"/>
                  <w:sz w:val="22"/>
                </w:rPr>
                <w:t>Risk Factors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20</w:t>
            </w:r>
          </w:p>
        </w:tc>
      </w:tr>
      <w:tr>
        <w:trPr/>
        <w:tc>
          <w:tcPr>
            <w:tcW w:w="466" w:type="dxa"/>
            <w:tcBorders/>
            <w:shd w:fill="auto" w:val="clear"/>
            <w:vAlign w:val="center"/>
          </w:tcPr>
          <w:p>
            <w:pPr>
              <w:pStyle w:val="TableContents"/>
              <w:spacing w:before="0" w:after="0"/>
              <w:ind w:left="0" w:right="0" w:hanging="0"/>
              <w:jc w:val="right"/>
              <w:rPr/>
            </w:pPr>
            <w:hyperlink w:anchor="ITEM1BUNRESOLVEDSTAFFCOMMENTS_224132">
              <w:r>
                <w:rPr>
                  <w:rStyle w:val="InternetLink"/>
                  <w:rFonts w:ascii="Times New Roman;Times;serif" w:hAnsi="Times New Roman;Times;serif"/>
                  <w:b w:val="false"/>
                  <w:i w:val="false"/>
                  <w:caps w:val="false"/>
                  <w:smallCaps w:val="false"/>
                  <w:sz w:val="22"/>
                </w:rPr>
                <w:t>1B.</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BUNRESOLVEDSTAFFCOMMENTS_224132">
              <w:r>
                <w:rPr>
                  <w:rStyle w:val="InternetLink"/>
                  <w:rFonts w:ascii="Times New Roman;Times;serif" w:hAnsi="Times New Roman;Times;serif"/>
                  <w:b w:val="false"/>
                  <w:i w:val="false"/>
                  <w:caps w:val="false"/>
                  <w:smallCaps w:val="false"/>
                  <w:sz w:val="22"/>
                </w:rPr>
                <w:t>Unresolved Staff Comments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40</w:t>
            </w:r>
          </w:p>
        </w:tc>
      </w:tr>
      <w:tr>
        <w:trPr/>
        <w:tc>
          <w:tcPr>
            <w:tcW w:w="466" w:type="dxa"/>
            <w:tcBorders/>
            <w:shd w:fill="auto" w:val="clear"/>
            <w:vAlign w:val="center"/>
          </w:tcPr>
          <w:p>
            <w:pPr>
              <w:pStyle w:val="TableContents"/>
              <w:spacing w:before="0" w:after="0"/>
              <w:ind w:left="0" w:right="0" w:hanging="0"/>
              <w:jc w:val="right"/>
              <w:rPr/>
            </w:pPr>
            <w:hyperlink w:anchor="ITEM2PROPERTIES_652488">
              <w:r>
                <w:rPr>
                  <w:rStyle w:val="InternetLink"/>
                  <w:rFonts w:ascii="Times New Roman;Times;serif" w:hAnsi="Times New Roman;Times;serif"/>
                  <w:b w:val="false"/>
                  <w:i w:val="false"/>
                  <w:caps w:val="false"/>
                  <w:smallCaps w:val="false"/>
                  <w:sz w:val="22"/>
                </w:rPr>
                <w:t>2.</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2PROPERTIES_652488">
              <w:r>
                <w:rPr>
                  <w:rStyle w:val="InternetLink"/>
                  <w:rFonts w:ascii="Times New Roman;Times;serif" w:hAnsi="Times New Roman;Times;serif"/>
                  <w:b w:val="false"/>
                  <w:i w:val="false"/>
                  <w:caps w:val="false"/>
                  <w:smallCaps w:val="false"/>
                  <w:sz w:val="22"/>
                </w:rPr>
                <w:t>Properties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40</w:t>
            </w:r>
          </w:p>
        </w:tc>
      </w:tr>
      <w:tr>
        <w:trPr/>
        <w:tc>
          <w:tcPr>
            <w:tcW w:w="466" w:type="dxa"/>
            <w:tcBorders/>
            <w:shd w:fill="auto" w:val="clear"/>
            <w:vAlign w:val="center"/>
          </w:tcPr>
          <w:p>
            <w:pPr>
              <w:pStyle w:val="TableContents"/>
              <w:spacing w:before="0" w:after="0"/>
              <w:ind w:left="0" w:right="0" w:hanging="0"/>
              <w:jc w:val="right"/>
              <w:rPr/>
            </w:pPr>
            <w:hyperlink w:anchor="ITEM3LEGALPROCEEDINGS_355230">
              <w:r>
                <w:rPr>
                  <w:rStyle w:val="InternetLink"/>
                  <w:rFonts w:ascii="Times New Roman;Times;serif" w:hAnsi="Times New Roman;Times;serif"/>
                  <w:b w:val="false"/>
                  <w:i w:val="false"/>
                  <w:caps w:val="false"/>
                  <w:smallCaps w:val="false"/>
                  <w:sz w:val="22"/>
                </w:rPr>
                <w:t>3.</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3LEGALPROCEEDINGS_355230">
              <w:r>
                <w:rPr>
                  <w:rStyle w:val="InternetLink"/>
                  <w:rFonts w:ascii="Times New Roman;Times;serif" w:hAnsi="Times New Roman;Times;serif"/>
                  <w:b w:val="false"/>
                  <w:i w:val="false"/>
                  <w:caps w:val="false"/>
                  <w:smallCaps w:val="false"/>
                  <w:sz w:val="22"/>
                </w:rPr>
                <w:t>Legal Proceedings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41</w:t>
            </w:r>
          </w:p>
        </w:tc>
      </w:tr>
      <w:tr>
        <w:trPr/>
        <w:tc>
          <w:tcPr>
            <w:tcW w:w="466" w:type="dxa"/>
            <w:tcBorders/>
            <w:shd w:fill="auto" w:val="clear"/>
            <w:vAlign w:val="center"/>
          </w:tcPr>
          <w:p>
            <w:pPr>
              <w:pStyle w:val="TableContents"/>
              <w:spacing w:before="0" w:after="0"/>
              <w:ind w:left="0" w:right="0" w:hanging="0"/>
              <w:jc w:val="right"/>
              <w:rPr/>
            </w:pPr>
            <w:hyperlink w:anchor="ITEM4MINESAFETYDISCLOSURES_9150">
              <w:r>
                <w:rPr>
                  <w:rStyle w:val="InternetLink"/>
                  <w:rFonts w:ascii="Times New Roman;Times;serif" w:hAnsi="Times New Roman;Times;serif"/>
                  <w:b w:val="false"/>
                  <w:i w:val="false"/>
                  <w:caps w:val="false"/>
                  <w:smallCaps w:val="false"/>
                  <w:sz w:val="22"/>
                </w:rPr>
                <w:t>4.</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4MINESAFETYDISCLOSURES_9150">
              <w:r>
                <w:rPr>
                  <w:rStyle w:val="InternetLink"/>
                  <w:rFonts w:ascii="Times New Roman;Times;serif" w:hAnsi="Times New Roman;Times;serif"/>
                  <w:b w:val="false"/>
                  <w:i w:val="false"/>
                  <w:caps w:val="false"/>
                  <w:smallCaps w:val="false"/>
                  <w:sz w:val="22"/>
                </w:rPr>
                <w:t>Mine Safety Disclosures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41</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jc w:val="center"/>
              <w:rPr/>
            </w:pPr>
            <w:hyperlink w:anchor="PARTII_361980">
              <w:r>
                <w:rPr>
                  <w:rStyle w:val="InternetLink"/>
                  <w:rFonts w:ascii="Times New Roman;Times;serif" w:hAnsi="Times New Roman;Times;serif"/>
                  <w:b/>
                  <w:i w:val="false"/>
                  <w:caps w:val="false"/>
                  <w:smallCaps w:val="false"/>
                  <w:sz w:val="22"/>
                </w:rPr>
                <w:t>PART II</w:t>
              </w:r>
            </w:hyperlink>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hyperlink w:anchor="ITEM5MARKETFORTHEREGISTRANTSCOMMONEQUITY">
              <w:r>
                <w:rPr>
                  <w:rStyle w:val="InternetLink"/>
                  <w:rFonts w:ascii="Times New Roman;Times;serif" w:hAnsi="Times New Roman;Times;serif"/>
                  <w:b w:val="false"/>
                  <w:i w:val="false"/>
                  <w:caps w:val="false"/>
                  <w:smallCaps w:val="false"/>
                  <w:sz w:val="22"/>
                </w:rPr>
                <w:t>5.</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pBdr/>
              <w:spacing w:before="0" w:after="0"/>
              <w:ind w:left="0" w:right="0" w:hanging="0"/>
              <w:rPr/>
            </w:pPr>
            <w:hyperlink w:anchor="ITEM5MARKETFORTHEREGISTRANTSCOMMONEQUITY">
              <w:r>
                <w:rPr>
                  <w:rStyle w:val="InternetLink"/>
                  <w:rFonts w:ascii="Times New Roman;Times;serif" w:hAnsi="Times New Roman;Times;serif"/>
                  <w:b w:val="false"/>
                  <w:i w:val="false"/>
                  <w:caps w:val="false"/>
                  <w:smallCaps w:val="false"/>
                  <w:sz w:val="22"/>
                </w:rPr>
                <w:t>Market for the Registrant’s Common Equity, Related Stockholder Matters and Issuer Purchases of Equity Securities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42</w:t>
            </w:r>
          </w:p>
        </w:tc>
      </w:tr>
      <w:tr>
        <w:trPr/>
        <w:tc>
          <w:tcPr>
            <w:tcW w:w="466" w:type="dxa"/>
            <w:tcBorders/>
            <w:shd w:fill="auto" w:val="clear"/>
            <w:vAlign w:val="center"/>
          </w:tcPr>
          <w:p>
            <w:pPr>
              <w:pStyle w:val="TableContents"/>
              <w:spacing w:before="0" w:after="0"/>
              <w:ind w:left="0" w:right="0" w:hanging="0"/>
              <w:jc w:val="right"/>
              <w:rPr/>
            </w:pPr>
            <w:hyperlink w:anchor="ITEM6SELECTEDFINANCIALDATA_497581">
              <w:r>
                <w:rPr>
                  <w:rStyle w:val="InternetLink"/>
                  <w:rFonts w:ascii="Times New Roman;Times;serif" w:hAnsi="Times New Roman;Times;serif"/>
                  <w:b w:val="false"/>
                  <w:i w:val="false"/>
                  <w:caps w:val="false"/>
                  <w:smallCaps w:val="false"/>
                  <w:sz w:val="22"/>
                </w:rPr>
                <w:t>6.</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6SELECTEDFINANCIALDATA_497581">
              <w:r>
                <w:rPr>
                  <w:rStyle w:val="InternetLink"/>
                  <w:rFonts w:ascii="Times New Roman;Times;serif" w:hAnsi="Times New Roman;Times;serif"/>
                  <w:b w:val="false"/>
                  <w:i w:val="false"/>
                  <w:caps w:val="false"/>
                  <w:smallCaps w:val="false"/>
                  <w:sz w:val="22"/>
                </w:rPr>
                <w:t>[Reserved]</w:t>
              </w:r>
            </w:hyperlink>
            <w:r>
              <w:rPr>
                <w:rFonts w:ascii="Times New Roman;Times;serif" w:hAnsi="Times New Roman;Times;serif"/>
                <w:sz w:val="20"/>
              </w:rPr>
              <w:t xml:space="preserve"> </w:t>
            </w:r>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43</w:t>
            </w:r>
          </w:p>
        </w:tc>
      </w:tr>
      <w:tr>
        <w:trPr/>
        <w:tc>
          <w:tcPr>
            <w:tcW w:w="466" w:type="dxa"/>
            <w:tcBorders/>
            <w:shd w:fill="auto" w:val="clear"/>
            <w:vAlign w:val="center"/>
          </w:tcPr>
          <w:p>
            <w:pPr>
              <w:pStyle w:val="TableContents"/>
              <w:spacing w:before="0" w:after="0"/>
              <w:ind w:left="0" w:right="0" w:hanging="0"/>
              <w:jc w:val="right"/>
              <w:rPr/>
            </w:pPr>
            <w:hyperlink w:anchor="ITEM7MANAGEMENTSDISCUSSIONANDANALYSISOFF">
              <w:r>
                <w:rPr>
                  <w:rStyle w:val="InternetLink"/>
                  <w:rFonts w:ascii="Times New Roman;Times;serif" w:hAnsi="Times New Roman;Times;serif"/>
                  <w:b w:val="false"/>
                  <w:i w:val="false"/>
                  <w:caps w:val="false"/>
                  <w:smallCaps w:val="false"/>
                  <w:sz w:val="22"/>
                </w:rPr>
                <w:t>7.</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2"/>
                </w:rPr>
                <w:t>Management’s Discussion and Analysis of Financial Condition and Results of Operations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44</w:t>
            </w:r>
          </w:p>
        </w:tc>
      </w:tr>
      <w:tr>
        <w:trPr/>
        <w:tc>
          <w:tcPr>
            <w:tcW w:w="466" w:type="dxa"/>
            <w:tcBorders/>
            <w:shd w:fill="auto" w:val="clear"/>
            <w:vAlign w:val="center"/>
          </w:tcPr>
          <w:p>
            <w:pPr>
              <w:pStyle w:val="TableContents"/>
              <w:spacing w:before="0" w:after="0"/>
              <w:ind w:left="0" w:right="0" w:hanging="0"/>
              <w:jc w:val="right"/>
              <w:rPr/>
            </w:pPr>
            <w:hyperlink w:anchor="ITEM7AQUANTITATIVEANDQUALITATIVEDISCLOSU">
              <w:r>
                <w:rPr>
                  <w:rStyle w:val="InternetLink"/>
                  <w:rFonts w:ascii="Times New Roman;Times;serif" w:hAnsi="Times New Roman;Times;serif"/>
                  <w:b w:val="false"/>
                  <w:i w:val="false"/>
                  <w:caps w:val="false"/>
                  <w:smallCaps w:val="false"/>
                  <w:sz w:val="22"/>
                </w:rPr>
                <w:t>7A.</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2"/>
                </w:rPr>
                <w:t>Quantitative and Qualitative Disclosures about Market Risk</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66</w:t>
            </w:r>
          </w:p>
        </w:tc>
      </w:tr>
      <w:tr>
        <w:trPr/>
        <w:tc>
          <w:tcPr>
            <w:tcW w:w="466" w:type="dxa"/>
            <w:tcBorders/>
            <w:shd w:fill="auto" w:val="clear"/>
            <w:vAlign w:val="center"/>
          </w:tcPr>
          <w:p>
            <w:pPr>
              <w:pStyle w:val="TableContents"/>
              <w:spacing w:before="0" w:after="0"/>
              <w:ind w:left="0" w:right="0" w:hanging="0"/>
              <w:jc w:val="right"/>
              <w:rPr/>
            </w:pPr>
            <w:hyperlink w:anchor="ITEM8FINANCIALSTATEMENTSANDSUPPLEMENTARY">
              <w:r>
                <w:rPr>
                  <w:rStyle w:val="InternetLink"/>
                  <w:rFonts w:ascii="Times New Roman;Times;serif" w:hAnsi="Times New Roman;Times;serif"/>
                  <w:b w:val="false"/>
                  <w:i w:val="false"/>
                  <w:caps w:val="false"/>
                  <w:smallCaps w:val="false"/>
                  <w:sz w:val="22"/>
                </w:rPr>
                <w:t>8.</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2"/>
                </w:rPr>
                <w:t>Financial Statements and Supplementary Data</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66</w:t>
            </w:r>
          </w:p>
        </w:tc>
      </w:tr>
      <w:tr>
        <w:trPr/>
        <w:tc>
          <w:tcPr>
            <w:tcW w:w="466" w:type="dxa"/>
            <w:tcBorders/>
            <w:shd w:fill="auto" w:val="clear"/>
            <w:vAlign w:val="center"/>
          </w:tcPr>
          <w:p>
            <w:pPr>
              <w:pStyle w:val="TableContents"/>
              <w:spacing w:before="0" w:after="0"/>
              <w:ind w:left="0" w:right="0" w:hanging="0"/>
              <w:jc w:val="right"/>
              <w:rPr/>
            </w:pPr>
            <w:hyperlink w:anchor="ITEM9CHANGESINANDDISAGREEMENTSWITHACCOUN">
              <w:r>
                <w:rPr>
                  <w:rStyle w:val="InternetLink"/>
                  <w:rFonts w:ascii="Times New Roman;Times;serif" w:hAnsi="Times New Roman;Times;serif"/>
                  <w:b w:val="false"/>
                  <w:i w:val="false"/>
                  <w:caps w:val="false"/>
                  <w:smallCaps w:val="false"/>
                  <w:sz w:val="22"/>
                </w:rPr>
                <w:t>9.</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2"/>
                </w:rPr>
                <w:t>Changes in and Disagreements with Accountants on Accounting and Financial Disclosure</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66</w:t>
            </w:r>
          </w:p>
        </w:tc>
      </w:tr>
      <w:tr>
        <w:trPr/>
        <w:tc>
          <w:tcPr>
            <w:tcW w:w="466" w:type="dxa"/>
            <w:tcBorders/>
            <w:shd w:fill="auto" w:val="clear"/>
            <w:vAlign w:val="center"/>
          </w:tcPr>
          <w:p>
            <w:pPr>
              <w:pStyle w:val="TableContents"/>
              <w:spacing w:before="0" w:after="0"/>
              <w:ind w:left="0" w:right="0" w:hanging="0"/>
              <w:jc w:val="right"/>
              <w:rPr/>
            </w:pPr>
            <w:hyperlink w:anchor="ITEM9ACONTROLSANDPROCEDURES_106507">
              <w:r>
                <w:rPr>
                  <w:rStyle w:val="InternetLink"/>
                  <w:rFonts w:ascii="Times New Roman;Times;serif" w:hAnsi="Times New Roman;Times;serif"/>
                  <w:b w:val="false"/>
                  <w:i w:val="false"/>
                  <w:caps w:val="false"/>
                  <w:smallCaps w:val="false"/>
                  <w:sz w:val="22"/>
                </w:rPr>
                <w:t>9A.</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9ACONTROLSANDPROCEDURES_106507">
              <w:r>
                <w:rPr>
                  <w:rStyle w:val="InternetLink"/>
                  <w:rFonts w:ascii="Times New Roman;Times;serif" w:hAnsi="Times New Roman;Times;serif"/>
                  <w:b w:val="false"/>
                  <w:i w:val="false"/>
                  <w:caps w:val="false"/>
                  <w:smallCaps w:val="false"/>
                  <w:sz w:val="22"/>
                </w:rPr>
                <w:t>Controls and Procedures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67</w:t>
            </w:r>
          </w:p>
        </w:tc>
      </w:tr>
      <w:tr>
        <w:trPr/>
        <w:tc>
          <w:tcPr>
            <w:tcW w:w="466" w:type="dxa"/>
            <w:tcBorders/>
            <w:shd w:fill="auto" w:val="clear"/>
            <w:vAlign w:val="center"/>
          </w:tcPr>
          <w:p>
            <w:pPr>
              <w:pStyle w:val="TableContents"/>
              <w:spacing w:before="0" w:after="0"/>
              <w:ind w:left="0" w:right="0" w:hanging="0"/>
              <w:jc w:val="right"/>
              <w:rPr/>
            </w:pPr>
            <w:hyperlink w:anchor="ITEM9BOTHERINFORMATION_368767">
              <w:r>
                <w:rPr>
                  <w:rStyle w:val="InternetLink"/>
                  <w:rFonts w:ascii="Times New Roman;Times;serif" w:hAnsi="Times New Roman;Times;serif"/>
                  <w:b w:val="false"/>
                  <w:i w:val="false"/>
                  <w:caps w:val="false"/>
                  <w:smallCaps w:val="false"/>
                  <w:sz w:val="22"/>
                </w:rPr>
                <w:t>9B.</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9BOTHERINFORMATION_368767">
              <w:r>
                <w:rPr>
                  <w:rStyle w:val="InternetLink"/>
                  <w:rFonts w:ascii="Times New Roman;Times;serif" w:hAnsi="Times New Roman;Times;serif"/>
                  <w:b w:val="false"/>
                  <w:i w:val="false"/>
                  <w:caps w:val="false"/>
                  <w:smallCaps w:val="false"/>
                  <w:sz w:val="22"/>
                </w:rPr>
                <w:t>Other Information</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69</w:t>
            </w:r>
          </w:p>
        </w:tc>
      </w:tr>
      <w:tr>
        <w:trPr/>
        <w:tc>
          <w:tcPr>
            <w:tcW w:w="466" w:type="dxa"/>
            <w:tcBorders/>
            <w:shd w:fill="auto" w:val="clear"/>
            <w:vAlign w:val="center"/>
          </w:tcPr>
          <w:p>
            <w:pPr>
              <w:pStyle w:val="TableContents"/>
              <w:spacing w:before="0" w:after="0"/>
              <w:ind w:left="0" w:right="0" w:hanging="0"/>
              <w:jc w:val="right"/>
              <w:rPr/>
            </w:pPr>
            <w:hyperlink w:anchor="ITEM9CDISCLOSUREREGARDINGFOREIGNJURISDIC">
              <w:r>
                <w:rPr>
                  <w:rStyle w:val="InternetLink"/>
                  <w:rFonts w:ascii="Times New Roman;Times;serif" w:hAnsi="Times New Roman;Times;serif"/>
                  <w:b w:val="false"/>
                  <w:i w:val="false"/>
                  <w:caps w:val="false"/>
                  <w:smallCaps w:val="false"/>
                  <w:sz w:val="22"/>
                </w:rPr>
                <w:t>9C</w:t>
              </w:r>
            </w:hyperlink>
            <w:r>
              <w:rPr>
                <w:rFonts w:ascii="Times New Roman;Times;serif" w:hAnsi="Times New Roman;Times;serif"/>
                <w:sz w:val="22"/>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2"/>
                </w:rPr>
                <w:t>Disclosures Regarding Foreign Jurisdictions that Prevent Inspections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69</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jc w:val="center"/>
              <w:rPr/>
            </w:pPr>
            <w:hyperlink w:anchor="PARTIII_53101">
              <w:r>
                <w:rPr>
                  <w:rStyle w:val="InternetLink"/>
                  <w:rFonts w:ascii="Times New Roman;Times;serif" w:hAnsi="Times New Roman;Times;serif"/>
                  <w:b/>
                  <w:i w:val="false"/>
                  <w:caps w:val="false"/>
                  <w:smallCaps w:val="false"/>
                  <w:sz w:val="22"/>
                </w:rPr>
                <w:t>PART III</w:t>
              </w:r>
            </w:hyperlink>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hyperlink w:anchor="ITEM10DIRECTORSEXECUTIVEOFFICERSANDCORPO">
              <w:r>
                <w:rPr>
                  <w:rStyle w:val="InternetLink"/>
                  <w:rFonts w:ascii="Times New Roman;Times;serif" w:hAnsi="Times New Roman;Times;serif"/>
                  <w:b w:val="false"/>
                  <w:i w:val="false"/>
                  <w:caps w:val="false"/>
                  <w:smallCaps w:val="false"/>
                  <w:sz w:val="22"/>
                </w:rPr>
                <w:t>10.</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2"/>
                </w:rPr>
                <w:t>Directors, Executive Officers and Corporate Governance</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69</w:t>
            </w:r>
          </w:p>
        </w:tc>
      </w:tr>
      <w:tr>
        <w:trPr/>
        <w:tc>
          <w:tcPr>
            <w:tcW w:w="466" w:type="dxa"/>
            <w:tcBorders/>
            <w:shd w:fill="auto" w:val="clear"/>
            <w:vAlign w:val="center"/>
          </w:tcPr>
          <w:p>
            <w:pPr>
              <w:pStyle w:val="TableContents"/>
              <w:spacing w:before="0" w:after="0"/>
              <w:ind w:left="0" w:right="0" w:hanging="0"/>
              <w:jc w:val="right"/>
              <w:rPr/>
            </w:pPr>
            <w:hyperlink w:anchor="ITEM11EXECUTIVECOMPENSATION_330828">
              <w:r>
                <w:rPr>
                  <w:rStyle w:val="InternetLink"/>
                  <w:rFonts w:ascii="Times New Roman;Times;serif" w:hAnsi="Times New Roman;Times;serif"/>
                  <w:b w:val="false"/>
                  <w:i w:val="false"/>
                  <w:caps w:val="false"/>
                  <w:smallCaps w:val="false"/>
                  <w:sz w:val="22"/>
                </w:rPr>
                <w:t>11.</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1EXECUTIVECOMPENSATION_330828">
              <w:r>
                <w:rPr>
                  <w:rStyle w:val="InternetLink"/>
                  <w:rFonts w:ascii="Times New Roman;Times;serif" w:hAnsi="Times New Roman;Times;serif"/>
                  <w:b w:val="false"/>
                  <w:i w:val="false"/>
                  <w:caps w:val="false"/>
                  <w:smallCaps w:val="false"/>
                  <w:sz w:val="22"/>
                </w:rPr>
                <w:t>Executive Compensation</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69</w:t>
            </w:r>
          </w:p>
        </w:tc>
      </w:tr>
      <w:tr>
        <w:trPr/>
        <w:tc>
          <w:tcPr>
            <w:tcW w:w="466" w:type="dxa"/>
            <w:tcBorders/>
            <w:shd w:fill="auto" w:val="clear"/>
            <w:vAlign w:val="center"/>
          </w:tcPr>
          <w:p>
            <w:pPr>
              <w:pStyle w:val="TableContents"/>
              <w:spacing w:before="0" w:after="0"/>
              <w:ind w:left="0" w:right="0" w:hanging="0"/>
              <w:jc w:val="right"/>
              <w:rPr/>
            </w:pPr>
            <w:hyperlink w:anchor="ITEM12SECURITYOWNERSHIPOFCERTAINBENEFICI">
              <w:r>
                <w:rPr>
                  <w:rStyle w:val="InternetLink"/>
                  <w:rFonts w:ascii="Times New Roman;Times;serif" w:hAnsi="Times New Roman;Times;serif"/>
                  <w:b w:val="false"/>
                  <w:i w:val="false"/>
                  <w:caps w:val="false"/>
                  <w:smallCaps w:val="false"/>
                  <w:sz w:val="22"/>
                </w:rPr>
                <w:t>12.</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pBdr/>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2"/>
                </w:rPr>
                <w:t>Security Ownership of Certain Beneficial Owners and Management and Related Stockholder Matters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69</w:t>
            </w:r>
          </w:p>
        </w:tc>
      </w:tr>
      <w:tr>
        <w:trPr/>
        <w:tc>
          <w:tcPr>
            <w:tcW w:w="466" w:type="dxa"/>
            <w:tcBorders/>
            <w:shd w:fill="auto" w:val="clear"/>
            <w:vAlign w:val="center"/>
          </w:tcPr>
          <w:p>
            <w:pPr>
              <w:pStyle w:val="TableContents"/>
              <w:spacing w:before="0" w:after="0"/>
              <w:ind w:left="0" w:right="0" w:hanging="0"/>
              <w:jc w:val="right"/>
              <w:rPr/>
            </w:pPr>
            <w:hyperlink w:anchor="ITEM13CERTAINRELATIONSHIPSANDRELATEDTRAN">
              <w:r>
                <w:rPr>
                  <w:rStyle w:val="InternetLink"/>
                  <w:rFonts w:ascii="Times New Roman;Times;serif" w:hAnsi="Times New Roman;Times;serif"/>
                  <w:b w:val="false"/>
                  <w:i w:val="false"/>
                  <w:caps w:val="false"/>
                  <w:smallCaps w:val="false"/>
                  <w:sz w:val="22"/>
                </w:rPr>
                <w:t>13.</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2"/>
                </w:rPr>
                <w:t>Certain Relationships and Related Transactions, and Director Independence</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r>
      <w:tr>
        <w:trPr/>
        <w:tc>
          <w:tcPr>
            <w:tcW w:w="466" w:type="dxa"/>
            <w:tcBorders/>
            <w:shd w:fill="auto" w:val="clear"/>
            <w:vAlign w:val="center"/>
          </w:tcPr>
          <w:p>
            <w:pPr>
              <w:pStyle w:val="TableContents"/>
              <w:spacing w:before="0" w:after="0"/>
              <w:ind w:left="0" w:right="0" w:hanging="0"/>
              <w:jc w:val="right"/>
              <w:rPr/>
            </w:pPr>
            <w:hyperlink w:anchor="ITEM14PRINCIPALACCOUNTINGFEESANDSERVICES">
              <w:r>
                <w:rPr>
                  <w:rStyle w:val="InternetLink"/>
                  <w:rFonts w:ascii="Times New Roman;Times;serif" w:hAnsi="Times New Roman;Times;serif"/>
                  <w:b w:val="false"/>
                  <w:i w:val="false"/>
                  <w:caps w:val="false"/>
                  <w:smallCaps w:val="false"/>
                  <w:sz w:val="22"/>
                </w:rPr>
                <w:t>14.</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2"/>
                </w:rPr>
                <w:t>Principal Accounting Fees and Services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jc w:val="center"/>
              <w:rPr/>
            </w:pPr>
            <w:hyperlink w:anchor="PARTIV_523093">
              <w:r>
                <w:rPr>
                  <w:rStyle w:val="InternetLink"/>
                  <w:rFonts w:ascii="Times New Roman;Times;serif" w:hAnsi="Times New Roman;Times;serif"/>
                  <w:b/>
                  <w:i w:val="false"/>
                  <w:caps w:val="false"/>
                  <w:smallCaps w:val="false"/>
                  <w:sz w:val="22"/>
                </w:rPr>
                <w:t>PART IV</w:t>
              </w:r>
            </w:hyperlink>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right"/>
              <w:rPr/>
            </w:pPr>
            <w:hyperlink w:anchor="ITEM15EXHIBITSANDFINANCIALSTATEMENTSCHED">
              <w:r>
                <w:rPr>
                  <w:rStyle w:val="InternetLink"/>
                  <w:rFonts w:ascii="Times New Roman;Times;serif" w:hAnsi="Times New Roman;Times;serif"/>
                  <w:b w:val="false"/>
                  <w:i w:val="false"/>
                  <w:caps w:val="false"/>
                  <w:smallCaps w:val="false"/>
                  <w:sz w:val="22"/>
                </w:rPr>
                <w:t>15.</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5EXHIBITSANDFINANCIALSTATEMENTSCHED">
              <w:r>
                <w:rPr>
                  <w:rStyle w:val="InternetLink"/>
                  <w:rFonts w:ascii="Times New Roman;Times;serif" w:hAnsi="Times New Roman;Times;serif"/>
                  <w:b w:val="false"/>
                  <w:i w:val="false"/>
                  <w:caps w:val="false"/>
                  <w:smallCaps w:val="false"/>
                  <w:sz w:val="22"/>
                </w:rPr>
                <w:t>Exhibits and Financial Statement Schedules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71</w:t>
            </w:r>
          </w:p>
        </w:tc>
      </w:tr>
      <w:tr>
        <w:trPr/>
        <w:tc>
          <w:tcPr>
            <w:tcW w:w="466" w:type="dxa"/>
            <w:tcBorders/>
            <w:shd w:fill="auto" w:val="clear"/>
            <w:vAlign w:val="center"/>
          </w:tcPr>
          <w:p>
            <w:pPr>
              <w:pStyle w:val="TableContents"/>
              <w:spacing w:before="0" w:after="0"/>
              <w:ind w:left="0" w:right="0" w:hanging="0"/>
              <w:jc w:val="right"/>
              <w:rPr/>
            </w:pPr>
            <w:hyperlink w:anchor="ITEM16FORM10KSUMMARY_855159">
              <w:r>
                <w:rPr>
                  <w:rStyle w:val="InternetLink"/>
                  <w:rFonts w:ascii="Times New Roman;Times;serif" w:hAnsi="Times New Roman;Times;serif"/>
                  <w:b w:val="false"/>
                  <w:i w:val="false"/>
                  <w:caps w:val="false"/>
                  <w:smallCaps w:val="false"/>
                  <w:sz w:val="22"/>
                </w:rPr>
                <w:t>16.</w:t>
              </w:r>
            </w:hyperlink>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ITEM16FORM10KSUMMARY_855159">
              <w:r>
                <w:rPr>
                  <w:rStyle w:val="InternetLink"/>
                  <w:rFonts w:ascii="Times New Roman;Times;serif" w:hAnsi="Times New Roman;Times;serif"/>
                  <w:b w:val="false"/>
                  <w:i w:val="false"/>
                  <w:caps w:val="false"/>
                  <w:smallCaps w:val="false"/>
                  <w:sz w:val="22"/>
                </w:rPr>
                <w:t>Form 10-K Summary</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71</w:t>
            </w:r>
          </w:p>
        </w:tc>
      </w:tr>
      <w:tr>
        <w:trPr/>
        <w:tc>
          <w:tcPr>
            <w:tcW w:w="4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center"/>
              <w:rPr/>
            </w:pPr>
            <w:r>
              <w:rPr/>
              <w:t>​</w:t>
            </w:r>
          </w:p>
        </w:tc>
      </w:tr>
      <w:tr>
        <w:trPr/>
        <w:tc>
          <w:tcPr>
            <w:tcW w:w="4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27" w:type="dxa"/>
            <w:tcBorders/>
            <w:shd w:fill="auto" w:val="clear"/>
            <w:vAlign w:val="center"/>
          </w:tcPr>
          <w:p>
            <w:pPr>
              <w:pStyle w:val="TableContents"/>
              <w:spacing w:before="0" w:after="0"/>
              <w:ind w:left="0" w:right="0" w:hanging="0"/>
              <w:rPr/>
            </w:pPr>
            <w:hyperlink w:anchor="SIGNATURES_717339">
              <w:r>
                <w:rPr>
                  <w:rStyle w:val="InternetLink"/>
                  <w:rFonts w:ascii="Times New Roman;Times;serif" w:hAnsi="Times New Roman;Times;serif"/>
                  <w:b w:val="false"/>
                  <w:i w:val="false"/>
                  <w:caps w:val="false"/>
                  <w:smallCaps w:val="false"/>
                  <w:sz w:val="22"/>
                </w:rPr>
                <w:t>Signatures</w:t>
              </w:r>
            </w:hyperlink>
          </w:p>
        </w:tc>
        <w:tc>
          <w:tcPr>
            <w:tcW w:w="1486"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74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2"/>
        </w:rPr>
      </w:pPr>
      <w:bookmarkStart w:id="25" w:name="PARTI_926281"/>
      <w:bookmarkStart w:id="26" w:name="_7e01591e_9330_4f64_9ccd_91eb23961b0c"/>
      <w:bookmarkEnd w:id="25"/>
      <w:bookmarkEnd w:id="26"/>
      <w:r>
        <w:rPr>
          <w:rFonts w:ascii="Times New Roman;Times;serif" w:hAnsi="Times New Roman;Times;serif"/>
          <w:b/>
          <w:sz w:val="22"/>
        </w:rPr>
        <w:t>PART I</w:t>
      </w:r>
    </w:p>
    <w:p>
      <w:pPr>
        <w:pStyle w:val="TextBody"/>
        <w:spacing w:before="0" w:after="240"/>
        <w:ind w:left="0" w:right="0" w:hanging="0"/>
        <w:rPr>
          <w:rFonts w:ascii="Times New Roman;Times;serif" w:hAnsi="Times New Roman;Times;serif"/>
          <w:b/>
          <w:sz w:val="22"/>
        </w:rPr>
      </w:pPr>
      <w:bookmarkStart w:id="27" w:name="ITEM1BUSINESS_471503"/>
      <w:bookmarkEnd w:id="27"/>
      <w:r>
        <w:rPr>
          <w:rFonts w:ascii="Times New Roman;Times;serif" w:hAnsi="Times New Roman;Times;serif"/>
          <w:b/>
          <w:sz w:val="22"/>
        </w:rPr>
        <w:t>ITEM 1.           BUSINESS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Overview</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develop, market, sell and distribute energy drink beverages and concentrates for energy drink beverages, primarily under the following brand names:</w:t>
      </w:r>
    </w:p>
    <w:tbl>
      <w:tblPr>
        <w:tblW w:w="7918" w:type="dxa"/>
        <w:jc w:val="left"/>
        <w:tblInd w:w="0" w:type="dxa"/>
        <w:tblCellMar>
          <w:top w:w="0" w:type="dxa"/>
          <w:left w:w="0" w:type="dxa"/>
          <w:bottom w:w="0" w:type="dxa"/>
          <w:right w:w="0" w:type="dxa"/>
        </w:tblCellMar>
      </w:tblPr>
      <w:tblGrid>
        <w:gridCol w:w="3811"/>
        <w:gridCol w:w="326"/>
        <w:gridCol w:w="3781"/>
      </w:tblGrid>
      <w:tr>
        <w:trPr/>
        <w:tc>
          <w:tcPr>
            <w:tcW w:w="3811" w:type="dxa"/>
            <w:tcBorders/>
            <w:shd w:fill="auto" w:val="clear"/>
            <w:vAlign w:val="center"/>
          </w:tcPr>
          <w:p>
            <w:pPr>
              <w:pStyle w:val="TableContents"/>
              <w:pBdr/>
              <w:spacing w:before="0" w:after="0"/>
              <w:ind w:left="72" w:right="0" w:hanging="360"/>
              <w:jc w:val="both"/>
              <w:rPr/>
            </w:pPr>
            <w:r>
              <w:rPr/>
              <w:t>●     </w:t>
            </w:r>
            <w:r>
              <w:rPr>
                <w:rFonts w:ascii="Times New Roman;Times;serif" w:hAnsi="Times New Roman;Times;serif"/>
                <w:sz w:val="22"/>
              </w:rPr>
              <w:t>Monster Energy®</w:t>
            </w:r>
          </w:p>
          <w:p>
            <w:pPr>
              <w:pStyle w:val="TableContents"/>
              <w:pBdr/>
              <w:spacing w:before="0" w:after="0"/>
              <w:ind w:left="72" w:right="0" w:hanging="360"/>
              <w:rPr/>
            </w:pPr>
            <w:r>
              <w:rPr/>
              <w:t>●     </w:t>
            </w:r>
            <w:r>
              <w:rPr>
                <w:rFonts w:ascii="Times New Roman;Times;serif" w:hAnsi="Times New Roman;Times;serif"/>
                <w:sz w:val="22"/>
              </w:rPr>
              <w:t>Monster Energy Ultra®</w:t>
            </w:r>
          </w:p>
          <w:p>
            <w:pPr>
              <w:pStyle w:val="TableContents"/>
              <w:pBdr/>
              <w:spacing w:before="0" w:after="0"/>
              <w:ind w:left="72" w:right="0" w:hanging="360"/>
              <w:rPr/>
            </w:pPr>
            <w:r>
              <w:rPr/>
              <w:t>●     </w:t>
            </w:r>
            <w:r>
              <w:rPr>
                <w:rFonts w:ascii="Times New Roman;Times;serif" w:hAnsi="Times New Roman;Times;serif"/>
                <w:sz w:val="22"/>
              </w:rPr>
              <w:t>Monster Rehab®</w:t>
            </w:r>
          </w:p>
          <w:p>
            <w:pPr>
              <w:pStyle w:val="TableContents"/>
              <w:pBdr/>
              <w:spacing w:before="0" w:after="0"/>
              <w:ind w:left="72" w:right="0" w:hanging="360"/>
              <w:rPr/>
            </w:pPr>
            <w:r>
              <w:rPr/>
              <w:t>●     </w:t>
            </w:r>
            <w:r>
              <w:rPr>
                <w:rFonts w:ascii="Times New Roman;Times;serif" w:hAnsi="Times New Roman;Times;serif"/>
                <w:sz w:val="22"/>
              </w:rPr>
              <w:t>Monster Energy®Nitro</w:t>
            </w:r>
          </w:p>
          <w:p>
            <w:pPr>
              <w:pStyle w:val="TableContents"/>
              <w:pBdr/>
              <w:spacing w:before="0" w:after="0"/>
              <w:ind w:left="72" w:right="0" w:hanging="360"/>
              <w:rPr/>
            </w:pPr>
            <w:r>
              <w:rPr/>
              <w:t>●     </w:t>
            </w:r>
            <w:r>
              <w:rPr>
                <w:rFonts w:ascii="Times New Roman;Times;serif" w:hAnsi="Times New Roman;Times;serif"/>
                <w:sz w:val="22"/>
              </w:rPr>
              <w:t>Java Monster®</w:t>
            </w:r>
          </w:p>
          <w:p>
            <w:pPr>
              <w:pStyle w:val="TableContents"/>
              <w:pBdr/>
              <w:spacing w:before="0" w:after="0"/>
              <w:ind w:left="72" w:right="0" w:hanging="360"/>
              <w:rPr/>
            </w:pPr>
            <w:r>
              <w:rPr/>
              <w:t>●     </w:t>
            </w:r>
            <w:r>
              <w:rPr>
                <w:rFonts w:ascii="Times New Roman;Times;serif" w:hAnsi="Times New Roman;Times;serif"/>
                <w:sz w:val="22"/>
              </w:rPr>
              <w:t>Muscle Monster®</w:t>
            </w:r>
          </w:p>
          <w:p>
            <w:pPr>
              <w:pStyle w:val="TableContents"/>
              <w:pBdr/>
              <w:spacing w:before="0" w:after="0"/>
              <w:ind w:left="72" w:right="0" w:hanging="360"/>
              <w:rPr/>
            </w:pPr>
            <w:r>
              <w:rPr/>
              <w:t>●     </w:t>
            </w:r>
            <w:r>
              <w:rPr>
                <w:rFonts w:ascii="Times New Roman;Times;serif" w:hAnsi="Times New Roman;Times;serif"/>
                <w:sz w:val="22"/>
              </w:rPr>
              <w:t>Espresso Monster®</w:t>
            </w:r>
          </w:p>
          <w:p>
            <w:pPr>
              <w:pStyle w:val="TableContents"/>
              <w:pBdr/>
              <w:spacing w:before="0" w:after="0"/>
              <w:ind w:left="72" w:right="0" w:hanging="360"/>
              <w:rPr/>
            </w:pPr>
            <w:r>
              <w:rPr/>
              <w:t>●     </w:t>
            </w:r>
            <w:r>
              <w:rPr>
                <w:rFonts w:ascii="Times New Roman;Times;serif" w:hAnsi="Times New Roman;Times;serif"/>
                <w:sz w:val="22"/>
              </w:rPr>
              <w:t>Punch Monster®</w:t>
            </w:r>
          </w:p>
          <w:p>
            <w:pPr>
              <w:pStyle w:val="TableContents"/>
              <w:pBdr/>
              <w:spacing w:before="0" w:after="0"/>
              <w:ind w:left="72" w:right="0" w:hanging="360"/>
              <w:rPr/>
            </w:pPr>
            <w:r>
              <w:rPr/>
              <w:t>●     </w:t>
            </w:r>
            <w:r>
              <w:rPr>
                <w:rFonts w:ascii="Times New Roman;Times;serif" w:hAnsi="Times New Roman;Times;serif"/>
                <w:sz w:val="22"/>
              </w:rPr>
              <w:t>Juice Monster®</w:t>
            </w:r>
          </w:p>
          <w:p>
            <w:pPr>
              <w:pStyle w:val="TableContents"/>
              <w:pBdr/>
              <w:spacing w:before="0" w:after="0"/>
              <w:ind w:left="72" w:right="0" w:hanging="360"/>
              <w:rPr/>
            </w:pPr>
            <w:r>
              <w:rPr/>
              <w:t>●     </w:t>
            </w:r>
            <w:r>
              <w:rPr>
                <w:rFonts w:ascii="Times New Roman;Times;serif" w:hAnsi="Times New Roman;Times;serif"/>
                <w:sz w:val="22"/>
              </w:rPr>
              <w:t>Monster Hydro® Energy Water</w:t>
            </w:r>
          </w:p>
          <w:p>
            <w:pPr>
              <w:pStyle w:val="TableContents"/>
              <w:pBdr/>
              <w:spacing w:before="0" w:after="0"/>
              <w:ind w:left="72" w:right="0" w:hanging="360"/>
              <w:rPr/>
            </w:pPr>
            <w:r>
              <w:rPr/>
              <w:t>●     </w:t>
            </w:r>
            <w:r>
              <w:rPr>
                <w:rFonts w:ascii="Times New Roman;Times;serif" w:hAnsi="Times New Roman;Times;serif"/>
                <w:sz w:val="22"/>
              </w:rPr>
              <w:t>Monster Hydro® Super Sport</w:t>
            </w:r>
          </w:p>
          <w:p>
            <w:pPr>
              <w:pStyle w:val="TableContents"/>
              <w:spacing w:before="0" w:after="0"/>
              <w:ind w:left="72" w:right="0" w:hanging="0"/>
              <w:rPr/>
            </w:pPr>
            <w:r>
              <w:rPr/>
              <w:t>●     </w:t>
            </w:r>
            <w:r>
              <w:rPr>
                <w:rFonts w:ascii="Times New Roman;Times;serif" w:hAnsi="Times New Roman;Times;serif"/>
                <w:sz w:val="22"/>
              </w:rPr>
              <w:t>Monster HydroSport Super Fuel®</w:t>
            </w:r>
          </w:p>
          <w:p>
            <w:pPr>
              <w:pStyle w:val="TableContents"/>
              <w:pBdr/>
              <w:spacing w:before="0" w:after="0"/>
              <w:ind w:left="72" w:right="0" w:hanging="360"/>
              <w:rPr/>
            </w:pPr>
            <w:r>
              <w:rPr/>
              <w:t>●     </w:t>
            </w:r>
            <w:r>
              <w:rPr>
                <w:rFonts w:ascii="Times New Roman;Times;serif" w:hAnsi="Times New Roman;Times;serif"/>
                <w:sz w:val="22"/>
              </w:rPr>
              <w:t>Monster Super Fuel®</w:t>
            </w:r>
          </w:p>
          <w:p>
            <w:pPr>
              <w:pStyle w:val="TableContents"/>
              <w:pBdr/>
              <w:spacing w:before="0" w:after="0"/>
              <w:ind w:left="72" w:right="0" w:hanging="360"/>
              <w:rPr/>
            </w:pPr>
            <w:r>
              <w:rPr/>
              <w:t>●     </w:t>
            </w:r>
            <w:r>
              <w:rPr>
                <w:rFonts w:ascii="Times New Roman;Times;serif" w:hAnsi="Times New Roman;Times;serif"/>
                <w:sz w:val="22"/>
              </w:rPr>
              <w:t>Monster Dragon Tea®</w:t>
            </w:r>
          </w:p>
          <w:p>
            <w:pPr>
              <w:pStyle w:val="TableContents"/>
              <w:pBdr/>
              <w:spacing w:before="0" w:after="0"/>
              <w:ind w:left="72" w:right="0" w:hanging="360"/>
              <w:rPr/>
            </w:pPr>
            <w:r>
              <w:rPr/>
              <w:t>●     </w:t>
            </w:r>
            <w:r>
              <w:rPr>
                <w:rFonts w:ascii="Times New Roman;Times;serif" w:hAnsi="Times New Roman;Times;serif"/>
                <w:sz w:val="22"/>
              </w:rPr>
              <w:t>Reign Total Body Fuel®</w:t>
            </w:r>
          </w:p>
          <w:p>
            <w:pPr>
              <w:pStyle w:val="TableContents"/>
              <w:pBdr/>
              <w:spacing w:before="0" w:after="0"/>
              <w:ind w:left="0" w:right="0" w:hanging="0"/>
              <w:rPr/>
            </w:pPr>
            <w:r>
              <w:rPr/>
              <w:t>●     </w:t>
            </w:r>
            <w:r>
              <w:rPr>
                <w:rFonts w:ascii="Times New Roman;Times;serif" w:hAnsi="Times New Roman;Times;serif"/>
                <w:sz w:val="22"/>
              </w:rPr>
              <w:t>Reign Inferno® Thermogenic Fuel</w:t>
            </w:r>
          </w:p>
        </w:tc>
        <w:tc>
          <w:tcPr>
            <w:tcW w:w="326" w:type="dxa"/>
            <w:tcBorders/>
            <w:shd w:fill="auto" w:val="clear"/>
            <w:vAlign w:val="center"/>
          </w:tcPr>
          <w:p>
            <w:pPr>
              <w:pStyle w:val="TableContents"/>
              <w:pBdr/>
              <w:spacing w:before="0" w:after="0"/>
              <w:ind w:left="0" w:right="0" w:hanging="0"/>
              <w:jc w:val="both"/>
              <w:rPr/>
            </w:pPr>
            <w:r>
              <w:rPr/>
              <w:t>    </w:t>
            </w:r>
          </w:p>
        </w:tc>
        <w:tc>
          <w:tcPr>
            <w:tcW w:w="3781" w:type="dxa"/>
            <w:tcBorders/>
            <w:shd w:fill="auto" w:val="clear"/>
            <w:vAlign w:val="center"/>
          </w:tcPr>
          <w:p>
            <w:pPr>
              <w:pStyle w:val="TableContents"/>
              <w:pBdr/>
              <w:spacing w:before="0" w:after="0"/>
              <w:ind w:left="0" w:right="0" w:hanging="360"/>
              <w:jc w:val="both"/>
              <w:rPr/>
            </w:pPr>
            <w:r>
              <w:rPr/>
              <w:t>●     </w:t>
            </w:r>
            <w:r>
              <w:rPr>
                <w:rFonts w:ascii="Times New Roman;Times;serif" w:hAnsi="Times New Roman;Times;serif"/>
                <w:sz w:val="22"/>
              </w:rPr>
              <w:t>NOS®</w:t>
            </w:r>
          </w:p>
          <w:p>
            <w:pPr>
              <w:pStyle w:val="TableContents"/>
              <w:pBdr/>
              <w:spacing w:before="0" w:after="0"/>
              <w:ind w:left="0" w:right="0" w:hanging="360"/>
              <w:jc w:val="both"/>
              <w:rPr/>
            </w:pPr>
            <w:r>
              <w:rPr/>
              <w:t>●     </w:t>
            </w:r>
            <w:r>
              <w:rPr>
                <w:rFonts w:ascii="Times New Roman;Times;serif" w:hAnsi="Times New Roman;Times;serif"/>
                <w:sz w:val="22"/>
              </w:rPr>
              <w:t>Full Throttle®</w:t>
            </w:r>
          </w:p>
          <w:p>
            <w:pPr>
              <w:pStyle w:val="TableContents"/>
              <w:pBdr/>
              <w:spacing w:before="0" w:after="0"/>
              <w:ind w:left="0" w:right="0" w:hanging="360"/>
              <w:jc w:val="both"/>
              <w:rPr/>
            </w:pPr>
            <w:r>
              <w:rPr/>
              <w:t>●     </w:t>
            </w:r>
            <w:r>
              <w:rPr>
                <w:rFonts w:ascii="Times New Roman;Times;serif" w:hAnsi="Times New Roman;Times;serif"/>
                <w:sz w:val="22"/>
              </w:rPr>
              <w:t>Burn®</w:t>
            </w:r>
          </w:p>
          <w:p>
            <w:pPr>
              <w:pStyle w:val="TableContents"/>
              <w:pBdr/>
              <w:spacing w:before="0" w:after="0"/>
              <w:ind w:left="0" w:right="0" w:hanging="360"/>
              <w:jc w:val="both"/>
              <w:rPr/>
            </w:pPr>
            <w:r>
              <w:rPr/>
              <w:t>●     </w:t>
            </w:r>
            <w:r>
              <w:rPr>
                <w:rFonts w:ascii="Times New Roman;Times;serif" w:hAnsi="Times New Roman;Times;serif"/>
                <w:sz w:val="22"/>
              </w:rPr>
              <w:t>Mother®</w:t>
            </w:r>
          </w:p>
          <w:p>
            <w:pPr>
              <w:pStyle w:val="TableContents"/>
              <w:pBdr/>
              <w:spacing w:before="0" w:after="0"/>
              <w:ind w:left="0" w:right="0" w:hanging="360"/>
              <w:jc w:val="both"/>
              <w:rPr/>
            </w:pPr>
            <w:r>
              <w:rPr/>
              <w:t>●     </w:t>
            </w:r>
            <w:r>
              <w:rPr>
                <w:rFonts w:ascii="Times New Roman;Times;serif" w:hAnsi="Times New Roman;Times;serif"/>
                <w:sz w:val="22"/>
              </w:rPr>
              <w:t>Nalu®</w:t>
            </w:r>
          </w:p>
          <w:p>
            <w:pPr>
              <w:pStyle w:val="TableContents"/>
              <w:pBdr/>
              <w:spacing w:before="0" w:after="0"/>
              <w:ind w:left="0" w:right="0" w:hanging="360"/>
              <w:jc w:val="both"/>
              <w:rPr/>
            </w:pPr>
            <w:r>
              <w:rPr/>
              <w:t>●     </w:t>
            </w:r>
            <w:r>
              <w:rPr>
                <w:rFonts w:ascii="Times New Roman;Times;serif" w:hAnsi="Times New Roman;Times;serif"/>
                <w:sz w:val="22"/>
              </w:rPr>
              <w:t>Ultra Energy®</w:t>
            </w:r>
          </w:p>
          <w:p>
            <w:pPr>
              <w:pStyle w:val="TableContents"/>
              <w:pBdr/>
              <w:spacing w:before="0" w:after="0"/>
              <w:ind w:left="0" w:right="0" w:hanging="360"/>
              <w:rPr/>
            </w:pPr>
            <w:r>
              <w:rPr/>
              <w:t>●     </w:t>
            </w:r>
            <w:r>
              <w:rPr>
                <w:rFonts w:ascii="Times New Roman;Times;serif" w:hAnsi="Times New Roman;Times;serif"/>
                <w:sz w:val="22"/>
              </w:rPr>
              <w:t>Play® and Power Play® (stylized)</w:t>
            </w:r>
          </w:p>
          <w:p>
            <w:pPr>
              <w:pStyle w:val="TableContents"/>
              <w:pBdr/>
              <w:spacing w:before="0" w:after="0"/>
              <w:ind w:left="0" w:right="0" w:hanging="360"/>
              <w:rPr/>
            </w:pPr>
            <w:r>
              <w:rPr/>
              <w:t>●     </w:t>
            </w:r>
            <w:r>
              <w:rPr>
                <w:rFonts w:ascii="Times New Roman;Times;serif" w:hAnsi="Times New Roman;Times;serif"/>
                <w:sz w:val="22"/>
              </w:rPr>
              <w:t>Relentless®</w:t>
            </w:r>
          </w:p>
          <w:p>
            <w:pPr>
              <w:pStyle w:val="TableContents"/>
              <w:pBdr/>
              <w:spacing w:before="0" w:after="0"/>
              <w:ind w:left="0" w:right="0" w:hanging="360"/>
              <w:rPr/>
            </w:pPr>
            <w:r>
              <w:rPr/>
              <w:t>●     </w:t>
            </w:r>
            <w:r>
              <w:rPr>
                <w:rFonts w:ascii="Times New Roman;Times;serif" w:hAnsi="Times New Roman;Times;serif"/>
                <w:sz w:val="22"/>
              </w:rPr>
              <w:t>BPM®</w:t>
            </w:r>
          </w:p>
          <w:p>
            <w:pPr>
              <w:pStyle w:val="TableContents"/>
              <w:pBdr/>
              <w:spacing w:before="0" w:after="0"/>
              <w:ind w:left="0" w:right="0" w:hanging="360"/>
              <w:rPr/>
            </w:pPr>
            <w:r>
              <w:rPr/>
              <w:t>●     </w:t>
            </w:r>
            <w:r>
              <w:rPr>
                <w:rFonts w:ascii="Times New Roman;Times;serif" w:hAnsi="Times New Roman;Times;serif"/>
                <w:sz w:val="22"/>
              </w:rPr>
              <w:t>BU®</w:t>
            </w:r>
          </w:p>
          <w:p>
            <w:pPr>
              <w:pStyle w:val="TableContents"/>
              <w:pBdr/>
              <w:spacing w:before="0" w:after="0"/>
              <w:ind w:left="0" w:right="0" w:hanging="360"/>
              <w:rPr/>
            </w:pPr>
            <w:r>
              <w:rPr/>
              <w:t>●     </w:t>
            </w:r>
            <w:r>
              <w:rPr>
                <w:rFonts w:ascii="Times New Roman;Times;serif" w:hAnsi="Times New Roman;Times;serif"/>
                <w:sz w:val="22"/>
              </w:rPr>
              <w:t>Gladiator®</w:t>
            </w:r>
          </w:p>
          <w:p>
            <w:pPr>
              <w:pStyle w:val="TableContents"/>
              <w:pBdr/>
              <w:spacing w:before="0" w:after="0"/>
              <w:ind w:left="0" w:right="0" w:hanging="360"/>
              <w:rPr/>
            </w:pPr>
            <w:r>
              <w:rPr/>
              <w:t>●     </w:t>
            </w:r>
            <w:r>
              <w:rPr>
                <w:rFonts w:ascii="Times New Roman;Times;serif" w:hAnsi="Times New Roman;Times;serif"/>
                <w:sz w:val="22"/>
              </w:rPr>
              <w:t>Samurai®</w:t>
            </w:r>
          </w:p>
          <w:p>
            <w:pPr>
              <w:pStyle w:val="TableContents"/>
              <w:pBdr/>
              <w:spacing w:before="0" w:after="0"/>
              <w:ind w:left="0" w:right="0" w:hanging="360"/>
              <w:rPr/>
            </w:pPr>
            <w:r>
              <w:rPr/>
              <w:t>●     </w:t>
            </w:r>
            <w:r>
              <w:rPr>
                <w:rFonts w:ascii="Times New Roman;Times;serif" w:hAnsi="Times New Roman;Times;serif"/>
                <w:sz w:val="22"/>
              </w:rPr>
              <w:t>Live+®</w:t>
            </w:r>
          </w:p>
          <w:p>
            <w:pPr>
              <w:pStyle w:val="TableContents"/>
              <w:spacing w:before="0" w:after="0"/>
              <w:ind w:left="0" w:right="0" w:hanging="0"/>
              <w:rPr/>
            </w:pPr>
            <w:r>
              <w:rPr/>
              <w:t>●     </w:t>
            </w:r>
            <w:r>
              <w:rPr>
                <w:rFonts w:ascii="Times New Roman;Times;serif" w:hAnsi="Times New Roman;Times;serif"/>
                <w:sz w:val="22"/>
              </w:rPr>
              <w:t>Predator®</w:t>
            </w:r>
          </w:p>
          <w:p>
            <w:pPr>
              <w:pStyle w:val="TableContents"/>
              <w:spacing w:before="0" w:after="0"/>
              <w:ind w:left="0" w:right="0" w:hanging="0"/>
              <w:rPr/>
            </w:pPr>
            <w:r>
              <w:rPr/>
              <w:t>●     </w:t>
            </w:r>
            <w:r>
              <w:rPr>
                <w:rFonts w:ascii="Times New Roman;Times;serif" w:hAnsi="Times New Roman;Times;serif"/>
                <w:sz w:val="22"/>
              </w:rPr>
              <w:t>Fury®</w:t>
            </w:r>
          </w:p>
          <w:p>
            <w:pPr>
              <w:pStyle w:val="TableContents"/>
              <w:spacing w:before="0" w:after="0"/>
              <w:ind w:left="0" w:right="0" w:hanging="0"/>
              <w:rPr/>
            </w:pPr>
            <w:r>
              <w:rPr/>
              <w:t>●     </w:t>
            </w:r>
            <w:r>
              <w:rPr>
                <w:rFonts w:ascii="Times New Roman;Times;serif" w:hAnsi="Times New Roman;Times;serif"/>
                <w:sz w:val="22"/>
              </w:rPr>
              <w:t>True North®</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Industry Overview</w:t>
      </w:r>
    </w:p>
    <w:p>
      <w:pPr>
        <w:pStyle w:val="TextBody"/>
        <w:spacing w:before="0" w:after="240"/>
        <w:ind w:left="0" w:right="0" w:firstLine="720"/>
        <w:jc w:val="both"/>
        <w:rPr>
          <w:rFonts w:ascii="Times New Roman;Times;serif" w:hAnsi="Times New Roman;Times;serif"/>
          <w:b w:val="false"/>
          <w:sz w:val="22"/>
        </w:rPr>
      </w:pPr>
      <w:r>
        <w:rPr>
          <w:rFonts w:ascii="Times New Roman;Times;serif" w:hAnsi="Times New Roman;Times;serif"/>
          <w:b w:val="false"/>
          <w:sz w:val="22"/>
        </w:rPr>
        <w:t>The “alternative” beverage category combines non-carbonated, ready-to-drink iced teas, lemonades, juice cocktails, single-serve juices and fruit beverages, ready-to-drink dairy and coffee drinks, energy drinks, sports drinks and single-serve still waters (flavored, unflavored and enhanced) with “new age” beverages, including sodas that are considered natural, sparkling juices and flavored sparkling beverages. According to Beverage Marketing Corporation, domestic U.S. wholesale sales in 2021 for the “alternative” beverage category of the market are estimated at approximately $67.0 billion, representing an increase of approximately 11.4% over estimated domestic U.S. wholesale sales in 2020 of approximately $60.1 billion.</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Reportable Segments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three operating and reportable segments, (i) Monster Energy® Drinks segment (“Monster Energy® Drinks”), which is primarily comprised of our Monster Energy® drinks, Reign Total Body Fuel® high performance energy drinks and True North® Pure Energy Seltzers,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(“AFF”), a wholly-owned subsidiary of the Company, to independent third-party customers (the “AFF Third-Party Products”).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Monster Energy® Drinks segment primarily generates net operating revenues by selling ready-to-drink packaged energy drinks primarily to bottlers and full service beverage distributors. In some cases, we sell directly to retail grocery and specialty chains, wholesalers, club stores, mass merchandisers, convenience chains, drug stores, foodservice customers, value stores, e-commerce retailers and the military.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value stores, e-commerce retailers and the military. To a lesser extent, our Strategic Brands segment generates net operating revenues by selling certain ready-to-drink packaged energy drinks to bottlers and full service beverage distributors.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Generally, the Monster Energy® Drinks segment generates higher per case net operating revenues, but lower per case gross profit margin percentages than the Strategic Brands segment.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For certain risks with respect to our energy drinks see “Part I, Item 1A – Risk Factors” below.</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Corporate History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the 1930s, Hubert Hansen and his sons started a business selling fresh non-pasteurized juices in Los Angeles, California.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 CCC. Under our ownership, the Hansen’s® beverage business significantly expanded to include a wide range of beverages within the growing “alternative” beverage category including, in particular, energy drinks. In 2012, we changed our name from Hansen Natural Corporation to Monster Beverage Corporation. In 2015, we acquired various energy brands from TCCC and disposed of our non-energy drink business. In 2016, we completed our acquisition of flavor supplier and long-time business partner AFF.</w:t>
      </w:r>
    </w:p>
    <w:p>
      <w:pPr>
        <w:pStyle w:val="TextBody"/>
        <w:spacing w:before="0" w:after="240"/>
        <w:ind w:left="0" w:right="0" w:firstLine="720"/>
        <w:jc w:val="both"/>
        <w:rPr>
          <w:rFonts w:ascii="Times New Roman;Times;serif" w:hAnsi="Times New Roman;Times;serif"/>
          <w:i/>
          <w:sz w:val="22"/>
        </w:rPr>
      </w:pPr>
      <w:r>
        <w:rPr>
          <w:rFonts w:ascii="Times New Roman;Times;serif" w:hAnsi="Times New Roman;Times;serif"/>
          <w:i/>
          <w:sz w:val="22"/>
        </w:rPr>
        <w:t>CANarchy Acquisition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On February 17, 2022, we completed our acquisition of CANarchy Craft Brewery Collective LLC (“CANarchy”), a craft beer and hard seltzer company, for $330.0 million in cash, subject to adjustments. The transaction allows us to enter the alcohol beverage sector and brings the Cigar City family of brands including Jai Alai IPA and Florida Man IPA, the Oskar Blues family of brands including Dale’s Pale Ale and Wild Basin Hard Seltzers, the Deep Ellum family of brands including Dallas Blonde and Deep Ellum IPA, the Perrin Brewing family of brands including Black Ale, the Squatters family of brands including Hop Rising Double IPA and Juicy IPA and the Wasatch family of brands including Apricot Hefeweizen to our beverage portfolio. The transaction does not include CANarchy’s stand-alone restaurants. Our organizational structure for our existing energy beverage business will remain unchanged. CANarchy will function independently, retaining its own organizational structure and team.</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2021 Product Introductions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During 2021, we continued to expand our existing energy drink portfolio by adding additional products to our portfolio in a number of countries and further developed our distribution markets. During 2021, we sold the following new products to our customers:</w:t>
      </w:r>
    </w:p>
    <w:p>
      <w:pPr>
        <w:pStyle w:val="TextBody"/>
        <w:spacing w:before="0" w:after="0"/>
        <w:ind w:left="360" w:right="0" w:hanging="0"/>
        <w:jc w:val="left"/>
        <w:rPr/>
      </w:pPr>
      <w:r>
        <w:rPr>
          <w:caps w:val="false"/>
          <w:smallCaps w:val="false"/>
        </w:rPr>
        <w:t>•</w:t>
      </w:r>
      <w:r>
        <w:rPr>
          <w:rFonts w:ascii="Times New Roman;Times;serif" w:hAnsi="Times New Roman;Times;serif"/>
          <w:sz w:val="22"/>
        </w:rPr>
        <w:t>BPM® Mango</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360" w:right="0" w:hanging="0"/>
        <w:jc w:val="left"/>
        <w:rPr/>
      </w:pPr>
      <w:r>
        <w:rPr>
          <w:caps w:val="false"/>
          <w:smallCaps w:val="false"/>
        </w:rPr>
        <w:t>•</w:t>
      </w:r>
      <w:r>
        <w:rPr>
          <w:rFonts w:ascii="Times New Roman;Times;serif" w:hAnsi="Times New Roman;Times;serif"/>
          <w:sz w:val="22"/>
        </w:rPr>
        <w:t>Fury® Mean Green</w:t>
      </w:r>
    </w:p>
    <w:p>
      <w:pPr>
        <w:pStyle w:val="TextBody"/>
        <w:spacing w:before="0" w:after="0"/>
        <w:ind w:left="360" w:right="0" w:hanging="0"/>
        <w:jc w:val="left"/>
        <w:rPr/>
      </w:pPr>
      <w:r>
        <w:rPr>
          <w:caps w:val="false"/>
          <w:smallCaps w:val="false"/>
        </w:rPr>
        <w:t>•</w:t>
      </w:r>
      <w:r>
        <w:rPr>
          <w:rFonts w:ascii="Times New Roman;Times;serif" w:hAnsi="Times New Roman;Times;serif"/>
          <w:sz w:val="22"/>
        </w:rPr>
        <w:t>Monster® (stylized) Reserve Watermelon</w:t>
      </w:r>
    </w:p>
    <w:p>
      <w:pPr>
        <w:pStyle w:val="TextBody"/>
        <w:spacing w:before="0" w:after="0"/>
        <w:ind w:left="360" w:right="0" w:hanging="0"/>
        <w:jc w:val="left"/>
        <w:rPr/>
      </w:pPr>
      <w:r>
        <w:rPr>
          <w:caps w:val="false"/>
          <w:smallCaps w:val="false"/>
        </w:rPr>
        <w:t>•</w:t>
      </w:r>
      <w:r>
        <w:rPr>
          <w:rFonts w:ascii="Times New Roman;Times;serif" w:hAnsi="Times New Roman;Times;serif"/>
          <w:sz w:val="22"/>
        </w:rPr>
        <w:t>Monster® (stylized) Reserve White Pineapple</w:t>
      </w:r>
    </w:p>
    <w:p>
      <w:pPr>
        <w:pStyle w:val="TextBody"/>
        <w:spacing w:before="0" w:after="0"/>
        <w:ind w:left="360" w:right="0" w:hanging="0"/>
        <w:jc w:val="left"/>
        <w:rPr/>
      </w:pPr>
      <w:r>
        <w:rPr>
          <w:caps w:val="false"/>
          <w:smallCaps w:val="false"/>
        </w:rPr>
        <w:t>•</w:t>
      </w:r>
      <w:r>
        <w:rPr>
          <w:rFonts w:ascii="Times New Roman;Times;serif" w:hAnsi="Times New Roman;Times;serif"/>
          <w:sz w:val="22"/>
        </w:rPr>
        <w:t>Monster Energy® Super Cola® (Japan)</w:t>
      </w:r>
    </w:p>
    <w:p>
      <w:pPr>
        <w:pStyle w:val="TextBody"/>
        <w:spacing w:before="0" w:after="0"/>
        <w:ind w:left="360" w:right="0" w:hanging="0"/>
        <w:jc w:val="left"/>
        <w:rPr/>
      </w:pPr>
      <w:r>
        <w:rPr>
          <w:caps w:val="false"/>
          <w:smallCaps w:val="false"/>
        </w:rPr>
        <w:t>•</w:t>
      </w:r>
      <w:r>
        <w:rPr>
          <w:rFonts w:ascii="Times New Roman;Times;serif" w:hAnsi="Times New Roman;Times;serif"/>
          <w:sz w:val="22"/>
        </w:rPr>
        <w:t>Monster Energy® Ultra Gold®</w:t>
      </w:r>
    </w:p>
    <w:p>
      <w:pPr>
        <w:pStyle w:val="TextBody"/>
        <w:spacing w:before="0" w:after="0"/>
        <w:ind w:left="360" w:right="0" w:hanging="0"/>
        <w:jc w:val="left"/>
        <w:rPr/>
      </w:pPr>
      <w:r>
        <w:rPr>
          <w:caps w:val="false"/>
          <w:smallCaps w:val="false"/>
        </w:rPr>
        <w:t>•</w:t>
      </w:r>
      <w:r>
        <w:rPr>
          <w:rFonts w:ascii="Times New Roman;Times;serif" w:hAnsi="Times New Roman;Times;serif"/>
          <w:sz w:val="22"/>
        </w:rPr>
        <w:t>Monster Hydro® Energy Water Watermelon</w:t>
      </w:r>
    </w:p>
    <w:p>
      <w:pPr>
        <w:pStyle w:val="TextBody"/>
        <w:spacing w:lineRule="auto" w:line="240" w:before="0" w:after="0"/>
        <w:ind w:left="360" w:right="0" w:hanging="0"/>
        <w:jc w:val="left"/>
        <w:rPr/>
      </w:pPr>
      <w:r>
        <w:rPr>
          <w:caps w:val="false"/>
          <w:smallCaps w:val="false"/>
        </w:rPr>
        <w:t>•</w:t>
      </w:r>
      <w:r>
        <w:rPr>
          <w:rFonts w:ascii="Times New Roman;Times;serif" w:hAnsi="Times New Roman;Times;serif"/>
          <w:sz w:val="22"/>
        </w:rPr>
        <w:t>Monster Hydro® Super Sport</w:t>
      </w:r>
      <w:r>
        <w:rPr>
          <w:rFonts w:ascii="Times New Roman;Times;serif" w:hAnsi="Times New Roman;Times;serif"/>
          <w:sz w:val="17"/>
        </w:rPr>
        <w:t>TM</w:t>
      </w:r>
      <w:r>
        <w:rPr>
          <w:rFonts w:ascii="Times New Roman;Times;serif" w:hAnsi="Times New Roman;Times;serif"/>
          <w:sz w:val="22"/>
        </w:rPr>
        <w:t xml:space="preserve"> Killer Kiwi</w:t>
      </w:r>
      <w:r>
        <w:rPr>
          <w:rFonts w:ascii="Times New Roman;Times;serif" w:hAnsi="Times New Roman;Times;serif"/>
          <w:sz w:val="17"/>
        </w:rPr>
        <w:t>TM</w:t>
      </w:r>
    </w:p>
    <w:p>
      <w:pPr>
        <w:pStyle w:val="TextBody"/>
        <w:spacing w:lineRule="auto" w:line="240" w:before="0" w:after="0"/>
        <w:ind w:left="360" w:right="0" w:hanging="0"/>
        <w:jc w:val="left"/>
        <w:rPr/>
      </w:pPr>
      <w:r>
        <w:rPr>
          <w:caps w:val="false"/>
          <w:smallCaps w:val="false"/>
        </w:rPr>
        <w:t>•</w:t>
      </w:r>
      <w:r>
        <w:rPr>
          <w:rFonts w:ascii="Times New Roman;Times;serif" w:hAnsi="Times New Roman;Times;serif"/>
          <w:sz w:val="22"/>
        </w:rPr>
        <w:t>Monster Hydro® Super Sport</w:t>
      </w:r>
      <w:r>
        <w:rPr>
          <w:rFonts w:ascii="Times New Roman;Times;serif" w:hAnsi="Times New Roman;Times;serif"/>
          <w:sz w:val="17"/>
        </w:rPr>
        <w:t>TM</w:t>
      </w:r>
      <w:r>
        <w:rPr>
          <w:rFonts w:ascii="Times New Roman;Times;serif" w:hAnsi="Times New Roman;Times;serif"/>
          <w:sz w:val="22"/>
        </w:rPr>
        <w:t xml:space="preserve"> Macho Mango</w:t>
      </w:r>
      <w:r>
        <w:rPr>
          <w:rFonts w:ascii="Times New Roman;Times;serif" w:hAnsi="Times New Roman;Times;serif"/>
          <w:sz w:val="17"/>
        </w:rPr>
        <w:t>TM</w:t>
      </w:r>
    </w:p>
    <w:p>
      <w:pPr>
        <w:pStyle w:val="TextBody"/>
        <w:spacing w:before="0" w:after="0"/>
        <w:ind w:left="360" w:right="0" w:hanging="0"/>
        <w:jc w:val="left"/>
        <w:rPr/>
      </w:pPr>
      <w:r>
        <w:rPr>
          <w:caps w:val="false"/>
          <w:smallCaps w:val="false"/>
        </w:rPr>
        <w:t>•</w:t>
      </w:r>
      <w:r>
        <w:rPr>
          <w:rFonts w:ascii="Times New Roman;Times;serif" w:hAnsi="Times New Roman;Times;serif"/>
          <w:sz w:val="22"/>
        </w:rPr>
        <w:t>Rehab® Monster® Strawberry Lemonade</w:t>
      </w:r>
    </w:p>
    <w:p>
      <w:pPr>
        <w:pStyle w:val="TextBody"/>
        <w:spacing w:before="0" w:after="0"/>
        <w:ind w:left="360" w:right="0" w:hanging="0"/>
        <w:jc w:val="left"/>
        <w:rPr/>
      </w:pPr>
      <w:r>
        <w:rPr>
          <w:caps w:val="false"/>
          <w:smallCaps w:val="false"/>
        </w:rPr>
        <w:t>•</w:t>
      </w:r>
      <w:r>
        <w:rPr>
          <w:rFonts w:ascii="Times New Roman;Times;serif" w:hAnsi="Times New Roman;Times;serif"/>
          <w:sz w:val="22"/>
        </w:rPr>
        <w:t>Mother® Zero Sugar Razzle Berry</w:t>
      </w:r>
    </w:p>
    <w:p>
      <w:pPr>
        <w:pStyle w:val="TextBody"/>
        <w:spacing w:before="0" w:after="0"/>
        <w:ind w:left="360" w:right="0" w:hanging="0"/>
        <w:jc w:val="left"/>
        <w:rPr/>
      </w:pPr>
      <w:r>
        <w:rPr>
          <w:caps w:val="false"/>
          <w:smallCaps w:val="false"/>
        </w:rPr>
        <w:t>•</w:t>
      </w:r>
      <w:r>
        <w:rPr>
          <w:rFonts w:ascii="Times New Roman;Times;serif" w:hAnsi="Times New Roman;Times;serif"/>
          <w:sz w:val="22"/>
        </w:rPr>
        <w:t>Nalu® Hibiscus Rooibos</w:t>
      </w:r>
    </w:p>
    <w:p>
      <w:pPr>
        <w:pStyle w:val="TextBody"/>
        <w:spacing w:before="0" w:after="0"/>
        <w:ind w:left="360" w:right="0" w:hanging="0"/>
        <w:jc w:val="left"/>
        <w:rPr/>
      </w:pPr>
      <w:r>
        <w:rPr>
          <w:caps w:val="false"/>
          <w:smallCaps w:val="false"/>
        </w:rPr>
        <w:t>•</w:t>
      </w:r>
      <w:r>
        <w:rPr>
          <w:rFonts w:ascii="Times New Roman;Times;serif" w:hAnsi="Times New Roman;Times;serif"/>
          <w:sz w:val="22"/>
        </w:rPr>
        <w:t>Play® Zero Raspberry</w:t>
      </w:r>
    </w:p>
    <w:p>
      <w:pPr>
        <w:pStyle w:val="TextBody"/>
        <w:spacing w:before="0" w:after="0"/>
        <w:ind w:left="360" w:right="0" w:hanging="0"/>
        <w:jc w:val="left"/>
        <w:rPr/>
      </w:pPr>
      <w:r>
        <w:rPr>
          <w:caps w:val="false"/>
          <w:smallCaps w:val="false"/>
        </w:rPr>
        <w:t>•</w:t>
      </w:r>
      <w:r>
        <w:rPr>
          <w:rFonts w:ascii="Times New Roman;Times;serif" w:hAnsi="Times New Roman;Times;serif"/>
          <w:sz w:val="22"/>
        </w:rPr>
        <w:t>Predator® Malt Smash</w:t>
      </w:r>
    </w:p>
    <w:p>
      <w:pPr>
        <w:pStyle w:val="TextBody"/>
        <w:spacing w:before="0" w:after="0"/>
        <w:ind w:left="360" w:right="0" w:hanging="0"/>
        <w:jc w:val="left"/>
        <w:rPr/>
      </w:pPr>
      <w:r>
        <w:rPr>
          <w:caps w:val="false"/>
          <w:smallCaps w:val="false"/>
        </w:rPr>
        <w:t>•</w:t>
      </w:r>
      <w:r>
        <w:rPr>
          <w:rFonts w:ascii="Times New Roman;Times;serif" w:hAnsi="Times New Roman;Times;serif"/>
          <w:sz w:val="22"/>
        </w:rPr>
        <w:t>Predator® Mango Mayhem</w:t>
      </w:r>
    </w:p>
    <w:p>
      <w:pPr>
        <w:pStyle w:val="TextBody"/>
        <w:spacing w:before="0" w:after="0"/>
        <w:ind w:left="360" w:right="0" w:hanging="0"/>
        <w:jc w:val="left"/>
        <w:rPr/>
      </w:pPr>
      <w:r>
        <w:rPr>
          <w:caps w:val="false"/>
          <w:smallCaps w:val="false"/>
        </w:rPr>
        <w:t>•</w:t>
      </w:r>
      <w:r>
        <w:rPr>
          <w:rFonts w:ascii="Times New Roman;Times;serif" w:hAnsi="Times New Roman;Times;serif"/>
          <w:sz w:val="22"/>
        </w:rPr>
        <w:t>Predator® Spicy Ginger</w:t>
      </w:r>
    </w:p>
    <w:p>
      <w:pPr>
        <w:pStyle w:val="TextBody"/>
        <w:spacing w:before="0" w:after="0"/>
        <w:ind w:left="360" w:right="0" w:hanging="0"/>
        <w:jc w:val="left"/>
        <w:rPr/>
      </w:pPr>
      <w:r>
        <w:rPr>
          <w:caps w:val="false"/>
          <w:smallCaps w:val="false"/>
        </w:rPr>
        <w:t>•</w:t>
      </w:r>
      <w:r>
        <w:rPr>
          <w:rFonts w:ascii="Times New Roman;Times;serif" w:hAnsi="Times New Roman;Times;serif"/>
          <w:sz w:val="22"/>
        </w:rPr>
        <w:t>Predator® Tropical</w:t>
      </w:r>
    </w:p>
    <w:p>
      <w:pPr>
        <w:pStyle w:val="TextBody"/>
        <w:spacing w:before="0" w:after="0"/>
        <w:ind w:left="360" w:right="0" w:hanging="0"/>
        <w:jc w:val="left"/>
        <w:rPr/>
      </w:pPr>
      <w:r>
        <w:rPr>
          <w:caps w:val="false"/>
          <w:smallCaps w:val="false"/>
        </w:rPr>
        <w:t>•</w:t>
      </w:r>
      <w:r>
        <w:rPr>
          <w:rFonts w:ascii="Times New Roman;Times;serif" w:hAnsi="Times New Roman;Times;serif"/>
          <w:sz w:val="22"/>
        </w:rPr>
        <w:t>Reign Inferno® Thermogenic Fuel Watermelon Warlord</w:t>
      </w:r>
    </w:p>
    <w:p>
      <w:pPr>
        <w:pStyle w:val="TextBody"/>
        <w:spacing w:before="0" w:after="0"/>
        <w:ind w:left="360" w:right="0" w:hanging="0"/>
        <w:jc w:val="left"/>
        <w:rPr/>
      </w:pPr>
      <w:r>
        <w:rPr>
          <w:caps w:val="false"/>
          <w:smallCaps w:val="false"/>
        </w:rPr>
        <w:t>•</w:t>
      </w:r>
      <w:r>
        <w:rPr>
          <w:rFonts w:ascii="Times New Roman;Times;serif" w:hAnsi="Times New Roman;Times;serif"/>
          <w:sz w:val="22"/>
        </w:rPr>
        <w:t>Reign Total Body Fuel® Cherry Limeade</w:t>
      </w:r>
    </w:p>
    <w:p>
      <w:pPr>
        <w:pStyle w:val="TextBody"/>
        <w:spacing w:before="0" w:after="0"/>
        <w:ind w:left="360" w:right="0" w:hanging="0"/>
        <w:jc w:val="left"/>
        <w:rPr/>
      </w:pPr>
      <w:r>
        <w:rPr>
          <w:caps w:val="false"/>
          <w:smallCaps w:val="false"/>
        </w:rPr>
        <w:t>•</w:t>
      </w:r>
      <w:r>
        <w:rPr>
          <w:rFonts w:ascii="Times New Roman;Times;serif" w:hAnsi="Times New Roman;Times;serif"/>
          <w:sz w:val="22"/>
        </w:rPr>
        <w:t>Reign Total Body Fuel® White Gummy Bear</w:t>
      </w:r>
    </w:p>
    <w:p>
      <w:pPr>
        <w:pStyle w:val="TextBody"/>
        <w:spacing w:before="0" w:after="0"/>
        <w:ind w:left="360" w:right="0" w:hanging="0"/>
        <w:jc w:val="left"/>
        <w:rPr/>
      </w:pPr>
      <w:r>
        <w:rPr>
          <w:caps w:val="false"/>
          <w:smallCaps w:val="false"/>
        </w:rPr>
        <w:t>•</w:t>
      </w:r>
      <w:r>
        <w:rPr>
          <w:rFonts w:ascii="Times New Roman;Times;serif" w:hAnsi="Times New Roman;Times;serif"/>
          <w:sz w:val="22"/>
        </w:rPr>
        <w:t>True North® Pure Energy Seltzer Black Cherry</w:t>
      </w:r>
    </w:p>
    <w:p>
      <w:pPr>
        <w:pStyle w:val="TextBody"/>
        <w:spacing w:before="0" w:after="0"/>
        <w:ind w:left="360" w:right="0" w:hanging="0"/>
        <w:jc w:val="left"/>
        <w:rPr/>
      </w:pPr>
      <w:r>
        <w:rPr>
          <w:caps w:val="false"/>
          <w:smallCaps w:val="false"/>
        </w:rPr>
        <w:t>•</w:t>
      </w:r>
      <w:r>
        <w:rPr>
          <w:rFonts w:ascii="Times New Roman;Times;serif" w:hAnsi="Times New Roman;Times;serif"/>
          <w:sz w:val="22"/>
        </w:rPr>
        <w:t>True North® Pure Energy Seltzer Cucumber Lime</w:t>
      </w:r>
    </w:p>
    <w:p>
      <w:pPr>
        <w:pStyle w:val="TextBody"/>
        <w:spacing w:before="0" w:after="0"/>
        <w:ind w:left="360" w:right="0" w:hanging="0"/>
        <w:jc w:val="left"/>
        <w:rPr/>
      </w:pPr>
      <w:r>
        <w:rPr>
          <w:caps w:val="false"/>
          <w:smallCaps w:val="false"/>
        </w:rPr>
        <w:t>•</w:t>
      </w:r>
      <w:r>
        <w:rPr>
          <w:rFonts w:ascii="Times New Roman;Times;serif" w:hAnsi="Times New Roman;Times;serif"/>
          <w:sz w:val="22"/>
        </w:rPr>
        <w:t>True North® Pure Energy Seltzer Grapefruit Lemonade</w:t>
      </w:r>
    </w:p>
    <w:p>
      <w:pPr>
        <w:pStyle w:val="TextBody"/>
        <w:spacing w:before="0" w:after="0"/>
        <w:ind w:left="360" w:right="0" w:hanging="0"/>
        <w:jc w:val="left"/>
        <w:rPr/>
      </w:pPr>
      <w:r>
        <w:rPr>
          <w:caps w:val="false"/>
          <w:smallCaps w:val="false"/>
        </w:rPr>
        <w:t>•</w:t>
      </w:r>
      <w:r>
        <w:rPr>
          <w:rFonts w:ascii="Times New Roman;Times;serif" w:hAnsi="Times New Roman;Times;serif"/>
          <w:sz w:val="22"/>
        </w:rPr>
        <w:t>True North® Pure Energy Seltzer Mandarin Yuzu</w:t>
      </w:r>
    </w:p>
    <w:p>
      <w:pPr>
        <w:pStyle w:val="TextBody"/>
        <w:spacing w:before="0" w:after="0"/>
        <w:ind w:left="360" w:right="0" w:hanging="0"/>
        <w:jc w:val="left"/>
        <w:rPr/>
      </w:pPr>
      <w:r>
        <w:rPr>
          <w:caps w:val="false"/>
          <w:smallCaps w:val="false"/>
        </w:rPr>
        <w:t>•</w:t>
      </w:r>
      <w:r>
        <w:rPr>
          <w:rFonts w:ascii="Times New Roman;Times;serif" w:hAnsi="Times New Roman;Times;serif"/>
          <w:sz w:val="22"/>
        </w:rPr>
        <w:t>True North® Pure Energy Seltzer Watermelon Mist</w:t>
      </w:r>
    </w:p>
    <w:p>
      <w:pPr>
        <w:pStyle w:val="TextBody"/>
        <w:spacing w:before="0" w:after="0"/>
        <w:ind w:left="360" w:right="0" w:hanging="0"/>
        <w:jc w:val="left"/>
        <w:rPr/>
      </w:pPr>
      <w:r>
        <w:rPr>
          <w:caps w:val="false"/>
          <w:smallCaps w:val="false"/>
        </w:rPr>
        <w:t>•</w:t>
      </w:r>
      <w:r>
        <w:rPr>
          <w:rFonts w:ascii="Times New Roman;Times;serif" w:hAnsi="Times New Roman;Times;serif"/>
          <w:sz w:val="22"/>
        </w:rPr>
        <w:t>True North® Pure Energy Seltzer White Peach Pear</w:t>
      </w:r>
    </w:p>
    <w:p>
      <w:pPr>
        <w:pStyle w:val="TextBody"/>
        <w:spacing w:before="0" w:after="240"/>
        <w:ind w:left="0" w:right="0" w:firstLine="72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the normal course of business, we discontinue certain products and/or product lines. Those products or product lines discontinued in 2021, either individually or in aggregate, did not have a material adverse impact on our financial position, results of operations or liquidity.</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Products – Monster Energy® Drinks Segment</w:t>
      </w:r>
    </w:p>
    <w:p>
      <w:pPr>
        <w:pStyle w:val="TextBody"/>
        <w:spacing w:lineRule="auto" w:line="240" w:before="0" w:after="0"/>
        <w:ind w:left="0" w:right="0" w:firstLine="720"/>
        <w:jc w:val="both"/>
        <w:rPr>
          <w:rFonts w:ascii="Times New Roman;Times;serif" w:hAnsi="Times New Roman;Times;serif"/>
          <w:sz w:val="20"/>
        </w:rPr>
      </w:pPr>
      <w:r>
        <w:rPr>
          <w:rFonts w:ascii="Times New Roman;Times;serif" w:hAnsi="Times New Roman;Times;serif"/>
          <w:i/>
          <w:sz w:val="22"/>
        </w:rPr>
        <w:t xml:space="preserve">Monster Energy® Drinks – </w:t>
      </w:r>
      <w:r>
        <w:rPr>
          <w:rFonts w:ascii="Times New Roman;Times;serif" w:hAnsi="Times New Roman;Times;serif"/>
          <w:sz w:val="22"/>
        </w:rPr>
        <w:t>a line of carbonated energy drinks. Our Monster Energy® drinks contain vitamins, minerals, nutrients, herbs and other ingredients (collectively, “supplement ingredients”). We offer the following energy drinks under the Monster Energy® drink product line: Monster Energy®, Lo-Carb Monster Energy®, Monster Assault®, Monster Energy® Fury®, Juice Monster® Aussie Style Lemonade</w:t>
      </w:r>
      <w:r>
        <w:rPr>
          <w:rFonts w:ascii="Times New Roman;Times;serif" w:hAnsi="Times New Roman;Times;serif"/>
          <w:sz w:val="17"/>
        </w:rPr>
        <w:t>TM</w:t>
      </w:r>
      <w:r>
        <w:rPr>
          <w:rFonts w:ascii="Times New Roman;Times;serif" w:hAnsi="Times New Roman;Times;serif"/>
          <w:sz w:val="22"/>
        </w:rPr>
        <w:t>, Juice Monster® Khaos®, Juice Monster® Khaotic®, Juice Monster® Mango Loco®, Juice Monster® Pacific Punch®, Juice Monster® Papillon</w:t>
      </w:r>
      <w:r>
        <w:rPr>
          <w:rFonts w:ascii="Times New Roman;Times;serif" w:hAnsi="Times New Roman;Times;serif"/>
          <w:sz w:val="17"/>
        </w:rPr>
        <w:t>TM</w:t>
      </w:r>
      <w:r>
        <w:rPr>
          <w:rFonts w:ascii="Times New Roman;Times;serif" w:hAnsi="Times New Roman;Times;serif"/>
          <w:sz w:val="22"/>
        </w:rPr>
        <w:t>, Juice Monster® Pipeline Punch®, Juice Monster® Ripper®, Monster® Mango Loco, Monster Energy® Zero Sugar, Monster Energy® Import, Monster Energy® Export, M3(stylized)®, Monster Energy® Super Concentrate, Monster Mule®, Monster Cuba Libre®, Monster Energy Zero Ultra®, Monster Energy Ultra Black®, Monster Energy Ultra Blue®, Monster Energy Ultra Citron®, Monster Energy Ultra Fiesta® Mango, Monster Energy® Ultra Gold®, Monster Energy Ultra Paradise®, Monster Energy® Ultra Peachy Keen®, Monster Energy Ultra Red®, Monster Energy Ultra Rosa®, Monster Energy Ultra Sunrise®, Monster Energy Ultra Violet®, Monster Energy Ultra® Watermelon, Monster Energy® Mixxd Punch, Monster Energy® Valentino Rossi, Monster Energy® Lewis Hamilton 44, Monster Energy® Super Cola® (Japan), Monster® (stylized) Reserve Watermelon and Monster® (stylized) Reserve White Pineapple.</w:t>
      </w:r>
      <w:r>
        <w:rPr>
          <w:rFonts w:ascii="Times New Roman;Times;serif" w:hAnsi="Times New Roman;Times;serif"/>
          <w:sz w:val="20"/>
        </w:rPr>
        <w:t xml:space="preserve"> </w:t>
      </w:r>
    </w:p>
    <w:p>
      <w:pPr>
        <w:pStyle w:val="TextBody"/>
        <w:spacing w:before="0" w:after="240"/>
        <w:ind w:left="0" w:right="0" w:firstLine="72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Espresso Monster® Espresso + Energy Drinks</w:t>
      </w:r>
      <w:r>
        <w:rPr>
          <w:rFonts w:ascii="Times New Roman;Times;serif" w:hAnsi="Times New Roman;Times;serif"/>
          <w:sz w:val="22"/>
        </w:rPr>
        <w:t xml:space="preserve"> – a line of non-carbonated dairy based espresso + energy drinks. We offer the following espresso + energy drinks under the Espresso Monster® product line: Espresso and Milk, Salted Caramel and Vanilla Espresso.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Java Monster</w:t>
      </w:r>
      <w:r>
        <w:rPr>
          <w:rFonts w:ascii="Times New Roman;Times;serif" w:hAnsi="Times New Roman;Times;serif"/>
          <w:sz w:val="22"/>
        </w:rPr>
        <w:t xml:space="preserve">® </w:t>
      </w:r>
      <w:r>
        <w:rPr>
          <w:rFonts w:ascii="Times New Roman;Times;serif" w:hAnsi="Times New Roman;Times;serif"/>
          <w:i/>
          <w:sz w:val="22"/>
        </w:rPr>
        <w:t xml:space="preserve">Coffee + Energy Drinks </w:t>
      </w:r>
      <w:r>
        <w:rPr>
          <w:rFonts w:ascii="Times New Roman;Times;serif" w:hAnsi="Times New Roman;Times;serif"/>
          <w:sz w:val="22"/>
        </w:rPr>
        <w:t xml:space="preserve">– a line of non-carbonated dairy based coffee + energy drinks. We offer the following coffee + energy drinks under the Java Monster® product line: Java Monster® 300 French Vanilla, Java Monster® 300 Mocha, Java Monster® Farmer’s Oats, Java Monster® Irish Blend®, Java Monster® Kona Blend, Java Monster® Loca Moca®, Java Monster® Mean Bean®, Java Monster® Salted Caramel and Java Monster® Vanilla Light. </w:t>
      </w:r>
    </w:p>
    <w:p>
      <w:pPr>
        <w:pStyle w:val="TextBody"/>
        <w:spacing w:lineRule="auto" w:line="240" w:before="0" w:after="240"/>
        <w:ind w:left="0" w:right="0" w:firstLine="720"/>
        <w:jc w:val="both"/>
        <w:rPr>
          <w:rFonts w:ascii="Times New Roman;Times;serif" w:hAnsi="Times New Roman;Times;serif"/>
          <w:sz w:val="22"/>
        </w:rPr>
      </w:pPr>
      <w:r>
        <w:rPr>
          <w:rFonts w:ascii="Times New Roman;Times;serif" w:hAnsi="Times New Roman;Times;serif"/>
          <w:i/>
          <w:sz w:val="22"/>
        </w:rPr>
        <w:t>Monster Energy® Dragon Iced Tea</w:t>
      </w:r>
      <w:r>
        <w:rPr>
          <w:rFonts w:ascii="Times New Roman;Times;serif" w:hAnsi="Times New Roman;Times;serif"/>
          <w:i/>
          <w:sz w:val="17"/>
        </w:rPr>
        <w:t>TM</w:t>
      </w:r>
      <w:r>
        <w:rPr>
          <w:rFonts w:ascii="Times New Roman;Times;serif" w:hAnsi="Times New Roman;Times;serif"/>
          <w:sz w:val="22"/>
        </w:rPr>
        <w:t xml:space="preserve"> </w:t>
      </w:r>
      <w:r>
        <w:rPr>
          <w:rFonts w:ascii="Times New Roman;Times;serif" w:hAnsi="Times New Roman;Times;serif"/>
          <w:i/>
          <w:sz w:val="22"/>
        </w:rPr>
        <w:t xml:space="preserve">Energy Teas </w:t>
      </w:r>
      <w:r>
        <w:rPr>
          <w:rFonts w:ascii="Times New Roman;Times;serif" w:hAnsi="Times New Roman;Times;serif"/>
          <w:sz w:val="22"/>
        </w:rPr>
        <w:t>– a line of non-carbonated energy teas. We offer the following energy teas under the Monster Energy</w:t>
      </w:r>
      <w:r>
        <w:rPr>
          <w:rFonts w:ascii="Times New Roman;Times;serif" w:hAnsi="Times New Roman;Times;serif"/>
          <w:i/>
          <w:sz w:val="22"/>
        </w:rPr>
        <w:t>®</w:t>
      </w:r>
      <w:r>
        <w:rPr>
          <w:rFonts w:ascii="Times New Roman;Times;serif" w:hAnsi="Times New Roman;Times;serif"/>
          <w:sz w:val="22"/>
        </w:rPr>
        <w:t xml:space="preserve"> Dragon Iced Tea</w:t>
      </w:r>
      <w:r>
        <w:rPr>
          <w:rFonts w:ascii="Times New Roman;Times;serif" w:hAnsi="Times New Roman;Times;serif"/>
          <w:sz w:val="17"/>
        </w:rPr>
        <w:t>TM</w:t>
      </w:r>
      <w:r>
        <w:rPr>
          <w:rFonts w:ascii="Times New Roman;Times;serif" w:hAnsi="Times New Roman;Times;serif"/>
          <w:sz w:val="22"/>
        </w:rPr>
        <w:t xml:space="preserve"> product line in different countries: Green Tea, Peach Tea, Raspberry Tea and Lemon Tea.</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Monster Hydro®</w:t>
      </w:r>
      <w:r>
        <w:rPr>
          <w:rFonts w:ascii="Times New Roman;Times;serif" w:hAnsi="Times New Roman;Times;serif"/>
          <w:sz w:val="22"/>
        </w:rPr>
        <w:t xml:space="preserve"> includes two product lines: Energy Water and Super Sport. Monster Hydro® Energy Water is a line of non-carbonated, lightly sweetened refreshment + energy drinks. We offer the following refreshment + energy drinks under the Monster Hydro® Energy Water product line: Blue Ice®, Watermelon®, Purple Passion®, Tropical Thunder® and Zero Sugar. Monster Hydro® Super Sport is a line of non-carbonated, lightly sweetened refreshment + energy drinks that features an enhanced electrolyte blend and BCAA’s. We offer the following refreshment + energy drinks under the Monster Hydro® Super Sport product line: Blue Streak, Killer Kiwi, Macho Mango and Red Dawg.</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Monster HydroSport Super Fuel® Hydration + Energy Drinks </w:t>
      </w:r>
      <w:r>
        <w:rPr>
          <w:rFonts w:ascii="Times New Roman;Times;serif" w:hAnsi="Times New Roman;Times;serif"/>
          <w:sz w:val="22"/>
        </w:rPr>
        <w:t>– a line of non-carbonated, advanced hydration + energy drinks with BCAA’s. We offer the following advanced hydration + energy drinks under the Monster HydroSport Super Fuel® product line: Blue Streak, Charge, Hang Time and Striker.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Monster Energy® Nitro </w:t>
      </w:r>
      <w:r>
        <w:rPr>
          <w:rFonts w:ascii="Times New Roman;Times;serif" w:hAnsi="Times New Roman;Times;serif"/>
          <w:sz w:val="22"/>
        </w:rPr>
        <w:t xml:space="preserve">– a line of carbonated energy drinks containing nitrous oxide. We offer the following energy drink under the Monster Energy® Nitro product line: Super Dry.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Rehab® Monster® Energy Drinks </w:t>
      </w:r>
      <w:r>
        <w:rPr>
          <w:rFonts w:ascii="Times New Roman;Times;serif" w:hAnsi="Times New Roman;Times;serif"/>
          <w:sz w:val="22"/>
        </w:rPr>
        <w:t>– a line of non-carbonated energy drinks with electrolytes. We offer the following energy drinks under the Rehab® Monster® product line: Orangeade, Peach Tea, Raspberry Tea, Strawberry Lemonade, Tea + Lemonade and Watermelon.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Muscle Monster</w:t>
      </w:r>
      <w:r>
        <w:rPr>
          <w:rFonts w:ascii="Times New Roman;Times;serif" w:hAnsi="Times New Roman;Times;serif"/>
          <w:sz w:val="22"/>
        </w:rPr>
        <w:t xml:space="preserve">® </w:t>
      </w:r>
      <w:r>
        <w:rPr>
          <w:rFonts w:ascii="Times New Roman;Times;serif" w:hAnsi="Times New Roman;Times;serif"/>
          <w:i/>
          <w:sz w:val="22"/>
        </w:rPr>
        <w:t>Energy Shakes</w:t>
      </w:r>
      <w:r>
        <w:rPr>
          <w:rFonts w:ascii="Times New Roman;Times;serif" w:hAnsi="Times New Roman;Times;serif"/>
          <w:sz w:val="22"/>
        </w:rPr>
        <w:t xml:space="preserve"> – a line of non-carbonated energy shakes containing 27-grams of protein. We offer the following energy shakes under the Muscle Monster® Energy Shakes product line: Chocolate and Vanilla.</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Reign Total Body Fuel</w:t>
      </w:r>
      <w:r>
        <w:rPr>
          <w:rFonts w:ascii="Times New Roman;Times;serif" w:hAnsi="Times New Roman;Times;serif"/>
          <w:sz w:val="22"/>
        </w:rPr>
        <w:t xml:space="preserve">® </w:t>
      </w:r>
      <w:r>
        <w:rPr>
          <w:rFonts w:ascii="Times New Roman;Times;serif" w:hAnsi="Times New Roman;Times;serif"/>
          <w:i/>
          <w:sz w:val="22"/>
        </w:rPr>
        <w:t>High Performance Energy Drinks</w:t>
      </w:r>
      <w:r>
        <w:rPr>
          <w:rFonts w:ascii="Times New Roman;Times;serif" w:hAnsi="Times New Roman;Times;serif"/>
          <w:sz w:val="22"/>
        </w:rPr>
        <w:t xml:space="preserve"> – a line of high performance energy drinks with BCAA’s, B vitamins, electrolytes and CoQ10 with zero sugar. We offer the following high performance energy drinks under the Reign Total Body Fuel® product line: Carnival Candy, Cherry Limeade, Lemon Hdz, Lilikoi Lychee, Mang-O-Matic, Melon Mania, Orange Dreamsicle, Peach Fizz, Razzle Berry,Reignbow Sherbet, Sour Apple, Strawberry Sublime and White Gummy Bear.</w:t>
      </w:r>
    </w:p>
    <w:p>
      <w:pPr>
        <w:pStyle w:val="TextBody"/>
        <w:spacing w:before="0" w:after="240"/>
        <w:ind w:left="0" w:right="0" w:firstLine="720"/>
        <w:jc w:val="both"/>
        <w:rPr>
          <w:rFonts w:ascii="Times New Roman;Times;serif" w:hAnsi="Times New Roman;Times;serif"/>
          <w:b/>
          <w:sz w:val="22"/>
        </w:rPr>
      </w:pPr>
      <w:r>
        <w:rPr>
          <w:rFonts w:ascii="Times New Roman;Times;serif" w:hAnsi="Times New Roman;Times;serif"/>
          <w:b w:val="false"/>
          <w:i/>
          <w:sz w:val="22"/>
        </w:rPr>
        <w:t>Reign Inferno</w:t>
      </w:r>
      <w:r>
        <w:rPr>
          <w:rFonts w:ascii="Times New Roman;Times;serif" w:hAnsi="Times New Roman;Times;serif"/>
          <w:b w:val="false"/>
          <w:sz w:val="22"/>
        </w:rPr>
        <w:t>®</w:t>
      </w:r>
      <w:r>
        <w:rPr>
          <w:rFonts w:ascii="Times New Roman;Times;serif" w:hAnsi="Times New Roman;Times;serif"/>
          <w:b/>
          <w:sz w:val="22"/>
        </w:rPr>
        <w:t xml:space="preserve"> </w:t>
      </w:r>
      <w:r>
        <w:rPr>
          <w:rFonts w:ascii="Times New Roman;Times;serif" w:hAnsi="Times New Roman;Times;serif"/>
          <w:b w:val="false"/>
          <w:i/>
          <w:sz w:val="22"/>
        </w:rPr>
        <w:t>Thermogenic Fuel High Performance Energy Drinks</w:t>
      </w:r>
      <w:r>
        <w:rPr>
          <w:rFonts w:ascii="Times New Roman;Times;serif" w:hAnsi="Times New Roman;Times;serif"/>
          <w:b/>
          <w:sz w:val="22"/>
        </w:rPr>
        <w:t xml:space="preserve"> – </w:t>
      </w:r>
      <w:r>
        <w:rPr>
          <w:rFonts w:ascii="Times New Roman;Times;serif" w:hAnsi="Times New Roman;Times;serif"/>
          <w:b w:val="false"/>
          <w:sz w:val="22"/>
        </w:rPr>
        <w:t>a line of high performance energy drinks with a thermogenic performance blend in addition to BCAA’s, B vitamins, electrolytes, and CoQ10 with zero sugar. We offer the following high performance energy drinks under the Reign Inferno® Thermogenic Fuel product line: Jalapeno Strawberry, Red Dragon, True BLU and Watermelon Warlord.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2"/>
        </w:rPr>
        <w:t>True North</w:t>
      </w:r>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i/>
          <w:sz w:val="22"/>
        </w:rPr>
        <w:t>Pure Energy Seltzers</w:t>
      </w:r>
      <w:r>
        <w:rPr>
          <w:rFonts w:ascii="Times New Roman;Times;serif" w:hAnsi="Times New Roman;Times;serif"/>
          <w:sz w:val="20"/>
        </w:rPr>
        <w:t xml:space="preserve"> – </w:t>
      </w:r>
      <w:r>
        <w:rPr>
          <w:rFonts w:ascii="Times New Roman;Times;serif" w:hAnsi="Times New Roman;Times;serif"/>
          <w:sz w:val="22"/>
        </w:rPr>
        <w:t>a line of natural, plant-based energy drinks with an immunity boost, containing zero sugar, sweeteners, artificial flavors or colors. We offer the following energy seltzers under the True North® product line: Black Cherry, Cucumber Lime, Grapefruit Lemonade, Mandarin Yuzu, Watermelon Mist and White Peach Pear.</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Products – Strategic Brands Segment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BPM®</w:t>
      </w:r>
      <w:r>
        <w:rPr>
          <w:rFonts w:ascii="Times New Roman;Times;serif" w:hAnsi="Times New Roman;Times;serif"/>
          <w:sz w:val="22"/>
        </w:rPr>
        <w:t> – a line of carbonated energy drinks. We offer the following energy drinks under the BPM® product line: Focus Berry Red, Hydrate Citrus Green,Mango, Sour Twist and Zero Orange.</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BU®</w:t>
      </w:r>
      <w:r>
        <w:rPr>
          <w:rFonts w:ascii="Times New Roman;Times;serif" w:hAnsi="Times New Roman;Times;serif"/>
          <w:sz w:val="22"/>
        </w:rPr>
        <w:t> – a line of carbonated energy drinks. We offer the following energy drinks under the BU</w:t>
      </w:r>
      <w:r>
        <w:rPr>
          <w:rFonts w:ascii="Times New Roman;Times;serif" w:hAnsi="Times New Roman;Times;serif"/>
          <w:b/>
          <w:i/>
          <w:sz w:val="22"/>
        </w:rPr>
        <w:t xml:space="preserve">® </w:t>
      </w:r>
      <w:r>
        <w:rPr>
          <w:rFonts w:ascii="Times New Roman;Times;serif" w:hAnsi="Times New Roman;Times;serif"/>
          <w:sz w:val="22"/>
        </w:rPr>
        <w:t>product line: Island Punch and Original.</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Burn®</w:t>
      </w:r>
      <w:r>
        <w:rPr>
          <w:rFonts w:ascii="Times New Roman;Times;serif" w:hAnsi="Times New Roman;Times;serif"/>
          <w:sz w:val="22"/>
        </w:rPr>
        <w:t xml:space="preserve"> – a line of carbonated energy drinks. We offer the following energy drinks under the Burn® product line: Apple Kiwi, Blue, Cherry, Dark Energy, Lemon Ice, Mango, Original, Passion Punch, Peach, Zero Raspberry, Sour Twist and Zero.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Full Throttle®</w:t>
      </w:r>
      <w:r>
        <w:rPr>
          <w:rFonts w:ascii="Times New Roman;Times;serif" w:hAnsi="Times New Roman;Times;serif"/>
          <w:sz w:val="22"/>
        </w:rPr>
        <w:t> – a line of carbonated energy drinks. We offer the following energy drinks under the Full Throttle® product line: Original (Citrus) and True Blue.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Fury® </w:t>
      </w:r>
      <w:r>
        <w:rPr>
          <w:rFonts w:ascii="Times New Roman;Times;serif" w:hAnsi="Times New Roman;Times;serif"/>
          <w:sz w:val="22"/>
        </w:rPr>
        <w:t>– a line of affordable carbonated energy drinks. We offer the following energy drinks under the Fury</w:t>
      </w:r>
      <w:r>
        <w:rPr>
          <w:rFonts w:ascii="Times New Roman;Times;serif" w:hAnsi="Times New Roman;Times;serif"/>
          <w:i/>
          <w:sz w:val="22"/>
        </w:rPr>
        <w:t>®</w:t>
      </w:r>
      <w:r>
        <w:rPr>
          <w:rFonts w:ascii="Times New Roman;Times;serif" w:hAnsi="Times New Roman;Times;serif"/>
          <w:sz w:val="22"/>
        </w:rPr>
        <w:t xml:space="preserve"> product line: Gold Strike and Mean Green.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Gladiator® </w:t>
      </w:r>
      <w:r>
        <w:rPr>
          <w:rFonts w:ascii="Times New Roman;Times;serif" w:hAnsi="Times New Roman;Times;serif"/>
          <w:sz w:val="22"/>
        </w:rPr>
        <w:t>– a line of carbonated energy drinks. We offer the following energy drink under the Gladiator® product line: Original.</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Live+</w:t>
      </w:r>
      <w:r>
        <w:rPr>
          <w:rFonts w:ascii="Times New Roman;Times;serif" w:hAnsi="Times New Roman;Times;serif"/>
          <w:b/>
          <w:i/>
          <w:sz w:val="22"/>
        </w:rPr>
        <w:t>®</w:t>
      </w:r>
      <w:r>
        <w:rPr>
          <w:rFonts w:ascii="Times New Roman;Times;serif" w:hAnsi="Times New Roman;Times;serif"/>
          <w:sz w:val="22"/>
        </w:rPr>
        <w:t xml:space="preserve"> – a line of carbonated energy drinks. We offer the following energy drinks under the Live+</w:t>
      </w:r>
      <w:r>
        <w:rPr>
          <w:rFonts w:ascii="Times New Roman;Times;serif" w:hAnsi="Times New Roman;Times;serif"/>
          <w:b/>
          <w:sz w:val="22"/>
        </w:rPr>
        <w:t>®</w:t>
      </w:r>
      <w:r>
        <w:rPr>
          <w:rFonts w:ascii="Times New Roman;Times;serif" w:hAnsi="Times New Roman;Times;serif"/>
          <w:sz w:val="22"/>
        </w:rPr>
        <w:t xml:space="preserve"> product line: Ascend, Ignite and Persist.</w:t>
      </w:r>
    </w:p>
    <w:p>
      <w:pPr>
        <w:pStyle w:val="TextBody"/>
        <w:spacing w:lineRule="auto" w:line="240" w:before="0" w:after="240"/>
        <w:ind w:left="0" w:right="0" w:firstLine="720"/>
        <w:jc w:val="both"/>
        <w:rPr>
          <w:rFonts w:ascii="Times New Roman;Times;serif" w:hAnsi="Times New Roman;Times;serif"/>
          <w:sz w:val="22"/>
        </w:rPr>
      </w:pPr>
      <w:r>
        <w:rPr>
          <w:rFonts w:ascii="Times New Roman;Times;serif" w:hAnsi="Times New Roman;Times;serif"/>
          <w:i/>
          <w:sz w:val="22"/>
        </w:rPr>
        <w:t>Mother® </w:t>
      </w:r>
      <w:r>
        <w:rPr>
          <w:rFonts w:ascii="Times New Roman;Times;serif" w:hAnsi="Times New Roman;Times;serif"/>
          <w:sz w:val="22"/>
        </w:rPr>
        <w:t>– a line of carbonated energy drinks. We offer the following energy drinks under the Mother</w:t>
      </w:r>
      <w:r>
        <w:rPr>
          <w:rFonts w:ascii="Times New Roman;Times;serif" w:hAnsi="Times New Roman;Times;serif"/>
          <w:i/>
          <w:sz w:val="22"/>
        </w:rPr>
        <w:t xml:space="preserve">® </w:t>
      </w:r>
      <w:r>
        <w:rPr>
          <w:rFonts w:ascii="Times New Roman;Times;serif" w:hAnsi="Times New Roman;Times;serif"/>
          <w:sz w:val="22"/>
        </w:rPr>
        <w:t>product line: Epic Swell, Frosty Berry, Kicked Apple</w:t>
      </w:r>
      <w:r>
        <w:rPr>
          <w:rFonts w:ascii="Times New Roman;Times;serif" w:hAnsi="Times New Roman;Times;serif"/>
          <w:b/>
          <w:sz w:val="22"/>
        </w:rPr>
        <w:t>®,</w:t>
      </w:r>
      <w:r>
        <w:rPr>
          <w:rFonts w:ascii="Times New Roman;Times;serif" w:hAnsi="Times New Roman;Times;serif"/>
          <w:sz w:val="22"/>
        </w:rPr>
        <w:t xml:space="preserve"> Original, Passion, Sugar Free, Tropical Blast</w:t>
      </w:r>
      <w:r>
        <w:rPr>
          <w:rFonts w:ascii="Times New Roman;Times;serif" w:hAnsi="Times New Roman;Times;serif"/>
          <w:sz w:val="17"/>
        </w:rPr>
        <w:t xml:space="preserve">TM </w:t>
      </w:r>
      <w:r>
        <w:rPr>
          <w:rFonts w:ascii="Times New Roman;Times;serif" w:hAnsi="Times New Roman;Times;serif"/>
          <w:sz w:val="22"/>
        </w:rPr>
        <w:t>and Zero Sugar Razzle Berry.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Nalu®</w:t>
      </w:r>
      <w:r>
        <w:rPr>
          <w:rFonts w:ascii="Times New Roman;Times;serif" w:hAnsi="Times New Roman;Times;serif"/>
          <w:sz w:val="22"/>
        </w:rPr>
        <w:t xml:space="preserve"> – a line of carbonated energy drinks. We offer the following energy drinks under the Nalu</w:t>
      </w:r>
      <w:r>
        <w:rPr>
          <w:rFonts w:ascii="Times New Roman;Times;serif" w:hAnsi="Times New Roman;Times;serif"/>
          <w:i/>
          <w:sz w:val="22"/>
        </w:rPr>
        <w:t>®</w:t>
      </w:r>
      <w:r>
        <w:rPr>
          <w:rFonts w:ascii="Times New Roman;Times;serif" w:hAnsi="Times New Roman;Times;serif"/>
          <w:sz w:val="22"/>
        </w:rPr>
        <w:t xml:space="preserve"> product line: Black Tea &amp; Passion Fruit, Exotic, Frost, Green Tea &amp; Ginger,Hibiscus Rooibos, Original, Passion and Refresh.</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NOS®</w:t>
      </w:r>
      <w:r>
        <w:rPr>
          <w:rFonts w:ascii="Times New Roman;Times;serif" w:hAnsi="Times New Roman;Times;serif"/>
          <w:sz w:val="22"/>
        </w:rPr>
        <w:t xml:space="preserve"> – a line of carbonated energy drinks. We offer the following energy drinks under the NOS</w:t>
      </w:r>
      <w:r>
        <w:rPr>
          <w:rFonts w:ascii="Times New Roman;Times;serif" w:hAnsi="Times New Roman;Times;serif"/>
          <w:i/>
          <w:sz w:val="22"/>
        </w:rPr>
        <w:t>®</w:t>
      </w:r>
      <w:r>
        <w:rPr>
          <w:rFonts w:ascii="Times New Roman;Times;serif" w:hAnsi="Times New Roman;Times;serif"/>
          <w:sz w:val="22"/>
        </w:rPr>
        <w:t xml:space="preserve"> product line: GT Grape, Nitro Mango, Original, Sonic Sour and Turbo.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Play® and Power Play</w:t>
      </w:r>
      <w:r>
        <w:rPr>
          <w:rFonts w:ascii="Times New Roman;Times;serif" w:hAnsi="Times New Roman;Times;serif"/>
          <w:sz w:val="22"/>
        </w:rPr>
        <w:t xml:space="preserve">® </w:t>
      </w:r>
      <w:r>
        <w:rPr>
          <w:rFonts w:ascii="Times New Roman;Times;serif" w:hAnsi="Times New Roman;Times;serif"/>
          <w:i/>
          <w:sz w:val="22"/>
        </w:rPr>
        <w:t xml:space="preserve">(stylized) </w:t>
      </w:r>
      <w:r>
        <w:rPr>
          <w:rFonts w:ascii="Times New Roman;Times;serif" w:hAnsi="Times New Roman;Times;serif"/>
          <w:sz w:val="22"/>
        </w:rPr>
        <w:t>– a line of carbonated energy drinks. We offer the following energy drinks under the Play</w:t>
      </w:r>
      <w:r>
        <w:rPr>
          <w:rFonts w:ascii="Times New Roman;Times;serif" w:hAnsi="Times New Roman;Times;serif"/>
          <w:i/>
          <w:sz w:val="22"/>
        </w:rPr>
        <w:t>®</w:t>
      </w:r>
      <w:r>
        <w:rPr>
          <w:rFonts w:ascii="Times New Roman;Times;serif" w:hAnsi="Times New Roman;Times;serif"/>
          <w:sz w:val="22"/>
        </w:rPr>
        <w:t xml:space="preserve"> and Power Play® (stylized) product line: Apple Kiwi, Mango, Passion Fruit, Original, Sugar Free and Zero Raspberry.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Predator®</w:t>
      </w:r>
      <w:r>
        <w:rPr>
          <w:rFonts w:ascii="Times New Roman;Times;serif" w:hAnsi="Times New Roman;Times;serif"/>
          <w:sz w:val="22"/>
        </w:rPr>
        <w:t> – a line of affordable carbonated energy drinks. We offer the following energy drinks under the Predator</w:t>
      </w:r>
      <w:r>
        <w:rPr>
          <w:rFonts w:ascii="Times New Roman;Times;serif" w:hAnsi="Times New Roman;Times;serif"/>
          <w:i/>
          <w:sz w:val="22"/>
        </w:rPr>
        <w:t>®</w:t>
      </w:r>
      <w:r>
        <w:rPr>
          <w:rFonts w:ascii="Times New Roman;Times;serif" w:hAnsi="Times New Roman;Times;serif"/>
          <w:sz w:val="22"/>
        </w:rPr>
        <w:t xml:space="preserve"> product line: Gold Strike, Malt Smash, Mango Mayhem, Mean Green, Purple Rain, Red Dawn, Spicy Ginger and Tropical.</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Relentless® </w:t>
      </w:r>
      <w:r>
        <w:rPr>
          <w:rFonts w:ascii="Times New Roman;Times;serif" w:hAnsi="Times New Roman;Times;serif"/>
          <w:sz w:val="22"/>
        </w:rPr>
        <w:t>– a line of carbonated energy drinks. We offer the following energy drinks under the Relentless</w:t>
      </w:r>
      <w:r>
        <w:rPr>
          <w:rFonts w:ascii="Times New Roman;Times;serif" w:hAnsi="Times New Roman;Times;serif"/>
          <w:i/>
          <w:sz w:val="22"/>
        </w:rPr>
        <w:t>®</w:t>
      </w:r>
      <w:r>
        <w:rPr>
          <w:rFonts w:ascii="Times New Roman;Times;serif" w:hAnsi="Times New Roman;Times;serif"/>
          <w:sz w:val="22"/>
        </w:rPr>
        <w:t xml:space="preserve"> product line: Apple Kiwi, Cherry, Lemon Ice, Mango, Origin, Passion Punch, Sour Twist and Zero.</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Samurai® </w:t>
      </w:r>
      <w:r>
        <w:rPr>
          <w:rFonts w:ascii="Times New Roman;Times;serif" w:hAnsi="Times New Roman;Times;serif"/>
          <w:sz w:val="22"/>
        </w:rPr>
        <w:t>– a line of carbonated energy drinks. We offer the following energy drinks under the Samurai® product line: Fruity and Strawberry.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Ultra Energy®</w:t>
      </w:r>
      <w:r>
        <w:rPr>
          <w:rFonts w:ascii="Times New Roman;Times;serif" w:hAnsi="Times New Roman;Times;serif"/>
          <w:sz w:val="22"/>
        </w:rPr>
        <w:t xml:space="preserve"> – a line of carbonated energy drinks. We offer the following energy drinks under the Ultra Energy® product line: Apple Kiwi, Fury, Mango, Original, Passion Punch, Peach Mango and Zero Raspberry. </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Products – Other Segment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AFF sells a limited number of products to independent third-party customers.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Other Products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continue to evaluate and, where considered appropriate, introduce additional products, flavors and types of beverages to complement our existing product lines. We may also evaluate, and where considered appropriate, introduce additional types of consumer products we consider to be complementary to our existing products and/or to which our brand names are able to add value.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also sells and/or enters into license agreements that generate revenues associated with third-party sales of non-beverage products bearing the Company’s trademarks including, but not limited to, clothing, backpacks, hats, t-shirts, jackets, helmets and automotive wheels.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Products – Packaging</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products are packaged in a variety of different package types and sizes including, but not limited to, aluminum cans, aluminum cap cans, sleek aluminum cans, aluminum cans with re-sealable ends as well as polyethylene terephthalate (PET) plastic bottles.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Manufacture and Distribution</w:t>
      </w:r>
    </w:p>
    <w:p>
      <w:pPr>
        <w:pStyle w:val="TextBody"/>
        <w:spacing w:before="0" w:after="200"/>
        <w:ind w:left="0" w:right="0" w:firstLine="720"/>
        <w:rPr>
          <w:rFonts w:ascii="Times New Roman;Times;serif" w:hAnsi="Times New Roman;Times;serif"/>
          <w:sz w:val="22"/>
        </w:rPr>
      </w:pPr>
      <w:r>
        <w:rPr>
          <w:rFonts w:ascii="Times New Roman;Times;serif" w:hAnsi="Times New Roman;Times;serif"/>
          <w:sz w:val="22"/>
        </w:rPr>
        <w:t>AFF develops and manufactures the primary flavors for our Monster Energy® Drinks segment.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do not operate our own manufacturing facilities for finished goods, but instead outsource the manufacturing process to third-party bottlers and contract packers.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purchase flavor ingredients, flavors, concentrates, sweeteners, juices, supplement ingredients, cans, bottles, caps, labels, trays, boxes and other ingredients for our beverage products from ingredient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For our Strategic Brands segment, we primarily purchase concentrates and/or beverage bases from ingredient suppliers, which are then sold to certain of our various third-party bottlers/distributors. The third-party bottlers/distributors are responsible for the manufacture and packaging of the finished products, including the procurement of all other required ingredients and packaging materials. For certain limited products in the Strategic Brands segment, we may purchase flavors, concentrates, sweeteners, juices, supplement ingredients, cans,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bottler/co-packer may also add carbonation to the products as part of the production process.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Co-Packing Arrangements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All of our finished goods are manufactured by various third-party bottlers and co-packers situated throughout the United States and abroad, under separate arrangements with each party. Our co-packaging arrangements vary in terms and do not generally obligate us to procure minimum quantities of products within specified periods.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some instances, subject to agreement, certain equipment may be purchased exclusively by us and/or jointly with our co-packers, and installed at their facilities to enable them to produce certain of our products. In certain cases, such equipment remains our property and is required to be returned to us upon termination of the packing arrangements with such co-packers, unless we are reimbursed by the co-packer at the then book value or via a per-case credit over a pre-determined number of cases that are produced at the facilities concerned.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For our Monster Energy® Drinks segment, we are generally responsible for arranging for the purchase and delivery to our third-party bottlers and co-packers of the containers in which our beverage products are packaged.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Our products are packaged in a number of locations, both domestically and internationally. As distribution volumes increase in both our domestic and international markets, we will continue to source additional packing arrangements.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aluminum cap cans, sleek aluminum cans, aluminum cans with re-sealable ends, PET plastic bottles, caps, labels, flavor ingredients, flavors, juice concentrates, coffee, tea, supplement ingredients, other ingredients and certain sweeteners, and/or procure adequate packing arrangements and/or obtain adequate or timely shipment of our products, we might not be able to satisfy demand on a short-term basis. (See “Part I, Item 1A – Risk Factors”).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For most of our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continue to actively seek alternative and/or additional co-packing facilities around the world (including in Africa, Asia, Australia, Central and South America, China, Europe, India, Mexico, the Middle East and the United States) with adequate capacity and capability for the production of our various products to minimize transportation costs and transportation-related damages as well as to mitigate the risk of a disruption in production and/or importation.</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Distribution Agreements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During 2021, we continued to expand distribution of our products in both our domestic and international markets.</w:t>
      </w:r>
    </w:p>
    <w:p>
      <w:pPr>
        <w:pStyle w:val="TextBody"/>
        <w:spacing w:before="0" w:after="240"/>
        <w:ind w:left="0" w:right="0" w:firstLine="720"/>
        <w:rPr>
          <w:rFonts w:ascii="Times New Roman;Times;serif" w:hAnsi="Times New Roman;Times;serif"/>
          <w:sz w:val="22"/>
        </w:rPr>
      </w:pPr>
      <w:r>
        <w:rPr>
          <w:rFonts w:ascii="Times New Roman;Times;serif" w:hAnsi="Times New Roman;Times;serif"/>
          <w:sz w:val="22"/>
        </w:rPr>
        <w:t>Distribution levels vary by product and geographic location. Net sales outside the United States were $2.04 billion, $1.51 billion and $1.33 billion for the years ended December 31, 2021, 2020 and 2019, respectively.</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2"/>
        </w:rPr>
      </w:pPr>
      <w:r>
        <w:rPr>
          <w:rFonts w:ascii="Times New Roman;Times;serif" w:hAnsi="Times New Roman;Times;serif"/>
          <w:i/>
          <w:sz w:val="22"/>
        </w:rPr>
        <w:t>Monster Energy</w:t>
      </w:r>
      <w:r>
        <w:rPr>
          <w:rFonts w:ascii="Times New Roman;Times;serif" w:hAnsi="Times New Roman;Times;serif"/>
          <w:sz w:val="22"/>
        </w:rPr>
        <w:t xml:space="preserve">® </w:t>
      </w:r>
      <w:r>
        <w:rPr>
          <w:rFonts w:ascii="Times New Roman;Times;serif" w:hAnsi="Times New Roman;Times;serif"/>
          <w:i/>
          <w:sz w:val="22"/>
        </w:rPr>
        <w:t>Distribution Agreements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entered into agreements with various bottlers/distributors providing for the distribution of our products during initial terms of up to twenty years, which may be renewed thereafter for additional terms ranging from one to five years, subject to certain terms and conditions which may vary depending on the form of the agreement.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a limited number of distribution agreements with TCCC network bottlers that were entered into prior to 2015.</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Certain of our material distribution arrangements for our Monster Energy® brand energy drinks, as amended from time to time, are described below:</w:t>
      </w:r>
    </w:p>
    <w:tbl>
      <w:tblPr>
        <w:tblW w:w="10205" w:type="dxa"/>
        <w:jc w:val="left"/>
        <w:tblInd w:w="0" w:type="dxa"/>
        <w:tblCellMar>
          <w:top w:w="28" w:type="dxa"/>
          <w:left w:w="28" w:type="dxa"/>
          <w:bottom w:w="28" w:type="dxa"/>
          <w:right w:w="28" w:type="dxa"/>
        </w:tblCellMar>
      </w:tblPr>
      <w:tblGrid>
        <w:gridCol w:w="124"/>
        <w:gridCol w:w="300"/>
        <w:gridCol w:w="9781"/>
      </w:tblGrid>
      <w:tr>
        <w:trPr/>
        <w:tc>
          <w:tcPr>
            <w:tcW w:w="12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2"/>
              </w:rPr>
            </w:pPr>
            <w:r>
              <w:rPr>
                <w:rFonts w:ascii="Times New Roman;Times;serif" w:hAnsi="Times New Roman;Times;serif"/>
                <w:sz w:val="22"/>
              </w:rPr>
              <w:t>(a)</w:t>
            </w:r>
          </w:p>
        </w:tc>
        <w:tc>
          <w:tcPr>
            <w:tcW w:w="9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(the “TCCC North American Bottlers”) will distribute and sell, or continue to distribute and sell, our Monster Energy® brand energy drinks.</w:t>
            </w:r>
          </w:p>
        </w:tc>
      </w:tr>
    </w:tbl>
    <w:tbl>
      <w:tblPr>
        <w:tblW w:w="10205" w:type="dxa"/>
        <w:jc w:val="left"/>
        <w:tblInd w:w="0" w:type="dxa"/>
        <w:tblCellMar>
          <w:top w:w="28" w:type="dxa"/>
          <w:left w:w="28" w:type="dxa"/>
          <w:bottom w:w="28" w:type="dxa"/>
          <w:right w:w="28" w:type="dxa"/>
        </w:tblCellMar>
      </w:tblPr>
      <w:tblGrid>
        <w:gridCol w:w="124"/>
        <w:gridCol w:w="314"/>
        <w:gridCol w:w="9767"/>
      </w:tblGrid>
      <w:tr>
        <w:trPr/>
        <w:tc>
          <w:tcPr>
            <w:tcW w:w="12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2"/>
              </w:rPr>
            </w:pPr>
            <w:r>
              <w:rPr>
                <w:rFonts w:ascii="Times New Roman;Times;serif" w:hAnsi="Times New Roman;Times;serif"/>
                <w:sz w:val="22"/>
              </w:rPr>
              <w:t>(b)</w:t>
            </w:r>
          </w:p>
        </w:tc>
        <w:tc>
          <w:tcPr>
            <w:tcW w:w="976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Amended and Restated International Distribution Coordination Agreement with TCCC, pursuant to which we have designated, and in the future may designate, countries, or territories within countries, in which we wish to appoint TCCC network bottlers to distribute and sell our Monster Energy® brand energy drinks, subject to TCCC’s approval. In February 2020, the Amended and Restated International Distribution Coordination Agreement with TCCC was renewed for an additional five-year term. </w:t>
            </w:r>
          </w:p>
        </w:tc>
      </w:tr>
    </w:tbl>
    <w:tbl>
      <w:tblPr>
        <w:tblW w:w="10205" w:type="dxa"/>
        <w:jc w:val="left"/>
        <w:tblInd w:w="0" w:type="dxa"/>
        <w:tblCellMar>
          <w:top w:w="28" w:type="dxa"/>
          <w:left w:w="28" w:type="dxa"/>
          <w:bottom w:w="28" w:type="dxa"/>
          <w:right w:w="28" w:type="dxa"/>
        </w:tblCellMar>
      </w:tblPr>
      <w:tblGrid>
        <w:gridCol w:w="124"/>
        <w:gridCol w:w="324"/>
        <w:gridCol w:w="9757"/>
      </w:tblGrid>
      <w:tr>
        <w:trPr/>
        <w:tc>
          <w:tcPr>
            <w:tcW w:w="1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2"/>
              </w:rPr>
            </w:pPr>
            <w:r>
              <w:rPr>
                <w:rFonts w:ascii="Times New Roman;Times;serif" w:hAnsi="Times New Roman;Times;serif"/>
                <w:sz w:val="22"/>
              </w:rPr>
              <w:t>(c)</w:t>
            </w:r>
          </w:p>
        </w:tc>
        <w:tc>
          <w:tcPr>
            <w:tcW w:w="975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Additionally, we have entered into distribution agreements for certain of our Monster Energy® products with various TCCC network bottlers, both in the United States and internationally.</w:t>
            </w:r>
          </w:p>
        </w:tc>
      </w:tr>
    </w:tbl>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All distribution territories in the United States, and substantially all distribution territories internationally have been transitioned to TCCC network bottlers/distributors. </w:t>
      </w:r>
    </w:p>
    <w:p>
      <w:pPr>
        <w:pStyle w:val="TextBody"/>
        <w:spacing w:before="0" w:after="240"/>
        <w:ind w:left="0" w:right="0" w:hanging="0"/>
        <w:rPr>
          <w:rFonts w:ascii="Times New Roman;Times;serif" w:hAnsi="Times New Roman;Times;serif"/>
          <w:i/>
          <w:sz w:val="22"/>
        </w:rPr>
      </w:pPr>
      <w:r>
        <w:rPr>
          <w:rFonts w:ascii="Times New Roman;Times;serif" w:hAnsi="Times New Roman;Times;serif"/>
          <w:i/>
          <w:sz w:val="22"/>
        </w:rPr>
        <w:t>Strategic Brands Distribution Agreements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entered into distribution coordination agreements with TCCC pursuant to which we have designated, and in the future may designate, subject to TCCC’s approval, territories in which TCCC network bottlers will distribute our Strategic Brands energy drinks.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entered into agreements with various TCCC network bottlers, both in the United States and internationally, providing for the distribution and sale of our Strategic Brands energy drinks.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Raw Materials and Suppliers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principal raw materials used in the manufacturing of our products are aluminum cans, aluminum cap cans, sleek aluminum cans, aluminum cans with re-sealable ends, PET plastic bottles, caps, as well as flavors, juice concentrates, glucose, sugar, sucralose, milk, cream, protein, coffee, tea, supplement ingredients and other packaging materials, the costs of which are subject to fluctuations. As a consequence of the COVID-19 pandemic, we have seen a shift in consumer channel preferences and package configurations, including an increase in at-home consumption and a decrease in food service on-premise consumption. This shift has resulted in increased industry demand for aluminum cans, leading to aluminum cans being in short supply.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AFF is the primary flavor supplier for our Monster Energy® brand energy drinks. We also purchase flavors from other suppliers as well as juices, supplement ingredients, glucose, sugar, sucralose, other sweeteners and other ingredients from independent suppliers located in the United States and abroad.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For our Strategic Brands energy drinks, we purchase flavors, concentrates and/or beverage bases from flavor suppliers including TCCC in the United States and abroad, and may purchase certain other ingredients from independent suppliers located in the United States and abroad.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With regard to our Java Monster®, Espresso Monster® and Muscle Monster® product lines, the dairy, protein and retort co-packing industries are subject to shortages and increased demand from time to time, which may result in production disruption and/or higher prices.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identified alternative suppliers for many of the ingredients contained in many of our beverages. However, industry-wide shortages of certain flavor ingredients,flavors, fruits and fruit juices, coffee, tea, dairy-based products, supplement ingredients and sweeteners have been, and could from time to time in the future be, encountered, which could interfere with and/or delay production of certain of our products.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continually endeavor to develop back-up sources of supply for certain of our flavor ingredients, flavors and concentrates purchased from third-party suppliers, as well as to negotiate arrangements with our existing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a result of the COVID-19 pandemic, global inflation, unanticipated increases in demand, labor shortages and supply chain disruptions, we experienced shortages of certain raw materials, such as aluminum cans and ingredients, and increased import and operating costs in 2021 and will likely continue to experience such costs in fiscal year 2022. See “Item 7 – Management’s Discussion and Analysis of Financial Condition and Results of Operations – Our Distribution and Supply Chain” for more information on such shortages and how we have, and will continue to, remediate such challenges in our supply chain.</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Competition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Important factors affecting our ability to compete successfully include brand and product image, taste and flavor of products, trade and consumer promotions, rapid and effective development of new and unique cutting edge products, ingredients, attractive and different packaging, brand exposure and marketing as well as pricing. We also rely on our bottlers and full service beverage distributors to allocate more attention to our products than those of our competitors, provide stable and reliable distribution and secure adequate shelf space in retail outlets. Competitive pressures in the “alternative”, energy, coffee and “functional” beverage categories could cause our products to maintain or to lose market share or we could experience price erosion, which could materially impact our business and results of operations.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have experienced and continue to experience competition from new entrants in the energy drink and energy shot categories. A number of companies who market and distribute iced teas, coffees, juice cocktails, enhanced waters and sports drinks in various larger volume packages in glass and plastic bottles (including BODYARMOR, Vitamin Water, CORE, Arizona, Ocean Spray, Powerade, Gatorade Bolt 24 and Starbucks) and 12- and 16-ounce cans (such as Mountain Dew Kickstart and Game Fuel), have added supplement ingredients to their products with a view to marketing their products as “functional” or energy beverages or as having “functional” benefits. We believe that many of those products contain lower levels of supplement ingredients, principally deliver refreshment and are positioned differently from our energy or “functional” drinks.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are also subject to increasing levels of regulatory issues including in relation to the registration and/or taxation of our products in certain new international markets, which may put us at a competitive disadvantage. (See “Government Regulation” below for additional information).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compete not only for consumer preference, but also for maximum marketing, sales efforts and attention from our multi-brand licensed bottlers, brokers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Keurig Dr. Pepper Inc. (“KDP”) and Red Bull GmbH. We also compete with companies that are smaller or primarily local in operation. Our products also compete with private-label brands such as those carried by grocery store chains, convenience store chains and club stores.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Domestically, our energy drinks compete directly with Red Bull, Rockstar, MTN Dew Amp, MTN Dew Kickstart, MTN Dew GameFuel and MTN Dew Energy, G Fuel, Venom, VPX Redline, 5-Hour Energy Shots, MiO Energy, VPX Bang, V8 + Energy, Uptime, hi*ball, CELSIUS, C4, Alani Nu, 3D Energy, ZOA Energy, Rowdy Energy, GHOST Energy, Starbucks BAYA energy and many other brands.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In 2020, PepsiCo acquired Rockstar and entered into an agreement with VPX to distribute VPX Bang products in the United States. PepsiCo also markets and/or distributes additional products in that market segment such as Pepsi Max, Mountain Dew, MTN Dew Energy, MTN Dew Kickstart and MTN Dew Game Fuel.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Internationally, our energy drinks compete with Red Bull (including non-carbonated Red Bull in China and Asia), Rockstar, V-Energy, Lucozade, and numerous local and private-label brands that usually differ from country to country, such as HELL, Amper, Shock, Tiger, Fearless, Boost, TNT, Shark, Dragon, Score, Sting, Hot 6, Suntory ZONE, Battery, Bullit, Flash Up, Black, Non-Stop, Bomba, Semtex, Vive 100, Dark Dog, Speed, Guarana, M-150, Lipovitan, Bacchus, Volt, Bolt, Mr. Big, Boom, Raptor, Amp, Fusion, Hi-Tiger, Eastroc Super Drink, Carabao, Power Horse, XL, Crazy Tiger, Effect, Missile, Nocco, Adrenaline Rush, Real Gold, War Horse, BLU, and a host of other international brands.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Our Reign Total Body Fuel® and Reign Inferno® Thermogenic Fuel high performance energy drinks compete with VPX Bang, Adrenaline Shoc, C4, CELSIUS, NOCCO, Rockstar XDURANCE in the performance energy category.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Our Java Monster® and Espresso Monster® product lines compete directly with Starbucks Frappuccino, Starbucks Doubleshot, Starbucks Doubleshot Energy Plus Coffee, Starbucks Tripleshot and other Starbucks coffee drinks, Costa Coffee, Rockstar Roasted, Dunkin Donuts, Gold Peak, Stok, High Brew, McCafé, hi*ball, Douwe Egberts Coffee, Emmi CAFFÈ, Bang Keto Coffee, Nescafe, Black Rifle and International Delight.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Muscle Monster® product line competes directly with Muscle Milk, Core Power, Premier Protein, Kellogg’s Special K Protein, Bolthouse Farms Protein, EAS AdvantEDGE, EAS Myoplex and Gatorade G Series 03 Recover.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Monster Hydro® Energy Water, Monster HydroSport Super Fuel® and Monster Hydro® Super Sport product lines compete directly with Vitamin Water, Sparkling Ice, Bai, Propel, Vita Coco, Lucozade, Powerade, Gatorade Bolt 24 and BODYARMOR.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True North® Pure Energy Seltzer product line competes directly with Celsius and Alani Nu.</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Sales and Marketing</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sports personality endorsements, sampling and sponsorship of selected athletes, teams, series, bands, esports, causes and events. In-store posters, outdoor posters, social media, concerts, print, radio and television advertising (directly and through our sponsorships and endorsements) and coupons may also be used to promote our brands.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and refreshed from time to time to maximize their visibility and identification, wherever they may be placed in stores, which we continue to reevaluate from time to time.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Where appropriate, we partner with our bottlers/distributors and/or retailers to assist our marketing efforts.</w:t>
      </w:r>
    </w:p>
    <w:p>
      <w:pPr>
        <w:pStyle w:val="TextBody"/>
        <w:spacing w:before="0" w:after="240"/>
        <w:ind w:left="0" w:right="0" w:firstLine="720"/>
        <w:jc w:val="both"/>
        <w:rPr>
          <w:rFonts w:ascii="Times New Roman;Times;serif" w:hAnsi="Times New Roman;Times;serif"/>
          <w:b w:val="false"/>
          <w:sz w:val="22"/>
        </w:rPr>
      </w:pPr>
      <w:r>
        <w:rPr>
          <w:rFonts w:ascii="Times New Roman;Times;serif" w:hAnsi="Times New Roman;Times;serif"/>
          <w:b w:val="false"/>
          <w:sz w:val="22"/>
        </w:rPr>
        <w:t xml:space="preserve">We increased expenditures for our sales and marketing programs by approximately 21.0% in the twelve-months ended December 31, 2021 compared to the twelve-months ended December 31, 2020. This increase was primarily due to increased expenditures for sponsorship and endorsements as well as social and digital marketing. During the comparative twelve-months ended December 31, 2020, we decreased expenditures for sponsorship and endorsements and decreased expenditures for travel and entertainment, each largely as a consequence of the COVID-19 pandemic. The impact of the COVID-19 pandemic was less pronounced on our sales and marketing programs in the twelve-months ended December 31, 2021. We increased expenditures for our sales and marketing programs by approximately 9.2% in the twelve-months ended December 31, 2021 compared to the twelve-months ended December 31, 2019 (pre COVID-19).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Customers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customers are primarily full service beverage bottlers/distributors, retail grocery, drug and specialty chains, wholesalers, club stores, mass merchandisers, convenience chains, foodservice customers, value stores, e-commerce retailers and the military. Percentages of our gross billings to our various customer types for the years ended December 31, 2021, 2020 and 2019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tbl>
      <w:tblPr>
        <w:tblW w:w="7917" w:type="dxa"/>
        <w:jc w:val="left"/>
        <w:tblInd w:w="0" w:type="dxa"/>
        <w:tblCellMar>
          <w:top w:w="0" w:type="dxa"/>
          <w:left w:w="0" w:type="dxa"/>
          <w:bottom w:w="0" w:type="dxa"/>
          <w:right w:w="0" w:type="dxa"/>
        </w:tblCellMar>
      </w:tblPr>
      <w:tblGrid>
        <w:gridCol w:w="5641"/>
        <w:gridCol w:w="326"/>
        <w:gridCol w:w="526"/>
        <w:gridCol w:w="109"/>
        <w:gridCol w:w="526"/>
        <w:gridCol w:w="109"/>
        <w:gridCol w:w="526"/>
        <w:gridCol w:w="154"/>
      </w:tblGrid>
      <w:tr>
        <w:trPr/>
        <w:tc>
          <w:tcPr>
            <w:tcW w:w="5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582035" cy="175260"/>
                      <wp:effectExtent l="0" t="0" r="0" b="0"/>
                      <wp:wrapNone/>
                      <wp:docPr id="2" name="Frame2"/>
                      <a:graphic xmlns:a="http://schemas.openxmlformats.org/drawingml/2006/main">
                        <a:graphicData uri="http://schemas.microsoft.com/office/word/2010/wordprocessingShape">
                          <wps:wsp>
                            <wps:cNvSpPr txBox="1"/>
                            <wps:spPr>
                              <a:xfrm>
                                <a:off x="0" y="0"/>
                                <a:ext cx="3582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34010" cy="175260"/>
                      <wp:effectExtent l="0" t="0" r="0" b="0"/>
                      <wp:wrapNone/>
                      <wp:docPr id="4" name="Frame4"/>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34010" cy="175260"/>
                      <wp:effectExtent l="0" t="0" r="0" b="0"/>
                      <wp:wrapNone/>
                      <wp:docPr id="6" name="Frame6"/>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34010" cy="175260"/>
                      <wp:effectExtent l="0" t="0" r="0" b="0"/>
                      <wp:wrapNone/>
                      <wp:docPr id="8" name="Frame8"/>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75260"/>
                      <wp:effectExtent l="0" t="0" r="0" b="0"/>
                      <wp:wrapNone/>
                      <wp:docPr id="9" name="Frame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109" w:type="dxa"/>
            <w:tcBorders/>
            <w:shd w:fill="auto" w:val="clear"/>
            <w:vAlign w:val="center"/>
          </w:tcPr>
          <w:p>
            <w:pPr>
              <w:pStyle w:val="TableContents"/>
              <w:spacing w:before="0" w:after="0"/>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109" w:type="dxa"/>
            <w:tcBorders/>
            <w:shd w:fill="auto" w:val="clear"/>
            <w:vAlign w:val="center"/>
          </w:tcPr>
          <w:p>
            <w:pPr>
              <w:pStyle w:val="TableContents"/>
              <w:spacing w:before="0" w:after="0"/>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c>
          <w:tcPr>
            <w:tcW w:w="154" w:type="dxa"/>
            <w:tcBorders/>
            <w:shd w:fill="auto" w:val="clear"/>
            <w:vAlign w:val="center"/>
          </w:tcPr>
          <w:p>
            <w:pPr>
              <w:pStyle w:val="TableContents"/>
              <w:spacing w:before="0" w:after="0"/>
              <w:ind w:left="0" w:right="0" w:hanging="0"/>
              <w:jc w:val="center"/>
              <w:rPr/>
            </w:pPr>
            <w:r>
              <w:rPr/>
              <w:t>​</w:t>
            </w:r>
          </w:p>
        </w:tc>
      </w:tr>
      <w:tr>
        <w:trPr/>
        <w:tc>
          <w:tcPr>
            <w:tcW w:w="5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spacing w:before="0" w:after="0"/>
              <w:ind w:left="0" w:right="0" w:hanging="0"/>
              <w:rPr/>
            </w:pPr>
            <w:r>
              <w:rPr/>
              <w:t> </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109"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154" w:type="dxa"/>
            <w:tcBorders/>
            <w:shd w:fill="CCEEFF" w:val="clear"/>
            <w:vAlign w:val="center"/>
          </w:tcPr>
          <w:p>
            <w:pPr>
              <w:pStyle w:val="TableContents"/>
              <w:spacing w:before="0" w:after="0"/>
              <w:ind w:left="0" w:right="0" w:hanging="0"/>
              <w:rPr/>
            </w:pPr>
            <w:r>
              <w:rPr/>
              <w:t>​</w:t>
            </w:r>
          </w:p>
        </w:tc>
      </w:tr>
      <w:tr>
        <w:trPr/>
        <w:tc>
          <w:tcPr>
            <w:tcW w:w="5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shd w:fill="auto" w:val="clear"/>
            <w:vAlign w:val="center"/>
          </w:tcPr>
          <w:p>
            <w:pPr>
              <w:pStyle w:val="TableContents"/>
              <w:spacing w:before="0" w:after="0"/>
              <w:ind w:left="0" w:right="0" w:hanging="0"/>
              <w:rPr/>
            </w:pPr>
            <w:r>
              <w:rPr/>
              <w:t> </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109"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109"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154" w:type="dxa"/>
            <w:tcBorders/>
            <w:shd w:fill="auto" w:val="clear"/>
            <w:vAlign w:val="center"/>
          </w:tcPr>
          <w:p>
            <w:pPr>
              <w:pStyle w:val="TableContents"/>
              <w:spacing w:before="0" w:after="0"/>
              <w:ind w:left="0" w:right="0" w:hanging="0"/>
              <w:rPr/>
            </w:pPr>
            <w:r>
              <w:rPr/>
              <w:t>​</w:t>
            </w:r>
          </w:p>
        </w:tc>
      </w:tr>
      <w:tr>
        <w:trPr/>
        <w:tc>
          <w:tcPr>
            <w:tcW w:w="5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spacing w:before="0" w:after="0"/>
              <w:ind w:left="0" w:right="0" w:hanging="0"/>
              <w:rPr/>
            </w:pPr>
            <w:r>
              <w:rPr/>
              <w:t> </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154" w:type="dxa"/>
            <w:tcBorders/>
            <w:shd w:fill="CCEEFF" w:val="clear"/>
            <w:vAlign w:val="center"/>
          </w:tcPr>
          <w:p>
            <w:pPr>
              <w:pStyle w:val="TableContents"/>
              <w:spacing w:before="0" w:after="0"/>
              <w:ind w:left="0" w:right="0" w:hanging="0"/>
              <w:rPr/>
            </w:pPr>
            <w:r>
              <w:rPr/>
              <w:t>​</w:t>
            </w:r>
          </w:p>
        </w:tc>
      </w:tr>
      <w:tr>
        <w:trPr/>
        <w:tc>
          <w:tcPr>
            <w:tcW w:w="5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shd w:fill="auto" w:val="clear"/>
            <w:vAlign w:val="center"/>
          </w:tcPr>
          <w:p>
            <w:pPr>
              <w:pStyle w:val="TableContents"/>
              <w:spacing w:before="0" w:after="0"/>
              <w:ind w:left="0" w:right="0" w:hanging="0"/>
              <w:rPr/>
            </w:pPr>
            <w:r>
              <w:rPr/>
              <w:t> </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54" w:type="dxa"/>
            <w:tcBorders/>
            <w:shd w:fill="auto" w:val="clear"/>
            <w:vAlign w:val="center"/>
          </w:tcPr>
          <w:p>
            <w:pPr>
              <w:pStyle w:val="TableContents"/>
              <w:spacing w:before="0" w:after="0"/>
              <w:ind w:left="0" w:right="0" w:hanging="0"/>
              <w:rPr/>
            </w:pPr>
            <w:r>
              <w:rPr/>
              <w:t>​</w:t>
            </w:r>
          </w:p>
        </w:tc>
      </w:tr>
      <w:tr>
        <w:trPr/>
        <w:tc>
          <w:tcPr>
            <w:tcW w:w="5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 value stores and other</w:t>
            </w:r>
          </w:p>
        </w:tc>
        <w:tc>
          <w:tcPr>
            <w:tcW w:w="326" w:type="dxa"/>
            <w:tcBorders/>
            <w:shd w:fill="CCEEFF" w:val="clear"/>
            <w:vAlign w:val="center"/>
          </w:tcPr>
          <w:p>
            <w:pPr>
              <w:pStyle w:val="TableContents"/>
              <w:spacing w:before="0" w:after="0"/>
              <w:ind w:left="0" w:right="0" w:hanging="0"/>
              <w:rPr/>
            </w:pPr>
            <w:r>
              <w:rPr/>
              <w:t> </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consolidated results of operations.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Coca-Cola Consolidated, Inc. accounted for approximately 12%, 12% and 13% of our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Reyes Coca-Cola Bottling, LLC accounted for approximately 10%, 11% and 11% of our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Coca-Cola Europacific Partners accounted for approximately 12%, 10% and 10% of our net sales for the years ended December 31, 2021, 2020 and 2019.</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Seasonality</w:t>
      </w:r>
    </w:p>
    <w:p>
      <w:pPr>
        <w:pStyle w:val="TextBody"/>
        <w:spacing w:before="0" w:after="240"/>
        <w:ind w:left="0" w:right="0" w:firstLine="720"/>
        <w:jc w:val="both"/>
        <w:rPr>
          <w:rFonts w:ascii="Times New Roman;Times;serif" w:hAnsi="Times New Roman;Times;serif"/>
          <w:b w:val="false"/>
          <w:sz w:val="22"/>
        </w:rPr>
      </w:pPr>
      <w:r>
        <w:rPr>
          <w:rFonts w:ascii="Times New Roman;Times;serif" w:hAnsi="Times New Roman;Times;serif"/>
          <w:b w:val="false"/>
          <w:sz w:val="22"/>
        </w:rPr>
        <w:t xml:space="preserve">Sales of ready-to-drink beverages are somewhat seasonal, with the second and third calendar quarters accounting for the highest sales volumes. We believe that the volume of sales in the beverage industry is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Intellectual Property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presently have more than 16,400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Monster Energy®, ®, Monster Energy Ultra®, Monster Dragon Tea®, Unleash the Beast!®, Mutant®, Monster Rehab®, Java Monster®, Muscle Monster®, Punch Monster®, Juice Monster®, Hydro® (stylized), Monster HydroSport Super Fuel®, Monster Super Fuel®, Espresso Monster®, Monster Energy® Nitro, Reign Total Body Fuel®, Reign Inferno®, True North®, BU®, Nalu®, NOS®, Full Throttle®, Burn®, Mother®, Ultra Energy®, Play® and Power Play® (stylized), Relentless®, Predator®, Fury®, Live+® and BPM® to be our core trademarks. We also own the intellectual property of our most important flavors for certain of our Monster Energy® Brand energy drinks in perpetuity.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have registered Monster®, Monster Energy®, ®, Monster Energy Ultra®, Unleash the Beast!®, Mutant®, Monster Rehab®, Java Monster®, Muscle Monster®, Punch Monster®, Juice Monster®, Hydro® (stylized), Espresso Monster®, True North®, BU®, Nalu®, Burn®, Mother®, Play®, Power Play® (stylized), Relentless®, Ultra Energy®, BPM®, Predator®, Fury®, Live+®, Reign®, Reign Total Body Fuel® and Reign Inferno® outside of the United States in certain jurisdictions.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also enforce and protect our trademark rights against third parties infringing or disparaging our trademarks by opposing registration of conflicting trademarks and initiating litigation as necessary.</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Government Regulation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production, distribution and sale in the United States of many of our products are subject to various U.S. federal, state and local regulations, including but not limited to: the Federal Food, Drug and Cosmetic Act (“FD&amp;C Act”); the Occupational Safety and Health Act and various state laws and regulations governing workplace health and safety; various environmental statutes; the Safe Drinking Water and Toxic Enforcement Act of 1986 (“California Proposition 65”); various state and federal laws and regulations pertaining to the sale and distribution of alcoholic beverages; data privacy and personal data protection laws and regulations, including the California Consumer Privacy Act of 2018 (as modified by the California Privacy Rights Act) and a number of other federal, state and local statutes and regulations applicable to the production, transportation, sale, safety, advertising, marketing, labeling and ingredients of such products. Outside the United States, the production, distribution and sale of many of our products are also subject to numerous statutes and regulations.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and “Significant changes to or failure to comply with various environmental laws may expose us to liability and/or cause certain of our facilities to close, relocate or operate at reduced production levels, which could adversely affect our business, financial condition and results of operations” below for additional information.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Furthermore, legislation may be introduced in the United States and other countries at the federal, state, municipal and supranational level in respect of each of the subject areas discussed below. Public health officials and health advocates are increasingly focused on the public health consequences associated with obesity, especially as it affects children, and are seeking legislative change to reduce the consumption of sweetened beverages. There also has been an increased focus on caffeine content in beverages and we are seeing some attention to other ingredients in energy drinks.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Product Formulation, Labeling and Advertising.</w:t>
      </w:r>
      <w:r>
        <w:rPr>
          <w:rFonts w:ascii="Times New Roman;Times;serif" w:hAnsi="Times New Roman;Times;serif"/>
          <w:sz w:val="22"/>
        </w:rPr>
        <w:t xml:space="preserve"> Globally, we are subject to a number of regulations applicable to the formulation, labeling and advertising (including promotional campaigns) of our products. In California, we are subject to California Proposition 65, a law which requires that a specified warning be provided before exposing California consumers to any product that contains in excess of threshold amounts of a substance listed by California as having been found to cause cancer or reproductive toxicity. California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or is subject to another applicable exception. If we are required to add warning labels to any of our products or place warnings in certain locations where our products are sold, it will be difficult to predict whether, or to what extent, such a warning would have an adverse impact on sales of our products in those locations or elsewhere.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In addition, in May 2016, the U.S. Food and Drug Administration (the “FDA”) revised regulations with respect to serving size information and nutrition labeling on food and beverage products, including a new requirement to disclose the amount of added sugars in such products. These changes went into effect on January 1, 2020. Further, in December 2018, the U.S. Department of Agriculture promulgated regulations requiring that, by January 1, 2022, the labels of certain bioengineered foods include a disclosure that the food is bioengineered. Additionally, these new regulations may impact, reduce and/or otherwise affect the purchase and consumption of our products by consumers.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Other countries, such as Argentina, Brazil, Colombia, the Dominican Republic, the member states of the Gulf Cooperation Council, Mexico, and the People’s Republic of China, are also considering, or have enacted, new labeling requirements, which may require us to amend our labels and warning statements. The United Kingdom Government has also suggested that it may review food labeling laws following the United Kingdom’s departure from the European Union (“Brexit”).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Age and Other Restrictions on Energy Drink Products.</w:t>
      </w:r>
      <w:r>
        <w:rPr>
          <w:rFonts w:ascii="Times New Roman;Times;serif" w:hAnsi="Times New Roman;Times;serif"/>
          <w:sz w:val="22"/>
        </w:rPr>
        <w:t xml:space="preserve"> Proposals to limit or restrict the sale and/or advertising of energy drinks to minors and/or persons 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in the United States, bills seeking to impose an age restriction on the sale of energy drinks have been introduced in the Connecticut, Massachusetts, and South Carolina legislatures. Outside of the United States, for example, Latvia, Lithuania and Turkey prohibit the sale of energy drinks to persons under the age of 18; Canada prohibits the promotion of energy drinks to children 12 years and under; Latvia and Scotland prohibit the sale of energy drinks in educational establishments; and Turkey prohibits the sale or advertising of energy drinks in “collective consumption areas,” such as sports complexes, schools or hospitals. In Mexico, the States of Tabasco and Oaxaca prohibit the sale of energy drinks to minors and the consumption in schools; Colima prohibits the sale of energy drinks in private and public schools. Other Latin American countries such as Chile, Colombia and Brazil have been considering age and other sales restrictions on energy drinks, as are other countries such as the United Kingdom, Spain, Romania and Bulgaria.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Excise Taxes on Energy Drinks.</w:t>
      </w:r>
      <w:r>
        <w:rPr>
          <w:rFonts w:ascii="Times New Roman;Times;serif" w:hAnsi="Times New Roman;Times;serif"/>
          <w:sz w:val="22"/>
        </w:rPr>
        <w:t xml:space="preserve"> Legislation that would impose an excise tax on sweetened beverages has been proposed in the U.S. 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Other U.S. jurisdictions (including Albany, Oakland and San Francisco, California; Boulder, Colorado; Philadelphia, Pennsylvania and Seattle, Washington)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such as France, the United Kingdom, Ireland, South Africa and Mexico. Poland recently established a tax on drinks with added sugars, specifically targeting beverages containing caffeine and taurine. Other countries, including the Dominican Republic, are considering similar measures. In addition, legislation has been proposed in certain jurisdictions that would specifically impose excise taxes on energy drinks. For example, Kuwait is considering a proposal that would impose an excise tax on energy drinks. Such targeted legislation has been passed in other countries. For instance, on January 1, 2020, a reform to a Mexican excise tax went into effect that expanded the definition of an “energy drink” subject to this tax to include products with any amount of caffeine (the prior version of the tax required a threshold of 20 milligrams of caffeine per 100 millimeters for the tax to be applicable) and “taurine or glucuronolactone or thiamine and/or any other substance that produces similar stimulating effects.” Hungary has instituted an excise tax to which our products are subject. Bahrain, Saudi Arabia and the United Arab Emirates began applying a selective tax of 100% on energy drinks in 2017, Qatar and Oman began applying the tax in 2019, and there are indications that a similar measure may be enacted in Kuwait.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Limits on Caffeine Content.</w:t>
      </w:r>
      <w:r>
        <w:rPr>
          <w:rFonts w:ascii="Times New Roman;Times;serif" w:hAnsi="Times New Roman;Times;serif"/>
          <w:sz w:val="22"/>
        </w:rPr>
        <w:t xml:space="preserve"> Legislation has been proposed to limit the amount of caffeine that may be contained in beverages, including energy drinks. Some jurisdictions where we do business have prescribed limited caffeine content for beverages. For example, in Canada, the maximum amount of caffeine cannot exceed 180 mg per single-serving container or per serving (500 ml) in the case of a multi-serving container. We adjusted the caffeine levels in certain of our Monster Energy® products that are sold in Canada to address these regulations, although the majority of our products were unaffected. In Europe, examples of caffeine restrictions include the Netherlands where there is a limit of 35mg/100ml, and Norway introduced, as of January 1, 2020 (subject to transition periods), a limit of 32mg/100ml. Caffeine limit restrictions or restrictions on combining caffeine with other ingredients or in particular product sectors (such as performance beverages/sport drinks) have also been implemented or proposed in other jurisdictions, including Turkey, India, Pakistan’s Punjab region, Egypt, Spain and the member states of the Gulf Cooperation Council. Such restrictions could require reformulations of certain of our products. However, we may not be able to satisfactorily reformulate our products in all jurisdictions that adopt similar legislation.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Limitations on Container Size.</w:t>
      </w:r>
      <w:r>
        <w:rPr>
          <w:rFonts w:ascii="Times New Roman;Times;serif" w:hAnsi="Times New Roman;Times;serif"/>
          <w:sz w:val="22"/>
        </w:rPr>
        <w:t xml:space="preserve"> We package our products in a variety of different package types and sizes including, for certain of our Monster Energy® brand energy drinks, aluminum cans larger than 16 fluid ounces. Certain jurisdictions, such as Colombia, Costa Rica, Egypt, the Dominican Republic, and Spain, are considering container size limitations on energy drinks and other beverages which may require us to change the size of our products sold in these countries. Other countries, like England, have considered and rejected proposed can size limitations although it is open to such markets to revisit these and other similar proposals. </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Compliance with Environmental Laws</w:t>
      </w:r>
    </w:p>
    <w:p>
      <w:pPr>
        <w:pStyle w:val="TextBody"/>
        <w:spacing w:before="0" w:after="200"/>
        <w:ind w:left="0" w:right="0" w:firstLine="720"/>
        <w:jc w:val="both"/>
        <w:rPr>
          <w:rFonts w:ascii="Times New Roman;Times;serif" w:hAnsi="Times New Roman;Times;serif"/>
          <w:sz w:val="22"/>
        </w:rPr>
      </w:pPr>
      <w:r>
        <w:rPr>
          <w:rFonts w:ascii="Times New Roman;Times;serif" w:hAnsi="Times New Roman;Times;serif"/>
          <w:sz w:val="22"/>
        </w:rPr>
        <w:t>Our facilities and those of our co-packers in the United States are subject to federal, state and local environmental laws and regulations, including those relating to air emissions, the use of water resources and recycling. Our operations in other countries are subject to similar federal, state, local and supranational laws and regulations that may be applicable in such countries. Changes in environmental compliance mandates, and any expenditures necessary to comply with such requirements, could adversely affect our financial performance and future growth. Compliance with these provisions has not had, nor do we expect such compliance to have, any material adverse effect upon our capital expenditures, net income or competitive position.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Container Deposits.</w:t>
      </w:r>
      <w:r>
        <w:rPr>
          <w:rFonts w:ascii="Times New Roman;Times;serif" w:hAnsi="Times New Roman;Times;serif"/>
          <w:sz w:val="22"/>
        </w:rPr>
        <w:t xml:space="preserve"> Various municipalities, states and foreign countries require that a deposit be charged for certain non-refillable beverage containers. The precise requirements imposed by these measures vary by jurisdiction. Other deposit, recycling or product stewardship proposals have been, and may in the future be, introduced in certain U.S. states, counties, municipalities and in certain foreign countries.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Human Capital Resources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As of December 31, 2021, we have employees in 69 countries, with a total of 4,092 employees working worldwide. This employee population includes 2,714 employees in North America, 292 employees in Latin America, 254 employees in Asia Pacific and 832 employees in Europe, Mideast and Africa (“EMEA”). Most of our employees are full-time (3,458 employees) and the remaining 634 employees hold part-time positions. Of our 4,092 employees, we employ 1,256 in corporate and operational capacities (including administration, human resources, legal, information technology, operations, facilities, warehouse, product development, regulatory and accounting) and 2,836 persons in sales and marketing capacities.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of December 31, 2021, approximately 48% of our U.S. employees are from one or more underrepresented groups, including, but not limited to, Black, Latino, Asian, Pacific Islander, Native American and other Indigenous tribes and approximately 39% of our U.S. employees are female.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2020, we established our Equality, Diversity and Inclusion (EDI) Leadership Advisory Group, comprised of leaders from across the Company, designed to provide insight on our diversity and inclusion efforts and to assist in the integration of the EDI program with our overall strategy and business objectives. We provide training for our employees covering harassment, discrimination and unconscious bias.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support our employees through a variety of training and development programs. We have a mid-level manager development program, in which participants learn leadership skills, network with peers and senior executives, and tackle critical initiatives. We also have a leadership development platform in partnership with a third party, for senior leaders to receive university grade certificates in business strategy and innovation and complete Food and Beverage Executive courses as well as an electronic learning platform that focuses on business acumen, professional development and technical capabilities.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provide compensation packages designed to attract and retain talent while maintaining alignment with market compensation surveys. We have multiple short-term incentive programs focused on incentivizing and retaining talent throughout the organization and provide long-term incentive programs to employees through equity and/or performance cash awards. We currently cover the cost of insurance premiums including medical, dental, vision, life, accidental death and dismemberment, short and long term disability, and an Employee Assistance Program (EAP) covering full-time employees and share in the cost of insurance premiums covering eligible dependents including medical, dental and vision coverage. We also offer several voluntary benefits to full-time employees, including supplemental life insurance, whole life insurance, accident insurance, critical illness insurance, flexible spending accounts, travel insurance, pre-paid legal, healthy rewards programs, identity theft assistance, and retirement savings account(s).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2"/>
        </w:rPr>
        <w:t>COVID-19 Employee Health Measures and Support</w:t>
      </w:r>
      <w:r>
        <w:rPr>
          <w:rFonts w:ascii="Times New Roman;Times;serif" w:hAnsi="Times New Roman;Times;serif"/>
          <w:sz w:val="22"/>
        </w:rPr>
        <w:t>. In response to the COVID-19 pandemic, we have implemented measures to ensure the health, safety, and well-being of our employees and have adapted such measures based on our close monitoring of the rapidly evolving situation. We have implemented work-from-home policies for employees who are able to work remotely. Where possible, we provide employees with equipment to facilitate home-based work. For those employees unable to work remotely, we implemented safety precautions, such as on-site COVID-19 testing, which were developed and adopted in line with guidance from public health authorities and professional consultants. We have also provided our employees with the following: year-end bonuses for essential, hourly employees; increased employee communications, including on topics such as mental health and family welfare; weekly and bi-weekly communication from executive leadership; wellness hotlines and enhanced employee assistance programs; employee surveys to evaluate employee morale; and resilience training programs to provide employees with the tools and resources to be resilient in the current climate, to stay healthy, and to engage in self-care.</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Available Information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a public company, we are required to file our annual reports on Form 10-K, quarterly reports on Form 10-Q, current reports on Form 8-K, proxy statements on Schedule 14A and other information (including any amendments) with the Securities and Exchange Commission (the “SEC”). You can find the Company’s SEC filings at the SEC’s website, which contains reports, proxy and information statements, and other information regarding issuers that file electronically with the SEC, at http://www.sec.gov.</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Internet address is www.monsterbevcorp.com. Information contained on our website is not part of or incorporated into this filing or any of our other filings with the SEC. Our SEC filings (including any amendments) will be made available free of charge at www.monsterbevcorp.com,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Monster Beverage Corporation</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1 Monster Way</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Corona, CA 92879</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(951) 739-6200</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(800) 426-7367</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2"/>
        </w:rPr>
      </w:pPr>
      <w:bookmarkStart w:id="28" w:name="ITEM1ARISKFACTORS_382207"/>
      <w:bookmarkStart w:id="29" w:name="_515402c6_c257_432f_b4f8_9fc2ca989473"/>
      <w:bookmarkEnd w:id="28"/>
      <w:bookmarkEnd w:id="29"/>
      <w:r>
        <w:rPr>
          <w:rFonts w:ascii="Times New Roman;Times;serif" w:hAnsi="Times New Roman;Times;serif"/>
          <w:b/>
          <w:sz w:val="22"/>
        </w:rPr>
        <w:t>ITEM 1A.        RISK FACTORS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addition to the other information in this Annual Report on Form 10-K, including Management’s Discussion and Analysis of Financial Condition and Results of Operations and the consolidated financial statements and related notes, you should carefully consider the following risks. If any of the following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Risk Factors Summary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following is a summary of the principal risks that could materially adversely affect our business, reputation, financial condition and/or operating results. You should read this summary together with the more detailed description of each risk contained below.</w:t>
      </w:r>
    </w:p>
    <w:p>
      <w:pPr>
        <w:pStyle w:val="TextBody"/>
        <w:spacing w:before="0" w:after="100"/>
        <w:ind w:left="0" w:right="0" w:hanging="0"/>
        <w:jc w:val="both"/>
        <w:rPr>
          <w:rFonts w:ascii="Times New Roman;Times;serif" w:hAnsi="Times New Roman;Times;serif"/>
          <w:i/>
          <w:sz w:val="22"/>
        </w:rPr>
      </w:pPr>
      <w:r>
        <w:rPr>
          <w:rFonts w:ascii="Times New Roman;Times;serif" w:hAnsi="Times New Roman;Times;serif"/>
          <w:i/>
          <w:sz w:val="22"/>
        </w:rPr>
        <w:t>Operational and Industry Risks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COVID-19 pandemic has impacted and we expect will continue to impact our business and operations.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Company and TCCC have extensive commercial arrangements and, as a result, the Company’s future performance is substantially dependent on the success of its relationship with TCCC.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Provisions in our organizational documents and control by insiders or TCCC may prevent changes in control even if such changes would be beneficial to other stockholders.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rely on bottlers and distributors to distribute our products. If we are unable to maintain good relationships with our existing bottlers and distributors and/or secure such bottlers and distributors, our business could suffer.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derive virtually all of our revenues from energy drinks, and competitive pressure in the energy drink category could adversely affect our business and operating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Criticism of our energy drink products and/or criticism or a negative perception of energy drinks generally, could adversely affect us.</w:t>
            </w:r>
          </w:p>
        </w:tc>
      </w:tr>
    </w:tbl>
    <w:tbl>
      <w:tblPr>
        <w:tblW w:w="10086" w:type="dxa"/>
        <w:jc w:val="left"/>
        <w:tblInd w:w="0" w:type="dxa"/>
        <w:tblCellMar>
          <w:top w:w="28" w:type="dxa"/>
          <w:left w:w="28" w:type="dxa"/>
          <w:bottom w:w="28" w:type="dxa"/>
          <w:right w:w="28" w:type="dxa"/>
        </w:tblCellMar>
      </w:tblPr>
      <w:tblGrid>
        <w:gridCol w:w="124"/>
        <w:gridCol w:w="256"/>
        <w:gridCol w:w="9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Increased competition in the beverage industry and changing retail landscape could hurt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Our inability to implement our growth strategy, including expanding our business in existing and new sectors, such as the alcohol beverage sector, or successfully integrate acquired businesses or assets could adversely affect our business and financial results. </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411" w:type="dxa"/>
        <w:jc w:val="left"/>
        <w:tblInd w:w="0" w:type="dxa"/>
        <w:tblCellMar>
          <w:top w:w="28" w:type="dxa"/>
          <w:left w:w="28" w:type="dxa"/>
          <w:bottom w:w="28" w:type="dxa"/>
          <w:right w:w="28" w:type="dxa"/>
        </w:tblCellMar>
      </w:tblPr>
      <w:tblGrid>
        <w:gridCol w:w="124"/>
        <w:gridCol w:w="256"/>
        <w:gridCol w:w="9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consumer product and shopping preferences may reduce demand for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continued expansion outside of the United States exposes us to uncertain conditions and other risks in international markets.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we are not able to pass on increases in the costs of raw materials, including aluminum cans and/or ingredients and/or fuel and/or costs of co-packing, such inability could harm our business and result in a higher cost base. Shortages of raw materials including aluminum cans and/or ingredients and/or fuel and/or costs of co-packing could have a material adverse effect on our business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failure to accurately estimate demand for our products or maintain sufficient inventory levels could adversely affect our business and financial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costs of packaging supplies, ocean and domestic freight, and inflation generally may adversely affect our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Global or regional catastrophic events could impact our operations and affect our ability to grow our business.</w:t>
            </w:r>
          </w:p>
        </w:tc>
      </w:tr>
    </w:tbl>
    <w:tbl>
      <w:tblPr>
        <w:tblW w:w="7326" w:type="dxa"/>
        <w:jc w:val="left"/>
        <w:tblInd w:w="0" w:type="dxa"/>
        <w:tblCellMar>
          <w:top w:w="28" w:type="dxa"/>
          <w:left w:w="28" w:type="dxa"/>
          <w:bottom w:w="28" w:type="dxa"/>
          <w:right w:w="28" w:type="dxa"/>
        </w:tblCellMar>
      </w:tblPr>
      <w:tblGrid>
        <w:gridCol w:w="124"/>
        <w:gridCol w:w="256"/>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Climate change and natural disasters may negatively affect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If we are not able to retain the services of our workforce, there may be an adverse effect on our operations and/or our operating performance until we find suitable replacements.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Negative publicity (whether or not warranted) could damage our brand image and corporate reputation, and may cause our business to suffer.</w:t>
            </w:r>
          </w:p>
        </w:tc>
      </w:tr>
    </w:tbl>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Government Regulation and Litigation Risks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government regulation, or failure to comply with existing regulations, could adversely affect our business,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Significant changes to or failure to comply with various environmental laws may expose us to liability and/or cause certain of our facilities to close, relocate or operate at reduced production levels, which could adversely affect our business,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cannot predict the effect of possible inquiries from and/or actions by attorneys general, other government agencies and/or quasi-government agencies into the production, advertising, marketing, promotion, labeling, ingredients, usage and/or sale of our energy drink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Litigation regarding our products, and related unfavorable media attention, could expose us to significant liabilities and reduce demand for our products, thus negatively affecting our financial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we encounter material product recalls, our business may suffer material losses and such recalls could damage our brand image and corporate reputation, also resulting in material losses.</w:t>
            </w:r>
          </w:p>
        </w:tc>
      </w:tr>
    </w:tbl>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Intellectual Property, Information Technology and Data Privacy Risks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intellectual property rights are critical to our success, and the loss of such rights could materially adversely affect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must continually maintain, monitor, protect and/or upgrade our information technology systems, including protecting us from internal and external cybersecurity threats.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we fail to comply with data privacy and personal data protection laws, we could be subject to adverse publicity, government enforcement actions and/or private litigation, which may negatively impact our business and operating results.</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Financial Risks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Fluctuations in our effective tax rate could adversely affect our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may be required in the future to record a significant charge to earnings if our goodwill or intangible assets become impaired.</w:t>
            </w:r>
          </w:p>
        </w:tc>
      </w:tr>
    </w:tbl>
    <w:tbl>
      <w:tblPr>
        <w:tblW w:w="9036" w:type="dxa"/>
        <w:jc w:val="left"/>
        <w:tblInd w:w="0" w:type="dxa"/>
        <w:tblCellMar>
          <w:top w:w="28" w:type="dxa"/>
          <w:left w:w="28" w:type="dxa"/>
          <w:bottom w:w="28" w:type="dxa"/>
          <w:right w:w="28" w:type="dxa"/>
        </w:tblCellMar>
      </w:tblPr>
      <w:tblGrid>
        <w:gridCol w:w="124"/>
        <w:gridCol w:w="256"/>
        <w:gridCol w:w="8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Fluctuations in foreign currency exchange rates may adversely affect our operating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Potential changes in accounting standards or practices and/or taxation may adversely affect our financial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we fail to maintain effective disclosure controls and procedures and internal control over financial reporting on a consolidated basis, our stock price and investor confidence in the Company could be materially and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Uncertainty in the financial markets and other adverse changes in general economic or political conditions in any of the major countries in which we do business could adversely affect our industry, business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Default by or failure of one or more of our counterparty financial institutions could cause us to incur significant losses.</w:t>
            </w:r>
          </w:p>
        </w:tc>
      </w:tr>
    </w:tbl>
    <w:tbl>
      <w:tblPr>
        <w:tblW w:w="5661" w:type="dxa"/>
        <w:jc w:val="left"/>
        <w:tblInd w:w="0" w:type="dxa"/>
        <w:tblCellMar>
          <w:top w:w="28" w:type="dxa"/>
          <w:left w:w="28" w:type="dxa"/>
          <w:bottom w:w="28" w:type="dxa"/>
          <w:right w:w="28" w:type="dxa"/>
        </w:tblCellMar>
      </w:tblPr>
      <w:tblGrid>
        <w:gridCol w:w="124"/>
        <w:gridCol w:w="256"/>
        <w:gridCol w:w="5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Volatility of stock price may restrict sale opportunities.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investments are subject to risks which may cause losses and affect the liquidity of these investments.</w:t>
            </w:r>
          </w:p>
        </w:tc>
      </w:tr>
    </w:tbl>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Operational and Industry Risks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 xml:space="preserve">The COVID-19 pandemic has impacted and we expect will continue to impact our business and operations.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current COVID-19 pandemic has presented and continues to present a substantial public health and economic challenge around the world and is affecting our employees, communities and business operations, as well as the global economy and financial markets. The human and economic consequences of the COVID-19 pandemic as well as the measures taken or that may be taken in the future by governments, businesses (including the Company and our suppliers, bottlers/distributors, co-packers and other service providers) and the public at large to limit the COVID-19 pandemic, have and will directly and indirectly impact our business and results of operations, including, without limitation,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COVID-19 pandemic has directly and indirectly impacted our business. The duration and severity of this impact will depend on future developments that are highly uncertain and cannot be accurately predicted, including new information regarding the COVID-19 pandemic, as well as the emergence of new variants, the action taken to limit its spread and the economic impact on local, regional, national and international markets. As countries continue to combat the COVID-19 pandemic, and as governments and/or local authorities impose regulations regarding COVID-19 testing, vaccine mandates and related workplace restrictions, there remains a risk that the COVID-19 pandemic may impact our business and supply chain, including our ability to recruit and/or retain our employees as well as impact our co-packers, bottlers/distributors and/or suppliers.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Deteriorating economic conditions and continued financial uncertainties in many of our major markets due to the COVID-19 pandemic, such as inflation, increased and prolonged unemployment, decreases in per capita income and the level of disposable income, declines in consumer confidence, or economic slowdowns or recessions, could affect consumer purchasing power and consumers’ ability to purchase our products, thereby reducing demand for our products. In addition, public concern among consumers regarding the risk of contracting COVID-19 may also reduce demand for our products. </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closures of, and continued restrictions on, on-premise retailers and other establishments that sell our products as a result of the COVID-19 pandemic have adversely impacted and may continue to adversely impact our sales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Our product sampling programs, which are part of our strategy to develop brand awareness, have been, and will continue to be, disrupted by the COVID-19 pandemic. If we are unable to successfully adapt to the changing landscape of advertising, marketing, promotional, sponsorship and endorsement opportunities created by the COVID-19 pandemic, our sales, market share, volume growth and overall financial results could be negatively affected.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innovation activities, including our ability to introduce new products in certain markets, have been delayed and/or adversely impacted by the COVID-19 pandemic. If such innovation activities are disrupted and we continue to delay the launch of new products and/or we are unable to secure sufficient distribution levels for such new products, our business and results of operations could be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Some of our suppliers, bottlers/distributors and co-packers have experienced, and likely will continue to experience, plant closures, production slowdowns and disruptions in operations as a result of the impact of the COVID-19 pandemic. This could result in material disruptions to our operations.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We have experienced and may continue to experience delays in receiving certain raw materials as a result of shipping delays due to, among other things, additional safety requirements imposed by port authorities, closures of, or congestion at ports, reduced availability of commercial transportation, freight inefficiencies, shortages of shipping containers, border restrictions and capacity constraints.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Due to increased demand in at home beverage consumption, aluminum cans remain in tight supply, which could adversely impact or limit our sales and/or results of operations. We may also need to commit to minimum purchase volumes in order to secure sufficient quantities of certain raw materials including aluminum cans, as well as minimum co-packing volumes, which may lead to claims, costs, or losses if we over-estimate future demand for our products and do not use such volumes in full.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rely on relationships with third parties for cloud data storage and other information technology services for certain functions or for services in support of our operations. These third parties are subject to risks and uncertainties related to the COVID-19 pandemic, which may interfere with their ability to fulfill their respective commitments and responsibilities to us in a timely manner and in accordance with the agreed-upon terms.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As a result of the COVID-19 pandemic, including related governmental measures, restrictions, directives and guidance, most of our office-based employees continue to work remotely. We may experience reductions in productivity and disruptions to our business routines while our remote work policy remains in place. If our employees working remotely do not maintain appropriate measures to mitigate potential risks to our technology and operations from information technology-related disruptions, we may face cybersecurity threats. Employees of our third-party service providers who are working remotely, with whom we may share data, are subject to similar cybersecurity risks.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Governmental authorities at the U.S. federal, state and/or municipal level and in certain foreign jurisdictions may increase or impose new income taxes, indirect taxes or other taxes or revise interpretations of existing tax rules and regulations as a means of financing the costs of stimulus or may take other measures to protect populations and economies from the impact of the COVID-19 pandemic. Increases in direct and indirect </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tax rates could affect our net income, and increases in consumer taxes could affect our products’ affordability and reduce our sales.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may be required to record significant impairment charges with respect to goodwill or intangible assets, whose fair values may be negatively affected by the effects of the COVID-19 pandemic.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continued financial impact of the COVID-19 pandemic may cause one or more of the financial institutions we do business with to fail or default in their obligations to us or to become insolvent or file for bankruptcy, which could cause us to incur significant losses and negatively impact our results of operations and financial condition.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Actions we have taken or may take, or decisions we have made or may make, as a consequence of the COVID-19 pandemic may result in negative publicity and the Company becoming a party to litigation claims and/or legal proceedings, which could consume significant financial and managerial resources, result in decreased demand for our products and injury to our reputation.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resumption of normal business operations after the disruptions caused by the COVID-19 pandemic may be delayed or constrained by the COVID-19 pandemic’s lingering effects on our suppliers, bottlers/distributors, co-packers, contractors, business partners and/or other service providers.</w:t>
            </w:r>
          </w:p>
        </w:tc>
      </w:tr>
    </w:tbl>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Any of the negative impacts of the COVID-19 pandemic, including those described above, alone or in combination with others, may have a material adverse effect on our business, reputation, operating results and/or financial condition. Any of these negative impacts, alone or in combination with others, could exacerbate many of the risk factors discussed herein, any of which could materially affect our business, reputation, operating results and/or financial condition.</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The Company and TCCC have extensive commercial arrangements and, as a result, the Company’s future performance is substantially dependent on the success of its relationship with TCCC.</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transitioned all third parties’ rights to distribute the Company’s products in the U.S. to members of TCCC’s distribution network, which largely consists of independent bottlers/distributors. In addition, except for a handful of countries, TCCC is our preferred distribution partner globally, with members of TCCC’s network distributing our products internationally, including in Africa, Asia, Canada, Central and South America, Europe, Mexico and the Middle East. As we progress our international expansion, we expect TCCC’s distribution network to continue as our preferred distribution partner globally. As a result, we have reduced our distributor diversification and are now dependent on TCCC’s domestic and international distribution platforms.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TCCC has a substantial equity investment in the Company. The Company, TCCC and certain affiliates are parties to various agreements in which TCCC and certain affiliates have agreed, subject to certain exceptions, not to compete in the energy drink category in certain territories prior to the termination of the applicable distribution coordination agreement with TCCC. The Company’s distribution agreements with TCCC distributors also provide, subject to certain exceptions, that the applicable distributor will not distribute competitive energy drink products.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While we believe that these agreements incentivize TCCC to take steps to ensure that our products receive the appropriate attention in the TCCC distribution system, disagreements as to the interpretation of the provisions in such agreements have arisen and may arise in the future. In addition, TCCC does not control all members of its distribution system, many of which are independent companies that make their own business decisions that may not always align with TCCC’s interests.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Provisions in our organizational documents and control by insiders or TCCC may prevent changes in control even if such changes would be beneficial to other stockholders.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Our organizational documents may limit changes in control. Furthermore, as of February 16, 2022, Mr. Sacks and Mr. Schlosberg together may be deemed to beneficially own and/or exercise voting control over approximately 10% of our outstanding common stock. As of February 16, 2022, TCCC owned approximately 19% of our common stock. TCCC has also nominated one director to the Company’s board of directors. Consequently, Mr. Sacks, Mr. Schlosberg and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particular, TCCC’s ownership could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62.5% of the Company’s common shares not owned by TCCC (assuming that TCCC increased its ownership to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interests of TCCC may be different from or conflict with the interests of the Company’s other stockholders and, as a result, TCCC’s influence may result in the delay or prevention of potential actions or transactions. Moreover, TCCC’s ownership of a significant amount of the Company’s outstanding common shares could result in downward pressure on the trading price of the Company’s common shares if TCCC were to sell a large portion of its shares or as a result of the perception that such a sale might occur.</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acquisition of AFF in 2016 brought our primary flavor supplier in-house for the majority of our Monster Energy® brand energy drinks. However, we also procure flavors from other independent flavor suppliers. We do not operate our own manufacturing facilities for finished goods, but instead outsource manufacturing of our finished goods to bottlers and other contract packers. As a result, in the event of a disruption and/or delay, and/or demand exceeding forecasted demand,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For example, in 2021, sales of many of our product lines were adversely impacted by production capacity constraints as a result of above forecast demand. A lengthy disruption or delay in the production of any of our products could significantly adversely affect our revenues from such products, because alternative co-packing facilities in the United States and abroad with adequate long-term capacity may not be available for such products either at commercially reasonable rates and/or costs and/or within a reasonably short time period, if at all. In addition, recently there has been a consolidation of co-packers. If we are unable to maintain good relationships with our largest co-packers, or if our costs of co-packing increase, our business, financial condition and results of operations could be adversely affected.</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We rely on bottlers and distributors to distribute our products. If we are unable to maintain good relationships with our existing bottlers and distributors and/or secure such bottlers and distributors, our business could suffer.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Many of our bottlers/distributors are affiliated with and manufacture and/or distribute other carbonated, non-carbonated and other beverage products. In many cases, such products compete directly with our products.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Unilateral decisions by bottlers/distributors, buying groups, convenience chains, grocery chains, mass merchandisers, specialty chain stores, club stores, e-commerce retailers, e-commerce websites and other customers to discontinue carrying all or any of our products that they are carrying at any time, restrict the range of our products they carry, impose restrictions or limitations on the sale of our products and/or devote less resources to the sale of our products could cause our business to suffer. In addition, possible trading disputes between our bottler/distributors and their customers or buying groups may result in the delisting of certain of the Company’s products, temporarily or otherwise. Bottler/distributor consolidation may also have an impact on our business.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TCCC North American Bottlers, Coca-Cola Europacific Partners, Coca-Cola Hellenic, Coca-Cola FEMSA, Coca-Cola Amatil, Swire Coca-Cola (China), COFCO Coca-Cola, Coca-Cola Beverages Africa and Coca-Cola İçecek are our primary domestic and international distributors of our products. As a result, if we are unable to maintain good relationships with these bottlers/distributors, or they do not effectively focus on marketing, promoting, selling and distributing our products, sales of our products could be adversely affected.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 decision by our primary domestic and international bottlers/distributors or any other large customer to decrease the amount purchased from us or to cease carrying our products could have a material adverse effect on our financial condition and consolidated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marketing efforts of our bottlers/distributors are important for our success. If our brands prove to be less attractive to our existing bottlers and distributors, if we fail to attract additional bottlers and distributors, and/or our bottlers/distributors do not market, promote and distribute our products effectively, our business, financial condition and results of operations could be adversely affected.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Disruption in distribution channels and/or a decline in sales due to the termination and/or insolvency of existing or new bottlers/distributors may adversely affect our business and operating results.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We derive virtually all of our revenues from energy drinks, and competitive pressure in the energy drink category could adversely affect our business and operating results.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focus is in the energy drink category, and our business is vulnerable to adverse changes impacting the energy drink category and business, which could adversely impact our business and the trading price of our common stock.</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Virtually all of our sales are derived from our energy drinks, including our Monster Energy® brand energy drinks, our Reign Total Body Fuel® energy drinks and our Strategic Brands energy drinks (including our affordable brand energy drinks, principally Predator®).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For a discussion of such competition, see “Part I, Item 1 – Business – Competition.”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increasing number of competitive products and limited amount of shelf space in retail stores, including in beverage coolers, may adversely impact our ability to gain or maintain our share of sales in the marketplace. In addition, certain actions of our competitors, including unsubstantiated and/or misleading claims, false advertising claims and tortious interference in our business, as well as competitors selling misbranded products, could impact our sales. Competitive pressures in the energy drink category could impact our revenues, cause price erosion and/or lower market share, any of which could have a material adverse effect on our business and results of operations.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Criticism of our energy drink products and/or criticism or a negative perception of energy drinks generally could adversely affect us.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An unfavorable report on the health effects of caffeine, other ingredients in energy drinks or energy drinks generally, or criticism or negative publicity regarding the caffeine content and/or any other ingredients in our products or energy drinks generally, including product safety concerns,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In early 2018, certain retailers in the United Kingdom announced the introduction of voluntary retailer measures to prevent the sale of energy drinks to individuals under the age of 16. If reports, studies or articles critical of caffeine and/or energy drinks continue to be published or are published in the future, or additional voluntary measures are taken, they could adversely affect the demand for our products. If we are unable to satisfy all criteria set forth in any model energy drink guidelines, including, without limitation, those adopted by the American Beverage Association, of which we are a member, and/or any international beverage associations, it could negatively affect our overall reputation, which in turn could have a negative impact on our business, financial condition and results of operations.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Increased competition in the beverage industry and changing retail landscape could hurt our business.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beverage industry is highly competitive. The principal areas of competition are pricing, packaging, development of new products, flavors, product positioning as well as promotion and marketing strategies. Our products compete with a wide range of drinks produced by a relatively large number of manufacturers, some of which have substantially greater financial, marketing and distribution resources than we do.</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Important factors affecting our ability to compete successfully include the efficacy, taste and flavor of our products, trade and consumer promotions, rapid and effective development of new and unique cutting edge products, attractive and different packaging, branded product advertising and pricing. The success of our sports marketing, social media and other general marketing endeavors may impact our business, financial condition and results of operation. Our products compete with all liquid refreshments and in some cases with products of much larger competitors, including the products of numerous nationally and internationally known producers such as TCCC, PepsiCo, Red Bull GmbH and KDP. We also compete with companies that are smaller or primarily national or local in operations. Our products also compete with private-label brands such as those carried by grocery store chains, convenience store chains and club stores.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rapid growth in sales through e-commerce retailers, e-commerce websites, mobile commerce applications and subscription services, and closures of physical retail operations, particularly during, and potentially following, the COVID-19 pandemic, may result in a shift away from physical retail operations to digital channels and a reduction in impulse purchases. As we build our e-commerce capabilities, we may not be able to develop and maintain successful relationships with existing and new e-commerce retailers without experiencing a deterioration of our relationships with key customers operating physical retail channels. If we are unable to profitably expand our own e-commerce capabilities and/or if e-commerce retailers take significant market share away from traditional retailers our business may be adversely affected. Further, the ability of consumers to compare prices on a real-time basis using digital technology puts additional pressure on us to maintain competitive prices. Sales in gas chains may also be affected by increased gasoline prices, improvements in fuel efficiency and increased consumer preferences for electric or alternative fuel-powered vehicles, which may result in fewer trips by consumers to gas stations and a corresponding reduction in purchases by consumers in convenience gas retailers. If we are unable to successfully adapt to the rapidly changing retail landscape, our share of sales, volume growth and overall financial results could be negatively affected.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Due to competition in the beverage industry, there can be no assurance that we will not encounter difficulties in maintaining our current revenues, market share or position in the beverage industry. If our revenues decline, our business, financial condition and results of operations could be adversely affected.</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 xml:space="preserve">Our inability to implement our growth strategy, including expanding our business in existing and new sectors, such as the alcohol beverage sector, or successfully integrate acquired businesses or assets could adversely affect our business and financial results.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On February 17, 2022, we acquired CANarchy, a craft beer and hard seltzer company and may continue to make acquisitions that expand our business into new sectors in the beverage industry. Risks associated with entering into a new sector include: (1) having no or limited experience in such sector; (2) increased exposure to certain governmental regulations and compliance requirements; (3) difficulties developing, manufacturing, and marketing the products of newly acquired companies in a way that enhances the performance of our combined businesses and product lines; and (4) our lesser familiarity with consumer preferences in the new sector. Entry into new sectors of the beverage industry will bring us into competition with new competitors with a larger, more established market presence. We cannot ensure that our entry into the alcohol beverage sector or any other new beverage sectors will be profitable and future profitability may be delayed or otherwise materially adversely affected.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Overall, the effectiveness of these acquisitions can be less predictable than developing new lines of energy drinks and might not provide the anticipated benefits or desired rates of return. Integrating the operations of acquired businesses could be a difficult, costly and time-consuming process that involves a number of risks including, but not limited to, the integration of company cultures and management teams, retaining key employees and customers, increased exposure to certain governmental regulations and compliance requirements, increased costs, and use of resources. Even if we successfully integrate acquired businesses, it is possible that we will not realize the expected benefits from any completed acquisition over the timeframe we expect, or at all, or that our existing operations will be adversely affected as a result of acquisitions. The costs of achieving these benefits could also be higher than we expected. Therefore, the acquisition and integration of acquired businesses may not contribute to our earnings as expected, we may not achieve profit margin targets when expected, or at all, and we may not achieve the other anticipated strategic financial benefits of such transactions.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Changes in consumer product and shopping preferences may reduce demand for our products.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beverage industry is subject to changing consumer preferences and shifts in consumer preferences may adversely affect us. There is increasing awareness of and concern for health, wellness and nutrition considerations, including concerns regarding caloric intake associated with sugar-sweetened beverages and the perceived undesirability of artificial ingredients. Some consumer advocacy groups and others have expressed concerns regarding certain ingredients in diet sodas, which are contained in certain of our energy drinks. There are also changes in demand for different packages, sizes and configurations. This may reduce demand for our beverages, which could reduce our revenues and adversely affect our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efficacy, taste, quality and price, although there can be no assurance of our ability to do so. There is no assurance that consumers will continue to purchase our products in the future. Product lifecycles for some beverage brands,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Additionally, as shopping patterns are being affected by the digital evolution, with customers embracing shopping by way of mobile device applications, e-commerce retailers and e-commerce websites or platforms, we may be unable to address or anticipate changes in consumer shopping preferences or engage with our customers on their preferred platforms. If our revenues decline, our business, financial condition and results of operations could be adversely affected.</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Our continued expansion outside of the United States exposes us to uncertain conditions and other risks in international markets.</w:t>
      </w:r>
    </w:p>
    <w:p>
      <w:pPr>
        <w:pStyle w:val="TextBody"/>
        <w:spacing w:before="0" w:after="240"/>
        <w:ind w:left="0" w:right="0" w:firstLine="720"/>
        <w:jc w:val="both"/>
        <w:rPr>
          <w:rFonts w:ascii="Times New Roman;Times;serif" w:hAnsi="Times New Roman;Times;serif"/>
          <w:i w:val="false"/>
          <w:caps w:val="false"/>
          <w:smallCaps w:val="false"/>
          <w:sz w:val="22"/>
        </w:rPr>
      </w:pPr>
      <w:r>
        <w:rPr>
          <w:rFonts w:ascii="Times New Roman;Times;serif" w:hAnsi="Times New Roman;Times;serif"/>
          <w:i w:val="false"/>
          <w:caps w:val="false"/>
          <w:smallCaps w:val="false"/>
          <w:sz w:val="22"/>
        </w:rPr>
        <w:t xml:space="preserve">We have continued expanding our operations internationally into a variety of new markets. Our net sales to customers outside of the United States were approximately 37%, 33% and 32% of consolidated net sales for the years ended December 31, 2021, 2020 and 2019, respectively. As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international markets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economic and/or political instability in our international markets; fluctuations in foreign currency exchange rates;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If we are not able to pass on increases in the costs of raw materials, including aluminum cans and/or ingredients and/or fuel and/or costs of co-packing, such inability could harm our business and result in a higher cost base. Shortages of raw materials including aluminum cans and/or ingredients and/or fuel and/or costs of co-packing could have a material adverse effect on our business and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principal raw materials used by us are aluminum cans, sleek aluminum cans, aluminum cap cans, aluminum cans with re-sealable ends, PET plastic bottles, caps, flavors, juice concentrates, glucose, sugar, sucralose, milk, cream, protein, coffee, tea, cocoa, supplement ingredients and other packaging materials, the costs and availability of which are subject to fluctuations. 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 We have identified alternative suppliers for certain of the ingredients contained in many of our beverages. However, industry-wide shortages of certain flavor ingredients, flavors, fruits and fruit juices, coffee, tea, cocoa, dairy-based products, packaging materials (including aluminum cans) supplement ingredients and sweeteners have been, and could from time to time in the future be, encountered, which could interfere with and/or delay production of certain of our products. In addition, certain of our co-packing arrangements allow such co-packers to increase their fees based on certain of their own cost increases. We are uncertain whether the prices of any of the above or any other raw materials or ingredients, many of which have recently risen significantly, will continue to rise or may rise in the future. We are unsure whether we will be able to pass any of such increases on to our customers. Although we generally do not use hedging agreements or alternative instruments to manage the risks associated with securing sufficient ingredients or raw materials, from time to time, we, through our aluminum can suppliers, enter into purchase agreements for the purchase of aluminum, as well as enter into purchase agreements for portions of our annual anticipated requirements for certain of our other raw materials such as glucose, sugar and sucralose. In recent years, the United States has imposed tariffs on steel and aluminum as well as on goods imported from certain countries. Additional tariffs imposed by the United States on a broader range of imports, or further trade measures taken by other countries, could result in an increase in supply chain costs.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Our failure to accurately estimate demand for our products or maintain sufficient inventory levels could adversely affect our business and financial results.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may not correctly estimate demand for our existing products and/or new products. Our ability to estimate demand for our products is imprecise, particularly with regard to new products, and may be less precise during periods of rapid growth, including in new markets. If we materially underestimate demand for our products or are unable to secure sufficient ingredients or raw materials including, but not limited to, aluminum cans, aluminum cap cans, sleek aluminum cans, aluminum cans with re-sealable ends, PET plastic bottles, caps, labels, sucralose, flavor ingredients, flavors, supplement ingredients, juice concentrates, certain sweeteners, coffee, tea, cocoa, protein and packaging materials or experience difficulties with our co-packing arrangements, including production shortages or quality issues, we might not be able to satisfy demand on a short-term basis. Moreover, industry-wide shortages of certain juice concentrates, supplement ingredients and sweeteners have been and could, from time to time in the future, be experienced, resulting in production fluctuations and/or product shortages. We generally do not use hedging agreements or alternative instruments to manage this risk. Such shortages could interfere with and/or delay production of certain of our products and could have a material adverse effect on our business and financial results.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i w:val="false"/>
          <w:caps w:val="false"/>
          <w:smallCaps w:val="false"/>
          <w:sz w:val="22"/>
        </w:rPr>
      </w:pPr>
      <w:r>
        <w:rPr>
          <w:rFonts w:ascii="Times New Roman;Times;serif" w:hAnsi="Times New Roman;Times;serif"/>
          <w:i w:val="false"/>
          <w:caps w:val="false"/>
          <w:smallCaps w:val="false"/>
          <w:sz w:val="22"/>
        </w:rPr>
        <w:t xml:space="preserve">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The costs of packaging supplies, ocean and domestic freight, and inflation generally may adversely affect our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Many of our packaging supply contracts allow our suppliers to alter the costs they charge us for packaging supplies based on changes in the costs of the underlying commodities that are used to produce those packaging supplies, such as aluminum for cans, PET plastic for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Recently, inflation has affected, and continues to affect, our raw materials costs, commodities and other inputs globally. If the costs of packaging supplies and other costs, as well as ocean and domestic freight rates, continue to increase, we may be unable to pass these costs along to our customers through corresponding adjustments to the prices we charge, which could have a material adverse effect on our results of operations.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Global or regional catastrophic events could impact our operations and affect our ability to grow our business.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Because of our increasingly global presence, our business could be affected by unstable political conditions, civil unrest, protests and demonstrations, large-scale terrorist acts, especially those directed against the United States or other major industrialized countries where our products are distributed, the outbreak or escalation of armed hostilities, major natural disasters and extreme weather conditions, such as hurricanes, wildfires, tornados, earthquakes or floods, or widespread outbreaks of infectious diseases (such as the COVID-19 pandemic). Such catastrophic events could impact our operations and our supply chain, including the production and/or distribution of our products. Materials and/or personnel may need to mobilize to other locations. Our headquarters and a large part of our operations are located in California, a state at greater risk of earthquakes and wildfires. Some of the raw materials we use, including certain sizes of cans, are available from limited suppliers, and a regional catastrophic event impacting such suppliers could adversely impact our operations. In addition, such events could disrupt global or regional economic activity, which could affect consumer purchasing power and consumers’ ability to purchase our products, thereby reducing demand for our products. If our operations are disrupted or we are unable to grow our business as a result of these factors, our growth rate could decline and our business, financial condition and results of operations could be adversely affected.</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Climate change and natural disasters may affect our business.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There is concern that a gradual increase in global average temperatures due to increased carbon dioxide and other greenhouse gases in the atmosphere could cause significant changes in weather patterns around the globe and an increase in the frequency and severity of natural disasters. Changing weather patterns could result in decreased agricultural productivity in certain regions, and/or outbreaks of diseases or other health issues, which may limit availability and/or increase the cost of certain key ingredients, juice concentrates, supplements and other ingredients used in our products and could impact the food security of communities around the world. Increased frequency or duration of extreme weather conditions could also impair production capabilities, disrupt our supply chain and/or impact demand for our products.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Natural disasters and extreme weather conditions, such as hurricanes, wildfires, earthquakes or floods, and outbreaks of diseases (such as the COVID-19 pandemic) or other health issues may affect our operations and the operation of our supply chain, impact the operations of our bottlers/distributors and unfavorably impact our consumers’ ability to purchase our products. The predicted effects of climate change may also result in challenges regarding availability and quality of water, or less favorable pricing for water, which could adversely impact our business and results of operations. In addition, public expectations for reductions in greenhouse gas emissions could result in increased energy, transportation and raw material costs, and may require us to make additional investments in facilities and equipment. Changes in applicable laws, regulations, standards or practices related to greenhouse gas emissions, packaging and water scarcity, as well as initiatives by advocacy groups in favor of certain climate change-related laws, regulations, standards or practices, may result in increased compliance costs, capital expenditures and other financial obligations, which could affect our business, financial condition and results of operations. Sales of our products may also be influenced to some extent by weather conditions in the markets in which we operate. We, our bottlers and our contract packers, use a number of key ingredients in the manufacture of our beverage products that are derived from agricultural commodities such as sugar, coffee, tea and cocoa. Increased demand for food products and decreased agricultural productivity in certain regions of the world as a result of changing weather patterns and other factors may limit the availability or increase the cost of such agricultural commodities and could impact the food security of communities around the world. Weather conditions may influence consumer demand for certain of our beverages, which could have an effect on our operations, either positively or negatively.</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If we are not able to retain the services of our workforce, there may be an adverse effect on our operations and/or our operating performance until we find suitable replacements.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business is dependent, to a large extent, upon the services of our workforce. We do not maintain key person life insurance on any members of our senior management. The loss of services of either Rodney Sacks, Chairman and Co-Chief Executive Officer, Hilton Schlosberg, Vice Chairman and Co-Chief Executive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Negative publicity (whether or not warranted) could damage our brand image and corporate reputation, and may cause our business to suffer.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success depends on our ability to build and maintain the brand image for our existing products, new products and brand extensions and maintain our corporate reputation. There can be no assurance that our advertising, marketing and promotional programs and our commitment to product safety and quality, human rights and environmental sustainability will have the desired impact on our products’ brand image and on consumer preferences and demand. Claims regarding product safety, quality and/or ingredient content issues, efficacy or lack thereof (real or imagined), our culture and our workforce, our environmental impact and the sustainability of our operations, or allegations of product contamination, even if false or unfounded, could tarnish the image of our brands and may cause consumers to choose other products. Consumer demand for our products could diminish significantly if we, our employees, bottlers/distributors, suppliers or business partners fail to preserve the quality of our products, act or are perceived to act in an unethical, illegal, discriminatory, unequal or socially irresponsible manner, including with respect to the sourcing, content or sale of our products, service and treatment of our customers, or the use of customer data.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affecting our industry. Negative postings or comments on social media or networking websites about the Company or any one of our brands, even if inaccurate or malicious, could generate adverse publicity that could damage the reputation of our brands or the Company. Business incidents, whether isolated or recurring and whether originating from us, our bottlers/distributors, suppliers or business partners, that erode consumer trust can significantly reduce brand value or potentially trigger boycotts of our products and can have a negative impact on consumer demand for our products as well as our reputation and financial results. The impact of such incidents may be exacerbated if they receive considerable publicity, including rapidly through social or digital media (including for malicious reasons) or result in litigation.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addition, from time to time, there are public policy endeavors that are either directly related to our products and packaging or to our business. These public policy debates can occasionally be the subject of backlash from advocacy groups that have a differing point of view and could result in adverse media and consumer reaction, including product boycotts. Similarly, our sponsorship relationships could subject us to negative publicity as a result of actual or alleged misconduct by individuals or entities associated with organizations we sponsor or support. Likewise, campaigns by activists connecting us, or our supply chain, with human and workplace rights, environmental or animal rights issues could adversely impact our corporate image and reputation. We have made a number of commitments to respect human rights, including the policies and initiatives described in our California Transparency in Supply Chains Act &amp; United Kingdom Modern Slavery Act statement. Allegations, even if untrue, that we are not respecting the human rights found in the United Nations Universal Declaration of Human Rights; actual or perceived failure by our suppliers or other business partners to comply with applicable labor and workplace rights laws, including child labor laws, or their actual or perceived abuse or misuse of migrant workers; adverse publicity surrounding obesity and health concerns related to our products, water usage, our environmental impact and the sustainability of our operations, labor relations, our culture and our workforce or the like could negatively affect our Company’s overall reputation and brand image, which in turn could have a negative impact on our products’ acceptance by consumers.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Government Regulation and Litigation Risks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Changes in government regulation, or failure to comply with existing regulations, could adversely affect our business, financial condition and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the content of caffeine and other ingredients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municipal and supranational level in respect of each of the foregoing subject areas. Public health officials and health advocates are increasingly focused on the public health consequences associated with obesity, especially as it affects children, and are seeking legislative change to reduce the consumption of sweetened beverages. There also has been increased focus on caffeine content in beverages, and we are seeing some attention to other ingredients in energy drinks.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production, distribution and sale in the United States of many of our products are also currently subject to various federal and state regulations, including, but not limited to: the FD&amp;C Act; the Occupational Safety and Health Act; various environmental statutes; data privacy laws; California Proposition 65; and various other federal, state and local statutes and regulations applicable to the production, transportation, sale, safety, advertising, labeling, packaging and ingredients of such products.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Outside the United States, the production, distribution and sale of many of our products are also subject to numerous statutes and regulations.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If a regulatory authority finds that a current or future product, its label, or a production run is not in compliance with any of these regulations, we may be fined, or the products in question may have to be recalled, removed from the market, reformulated and/or have the packaging changed, which could adversely affect our business, financial condition and results of operations.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Significant changes to or failure to comply with various environmental laws may expose us to liability and/or cause certain of our facilities to close, relocate or operate at reduced production levels, which could adversely affect our business, financial condition and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and our co-packers, are subject to a wide and increasingly broad array of federal, state, regional, local, and international environmental laws, including statutes and regulations, which aim to regulate emissions and impacts to air, land, and water. Our operations may result in odors, noise, or other pollutants being emitted from our facilities. Failure to comply with these environmental laws or any future changes to them could result in alleged harm to our employees or others near our facilities, significant costs to satisfy environmental compliance, remediation or compensatory requirements, or the imposition of penalties or restrictions on operations by governmental agencies or courts. In 2021, an AFF facility, which manufactures the primary flavors for our Monster Energy® Drinks segment, received notices of violation for emitting odors and for failing to properly permit its equipment. Failure to comply with the notices and remediate certain emissions at this facility, or other facilities, may result in penalties, liability for damages, alterations to our facilities’ operations, or the closing or relocation of a facility. Such actions may result in flavor shortages, which could in turn result in shortages for our finished products and adversely affect our business, financial condition, and results of operations.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Increasing concern over environmental, social and governance (“ESG”) matters, including climate change, will likely result in new or revised laws and regulations aimed at reducing or mitigating the potential effects of greenhouse gases, restricting or increasing the costs of commercial water use due to local water scarcity concerns, or increasing mandatory reporting of certain ESG metrics, such as recycling. If we fail to comply with applicable environmental compliance mandates or fail to meet sustainability metrics, our business operations and our reputation could be adversely impacted.</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We cannot predict the effect of possible inquiries from and/or actions by attorneys general, other government agencies and/or quasi-government agencies into the production, advertising, marketing, promotion, labeling, ingredients, usage and/or sale of our energy drink products.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are subject to the risks of investigations and/or enforcement actions by state attorneys general and/or other government and/or quasi-governmental agencies relating to the advertising, marketing, promotion, ingredients, usage and/or sale of our energy drinks, and we are a party, from time to time, to various government and regulatory inquiries and/or proceedings. Defending these proceedings can result in significant ongoing expenditures and the diversion of our management’s time and attention from the operation of our business, which could have a negative effect on our business operations.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In addition, from time to time, government and/or quasi-governmental agencies may investigate the safety of caffeine and other ingredients in energy drinks.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Litigation regarding our products, and related unfavorable media attention, could expose us to significant liabilities and reduce demand for our products, thus negatively affecting our financial results.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been and are a party, from time to time, to various litigation claims and legal proceedings, including, but not limited to, intellectual property, fraud, unfair business practices, false advertising, product liability, breach of contract claims, claims from prior distributors, labor and employment matters, personal injury matters, consumer class actions, securities actions and shareholder derivative actions.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Other lawsuits have been filed against us claiming that certain statements made in our advertisements and/or on the labels of our products were false and/or misleading or otherwise not in compliance with food standards under local law, and/or that our products are not safe. Putative class action lawsuits have also been filed against certain of our competitors asserting that certain claims in their advertisements amount to false advertising. We do not believe any statements made by us in our promotional materials or set forth on our product labels are false or misleading or noncompliant with local law, or that our products are in any way unsafe, and we vigorously defend such lawsuits.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Any of the foregoing matters or other litigation, the threat thereof, or unfavorable media attention arising from pending or threatened product-related litigation could consume significant financial and managerial resources and result in decreased demand for our products, significant monetary awards against us, an injunction barring the sale of any of our products and injury to our reputation.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If we encounter material product recalls, our business may suffer material losses and such recalls could damage our brand image and corporate reputation, also resulting in material losses.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may be required from time to time to recall products entirely or from specific co-packers, markets, retailers or batches or reformulate certain of our products if such products become contaminated, damaged, mislabeled, defective or otherwise materially non-compliant with applicable regulatory requirements. A material product recall could adversely affect our profitability and our brand image and corporate reputation. We do not maintain recall insurance. </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Intellectual Property, Information Technology and Data Privacy Risks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Our intellectual property rights are critical to our success, and the loss of such rights could materially adversely affect our business.</w:t>
      </w:r>
    </w:p>
    <w:p>
      <w:pPr>
        <w:pStyle w:val="TextBody"/>
        <w:spacing w:before="0" w:after="240"/>
        <w:ind w:left="0" w:right="0" w:firstLine="720"/>
        <w:jc w:val="both"/>
        <w:rPr>
          <w:rFonts w:ascii="Times New Roman;Times;serif" w:hAnsi="Times New Roman;Times;serif"/>
          <w:i w:val="false"/>
          <w:caps w:val="false"/>
          <w:smallCaps w:val="false"/>
          <w:sz w:val="22"/>
        </w:rPr>
      </w:pPr>
      <w:r>
        <w:rPr>
          <w:rFonts w:ascii="Times New Roman;Times;serif" w:hAnsi="Times New Roman;Times;serif"/>
          <w:i w:val="false"/>
          <w:caps w:val="false"/>
          <w:smallCaps w:val="false"/>
          <w:sz w:val="22"/>
        </w:rPr>
        <w:t xml:space="preserve">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We also have been, and may in the future be, unable to use our trademarks, trade names or designs and/or trade dress in certain countries, which may impact sales of the affected brands and require increased expenditures, which could have an adverse effect on our business, financial condition or results of operations.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We must continually maintain, monitor, protect and/or upgrade our information technology systems, including protecting us from internal and external cybersecurity threats.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Information technology enables us to operate efficiently, interface with customers, maintain financial accuracy and efficiency and accurately produce our financial statements. If we do not appropriately allocate and effectively manage the resources necessary to build and sustain the proper technology infrastructure, we could be subject to transaction errors, processing inefficiencies, the loss of customers, business disruptions, and/or the loss of and/or damage to intellectual property through security breaches, including internal and external cybersecurity threats. Cybersecurity attacks are evolving, may be difficult to detect for periods of time, and include, but are not limited to, malicious software (malware, ransomware and viruses), phishing and social engineering, attempts to gain unauthorized access to networks, computer systems and data, malicious or negligent actions of employees (including misuse of information they are entitled to access), cyber extortion and other forms of electronic security breaches. Such attacks could lead to disruptions in or loss of access to our data or business systems, an inability to process customer orders and/or lost customer orders, unauthorized release of confidential or otherwise protected information, lost revenues or other costs due to office, plant, warehouse or other facility disruption or shutdown, and corruption of data.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rely on relationships with third parties, including suppliers, distributors, bottlers, contract packers, contractors, cloud data storage and other information technology service providers and other external business partners, for certain functions or for services in support of our operations. These third-party service providers and partners, with whom we may share data, are subject to similar risks as we are relating to cybersecurity, privacy violations, business interruption, and systems, as well as employee failures. While we have procedures in place for selecting and managing our relationships with third-party service providers and other business partners, we do not have control over their business operations or governance and compliance systems, practices and procedures, which increases our financial, legal, reputational and operational risk. These third parties may experience cybersecurity incidents that may involve data we share with them or rely on them to provide to us, and the need to coordinate with such third-parties, including with respect to timely notification and access to personnel and information concerning an incident, may complicate our efforts to resolve any issues that arise.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However, given the unpredictability of the timing, nature and scope of such disruptions, we could potentially be subject to operational interruption, damage to our brand image and private data exposure.</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If we fail to comply with data privacy and personal data protection laws, we could be subject to adverse publicity, government enforcement actions and/or private litigation, which may negatively impact our business and operating results.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receive, process, transmit and store information relating to certain identified or identifiable individuals (“personal data”), including current and former employees, in the ordinary course of business. As a result, we are subject to various U.S. federal and state and foreign laws and regulations relating to personal data. These laws are subject to change, and new personal data legislation may be enacted in other jurisdictions at any time. In the European Union, the General Data Protection Regulation (“GDPR”) became effective in May 2018 for all member states. The GDPR includes operational requirements for companies receiving or processing personal data of residents of the European Union different from those that were previously in place and also includes significant penalties for noncompliance. Additionally, the California Consumer Privacy Act of 2018 (“CCPA”), which was enacted in June 2018 and came into effect on January 1, 2020, provides a new private right of action and statutory damages for certain data breaches and imposes operational requirements on companies that process personal data of California residents, including making new disclosures to consumers about data collection, processing and sharing practices and allowing consumers to opt out of certain data sharing with third parties. </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Changes introduced by the GDPR and the CCPA, as well as other changes to existing personal data protection laws and the introduction of such laws in other jurisdictions, subject the Company to, among other things, additional costs and expenses and may require costly changes to our business practices and security systems, policies, procedures and practices. There can be no assurances that our security controls over personal data, training of personnel on data privacy and data security, vendor management processes, and the policies, procedures and practices we implement will prevent the improper processing or breaches of personal data. Data breaches or improper processing, or breaches of personal data in violation of the GDPR, the CCPA and/or of other personal data protection or privacy laws and regulations, could harm our reputation, cause loss of consumer confidence, subject us to government enforcement actions (including fines), or result in private litigation against us, which may result in potential loss of revenue, increased costs, liability for monetary damages or fines and/or criminal prosecution, thereby negatively impacting our business and operating results.</w:t>
      </w:r>
    </w:p>
    <w:p>
      <w:pPr>
        <w:pStyle w:val="TextBody"/>
        <w:spacing w:before="0" w:after="240"/>
        <w:ind w:left="0" w:right="0" w:firstLine="720"/>
        <w:jc w:val="both"/>
        <w:rPr/>
      </w:pPr>
      <w:r>
        <w:rPr/>
        <w:t>​</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Financial Risks</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i/>
          <w:sz w:val="22"/>
        </w:rPr>
        <w:t>Fluctuations in our effective tax rate could adversely affect our financial condition and results of operations</w:t>
      </w:r>
      <w:r>
        <w:rPr>
          <w:rFonts w:ascii="Times New Roman;Times;serif" w:hAnsi="Times New Roman;Times;serif"/>
          <w:sz w:val="22"/>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are subject to income and other taxes in both the U.S. and certain foreign jurisdictions. Therefore, we are subject to audits for multiple tax years in various jurisdictions at once.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are in various stages of examination with certain states and certain foreign jurisdictions, including the United Kingdom and Ireland. Our 2018 through 2020 U.S. federal income tax returns are subject to examination by the IRS. Our state income tax returns are subject to examination for the 2017 through 2020 tax years.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At any given time, events may occur which change our expectation about how any such tax audits will be resolved and thus, there could be significant variability in our quarterly and/or annual tax rates, because these events may change our plans for uncertain tax positions.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Changes in U.S. tax laws as a result of any legislation proposed by the new U.S. Presidential Administration or U.S. Congress, which may include efforts to change or repeal the 2017 Tax Cuts and Jobs Act and the federal corporate income tax rate reduction, could adversely affect our provision for income taxes, resulting in an adverse impact on our financial condition or results of operations. In addition, changes in the manner in which U.S. multinational corporations are taxed on foreign earnings, including changes in how existing tax laws are interpreted or enforced, could adversely affect our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 In connection with the OECD’s BEPS project, companies are required to disclose more information to tax authorities on operations around the world, which may lead to greater audit scrutiny of profits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financial condition or results of operations.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We may be required in the future to record a significant charge to earnings if our goodwill or intangible assets become impaired.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Under United States Generally Accepted Accounting Principles (“GAAP”), we are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may be required in the future to record a significant charge to earnings during the period in which we determine that our intangible assets have been impaired. Any such charge would adversely impact our results of operations. As of December 31, 2021, our goodwill totaled approximately $1.33 billion and other intangible assets totaled approximately $1.07 billion.</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Fluctuations in foreign currency exchange rates may adversely affect our operating results.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are exposed to foreign currency exchange rate risk with respect to our sales, expenses, profits, assets and liabilities denominated in currencies other than the U.S. dollar. We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 For the years ended December 31, 2021, 2020 and 2019, aggregate foreign currency transaction gains (losses), including the gains or losses on forward currency exchange contracts, amounted to $0.3 million, ($11.2) million and ($4.1) million, respectively.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Potential changes in accounting standards or practices and/or taxation may adversely affect our financial results.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If we fail to maintain effective disclosure controls and procedures and internal control over financial reporting on a consolidated basis, our stock price and investor confidence in the Company could be materially and adversely affected.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are required to maintain both disclosure controls and procedures as well as internal control over financial reporting that are effective for the purposes described in “Part II, Item 9A – Controls and Procedures.” If we fail to maintain such controls and procedures, our business, results of operations, financial condition and/or the value of our stock could be materially harmed.</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Uncertainty in the financial markets and other adverse changes in general economic or political conditions in any of the major countries in which we do business could adversely affect our industry, business and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Global economic uncertainties, including highly inflationary economies and foreign currency exchange rates,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crises in African, Asian, European and other international markets. Unfavorable economic conditions and financial uncertainties in our major international markets and unstable political conditions, including civil unrest and governmental changes, in certain of our other international markets could undermine global consumer confidence and reduce consumers’ purchasing power, thereby reducing demand for our products. Included in the foregoing are long-term uncertainties surrounding the United Kingdom’s withdrawal from the European Union on January 31, 2020 (commonly referred to as “Brexit”) and any resulting increases in tariffs, importation restrictions, out of stocks, volatility in currency exchange rates, including the valuation of the euro and the British pound in particular, changes in the laws and regulations applied in the United Kingdom or impacts on economic and market conditions in the United Kingdom, the European Union and its member states and elsewhere.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Default by or failure of one or more of our counterparty financial institutions could cause us to incur significant losses.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part of any hedging activities that we may conduct, we may enter into transactions involving derivative financial instruments, including forward contracts, commodity futures contracts, option contracts, collars and swaps, with various financial institutions. We also have significant amounts of cash, cash equivalents and other investments on deposit or in accounts with banks or other financial institutions both in the United States and abroad, exposing us to risk of default by or failure of such counterparty financial institutions. This risk of counterparty default or failure is greater during periods of economic downturn or uncertainty in financial markets. If one of our counterparties became insolvent or filed for bankruptcy, our ability to recover losses incurred due to the default or to retrieve assets deposited or held in accounts with such counterparty may be limited by the counterparty’s liquidity or applicable laws governing insolvency and bankruptcy proceedings. Default by or failure of one or more of our counterparties could cause us to incur significant losses and negatively impact our results of operations and financial condition.</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Volatility of stock price may restrict sale opportunities.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stock price is affected by a number of factors, including stockholder expectations, financial results, the introduction of new products by us and our competitors, general economic and market conditions such as inflation,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or net income. We may be unable to achieve analysts’ net revenue and/or earnings forecasts, which are based on their own projected revenues, sales volumes and sales mix of many product types and/or new products, certain of which are more profitable than others, as well as their own estimates of gross margin and operating expenses. There can be no assurance that we will achieve any such projected levels or mix of product sales, revenues, gross margins,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2021, the high of our stock price was $99.89 and the low was $80.92.</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Our investments are subject to risks which may cause losses and affect the liquidity of these investments.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At December 31, 2021, we had $1.33 billion in cash and cash equivalents, $1.75 billion in short-term investments and $99.4 million in long-term investments, including certificates of deposit, commercial paper, U.S. government agency securities, U.S. treasuries, and to a lesser extent, municipal securities. Certain of these investments are subject to general credit, liquidity, market and interest rate risks. These risks associated with our investment portfolio may have an adverse effect on our future results of operations, liquidity and financial condition.</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2"/>
        </w:rPr>
      </w:pPr>
      <w:bookmarkStart w:id="30" w:name="ITEM1BUNRESOLVEDSTAFFCOMMENTS_224132"/>
      <w:bookmarkStart w:id="31" w:name="_dc17e187_8c95_4f51_b47d_9fbfbd539738"/>
      <w:bookmarkEnd w:id="30"/>
      <w:bookmarkEnd w:id="31"/>
      <w:r>
        <w:rPr>
          <w:rFonts w:ascii="Times New Roman;Times;serif" w:hAnsi="Times New Roman;Times;serif"/>
          <w:b/>
          <w:sz w:val="22"/>
        </w:rPr>
        <w:t>ITEM 1B.        UNRESOLVED STAFF COMMENTS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Not applicable.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2"/>
        </w:rPr>
      </w:pPr>
      <w:bookmarkStart w:id="32" w:name="ITEM2PROPERTIES_652488"/>
      <w:bookmarkStart w:id="33" w:name="_5bf6b6c6_e592_40e1_8b62_a2de6b23c889"/>
      <w:bookmarkEnd w:id="32"/>
      <w:bookmarkEnd w:id="33"/>
      <w:r>
        <w:rPr>
          <w:rFonts w:ascii="Times New Roman;Times;serif" w:hAnsi="Times New Roman;Times;serif"/>
          <w:b/>
          <w:sz w:val="22"/>
        </w:rPr>
        <w:t>ITEM 2.           PROPERTIES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of February 16, 2022, our principal properties include our corporate headquarters as well as our Southern California warehouse and distribution center.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owned corporate facilities located in Corona, California, consist of (i) an approximately 141,000 square-foot, free-standing, six-story building (LEED Gold and ENERGY STAR certified), (ii) an approximately 147,625 square-foot three-story parking structure and storage facility, which houses our approximately 14,000 square-foot quality control laboratory, (iii) an approximately 75,426 square foot, free-standing, three-story building (currently pursuing ENERGY STAR certification), (iv) an approximately 20,661 square-foot, free-standing, single-story building and (v) an approximately 49,617 square-foot, free-standing, two-story building.</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owned Southern California warehouse and distribution center is located in Rialto, California, consisting of an approximately 1,000,000 square-foot building which is LEED certified.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During 2020, we purchased a three-story office building located in Uxbridge, United Kingdom.</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During 2019, we acquired a manufacturing plant and adjoining land in Athy, County Kildare, Ireland to produce and supply ingredients, including flavors, for certain of our international markets.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During 2019, we purchased approximately 7.66 acres of land in San Fernando, California. We are in the process of constructing a new production facility thereon to consolidate AFF’s operations into a single location.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 addition, we lease many smaller office and/or warehouse spaces, both domestically and in certain international locations.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2"/>
        </w:rPr>
      </w:pPr>
      <w:bookmarkStart w:id="34" w:name="ITEM3LEGALPROCEEDINGS_355230"/>
      <w:bookmarkStart w:id="35" w:name="_23a53502_2cc0_49b3_9e50_a775ac442bcd"/>
      <w:bookmarkEnd w:id="34"/>
      <w:bookmarkEnd w:id="35"/>
      <w:r>
        <w:rPr>
          <w:rFonts w:ascii="Times New Roman;Times;serif" w:hAnsi="Times New Roman;Times;serif"/>
          <w:b/>
          <w:sz w:val="22"/>
        </w:rPr>
        <w:t>ITEM 3.          LEGAL PROCEEDINGS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Company evaluates, on a quarterly basis, developments in legal proceedings and other matters that could cause an increase or decrease in the amount of the liability that is accrued, if any, and any related insurance reimbursements. As of December 31, 2021, no loss contingencies were included in the Company’s consolidated balance sheet.</w:t>
      </w:r>
    </w:p>
    <w:p>
      <w:pPr>
        <w:pStyle w:val="TextBody"/>
        <w:spacing w:before="0" w:after="240"/>
        <w:ind w:left="0" w:right="0" w:firstLine="720"/>
        <w:jc w:val="both"/>
        <w:rPr/>
      </w:pPr>
      <w:r>
        <w:rPr/>
        <w:t>​</w:t>
      </w:r>
    </w:p>
    <w:p>
      <w:pPr>
        <w:pStyle w:val="TextBody"/>
        <w:spacing w:before="0" w:after="240"/>
        <w:ind w:left="0" w:right="0" w:hanging="0"/>
        <w:rPr>
          <w:rFonts w:ascii="Times New Roman;Times;serif" w:hAnsi="Times New Roman;Times;serif"/>
          <w:b/>
          <w:sz w:val="22"/>
        </w:rPr>
      </w:pPr>
      <w:bookmarkStart w:id="36" w:name="ITEM4MINESAFETYDISCLOSURES_9150"/>
      <w:bookmarkStart w:id="37" w:name="_176819c1_bd0b_4182_8518_df971a32e5a8"/>
      <w:bookmarkEnd w:id="36"/>
      <w:bookmarkEnd w:id="37"/>
      <w:r>
        <w:rPr>
          <w:rFonts w:ascii="Times New Roman;Times;serif" w:hAnsi="Times New Roman;Times;serif"/>
          <w:b/>
          <w:sz w:val="22"/>
        </w:rPr>
        <w:t>ITEM 4.          MINE SAFETY DISCLOSURES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2"/>
        </w:rPr>
      </w:pPr>
      <w:bookmarkStart w:id="38" w:name="PARTII_361980"/>
      <w:bookmarkStart w:id="39" w:name="_ba6cb088_30b3_458c_8819_bf783533c67e"/>
      <w:bookmarkEnd w:id="38"/>
      <w:bookmarkEnd w:id="39"/>
      <w:r>
        <w:rPr>
          <w:rFonts w:ascii="Times New Roman;Times;serif" w:hAnsi="Times New Roman;Times;serif"/>
          <w:b/>
          <w:sz w:val="22"/>
        </w:rPr>
        <w:t>PART II</w:t>
      </w:r>
    </w:p>
    <w:p>
      <w:pPr>
        <w:pStyle w:val="TextBody"/>
        <w:spacing w:before="0" w:after="240"/>
        <w:ind w:left="0" w:right="0" w:hanging="0"/>
        <w:jc w:val="both"/>
        <w:rPr>
          <w:rFonts w:ascii="Times New Roman;Times;serif" w:hAnsi="Times New Roman;Times;serif"/>
          <w:b/>
          <w:sz w:val="22"/>
        </w:rPr>
      </w:pPr>
      <w:bookmarkStart w:id="40" w:name="ITEM5MARKETFORTHEREGISTRANTSCOMMONEQUITY"/>
      <w:bookmarkEnd w:id="40"/>
      <w:r>
        <w:rPr>
          <w:rFonts w:ascii="Times New Roman;Times;serif" w:hAnsi="Times New Roman;Times;serif"/>
          <w:b/>
          <w:sz w:val="22"/>
        </w:rPr>
        <w:t>ITEM 5.          MARKET FOR THE REGISTRANT’S COMMON EQUITY, RELATED STOCKHOLDER MATTERS AND ISSUER PURCHASES OF EQUITY SECURITIES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Principal Market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Company’s common stock trades on the Nasdaq Global Select Market under the symbol, “MNST”. As of February 16, 2022, there were 529,358,860 shares of the Company’s common stock outstanding held by approximately 189 holders of record. The holders of record do not include those stockholders whose shares are held of record by banks, brokers and other financial institutions.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Stock Price and Dividend Information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not paid cash dividends to our stockholders since our inception and do not anticipate paying cash dividends in the foreseeable future.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On March 13, 2020, the Company’s Board of Directors authorized a new share repurchase program for the purchase of up to $500.0 million of the Company’s outstanding common stock (the “March 2020 Repurchase Plan”). During the year ended December 31, 2021, no shares were purchased under the March 2020 Repurchase Plan. As of February 28, 2022, $441.5 million remained available for repurchase under the March 2020 Repurchase Plan.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During the year ended December 31, 2021, 0.2 million shares of common stock were purchased from employees in lieu of cash payments for options exercised or withholding taxes due for a total amount of $13.8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2021.</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No shares were repurchased during the quarter ended December 31, 2021.</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Performance Graph</w:t>
      </w:r>
    </w:p>
    <w:p>
      <w:pPr>
        <w:pStyle w:val="TextBody"/>
        <w:spacing w:lineRule="auto" w:line="240" w:before="0" w:after="0"/>
        <w:ind w:left="0" w:right="0" w:firstLine="720"/>
        <w:jc w:val="both"/>
        <w:rPr>
          <w:rFonts w:ascii="Times New Roman;Times;serif" w:hAnsi="Times New Roman;Times;serif"/>
          <w:sz w:val="22"/>
        </w:rPr>
      </w:pPr>
      <w:r>
        <w:rPr>
          <w:rFonts w:ascii="Times New Roman;Times;serif" w:hAnsi="Times New Roman;Times;serif"/>
          <w:sz w:val="22"/>
        </w:rPr>
        <w:t>The following graph shows a five-year comparison of cumulative total returns:</w:t>
      </w:r>
      <w:r>
        <w:rPr>
          <w:rFonts w:ascii="Times New Roman;Times;serif" w:hAnsi="Times New Roman;Times;serif"/>
          <w:sz w:val="17"/>
        </w:rPr>
        <w:t>1</w:t>
      </w:r>
    </w:p>
    <w:p>
      <w:pPr>
        <w:pStyle w:val="TextBody"/>
        <w:spacing w:before="0" w:after="240"/>
        <w:ind w:left="0" w:right="0" w:firstLine="720"/>
        <w:jc w:val="both"/>
        <w:rPr/>
      </w:pPr>
      <w:r>
        <w:rPr/>
        <w:t>​</w:t>
      </w:r>
    </w:p>
    <w:p>
      <w:pPr>
        <w:pStyle w:val="TextBody"/>
        <w:spacing w:before="0" w:after="0"/>
        <w:ind w:left="0" w:right="0" w:hanging="0"/>
        <w:jc w:val="center"/>
        <w:rPr/>
      </w:pPr>
      <w:r>
        <w:rPr/>
        <w:drawing>
          <wp:inline distT="0" distB="0" distL="0" distR="0">
            <wp:extent cx="6497955" cy="436372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6497955" cy="4363720"/>
                    </a:xfrm>
                    <a:prstGeom prst="rect">
                      <a:avLst/>
                    </a:prstGeom>
                  </pic:spPr>
                </pic:pic>
              </a:graphicData>
            </a:graphic>
          </wp:inline>
        </w:drawing>
      </w:r>
    </w:p>
    <w:p>
      <w:pPr>
        <w:pStyle w:val="TextBody"/>
        <w:spacing w:before="0" w:after="240"/>
        <w:ind w:left="0" w:right="0" w:hanging="0"/>
        <w:jc w:val="both"/>
        <w:rPr/>
      </w:pPr>
      <w:r>
        <w:rPr/>
        <w:t>​</w:t>
      </w:r>
    </w:p>
    <w:p>
      <w:pPr>
        <w:pStyle w:val="TextBody"/>
        <w:spacing w:lineRule="auto" w:line="240" w:before="0" w:after="0"/>
        <w:ind w:left="0" w:right="0" w:hanging="0"/>
        <w:jc w:val="both"/>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Annual return assumes reinvestment of dividends. Cumulative total return assumes an initial investment of $100 on December 31, 2016. The Company’s self-selected peer group is comprised of TCCC, Dr. Pepper Snapple Group, Inc. (through July 9, 2018), Keurig Dr. Pepper Inc. (after July 10, 2018), National Beverage Corporation, Jones Soda Company and PepsiCo, Inc.</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2"/>
        </w:rPr>
      </w:pPr>
      <w:bookmarkStart w:id="41" w:name="ITEM6SELECTEDFINANCIALDATA_497581"/>
      <w:bookmarkStart w:id="42" w:name="_05222e57_0862_4f1b_b900_22fd3dc6e208"/>
      <w:bookmarkEnd w:id="41"/>
      <w:bookmarkEnd w:id="42"/>
      <w:r>
        <w:rPr>
          <w:rFonts w:ascii="Times New Roman;Times;serif" w:hAnsi="Times New Roman;Times;serif"/>
          <w:b/>
          <w:sz w:val="22"/>
        </w:rPr>
        <w:t>ITEM 6.           [RESERVED]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jc w:val="both"/>
        <w:rPr>
          <w:rFonts w:ascii="Times New Roman;Times;serif" w:hAnsi="Times New Roman;Times;serif"/>
          <w:b/>
          <w:sz w:val="22"/>
        </w:rPr>
      </w:pPr>
      <w:bookmarkStart w:id="43" w:name="ITEM7MANAGEMENTSDISCUSSIONANDANALYSISOFF"/>
      <w:bookmarkStart w:id="44" w:name="_a3cdcc51_2b98_422f_82bd_85154ffdf0fc"/>
      <w:bookmarkEnd w:id="43"/>
      <w:bookmarkEnd w:id="44"/>
      <w:r>
        <w:rPr>
          <w:rFonts w:ascii="Times New Roman;Times;serif" w:hAnsi="Times New Roman;Times;serif"/>
          <w:b/>
          <w:sz w:val="22"/>
        </w:rPr>
        <w:t>ITEM 7.          MANAGEMENT’S DISCUSSION AND ANALYSIS OF FINANCIAL CONDITION AND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This overview provides our perspective on the individual sections of MD&amp;A. MD&amp;A includes the following sections: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The COVID-19 Pandemic</w:t>
            </w:r>
            <w:r>
              <w:rPr>
                <w:caps w:val="false"/>
                <w:smallCaps w:val="false"/>
              </w:rPr>
              <w:t xml:space="preserve"> – </w:t>
            </w:r>
            <w:r>
              <w:rPr>
                <w:rFonts w:ascii="Times New Roman;Times;serif" w:hAnsi="Times New Roman;Times;serif"/>
                <w:b w:val="false"/>
                <w:i w:val="false"/>
                <w:caps w:val="false"/>
                <w:smallCaps w:val="false"/>
                <w:sz w:val="22"/>
              </w:rPr>
              <w:t>a discussion of the impact of the COVID-19 pandemic on our business employees and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Our Business</w:t>
            </w:r>
            <w:r>
              <w:rPr>
                <w:caps w:val="false"/>
                <w:smallCaps w:val="false"/>
              </w:rPr>
              <w:t xml:space="preserve"> – </w:t>
            </w:r>
            <w:r>
              <w:rPr>
                <w:rFonts w:ascii="Times New Roman;Times;serif" w:hAnsi="Times New Roman;Times;serif"/>
                <w:b w:val="false"/>
                <w:i w:val="false"/>
                <w:caps w:val="false"/>
                <w:smallCaps w:val="false"/>
                <w:sz w:val="22"/>
              </w:rPr>
              <w:t>a general description of our business, the value drivers of our business, and opportunities and risks facing our Company, stock repurchases, acquisitions and divestitures;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 xml:space="preserve">Results of Operations </w:t>
            </w:r>
            <w:r>
              <w:rPr>
                <w:caps w:val="false"/>
                <w:smallCaps w:val="false"/>
              </w:rPr>
              <w:t>–</w:t>
            </w:r>
            <w:r>
              <w:rPr/>
              <w:t xml:space="preserve"> </w:t>
            </w:r>
            <w:r>
              <w:rPr>
                <w:rFonts w:ascii="Times New Roman;Times;serif" w:hAnsi="Times New Roman;Times;serif"/>
                <w:b w:val="false"/>
                <w:i w:val="false"/>
                <w:caps w:val="false"/>
                <w:smallCaps w:val="false"/>
                <w:sz w:val="22"/>
              </w:rPr>
              <w:t>an analysis of our consolidated results of operations for the years ended December 31, 2021 and 2020;</w:t>
            </w:r>
          </w:p>
        </w:tc>
      </w:tr>
    </w:tbl>
    <w:tbl>
      <w:tblPr>
        <w:tblW w:w="8286" w:type="dxa"/>
        <w:jc w:val="left"/>
        <w:tblInd w:w="0" w:type="dxa"/>
        <w:tblCellMar>
          <w:top w:w="28" w:type="dxa"/>
          <w:left w:w="28" w:type="dxa"/>
          <w:bottom w:w="28" w:type="dxa"/>
          <w:right w:w="28" w:type="dxa"/>
        </w:tblCellMar>
      </w:tblPr>
      <w:tblGrid>
        <w:gridCol w:w="124"/>
        <w:gridCol w:w="256"/>
        <w:gridCol w:w="7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0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Sales</w:t>
            </w:r>
            <w:r>
              <w:rPr>
                <w:caps w:val="false"/>
                <w:smallCaps w:val="false"/>
              </w:rPr>
              <w:t xml:space="preserve"> – </w:t>
            </w:r>
            <w:r>
              <w:rPr>
                <w:rFonts w:ascii="Times New Roman;Times;serif" w:hAnsi="Times New Roman;Times;serif"/>
                <w:b w:val="false"/>
                <w:i w:val="false"/>
                <w:caps w:val="false"/>
                <w:smallCaps w:val="false"/>
                <w:sz w:val="22"/>
              </w:rPr>
              <w:t>details of our sales measured on a quarterly basis in both dollars and cases;</w:t>
            </w:r>
          </w:p>
        </w:tc>
      </w:tr>
    </w:tbl>
    <w:tbl>
      <w:tblPr>
        <w:tblW w:w="8976" w:type="dxa"/>
        <w:jc w:val="left"/>
        <w:tblInd w:w="0" w:type="dxa"/>
        <w:tblCellMar>
          <w:top w:w="28" w:type="dxa"/>
          <w:left w:w="28" w:type="dxa"/>
          <w:bottom w:w="28" w:type="dxa"/>
          <w:right w:w="28" w:type="dxa"/>
        </w:tblCellMar>
      </w:tblPr>
      <w:tblGrid>
        <w:gridCol w:w="124"/>
        <w:gridCol w:w="256"/>
        <w:gridCol w:w="8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9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Inflation</w:t>
            </w:r>
            <w:r>
              <w:rPr>
                <w:caps w:val="false"/>
                <w:smallCaps w:val="false"/>
              </w:rPr>
              <w:t xml:space="preserve"> – </w:t>
            </w:r>
            <w:r>
              <w:rPr>
                <w:rFonts w:ascii="Times New Roman;Times;serif" w:hAnsi="Times New Roman;Times;serif"/>
                <w:b w:val="false"/>
                <w:i w:val="false"/>
                <w:caps w:val="false"/>
                <w:smallCaps w:val="false"/>
                <w:sz w:val="22"/>
              </w:rPr>
              <w:t>information about the impact that inflation may or may not have on our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Liquidity and Capital Resources</w:t>
            </w:r>
            <w:r>
              <w:rPr>
                <w:caps w:val="false"/>
                <w:smallCaps w:val="false"/>
              </w:rPr>
              <w:t xml:space="preserve"> – </w:t>
            </w:r>
            <w:r>
              <w:rPr>
                <w:rFonts w:ascii="Times New Roman;Times;serif" w:hAnsi="Times New Roman;Times;serif"/>
                <w:b w:val="false"/>
                <w:i w:val="false"/>
                <w:caps w:val="false"/>
                <w:smallCaps w:val="false"/>
                <w:sz w:val="22"/>
              </w:rPr>
              <w:t>an analysis of our cash flows, sources and uses of cash and contractual obligations;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Accounting Policies and Pronouncements</w:t>
            </w:r>
            <w:r>
              <w:rPr>
                <w:caps w:val="false"/>
                <w:smallCaps w:val="false"/>
              </w:rPr>
              <w:t xml:space="preserve"> – </w:t>
            </w:r>
            <w:r>
              <w:rPr>
                <w:rFonts w:ascii="Times New Roman;Times;serif" w:hAnsi="Times New Roman;Times;serif"/>
                <w:b w:val="false"/>
                <w:i w:val="false"/>
                <w:caps w:val="false"/>
                <w:smallCaps w:val="false"/>
                <w:sz w:val="22"/>
              </w:rPr>
              <w:t>a discussion of accounting policies that require critical judgments and estimates including newly issued accounting pronouncements;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Forward-Looking Statements</w:t>
            </w:r>
            <w:r>
              <w:rPr>
                <w:caps w:val="false"/>
                <w:smallCaps w:val="false"/>
              </w:rPr>
              <w:t xml:space="preserve"> – </w:t>
            </w:r>
            <w:r>
              <w:rPr>
                <w:rFonts w:ascii="Times New Roman;Times;serif" w:hAnsi="Times New Roman;Times;serif"/>
                <w:b w:val="false"/>
                <w:i w:val="false"/>
                <w:caps w:val="false"/>
                <w:smallCaps w:val="false"/>
                <w:sz w:val="22"/>
              </w:rPr>
              <w:t>cautionary information about forward-looking statements and a description of certain risks and uncertainties that could cause our actual results to differ materially from the Company’s historical results or our current expectations or projections;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Market Risks</w:t>
            </w:r>
            <w:r>
              <w:rPr>
                <w:caps w:val="false"/>
                <w:smallCaps w:val="false"/>
              </w:rPr>
              <w:t xml:space="preserve"> – </w:t>
            </w:r>
            <w:r>
              <w:rPr>
                <w:rFonts w:ascii="Times New Roman;Times;serif" w:hAnsi="Times New Roman;Times;serif"/>
                <w:b w:val="false"/>
                <w:i w:val="false"/>
                <w:caps w:val="false"/>
                <w:smallCaps w:val="false"/>
                <w:sz w:val="22"/>
              </w:rPr>
              <w:t>information about market risks and risk management. (See “Forward-Looking Statements” and “Part II, Item 7A – Qualitative and Quantitative Disclosures about Market Risks”).</w:t>
            </w:r>
          </w:p>
        </w:tc>
      </w:tr>
    </w:tbl>
    <w:p>
      <w:pPr>
        <w:pStyle w:val="TextBody"/>
        <w:spacing w:before="0" w:after="240"/>
        <w:ind w:left="0" w:right="0" w:hanging="0"/>
        <w:rPr>
          <w:rFonts w:ascii="Times New Roman;Times;serif" w:hAnsi="Times New Roman;Times;serif"/>
          <w:b/>
          <w:sz w:val="22"/>
        </w:rPr>
      </w:pPr>
      <w:bookmarkStart w:id="45" w:name="_Hlk38993714"/>
      <w:bookmarkEnd w:id="45"/>
      <w:r>
        <w:rPr>
          <w:rFonts w:ascii="Times New Roman;Times;serif" w:hAnsi="Times New Roman;Times;serif"/>
          <w:b/>
          <w:sz w:val="22"/>
        </w:rPr>
        <w:t>The COVID – 19 Pandemic</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COVID-19 pandemic has directly and indirectly impacted our business. The duration and severity of this impact will depend on future developments that are highly uncertain and cannot be accurately predicted, including new information regarding the COVID-19 pandemic, as well as the emergence of new variants, the actions taken to limit its spread and the economic impact on local, regional, national and international markets. See “Part I, Item 1A – Risk Factors.”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We continue to address the COVID-19 pandemic with a global task force team working to mitigate the potential impacts on our people and business.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are incredibly proud of the teamwork exhibited by our employees, co-packers and bottlers/distributors around the world who are endeavoring to maintain the integrity of our supply chain. Despite the ongoing impact of the COVID-19 pandemic, we achieved record annual net sales in 2021.</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countries continue to combat the COVID-19 pandemic, and as governments and/or local authorities impose regulations regarding COVID-19 testing, vaccine mandates and related workplace restrictions, there remains a risk that the COVID-19 pandemic may continue to impact our business and supply chain, including our ability to recruit and/or retain our employees as well as impact our co-packers, bottlers/distributors and/or suppliers.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 </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Our Distribution and Supply Chain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2021, we experienced a number of global supply chain challenges as a result of unanticipated increases in demand, in part due to the COVID-19 pandemic, which adversely impacted both cost of sales and operating costs, and in certain markets, affected the availability of our products on shelves at retailers. In particular, we have experienced shortages in our aluminum can requirements, freight inefficiencies, shortages of shipping containers, port of entry congestion, and delays in the receipt and/or availability of certain ingredients. In the United States, we lacked sufficient co-packing capacity to meet increased demand for certain of our products. We have also experienced increased aluminum can costs attributable to higher aluminum commodity pricing as well as the costs of importing aluminum cans. In addition, we experienced increased ingredient and other input costs, including shipping and freight, labor, trucking, fuel, co-packing fees, secondary packaging materials, increased outbound freight costs and production inefficiencies, which resulted in increased costs of sales and increased operating costs.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addressed and will continue to address the controllable challenges in our supply chain, which remains largely intact. Additional can manufacturing capacity in the United States has been secured for 2022, although the Company will continue to import aluminum cans to supplement its domestic can supply. Can capacity in EMEA remains challenging and the Company expects to continue to import aluminum cans into EMEA for at least 2022. While co-packing capacity in the United States and EMEA also continues to be challenging, we have expanded our network in the United States and EMEA to substantially address supply constraints. Our flavor facility in Athy, Ireland is operational, producing certain flavors and blends for the EMEA region, is steadily increasing production, and is investigating the feasibility of a juice plant to produce EMEA’s juice product requirements. We continue to implement measures to mitigate our increased operating costs through pricing actions and reductions in promotions.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 xml:space="preserve">Liquidity and Capital Resources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of the date of this filing, we expect to maintain substantial liquidity as we manage through the current environment as described in the “Liquidity and Capital Resources” section below.</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Our Business</w:t>
      </w:r>
    </w:p>
    <w:p>
      <w:pPr>
        <w:pStyle w:val="TextBody"/>
        <w:spacing w:before="0" w:after="240"/>
        <w:ind w:left="720" w:right="0" w:hanging="0"/>
        <w:jc w:val="both"/>
        <w:rPr>
          <w:rFonts w:ascii="Times New Roman;Times;serif" w:hAnsi="Times New Roman;Times;serif"/>
          <w:b/>
          <w:i/>
          <w:sz w:val="22"/>
        </w:rPr>
      </w:pPr>
      <w:r>
        <w:rPr>
          <w:rFonts w:ascii="Times New Roman;Times;serif" w:hAnsi="Times New Roman;Times;serif"/>
          <w:b/>
          <w:i/>
          <w:sz w:val="22"/>
        </w:rPr>
        <w:t>Overview</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develop, market, sell and distribute energy drink beverages and concentrates for energy drink beverages, primarily under the following brand names:</w:t>
      </w:r>
    </w:p>
    <w:tbl>
      <w:tblPr>
        <w:tblW w:w="7918" w:type="dxa"/>
        <w:jc w:val="left"/>
        <w:tblInd w:w="0" w:type="dxa"/>
        <w:tblCellMar>
          <w:top w:w="0" w:type="dxa"/>
          <w:left w:w="0" w:type="dxa"/>
          <w:bottom w:w="0" w:type="dxa"/>
          <w:right w:w="0" w:type="dxa"/>
        </w:tblCellMar>
      </w:tblPr>
      <w:tblGrid>
        <w:gridCol w:w="3811"/>
        <w:gridCol w:w="326"/>
        <w:gridCol w:w="3781"/>
      </w:tblGrid>
      <w:tr>
        <w:trPr/>
        <w:tc>
          <w:tcPr>
            <w:tcW w:w="3811" w:type="dxa"/>
            <w:tcBorders/>
            <w:shd w:fill="auto" w:val="clear"/>
            <w:vAlign w:val="center"/>
          </w:tcPr>
          <w:p>
            <w:pPr>
              <w:pStyle w:val="TableContents"/>
              <w:spacing w:before="0" w:after="0"/>
              <w:ind w:left="187" w:right="0" w:hanging="0"/>
              <w:jc w:val="both"/>
              <w:rPr/>
            </w:pPr>
            <w:r>
              <w:rPr/>
              <w:t>●     </w:t>
            </w:r>
            <w:r>
              <w:rPr>
                <w:rFonts w:ascii="Times New Roman;Times;serif" w:hAnsi="Times New Roman;Times;serif"/>
                <w:sz w:val="22"/>
              </w:rPr>
              <w:t>Monster Energy®</w:t>
            </w:r>
          </w:p>
          <w:p>
            <w:pPr>
              <w:pStyle w:val="TableContents"/>
              <w:spacing w:before="0" w:after="0"/>
              <w:ind w:left="187" w:right="0" w:hanging="0"/>
              <w:jc w:val="both"/>
              <w:rPr/>
            </w:pPr>
            <w:r>
              <w:rPr/>
              <w:t>●     </w:t>
            </w:r>
            <w:r>
              <w:rPr>
                <w:rFonts w:ascii="Times New Roman;Times;serif" w:hAnsi="Times New Roman;Times;serif"/>
                <w:sz w:val="22"/>
              </w:rPr>
              <w:t>Monster Energy Ultra®</w:t>
            </w:r>
          </w:p>
          <w:p>
            <w:pPr>
              <w:pStyle w:val="TableContents"/>
              <w:spacing w:before="0" w:after="0"/>
              <w:ind w:left="187" w:right="0" w:hanging="0"/>
              <w:jc w:val="both"/>
              <w:rPr/>
            </w:pPr>
            <w:r>
              <w:rPr/>
              <w:t>●     </w:t>
            </w:r>
            <w:r>
              <w:rPr>
                <w:rFonts w:ascii="Times New Roman;Times;serif" w:hAnsi="Times New Roman;Times;serif"/>
                <w:sz w:val="22"/>
              </w:rPr>
              <w:t>Monster Rehab®</w:t>
            </w:r>
          </w:p>
          <w:p>
            <w:pPr>
              <w:pStyle w:val="TableContents"/>
              <w:spacing w:before="0" w:after="0"/>
              <w:ind w:left="187" w:right="0" w:hanging="0"/>
              <w:jc w:val="both"/>
              <w:rPr/>
            </w:pPr>
            <w:r>
              <w:rPr/>
              <w:t>●     </w:t>
            </w:r>
            <w:r>
              <w:rPr>
                <w:rFonts w:ascii="Times New Roman;Times;serif" w:hAnsi="Times New Roman;Times;serif"/>
                <w:sz w:val="22"/>
              </w:rPr>
              <w:t>Monster Energy® Nitro</w:t>
            </w:r>
          </w:p>
          <w:p>
            <w:pPr>
              <w:pStyle w:val="TableContents"/>
              <w:spacing w:before="0" w:after="0"/>
              <w:ind w:left="187" w:right="0" w:hanging="0"/>
              <w:jc w:val="both"/>
              <w:rPr/>
            </w:pPr>
            <w:r>
              <w:rPr/>
              <w:t>●     </w:t>
            </w:r>
            <w:r>
              <w:rPr>
                <w:rFonts w:ascii="Times New Roman;Times;serif" w:hAnsi="Times New Roman;Times;serif"/>
                <w:sz w:val="22"/>
              </w:rPr>
              <w:t>Java Monster®</w:t>
            </w:r>
          </w:p>
          <w:p>
            <w:pPr>
              <w:pStyle w:val="TableContents"/>
              <w:spacing w:before="0" w:after="0"/>
              <w:ind w:left="187" w:right="0" w:hanging="0"/>
              <w:jc w:val="both"/>
              <w:rPr/>
            </w:pPr>
            <w:r>
              <w:rPr/>
              <w:t>●     </w:t>
            </w:r>
            <w:r>
              <w:rPr>
                <w:rFonts w:ascii="Times New Roman;Times;serif" w:hAnsi="Times New Roman;Times;serif"/>
                <w:sz w:val="22"/>
              </w:rPr>
              <w:t>Muscle Monster®</w:t>
            </w:r>
          </w:p>
          <w:p>
            <w:pPr>
              <w:pStyle w:val="TableContents"/>
              <w:spacing w:before="0" w:after="0"/>
              <w:ind w:left="187" w:right="0" w:hanging="0"/>
              <w:jc w:val="both"/>
              <w:rPr/>
            </w:pPr>
            <w:r>
              <w:rPr/>
              <w:t>●     </w:t>
            </w:r>
            <w:r>
              <w:rPr>
                <w:rFonts w:ascii="Times New Roman;Times;serif" w:hAnsi="Times New Roman;Times;serif"/>
                <w:sz w:val="22"/>
              </w:rPr>
              <w:t>Espresso Monster®</w:t>
            </w:r>
          </w:p>
          <w:p>
            <w:pPr>
              <w:pStyle w:val="TableContents"/>
              <w:spacing w:before="0" w:after="0"/>
              <w:ind w:left="187" w:right="0" w:hanging="0"/>
              <w:jc w:val="both"/>
              <w:rPr/>
            </w:pPr>
            <w:r>
              <w:rPr/>
              <w:t>●     </w:t>
            </w:r>
            <w:r>
              <w:rPr>
                <w:rFonts w:ascii="Times New Roman;Times;serif" w:hAnsi="Times New Roman;Times;serif"/>
                <w:sz w:val="22"/>
              </w:rPr>
              <w:t>Punch Monster®</w:t>
            </w:r>
          </w:p>
          <w:p>
            <w:pPr>
              <w:pStyle w:val="TableContents"/>
              <w:spacing w:before="0" w:after="0"/>
              <w:ind w:left="187" w:right="0" w:hanging="0"/>
              <w:jc w:val="both"/>
              <w:rPr/>
            </w:pPr>
            <w:r>
              <w:rPr/>
              <w:t>●     </w:t>
            </w:r>
            <w:r>
              <w:rPr>
                <w:rFonts w:ascii="Times New Roman;Times;serif" w:hAnsi="Times New Roman;Times;serif"/>
                <w:sz w:val="22"/>
              </w:rPr>
              <w:t>Juice Monster®</w:t>
            </w:r>
          </w:p>
          <w:p>
            <w:pPr>
              <w:pStyle w:val="TableContents"/>
              <w:spacing w:before="0" w:after="0"/>
              <w:ind w:left="187" w:right="0" w:hanging="0"/>
              <w:jc w:val="both"/>
              <w:rPr/>
            </w:pPr>
            <w:r>
              <w:rPr/>
              <w:t>●     </w:t>
            </w:r>
            <w:r>
              <w:rPr>
                <w:rFonts w:ascii="Times New Roman;Times;serif" w:hAnsi="Times New Roman;Times;serif"/>
                <w:sz w:val="22"/>
              </w:rPr>
              <w:t>Monster Hydro® Energy Water</w:t>
            </w:r>
          </w:p>
          <w:p>
            <w:pPr>
              <w:pStyle w:val="TableContents"/>
              <w:spacing w:before="0" w:after="0"/>
              <w:ind w:left="187" w:right="0" w:hanging="0"/>
              <w:jc w:val="both"/>
              <w:rPr/>
            </w:pPr>
            <w:r>
              <w:rPr/>
              <w:t>●     </w:t>
            </w:r>
            <w:r>
              <w:rPr>
                <w:rFonts w:ascii="Times New Roman;Times;serif" w:hAnsi="Times New Roman;Times;serif"/>
                <w:sz w:val="22"/>
              </w:rPr>
              <w:t>Monster Hydro® Super Sport</w:t>
            </w:r>
          </w:p>
          <w:p>
            <w:pPr>
              <w:pStyle w:val="TableContents"/>
              <w:spacing w:before="0" w:after="0"/>
              <w:ind w:left="187" w:right="0" w:hanging="0"/>
              <w:jc w:val="both"/>
              <w:rPr/>
            </w:pPr>
            <w:r>
              <w:rPr/>
              <w:t>●     </w:t>
            </w:r>
            <w:r>
              <w:rPr>
                <w:rFonts w:ascii="Times New Roman;Times;serif" w:hAnsi="Times New Roman;Times;serif"/>
                <w:sz w:val="22"/>
              </w:rPr>
              <w:t>Monster HydroSport Super Fuel®</w:t>
            </w:r>
          </w:p>
          <w:p>
            <w:pPr>
              <w:pStyle w:val="TableContents"/>
              <w:spacing w:before="0" w:after="0"/>
              <w:ind w:left="187" w:right="0" w:hanging="0"/>
              <w:jc w:val="both"/>
              <w:rPr/>
            </w:pPr>
            <w:r>
              <w:rPr/>
              <w:t>●     </w:t>
            </w:r>
            <w:r>
              <w:rPr>
                <w:rFonts w:ascii="Times New Roman;Times;serif" w:hAnsi="Times New Roman;Times;serif"/>
                <w:sz w:val="22"/>
              </w:rPr>
              <w:t>Monster Super Fuel®</w:t>
            </w:r>
          </w:p>
          <w:p>
            <w:pPr>
              <w:pStyle w:val="TableContents"/>
              <w:spacing w:before="0" w:after="0"/>
              <w:ind w:left="187" w:right="0" w:hanging="0"/>
              <w:jc w:val="both"/>
              <w:rPr/>
            </w:pPr>
            <w:r>
              <w:rPr/>
              <w:t>●     </w:t>
            </w:r>
            <w:r>
              <w:rPr>
                <w:rFonts w:ascii="Times New Roman;Times;serif" w:hAnsi="Times New Roman;Times;serif"/>
                <w:sz w:val="22"/>
              </w:rPr>
              <w:t>Monster Dragon Tea®</w:t>
            </w:r>
          </w:p>
          <w:p>
            <w:pPr>
              <w:pStyle w:val="TableContents"/>
              <w:spacing w:before="0" w:after="0"/>
              <w:ind w:left="187" w:right="0" w:hanging="0"/>
              <w:jc w:val="both"/>
              <w:rPr/>
            </w:pPr>
            <w:r>
              <w:rPr/>
              <w:t>●     </w:t>
            </w:r>
            <w:r>
              <w:rPr>
                <w:rFonts w:ascii="Times New Roman;Times;serif" w:hAnsi="Times New Roman;Times;serif"/>
                <w:sz w:val="22"/>
              </w:rPr>
              <w:t>Reign Total Body Fuel®</w:t>
            </w:r>
          </w:p>
          <w:p>
            <w:pPr>
              <w:pStyle w:val="TableContents"/>
              <w:spacing w:before="0" w:after="0"/>
              <w:ind w:left="0" w:right="0" w:hanging="0"/>
              <w:jc w:val="both"/>
              <w:rPr/>
            </w:pPr>
            <w:r>
              <w:rPr/>
              <w:t>●     </w:t>
            </w:r>
            <w:r>
              <w:rPr>
                <w:rFonts w:ascii="Times New Roman;Times;serif" w:hAnsi="Times New Roman;Times;serif"/>
                <w:sz w:val="22"/>
              </w:rPr>
              <w:t>Reign Inferno® Thermogenic Fuel</w:t>
            </w:r>
          </w:p>
        </w:tc>
        <w:tc>
          <w:tcPr>
            <w:tcW w:w="326" w:type="dxa"/>
            <w:tcBorders/>
            <w:shd w:fill="auto" w:val="clear"/>
            <w:vAlign w:val="center"/>
          </w:tcPr>
          <w:p>
            <w:pPr>
              <w:pStyle w:val="TableContents"/>
              <w:pBdr/>
              <w:spacing w:before="0" w:after="0"/>
              <w:ind w:left="0" w:right="0" w:hanging="0"/>
              <w:jc w:val="both"/>
              <w:rPr/>
            </w:pPr>
            <w:r>
              <w:rPr/>
              <w:t>    </w:t>
            </w:r>
          </w:p>
        </w:tc>
        <w:tc>
          <w:tcPr>
            <w:tcW w:w="3781" w:type="dxa"/>
            <w:tcBorders/>
            <w:shd w:fill="auto" w:val="clear"/>
            <w:vAlign w:val="center"/>
          </w:tcPr>
          <w:p>
            <w:pPr>
              <w:pStyle w:val="TableContents"/>
              <w:spacing w:before="0" w:after="0"/>
              <w:ind w:left="0" w:right="0" w:hanging="0"/>
              <w:jc w:val="both"/>
              <w:rPr/>
            </w:pPr>
            <w:r>
              <w:rPr/>
              <w:t>●     </w:t>
            </w:r>
            <w:r>
              <w:rPr>
                <w:rFonts w:ascii="Times New Roman;Times;serif" w:hAnsi="Times New Roman;Times;serif"/>
                <w:sz w:val="22"/>
              </w:rPr>
              <w:t>NOS®</w:t>
            </w:r>
          </w:p>
          <w:p>
            <w:pPr>
              <w:pStyle w:val="TableContents"/>
              <w:spacing w:before="0" w:after="0"/>
              <w:ind w:left="0" w:right="0" w:hanging="0"/>
              <w:jc w:val="both"/>
              <w:rPr/>
            </w:pPr>
            <w:r>
              <w:rPr/>
              <w:t>●     </w:t>
            </w:r>
            <w:r>
              <w:rPr>
                <w:rFonts w:ascii="Times New Roman;Times;serif" w:hAnsi="Times New Roman;Times;serif"/>
                <w:sz w:val="22"/>
              </w:rPr>
              <w:t>Full Throttle®</w:t>
            </w:r>
          </w:p>
          <w:p>
            <w:pPr>
              <w:pStyle w:val="TableContents"/>
              <w:spacing w:before="0" w:after="0"/>
              <w:ind w:left="0" w:right="0" w:hanging="0"/>
              <w:jc w:val="both"/>
              <w:rPr/>
            </w:pPr>
            <w:r>
              <w:rPr/>
              <w:t>●     </w:t>
            </w:r>
            <w:r>
              <w:rPr>
                <w:rFonts w:ascii="Times New Roman;Times;serif" w:hAnsi="Times New Roman;Times;serif"/>
                <w:sz w:val="22"/>
              </w:rPr>
              <w:t>Burn®</w:t>
            </w:r>
          </w:p>
          <w:p>
            <w:pPr>
              <w:pStyle w:val="TableContents"/>
              <w:spacing w:before="0" w:after="0"/>
              <w:ind w:left="0" w:right="0" w:hanging="0"/>
              <w:jc w:val="both"/>
              <w:rPr/>
            </w:pPr>
            <w:r>
              <w:rPr/>
              <w:t>●     </w:t>
            </w:r>
            <w:r>
              <w:rPr>
                <w:rFonts w:ascii="Times New Roman;Times;serif" w:hAnsi="Times New Roman;Times;serif"/>
                <w:sz w:val="22"/>
              </w:rPr>
              <w:t>Mother®</w:t>
            </w:r>
          </w:p>
          <w:p>
            <w:pPr>
              <w:pStyle w:val="TableContents"/>
              <w:spacing w:before="0" w:after="0"/>
              <w:ind w:left="0" w:right="0" w:hanging="0"/>
              <w:jc w:val="both"/>
              <w:rPr/>
            </w:pPr>
            <w:r>
              <w:rPr/>
              <w:t>●     </w:t>
            </w:r>
            <w:r>
              <w:rPr>
                <w:rFonts w:ascii="Times New Roman;Times;serif" w:hAnsi="Times New Roman;Times;serif"/>
                <w:sz w:val="22"/>
              </w:rPr>
              <w:t>Nalu®</w:t>
            </w:r>
          </w:p>
          <w:p>
            <w:pPr>
              <w:pStyle w:val="TableContents"/>
              <w:spacing w:before="0" w:after="0"/>
              <w:ind w:left="0" w:right="0" w:hanging="0"/>
              <w:jc w:val="both"/>
              <w:rPr/>
            </w:pPr>
            <w:r>
              <w:rPr/>
              <w:t>●     </w:t>
            </w:r>
            <w:r>
              <w:rPr>
                <w:rFonts w:ascii="Times New Roman;Times;serif" w:hAnsi="Times New Roman;Times;serif"/>
                <w:sz w:val="22"/>
              </w:rPr>
              <w:t>Ultra Energy®</w:t>
            </w:r>
          </w:p>
          <w:p>
            <w:pPr>
              <w:pStyle w:val="TableContents"/>
              <w:spacing w:before="0" w:after="0"/>
              <w:ind w:left="0" w:right="0" w:hanging="0"/>
              <w:jc w:val="both"/>
              <w:rPr/>
            </w:pPr>
            <w:r>
              <w:rPr/>
              <w:t>●     </w:t>
            </w:r>
            <w:r>
              <w:rPr>
                <w:rFonts w:ascii="Times New Roman;Times;serif" w:hAnsi="Times New Roman;Times;serif"/>
                <w:sz w:val="22"/>
              </w:rPr>
              <w:t>Play® and Power Play® (stylized)</w:t>
            </w:r>
          </w:p>
          <w:p>
            <w:pPr>
              <w:pStyle w:val="TableContents"/>
              <w:spacing w:before="0" w:after="0"/>
              <w:ind w:left="0" w:right="0" w:hanging="0"/>
              <w:jc w:val="both"/>
              <w:rPr/>
            </w:pPr>
            <w:r>
              <w:rPr/>
              <w:t>●     </w:t>
            </w:r>
            <w:r>
              <w:rPr>
                <w:rFonts w:ascii="Times New Roman;Times;serif" w:hAnsi="Times New Roman;Times;serif"/>
                <w:sz w:val="22"/>
              </w:rPr>
              <w:t>Relentless®</w:t>
            </w:r>
          </w:p>
          <w:p>
            <w:pPr>
              <w:pStyle w:val="TableContents"/>
              <w:spacing w:before="0" w:after="0"/>
              <w:ind w:left="0" w:right="0" w:hanging="0"/>
              <w:jc w:val="both"/>
              <w:rPr/>
            </w:pPr>
            <w:r>
              <w:rPr/>
              <w:t>●     </w:t>
            </w:r>
            <w:r>
              <w:rPr>
                <w:rFonts w:ascii="Times New Roman;Times;serif" w:hAnsi="Times New Roman;Times;serif"/>
                <w:sz w:val="22"/>
              </w:rPr>
              <w:t>BPM®</w:t>
            </w:r>
          </w:p>
          <w:p>
            <w:pPr>
              <w:pStyle w:val="TableContents"/>
              <w:spacing w:before="0" w:after="0"/>
              <w:ind w:left="0" w:right="0" w:hanging="0"/>
              <w:jc w:val="both"/>
              <w:rPr/>
            </w:pPr>
            <w:r>
              <w:rPr/>
              <w:t>●     </w:t>
            </w:r>
            <w:r>
              <w:rPr>
                <w:rFonts w:ascii="Times New Roman;Times;serif" w:hAnsi="Times New Roman;Times;serif"/>
                <w:sz w:val="22"/>
              </w:rPr>
              <w:t>BU®</w:t>
            </w:r>
          </w:p>
          <w:p>
            <w:pPr>
              <w:pStyle w:val="TableContents"/>
              <w:spacing w:before="0" w:after="0"/>
              <w:ind w:left="0" w:right="0" w:hanging="0"/>
              <w:jc w:val="both"/>
              <w:rPr/>
            </w:pPr>
            <w:r>
              <w:rPr/>
              <w:t>●     </w:t>
            </w:r>
            <w:r>
              <w:rPr>
                <w:rFonts w:ascii="Times New Roman;Times;serif" w:hAnsi="Times New Roman;Times;serif"/>
                <w:sz w:val="22"/>
              </w:rPr>
              <w:t>Gladiator®</w:t>
            </w:r>
          </w:p>
          <w:p>
            <w:pPr>
              <w:pStyle w:val="TableContents"/>
              <w:spacing w:before="0" w:after="0"/>
              <w:ind w:left="0" w:right="0" w:hanging="0"/>
              <w:jc w:val="both"/>
              <w:rPr/>
            </w:pPr>
            <w:r>
              <w:rPr/>
              <w:t>●     </w:t>
            </w:r>
            <w:r>
              <w:rPr>
                <w:rFonts w:ascii="Times New Roman;Times;serif" w:hAnsi="Times New Roman;Times;serif"/>
                <w:sz w:val="22"/>
              </w:rPr>
              <w:t>Samurai®</w:t>
            </w:r>
          </w:p>
          <w:p>
            <w:pPr>
              <w:pStyle w:val="TableContents"/>
              <w:spacing w:before="0" w:after="0"/>
              <w:ind w:left="0" w:right="0" w:hanging="0"/>
              <w:jc w:val="both"/>
              <w:rPr/>
            </w:pPr>
            <w:r>
              <w:rPr/>
              <w:t>●     </w:t>
            </w:r>
            <w:r>
              <w:rPr>
                <w:rFonts w:ascii="Times New Roman;Times;serif" w:hAnsi="Times New Roman;Times;serif"/>
                <w:sz w:val="22"/>
              </w:rPr>
              <w:t>Live+®</w:t>
            </w:r>
          </w:p>
          <w:p>
            <w:pPr>
              <w:pStyle w:val="TableContents"/>
              <w:spacing w:before="0" w:after="0"/>
              <w:ind w:left="0" w:right="0" w:hanging="0"/>
              <w:jc w:val="both"/>
              <w:rPr/>
            </w:pPr>
            <w:r>
              <w:rPr/>
              <w:t>●     </w:t>
            </w:r>
            <w:r>
              <w:rPr>
                <w:rFonts w:ascii="Times New Roman;Times;serif" w:hAnsi="Times New Roman;Times;serif"/>
                <w:sz w:val="22"/>
              </w:rPr>
              <w:t>Predator®</w:t>
            </w:r>
          </w:p>
          <w:p>
            <w:pPr>
              <w:pStyle w:val="TableContents"/>
              <w:spacing w:before="0" w:after="0"/>
              <w:ind w:left="0" w:right="0" w:hanging="0"/>
              <w:jc w:val="both"/>
              <w:rPr/>
            </w:pPr>
            <w:r>
              <w:rPr/>
              <w:t>●     </w:t>
            </w:r>
            <w:r>
              <w:rPr>
                <w:rFonts w:ascii="Times New Roman;Times;serif" w:hAnsi="Times New Roman;Times;serif"/>
                <w:sz w:val="22"/>
              </w:rPr>
              <w:t>Fury®</w:t>
            </w:r>
          </w:p>
          <w:p>
            <w:pPr>
              <w:pStyle w:val="TableContents"/>
              <w:spacing w:before="0" w:after="0"/>
              <w:ind w:left="0" w:right="0" w:hanging="0"/>
              <w:jc w:val="both"/>
              <w:rPr/>
            </w:pPr>
            <w:r>
              <w:rPr/>
              <w:t>●     </w:t>
            </w:r>
            <w:r>
              <w:rPr>
                <w:rFonts w:ascii="Times New Roman;Times;serif" w:hAnsi="Times New Roman;Times;serif"/>
                <w:sz w:val="22"/>
              </w:rPr>
              <w:t>True North®</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comparative results of operations for the twelve-months ended December 31, 2020 included a non-recurring tax benefit of approximately $165.1 million due to an intra-entity transfer of intangible assets between certain of the Company’s foreign subsidiaries, which resulted in a step-up of the tax-deductible basis in the transferred assets in a foreign jurisdiction, and created a temporary difference between the tax basis and the book basis for such intangible assets (the “Non-Recurring Tax Benefit”), as well as reduced marketing, sponsorships and certain other operating expenses, largely as a consequence of the COVID-19 pandemic. These items should be taken into consideration when evaluating comparative performance for the twelve-months ended December 31, 2021 as compared to the twelve-months ended December 31, 2020.</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net sales of $5.5 billion for the year ended December 31, 2021 represented record annual net sales. The comparative net sales for the year ended December 31, 2020 were negatively impacted by $15.2 million related to product returns from our customers as a result of a European formulation issue with a limited number of products in Europe and a labeling issue concerning one product in Japan (the “Product Returns”). Net changes in foreign currency exchange rates had a favorable impact on net sales of approximately $61.9 million for the year ended December 31, 2021.</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vast majority of our net sales are derived from our Monster Energy® Drinks segment. Net sales of our Monster Energy® Drinks segment were $5.22 billion for the year ended December 31, 2021. Net sales of our Strategic Brands segment were $294.8 million for the year ended December 31, 2021. Our Monster Energy® Drinks segment represented 94.2% and 93.6% of our net sales for the years ended December 31, 2021 and 2020, respectively. Our Strategic Brands segment represented 5.3% and 5.8% of our net sales for the years ended December 31, 2021 and 2020, respectively. Our Other segment represented 0.5% and 0.6% of our net sales for the years ended December 31, 2021 and 2020, respectively. The comparative net sales for the Monster Energy® Drinks segment for the year ended December 31, 2020 were negatively impacted by $15.2 million related to the Product Returns.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Net changes in foreign currency exchange rates had a favorable impact on our net sales of the Monster Energy® Drinks segment of approximately $57.6 million for the year ended December 31, 2021. Net changes in foreign currency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exchange rates had a favorable impact on net sales in the Strategic Brands segment of approximately $4.3 million for the year ended December 31, 2021.</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growth strategy includes expanding our international business. Net sales to customers outside the United States amounted to $2.04 billion, $1.51 billion and $1.33 billion for the years ended December 31, 2021, 2020 and 2019, respectively. Such sales were approximately 37%, 33% and 32% of net sales for the years ended December 31, 2021, 2020 and 2019, respectively. The comparative net sales to customers outside the United States for the year ended December 31, 2020 were negatively impacted by $15.2 million related to the Product Returns.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Our customers are primarily full service beverage bottlers/distributors, retail grocery and specialty chains, wholesalers, club stores, mass merchandisers, convenience chains, foodservice customers, value stores, e-commerce retailers and the military. Percentages of our gross billings to our various customer types for the years ended December 31, 2021, 2020 and 2019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 </w:t>
      </w:r>
    </w:p>
    <w:tbl>
      <w:tblPr>
        <w:tblW w:w="8242" w:type="dxa"/>
        <w:jc w:val="left"/>
        <w:tblInd w:w="0" w:type="dxa"/>
        <w:tblCellMar>
          <w:top w:w="0" w:type="dxa"/>
          <w:left w:w="0" w:type="dxa"/>
          <w:bottom w:w="0" w:type="dxa"/>
          <w:right w:w="0" w:type="dxa"/>
        </w:tblCellMar>
      </w:tblPr>
      <w:tblGrid>
        <w:gridCol w:w="5641"/>
        <w:gridCol w:w="326"/>
        <w:gridCol w:w="526"/>
        <w:gridCol w:w="326"/>
        <w:gridCol w:w="526"/>
        <w:gridCol w:w="326"/>
        <w:gridCol w:w="571"/>
      </w:tblGrid>
      <w:tr>
        <w:trPr/>
        <w:tc>
          <w:tcPr>
            <w:tcW w:w="5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582035" cy="175260"/>
                      <wp:effectExtent l="0" t="0" r="0" b="0"/>
                      <wp:wrapNone/>
                      <wp:docPr id="11" name="Frame10"/>
                      <a:graphic xmlns:a="http://schemas.openxmlformats.org/drawingml/2006/main">
                        <a:graphicData uri="http://schemas.microsoft.com/office/word/2010/wordprocessingShape">
                          <wps:wsp>
                            <wps:cNvSpPr txBox="1"/>
                            <wps:spPr>
                              <a:xfrm>
                                <a:off x="0" y="0"/>
                                <a:ext cx="3582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34010" cy="175260"/>
                      <wp:effectExtent l="0" t="0" r="0" b="0"/>
                      <wp:wrapNone/>
                      <wp:docPr id="13" name="Frame12"/>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4"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34010" cy="175260"/>
                      <wp:effectExtent l="0" t="0" r="0" b="0"/>
                      <wp:wrapNone/>
                      <wp:docPr id="15" name="Frame14"/>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62585" cy="175260"/>
                      <wp:effectExtent l="0" t="0" r="0" b="0"/>
                      <wp:wrapNone/>
                      <wp:docPr id="17" name="Frame1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5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5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spacing w:before="0" w:after="0"/>
              <w:ind w:left="0" w:right="0" w:hanging="0"/>
              <w:rPr/>
            </w:pPr>
            <w:r>
              <w:rPr/>
              <w:t> </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5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shd w:fill="auto" w:val="clear"/>
            <w:vAlign w:val="center"/>
          </w:tcPr>
          <w:p>
            <w:pPr>
              <w:pStyle w:val="TableContents"/>
              <w:spacing w:before="0" w:after="0"/>
              <w:ind w:left="0" w:right="0" w:hanging="0"/>
              <w:rPr/>
            </w:pPr>
            <w:r>
              <w:rPr/>
              <w:t> </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5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spacing w:before="0" w:after="0"/>
              <w:ind w:left="0" w:right="0" w:hanging="0"/>
              <w:rPr/>
            </w:pPr>
            <w:r>
              <w:rPr/>
              <w:t> </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5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shd w:fill="auto" w:val="clear"/>
            <w:vAlign w:val="center"/>
          </w:tcPr>
          <w:p>
            <w:pPr>
              <w:pStyle w:val="TableContents"/>
              <w:spacing w:before="0" w:after="0"/>
              <w:ind w:left="0" w:right="0" w:hanging="0"/>
              <w:rPr/>
            </w:pPr>
            <w:r>
              <w:rPr/>
              <w:t> </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5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5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 value stores and other</w:t>
            </w:r>
          </w:p>
        </w:tc>
        <w:tc>
          <w:tcPr>
            <w:tcW w:w="326" w:type="dxa"/>
            <w:tcBorders/>
            <w:shd w:fill="CCEEFF" w:val="clear"/>
            <w:vAlign w:val="center"/>
          </w:tcPr>
          <w:p>
            <w:pPr>
              <w:pStyle w:val="TableContents"/>
              <w:spacing w:before="0" w:after="0"/>
              <w:ind w:left="0" w:right="0" w:hanging="0"/>
              <w:rPr/>
            </w:pPr>
            <w:r>
              <w:rPr/>
              <w:t> </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5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Europacific Partners, Coca-Cola Hellenic, Coca-Cola FEMSA, Coca-Cola Amatil,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consolidated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Coca-Cola Consolidated, Inc. accounted for approximately 12%, 12% and 13% of our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Reyes Coca-Cola Bottling, LLC accounted for approximately 10%, 11% and 11% of our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Coca-Cola Europacific Partners accounted for approximately 12%, 10% and 10% of our net sales for the years ended December 31, 2021, 2020 and 2019, respectively.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continue to incur expenditures in connection with the development and introduction of new products and flavors.</w:t>
      </w:r>
    </w:p>
    <w:p>
      <w:pPr>
        <w:pStyle w:val="TextBody"/>
        <w:spacing w:before="0" w:after="240"/>
        <w:ind w:left="720" w:right="0" w:hanging="0"/>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CANarchy Acquisition</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17, 2022, we completed our acquisition of CANarchy Craft Brewery Collective LLC (“CANarchy”), a craft beer and hard seltzer company, for $330.0 million in cash, subject to adjustments. The transaction allows us to enter the alcohol beverage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sector and brings the Cigar City family of brands including Jai Alai IPA and Florida Man IPA, the Oskar Blues family of brands including Dale’s Pale Ale and Wild Basin Hard Seltzers, the Deep Ellum family of brands including Dallas Blonde and Deep Ellum IPA, the Perrin Brewing family of brands including Black Ale, the Squatters family of brands including Hop Rising Double IPA and Juicy IPA and the Wasatch family of brands including Apricot Hefeweizen to our beverage portfolio. The transaction does not include CANarchy’s stand-alone restaurants. Our organizational structure for our existing energy beverage business will remain unchanged. CANarchy will function independently, retaining its own organizational structure and team.</w:t>
      </w:r>
    </w:p>
    <w:p>
      <w:pPr>
        <w:pStyle w:val="TextBody"/>
        <w:spacing w:before="0" w:after="0"/>
        <w:ind w:left="0" w:right="0" w:firstLine="720"/>
        <w:jc w:val="both"/>
        <w:rPr/>
      </w:pPr>
      <w:r>
        <w:rPr/>
        <w:t>​</w:t>
      </w:r>
    </w:p>
    <w:p>
      <w:pPr>
        <w:pStyle w:val="TextBody"/>
        <w:spacing w:before="0" w:after="240"/>
        <w:ind w:left="720" w:right="0" w:hanging="0"/>
        <w:rPr>
          <w:rFonts w:ascii="Times New Roman;Times;serif" w:hAnsi="Times New Roman;Times;serif"/>
          <w:b/>
          <w:i/>
          <w:sz w:val="22"/>
        </w:rPr>
      </w:pPr>
      <w:r>
        <w:rPr>
          <w:rFonts w:ascii="Times New Roman;Times;serif" w:hAnsi="Times New Roman;Times;serif"/>
          <w:b/>
          <w:i/>
          <w:sz w:val="22"/>
        </w:rPr>
        <w:t>Value Drivers of our Business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believe that the key value drivers of our business include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International Growth</w:t>
            </w:r>
            <w:r>
              <w:rPr>
                <w:caps w:val="false"/>
                <w:smallCaps w:val="false"/>
              </w:rPr>
              <w:t xml:space="preserve"> – </w:t>
            </w:r>
            <w:r>
              <w:rPr>
                <w:rFonts w:ascii="Times New Roman;Times;serif" w:hAnsi="Times New Roman;Times;serif"/>
                <w:b w:val="false"/>
                <w:i w:val="false"/>
                <w:caps w:val="false"/>
                <w:smallCaps w:val="false"/>
                <w:sz w:val="22"/>
              </w:rPr>
              <w:t>The introduction, development and sustained profitability of our brands internationally remains a key value driver for our corporate growth. One or more of our products are distributed in approximately 154 countries and territories worldwide.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Profitable Growth</w:t>
            </w:r>
            <w:r>
              <w:rPr>
                <w:caps w:val="false"/>
                <w:smallCaps w:val="false"/>
              </w:rPr>
              <w:t xml:space="preserve"> – </w:t>
            </w:r>
            <w:r>
              <w:rPr>
                <w:rFonts w:ascii="Times New Roman;Times;serif" w:hAnsi="Times New Roman;Times;serif"/>
                <w:b w:val="false"/>
                <w:i w:val="false"/>
                <w:caps w:val="false"/>
                <w:smallCaps w:val="false"/>
                <w:sz w:val="22"/>
              </w:rPr>
              <w:t>We believe “functional” value-added beverage brands supported by marketing and innovation and targeted to a diverse consumer base, drive profitable growth. We are focused on increasing the profit margins for both our Monster Energy® Drinks segment and our Strategic Brands segment, and believe that tailored branding, packaging, pricing and distribution channel strategies help achieve profitable growth. We are implementing these strategies with a view to continuing profitable growth.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Cost Management</w:t>
            </w:r>
            <w:r>
              <w:rPr>
                <w:caps w:val="false"/>
                <w:smallCaps w:val="false"/>
              </w:rPr>
              <w:t xml:space="preserve"> – </w:t>
            </w:r>
            <w:r>
              <w:rPr>
                <w:rFonts w:ascii="Times New Roman;Times;serif" w:hAnsi="Times New Roman;Times;serif"/>
                <w:b w:val="false"/>
                <w:i w:val="false"/>
                <w:caps w:val="false"/>
                <w:smallCaps w:val="false"/>
                <w:sz w:val="22"/>
              </w:rPr>
              <w:t>The principal focus of cost management will continue to be on mitigating increases and/or reducing input procurement and production 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2"/>
              </w:rPr>
              <w:t>Efficient Capital Structure</w:t>
            </w:r>
            <w:r>
              <w:rPr>
                <w:caps w:val="false"/>
                <w:smallCaps w:val="false"/>
              </w:rPr>
              <w:t xml:space="preserve"> – </w:t>
            </w:r>
            <w:r>
              <w:rPr>
                <w:rFonts w:ascii="Times New Roman;Times;serif" w:hAnsi="Times New Roman;Times;serif"/>
                <w:b w:val="false"/>
                <w:i w:val="false"/>
                <w:caps w:val="false"/>
                <w:smallCaps w:val="false"/>
                <w:sz w:val="22"/>
              </w:rPr>
              <w:t>Our capital structure is designed to optimize our working capital in order to finance expansion, both domestically and internationally. We believe that with our strong capital position, our ability to raise funds, if necessary, at a relatively low effective cost of borrowings, provides a competitive advantage. The reduction of days outstanding for accounts receivable and inventory days on hand will remain an area of focus.</w:t>
            </w:r>
          </w:p>
        </w:tc>
      </w:tr>
    </w:tbl>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believe that, subject to increases in the costs of certain raw materials being contained, these value drivers, when implemented and/or achieved in the United States and internationally, will result in: (1) improving or maintaining our product gross profit margins; (2) providing additional leverage over time through reduced expenses as a percentage of net operating revenues; and (3) enhancing our cost of capital. The ultimate measure of success is and will be reflected in our current and future 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Net sales, gross profit, operating income, net income and net income per share represent key measurements of the above value drivers. These measurements will continue to be a key management focus in 2022 and beyond (See “Part II, Item 7 – Management’s Discussion and Analysis of Financial Condition and Results of Operations – Results of Operations”).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As of December 31, 2021, the Company had working capital of $3.72 billion compared to $2.39 billion as of December 31, 2020. The increase in working capital was primarily the result of the $1.38 billion of net income earned during the year ended December 31, 2021. For the year ended December 31, 2021, our net cash provided by operating activities was approximately $1.16 billion as compared to $1.36 billion for the year ended December 31, 2020. Principal uses of cash flows in 2021, were purchases of investments, development of our Monster Energy® brand internationally and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acquisitions of real property, property and equipment. These principal uses of cash flows are expected to be and remain our principal recurring use of cash and working capital funds in the future (See “Part II, Item 7 – Management’s Discussion and Analysis of Financial Condition and Results of Operations – Liquidity and Capital Resources”).</w:t>
      </w:r>
    </w:p>
    <w:p>
      <w:pPr>
        <w:pStyle w:val="TextBody"/>
        <w:spacing w:before="0" w:after="240"/>
        <w:ind w:left="720" w:right="0" w:hanging="0"/>
        <w:rPr>
          <w:rFonts w:ascii="Times New Roman;Times;serif" w:hAnsi="Times New Roman;Times;serif"/>
          <w:b/>
          <w:i/>
          <w:sz w:val="22"/>
        </w:rPr>
      </w:pPr>
      <w:r>
        <w:rPr>
          <w:rFonts w:ascii="Times New Roman;Times;serif" w:hAnsi="Times New Roman;Times;serif"/>
          <w:b/>
          <w:i/>
          <w:sz w:val="22"/>
        </w:rPr>
        <w:t>Opportunities, Challenges and Risks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Looking forward, our management has identified certain challenges and risks for the beverage industry and the Company, including our significant commercial relationship with TCCC and TCCC’s status as a significant stockholder of the Company, in each case as described above under “Part I, Item 1A – Risk Factors.”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addition, legislation has been proposed and/or adopted at the U.S., state, county and/or municipal level and proposed and/or adopted in certain foreign jurisdictions to restrict the sale of energy drinks (including prohibiting the sale of energy drinks at certain establishments or pursuant to certain governmental programs), limit caffeine content, require 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been published. The proposal and/or adoption of such legislation and the publication of such articles, or the future proposal and/or adoption of similar legislation or publication of similar articles, may adversely affect our Company. 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Consumer discretionary spending also represents a challenge to the successful marketing and sale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calorie beverages within our energy drink product lines. We continuously strive to meet changing consumer needs through beverage innovation, choice and variety. (See “Part I, Item 1A – Risk Factors”).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addition, other key challenges and risks that could impact our Company’s future financial results include, but are not limited to:</w:t>
      </w:r>
    </w:p>
    <w:tbl>
      <w:tblPr>
        <w:tblW w:w="6066" w:type="dxa"/>
        <w:jc w:val="left"/>
        <w:tblInd w:w="0" w:type="dxa"/>
        <w:tblCellMar>
          <w:top w:w="28" w:type="dxa"/>
          <w:left w:w="28" w:type="dxa"/>
          <w:bottom w:w="28" w:type="dxa"/>
          <w:right w:w="28" w:type="dxa"/>
        </w:tblCellMar>
      </w:tblPr>
      <w:tblGrid>
        <w:gridCol w:w="124"/>
        <w:gridCol w:w="256"/>
        <w:gridCol w:w="5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continuation or worsening of the COVID-19 pandemic;</w:t>
            </w:r>
          </w:p>
        </w:tc>
      </w:tr>
    </w:tbl>
    <w:tbl>
      <w:tblPr>
        <w:tblW w:w="8436" w:type="dxa"/>
        <w:jc w:val="left"/>
        <w:tblInd w:w="0" w:type="dxa"/>
        <w:tblCellMar>
          <w:top w:w="28" w:type="dxa"/>
          <w:left w:w="28" w:type="dxa"/>
          <w:bottom w:w="28" w:type="dxa"/>
          <w:right w:w="28" w:type="dxa"/>
        </w:tblCellMar>
      </w:tblPr>
      <w:tblGrid>
        <w:gridCol w:w="124"/>
        <w:gridCol w:w="256"/>
        <w:gridCol w:w="8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risks associated with the realization of benefits from our relationship with TCCC;</w:t>
            </w:r>
          </w:p>
        </w:tc>
      </w:tr>
    </w:tbl>
    <w:tbl>
      <w:tblPr>
        <w:tblW w:w="6501" w:type="dxa"/>
        <w:jc w:val="left"/>
        <w:tblInd w:w="0" w:type="dxa"/>
        <w:tblCellMar>
          <w:top w:w="28" w:type="dxa"/>
          <w:left w:w="28" w:type="dxa"/>
          <w:bottom w:w="28" w:type="dxa"/>
          <w:right w:w="28" w:type="dxa"/>
        </w:tblCellMar>
      </w:tblPr>
      <w:tblGrid>
        <w:gridCol w:w="124"/>
        <w:gridCol w:w="256"/>
        <w:gridCol w:w="6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consumer preferences and demand for our products;</w:t>
            </w:r>
          </w:p>
        </w:tc>
      </w:tr>
    </w:tbl>
    <w:tbl>
      <w:tblPr>
        <w:tblW w:w="9096" w:type="dxa"/>
        <w:jc w:val="left"/>
        <w:tblInd w:w="0" w:type="dxa"/>
        <w:tblCellMar>
          <w:top w:w="28" w:type="dxa"/>
          <w:left w:w="28" w:type="dxa"/>
          <w:bottom w:w="28" w:type="dxa"/>
          <w:right w:w="28" w:type="dxa"/>
        </w:tblCellMar>
      </w:tblPr>
      <w:tblGrid>
        <w:gridCol w:w="124"/>
        <w:gridCol w:w="256"/>
        <w:gridCol w:w="8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economic uncertainty in the United States, Europe and other countries in which we operate;</w:t>
            </w:r>
          </w:p>
        </w:tc>
      </w:tr>
    </w:tbl>
    <w:tbl>
      <w:tblPr>
        <w:tblW w:w="6996" w:type="dxa"/>
        <w:jc w:val="left"/>
        <w:tblInd w:w="0" w:type="dxa"/>
        <w:tblCellMar>
          <w:top w:w="28" w:type="dxa"/>
          <w:left w:w="28" w:type="dxa"/>
          <w:bottom w:w="28" w:type="dxa"/>
          <w:right w:w="28" w:type="dxa"/>
        </w:tblCellMar>
      </w:tblPr>
      <w:tblGrid>
        <w:gridCol w:w="124"/>
        <w:gridCol w:w="256"/>
        <w:gridCol w:w="66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risks associated with foreign currency exchange rate fluctuations;</w:t>
            </w:r>
          </w:p>
        </w:tc>
      </w:tr>
    </w:tbl>
    <w:tbl>
      <w:tblPr>
        <w:tblW w:w="7536" w:type="dxa"/>
        <w:jc w:val="left"/>
        <w:tblInd w:w="0" w:type="dxa"/>
        <w:tblCellMar>
          <w:top w:w="28" w:type="dxa"/>
          <w:left w:w="28" w:type="dxa"/>
          <w:bottom w:w="28" w:type="dxa"/>
          <w:right w:w="28" w:type="dxa"/>
        </w:tblCellMar>
      </w:tblPr>
      <w:tblGrid>
        <w:gridCol w:w="124"/>
        <w:gridCol w:w="256"/>
        <w:gridCol w:w="7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maintenance of our brand image, product quality and corporate reputation;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increasing concern over various environmental, human rights and health matters, including obesity, caffeine consumption and energy drinks generally, and changes in regulation and consumer preferences in response to those concerns;</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profitable expansion and growth of our family of brands in the competitive market place (See “Part I, Item 1 – Business – Competition” and “Part I, Item 1 – Business – Sales and Marketing”);</w:t>
            </w:r>
          </w:p>
        </w:tc>
      </w:tr>
    </w:tbl>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costs of establishing and promoting our brands internationally;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risks associated with entering into new sectors in the beverage industry, in particular the alcohol beverage sector, and making acquisitions to implement our growth strategy;</w:t>
            </w:r>
          </w:p>
        </w:tc>
      </w:tr>
    </w:tbl>
    <w:tbl>
      <w:tblPr>
        <w:tblW w:w="4836" w:type="dxa"/>
        <w:jc w:val="left"/>
        <w:tblInd w:w="0" w:type="dxa"/>
        <w:tblCellMar>
          <w:top w:w="28" w:type="dxa"/>
          <w:left w:w="28" w:type="dxa"/>
          <w:bottom w:w="28" w:type="dxa"/>
          <w:right w:w="28" w:type="dxa"/>
        </w:tblCellMar>
      </w:tblPr>
      <w:tblGrid>
        <w:gridCol w:w="124"/>
        <w:gridCol w:w="256"/>
        <w:gridCol w:w="4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increases in costs of raw materials used by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restrictions on imports and sources of supply, duties or tariffs, changes in related government regulations and disruptions in the timely import or export of our products and/or ingredients including flavors, flavor ingredients and supplement ingredients, due to port strikes and/or port congestion, delays due to the COVID-19 pandemic, related labor issues or other importation impediments;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protection of our existing intellectual property portfolio of trademarks and copyrights and the continuous pursuit to develop and protect new and innovative trademarks and copyrights for our expanding product lines;</w:t>
            </w:r>
          </w:p>
        </w:tc>
      </w:tr>
    </w:tbl>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limitations on available quantities of aluminum cans;</w:t>
            </w:r>
          </w:p>
        </w:tc>
      </w:tr>
    </w:tbl>
    <w:tbl>
      <w:tblPr>
        <w:tblW w:w="9936" w:type="dxa"/>
        <w:jc w:val="left"/>
        <w:tblInd w:w="0" w:type="dxa"/>
        <w:tblCellMar>
          <w:top w:w="28" w:type="dxa"/>
          <w:left w:w="28" w:type="dxa"/>
          <w:bottom w:w="28" w:type="dxa"/>
          <w:right w:w="28" w:type="dxa"/>
        </w:tblCellMar>
      </w:tblPr>
      <w:tblGrid>
        <w:gridCol w:w="124"/>
        <w:gridCol w:w="256"/>
        <w:gridCol w:w="9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increased costs resulting from importing aluminum cans and other raw materials and ingredients;</w:t>
            </w:r>
          </w:p>
        </w:tc>
      </w:tr>
    </w:tbl>
    <w:tbl>
      <w:tblPr>
        <w:tblW w:w="4071" w:type="dxa"/>
        <w:jc w:val="left"/>
        <w:tblInd w:w="0" w:type="dxa"/>
        <w:tblCellMar>
          <w:top w:w="28" w:type="dxa"/>
          <w:left w:w="28" w:type="dxa"/>
          <w:bottom w:w="28" w:type="dxa"/>
          <w:right w:w="28" w:type="dxa"/>
        </w:tblCellMar>
      </w:tblPr>
      <w:tblGrid>
        <w:gridCol w:w="124"/>
        <w:gridCol w:w="256"/>
        <w:gridCol w:w="3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limitations on co-packing availability;</w:t>
            </w:r>
          </w:p>
        </w:tc>
      </w:tr>
    </w:tbl>
    <w:tbl>
      <w:tblPr>
        <w:tblW w:w="4776" w:type="dxa"/>
        <w:jc w:val="left"/>
        <w:tblInd w:w="0" w:type="dxa"/>
        <w:tblCellMar>
          <w:top w:w="28" w:type="dxa"/>
          <w:left w:w="28" w:type="dxa"/>
          <w:bottom w:w="28" w:type="dxa"/>
          <w:right w:w="28" w:type="dxa"/>
        </w:tblCellMar>
      </w:tblPr>
      <w:tblGrid>
        <w:gridCol w:w="124"/>
        <w:gridCol w:w="256"/>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increases in ocean and domestic freight rates;</w:t>
            </w:r>
          </w:p>
        </w:tc>
      </w:tr>
    </w:tbl>
    <w:tbl>
      <w:tblPr>
        <w:tblW w:w="5541" w:type="dxa"/>
        <w:jc w:val="left"/>
        <w:tblInd w:w="0" w:type="dxa"/>
        <w:tblCellMar>
          <w:top w:w="28" w:type="dxa"/>
          <w:left w:w="28" w:type="dxa"/>
          <w:bottom w:w="28" w:type="dxa"/>
          <w:right w:w="28" w:type="dxa"/>
        </w:tblCellMar>
      </w:tblPr>
      <w:tblGrid>
        <w:gridCol w:w="124"/>
        <w:gridCol w:w="256"/>
        <w:gridCol w:w="5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shortages of shipping containers and port congestion;</w:t>
            </w:r>
          </w:p>
        </w:tc>
      </w:tr>
    </w:tbl>
    <w:tbl>
      <w:tblPr>
        <w:tblW w:w="8721" w:type="dxa"/>
        <w:jc w:val="left"/>
        <w:tblInd w:w="0" w:type="dxa"/>
        <w:tblCellMar>
          <w:top w:w="28" w:type="dxa"/>
          <w:left w:w="28" w:type="dxa"/>
          <w:bottom w:w="28" w:type="dxa"/>
          <w:right w:w="28" w:type="dxa"/>
        </w:tblCellMar>
      </w:tblPr>
      <w:tblGrid>
        <w:gridCol w:w="124"/>
        <w:gridCol w:w="256"/>
        <w:gridCol w:w="83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long-term impact of Brexit on our business in Europe and the United Kingdom;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imposition of additional regulation, including regulation restricting the sale of energy drinks, limiting caffeine content in beverages, requiring product labeling and/or warnings, imposing excise taxes and/or sales taxes, and/or limiting product size and/or age restrictions.</w:t>
            </w:r>
          </w:p>
        </w:tc>
      </w:tr>
    </w:tbl>
    <w:p>
      <w:pPr>
        <w:pStyle w:val="TextBody"/>
        <w:spacing w:before="0" w:after="240"/>
        <w:ind w:left="1080" w:right="0" w:hanging="0"/>
        <w:jc w:val="both"/>
        <w:rPr>
          <w:rFonts w:ascii="Times New Roman;Times;serif" w:hAnsi="Times New Roman;Times;serif"/>
          <w:sz w:val="22"/>
        </w:rPr>
      </w:pPr>
      <w:r>
        <w:rPr>
          <w:rFonts w:ascii="Times New Roman;Times;serif" w:hAnsi="Times New Roman;Times;serif"/>
          <w:sz w:val="22"/>
        </w:rPr>
        <w:t>See “Part I, Item 1A – Risk Factors” for additional information about risks and uncertainties facing our Company.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believe that the following opportunities exist for us:</w:t>
      </w:r>
    </w:p>
    <w:tbl>
      <w:tblPr>
        <w:tblW w:w="6156" w:type="dxa"/>
        <w:jc w:val="left"/>
        <w:tblInd w:w="0" w:type="dxa"/>
        <w:tblCellMar>
          <w:top w:w="28" w:type="dxa"/>
          <w:left w:w="28" w:type="dxa"/>
          <w:bottom w:w="28" w:type="dxa"/>
          <w:right w:w="28" w:type="dxa"/>
        </w:tblCellMar>
      </w:tblPr>
      <w:tblGrid>
        <w:gridCol w:w="124"/>
        <w:gridCol w:w="256"/>
        <w:gridCol w:w="57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domestic and international growth potential of our products;</w:t>
            </w:r>
          </w:p>
        </w:tc>
      </w:tr>
    </w:tbl>
    <w:tbl>
      <w:tblPr>
        <w:tblW w:w="8451" w:type="dxa"/>
        <w:jc w:val="left"/>
        <w:tblInd w:w="0" w:type="dxa"/>
        <w:tblCellMar>
          <w:top w:w="28" w:type="dxa"/>
          <w:left w:w="28" w:type="dxa"/>
          <w:bottom w:w="28" w:type="dxa"/>
          <w:right w:w="28" w:type="dxa"/>
        </w:tblCellMar>
      </w:tblPr>
      <w:tblGrid>
        <w:gridCol w:w="124"/>
        <w:gridCol w:w="256"/>
        <w:gridCol w:w="8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growth potential of the energy drink category, both domestically and internationally;</w:t>
            </w:r>
          </w:p>
        </w:tc>
      </w:tr>
    </w:tbl>
    <w:tbl>
      <w:tblPr>
        <w:tblW w:w="5871" w:type="dxa"/>
        <w:jc w:val="left"/>
        <w:tblInd w:w="0" w:type="dxa"/>
        <w:tblCellMar>
          <w:top w:w="28" w:type="dxa"/>
          <w:left w:w="28" w:type="dxa"/>
          <w:bottom w:w="28" w:type="dxa"/>
          <w:right w:w="28" w:type="dxa"/>
        </w:tblCellMar>
      </w:tblPr>
      <w:tblGrid>
        <w:gridCol w:w="124"/>
        <w:gridCol w:w="256"/>
        <w:gridCol w:w="54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growth potential of the affordable energy drink category;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planned and future new product and product line introductions with the objective of increasing sales and/or contributing to higher profitability;</w:t>
            </w:r>
          </w:p>
        </w:tc>
      </w:tr>
    </w:tbl>
    <w:tbl>
      <w:tblPr>
        <w:tblW w:w="8556" w:type="dxa"/>
        <w:jc w:val="left"/>
        <w:tblInd w:w="0" w:type="dxa"/>
        <w:tblCellMar>
          <w:top w:w="28" w:type="dxa"/>
          <w:left w:w="28" w:type="dxa"/>
          <w:bottom w:w="28" w:type="dxa"/>
          <w:right w:w="28" w:type="dxa"/>
        </w:tblCellMar>
      </w:tblPr>
      <w:tblGrid>
        <w:gridCol w:w="124"/>
        <w:gridCol w:w="256"/>
        <w:gridCol w:w="81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introduction of new package formats designed to generate strong revenue growth;</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package, pricing and channel opportunities to increase profitable growth;</w:t>
            </w:r>
          </w:p>
        </w:tc>
      </w:tr>
    </w:tbl>
    <w:tbl>
      <w:tblPr>
        <w:tblW w:w="6381" w:type="dxa"/>
        <w:jc w:val="left"/>
        <w:tblInd w:w="0" w:type="dxa"/>
        <w:tblCellMar>
          <w:top w:w="28" w:type="dxa"/>
          <w:left w:w="28" w:type="dxa"/>
          <w:bottom w:w="28" w:type="dxa"/>
          <w:right w:w="28" w:type="dxa"/>
        </w:tblCellMar>
      </w:tblPr>
      <w:tblGrid>
        <w:gridCol w:w="124"/>
        <w:gridCol w:w="256"/>
        <w:gridCol w:w="6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effective strategic positioning to capitalize on industry growth;</w:t>
            </w:r>
          </w:p>
        </w:tc>
      </w:tr>
    </w:tbl>
    <w:tbl>
      <w:tblPr>
        <w:tblW w:w="9141" w:type="dxa"/>
        <w:jc w:val="left"/>
        <w:tblInd w:w="0" w:type="dxa"/>
        <w:tblCellMar>
          <w:top w:w="28" w:type="dxa"/>
          <w:left w:w="28" w:type="dxa"/>
          <w:bottom w:w="28" w:type="dxa"/>
          <w:right w:w="28" w:type="dxa"/>
        </w:tblCellMar>
      </w:tblPr>
      <w:tblGrid>
        <w:gridCol w:w="124"/>
        <w:gridCol w:w="256"/>
        <w:gridCol w:w="87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broadening distribution/expansion opportunities in both domestic and international markets;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launching and/or relaunching our products and new products into new domestic and international markets and channels;</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2"/>
              </w:rPr>
              <w:t>continued focus on reducing our cost base</w:t>
            </w:r>
            <w:r>
              <w:rPr>
                <w:caps w:val="false"/>
                <w:smallCaps w:val="false"/>
              </w:rPr>
              <w:t xml:space="preserve"> </w:t>
            </w:r>
            <w:r>
              <w:rPr>
                <w:rFonts w:ascii="Times New Roman;Times;serif" w:hAnsi="Times New Roman;Times;serif"/>
                <w:b w:val="false"/>
                <w:i w:val="false"/>
                <w:caps w:val="false"/>
                <w:smallCaps w:val="false"/>
                <w:sz w:val="22"/>
              </w:rPr>
              <w:t>; and</w:t>
            </w:r>
          </w:p>
        </w:tc>
      </w:tr>
    </w:tbl>
    <w:tbl>
      <w:tblPr>
        <w:tblW w:w="7926" w:type="dxa"/>
        <w:jc w:val="left"/>
        <w:tblInd w:w="0" w:type="dxa"/>
        <w:tblCellMar>
          <w:top w:w="28" w:type="dxa"/>
          <w:left w:w="28" w:type="dxa"/>
          <w:bottom w:w="28" w:type="dxa"/>
          <w:right w:w="28" w:type="dxa"/>
        </w:tblCellMar>
      </w:tblPr>
      <w:tblGrid>
        <w:gridCol w:w="124"/>
        <w:gridCol w:w="256"/>
        <w:gridCol w:w="7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entry into the alcohol category and development of our alcoholic portfolio.</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Results of Operations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This section of the Annual Report on Form 10-K generally discusses 2021 and 2020 items and year-to-year comparisons between 2021 and 2020. A detailed discussion of 2019 items and year-to-year comparisons between 2020 and 2019 that are not included in this Annual Report on Form 10-K can be found in “Management’s Discussion and Analysis of Financial Condition and Results of Operations” in Part II, Item 7 of the Company’s Annual Report on Form 10-K for the fiscal year ended December 31, 2020.</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following table sets forth key statistics for the years ended December 31, 2021, 2020 and 2019, respectively.</w:t>
      </w:r>
    </w:p>
    <w:tbl>
      <w:tblPr>
        <w:tblW w:w="10205" w:type="dxa"/>
        <w:jc w:val="left"/>
        <w:tblInd w:w="0" w:type="dxa"/>
        <w:tblCellMar>
          <w:top w:w="0" w:type="dxa"/>
          <w:left w:w="0" w:type="dxa"/>
          <w:bottom w:w="0" w:type="dxa"/>
          <w:right w:w="0" w:type="dxa"/>
        </w:tblCellMar>
      </w:tblPr>
      <w:tblGrid>
        <w:gridCol w:w="2893"/>
        <w:gridCol w:w="326"/>
        <w:gridCol w:w="211"/>
        <w:gridCol w:w="931"/>
        <w:gridCol w:w="326"/>
        <w:gridCol w:w="211"/>
        <w:gridCol w:w="931"/>
        <w:gridCol w:w="326"/>
        <w:gridCol w:w="211"/>
        <w:gridCol w:w="931"/>
        <w:gridCol w:w="326"/>
        <w:gridCol w:w="1051"/>
        <w:gridCol w:w="326"/>
        <w:gridCol w:w="1051"/>
        <w:gridCol w:w="154"/>
      </w:tblGrid>
      <w:tr>
        <w:trPr/>
        <w:tc>
          <w:tcPr>
            <w:tcW w:w="28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837055" cy="175260"/>
                      <wp:effectExtent l="0" t="0" r="0" b="0"/>
                      <wp:wrapNone/>
                      <wp:docPr id="18" name="Frame17"/>
                      <a:graphic xmlns:a="http://schemas.openxmlformats.org/drawingml/2006/main">
                        <a:graphicData uri="http://schemas.microsoft.com/office/word/2010/wordprocessingShape">
                          <wps:wsp>
                            <wps:cNvSpPr txBox="1"/>
                            <wps:spPr>
                              <a:xfrm>
                                <a:off x="0" y="0"/>
                                <a:ext cx="1837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91185" cy="175260"/>
                      <wp:effectExtent l="0" t="0" r="0" b="0"/>
                      <wp:wrapNone/>
                      <wp:docPr id="21" name="Frame2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91185" cy="175260"/>
                      <wp:effectExtent l="0" t="0" r="0" b="0"/>
                      <wp:wrapNone/>
                      <wp:docPr id="24" name="Frame2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1185" cy="175260"/>
                      <wp:effectExtent l="0" t="0" r="0" b="0"/>
                      <wp:wrapNone/>
                      <wp:docPr id="27" name="Frame2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7385" cy="175260"/>
                      <wp:effectExtent l="0" t="0" r="0" b="0"/>
                      <wp:wrapNone/>
                      <wp:docPr id="29" name="Frame28"/>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7385" cy="175260"/>
                      <wp:effectExtent l="0" t="0" r="0" b="0"/>
                      <wp:wrapNone/>
                      <wp:docPr id="31" name="Frame30"/>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7790" cy="175260"/>
                      <wp:effectExtent l="0" t="0" r="0" b="0"/>
                      <wp:wrapNone/>
                      <wp:docPr id="32" name="Frame3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 except per share amounts)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21 vs. 20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 vs. 19</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5,541,352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4,598,638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4,200,819</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2,432,839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1,874,758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1,682,234</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3,108,513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2,723,880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2,518,585</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 as a percentage of net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1,311,046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1,090,727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1,115,646</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 as a percentage of 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Operating income</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1,797,467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1,633,153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1,402,939</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income as a percentage of net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13,023</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(153.7)%</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Income before provision for income taxes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1,801,419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1,626,157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1,415,962</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423,944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216,563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308,127</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 as a percentage of income before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1,377,475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1,409,594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1,107,835</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as a percentage of 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54" w:type="dxa"/>
            <w:tcBorders/>
            <w:shd w:fill="CCEEFF" w:val="clear"/>
            <w:vAlign w:val="center"/>
          </w:tcPr>
          <w:p>
            <w:pPr>
              <w:pStyle w:val="TableContents"/>
              <w:spacing w:before="0" w:after="0"/>
              <w:ind w:left="0" w:right="0" w:hanging="0"/>
              <w:rPr/>
            </w:pPr>
            <w:r>
              <w:rPr/>
              <w:t>​</w:t>
            </w:r>
          </w:p>
        </w:tc>
      </w:tr>
      <w:tr>
        <w:trPr/>
        <w:tc>
          <w:tcPr>
            <w:tcW w:w="28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89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Case sales (in thousands) (in 192</w:t>
              <w:noBreakHyphen/>
              <w:t>ounce case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613,441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504,821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448,770</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i/>
          <w:sz w:val="16"/>
        </w:rPr>
      </w:pPr>
      <w:r>
        <w:rPr>
          <w:rFonts w:ascii="Times New Roman;Times;serif" w:hAnsi="Times New Roman;Times;serif"/>
          <w:i/>
          <w:sz w:val="16"/>
        </w:rPr>
        <w:t>¹Includes $41.5 million, $42.1 million and $46.3 million for the years ended December 31, 2021, 2020 and 2019, respectively, related to the recognition of deferred revenue.</w:t>
      </w:r>
    </w:p>
    <w:p>
      <w:pPr>
        <w:pStyle w:val="TextBody"/>
        <w:spacing w:before="0" w:after="240"/>
        <w:ind w:left="0" w:right="0" w:hanging="0"/>
        <w:jc w:val="both"/>
        <w:rPr>
          <w:rFonts w:ascii="Times New Roman;Times;serif" w:hAnsi="Times New Roman;Times;serif"/>
          <w:i/>
          <w:sz w:val="16"/>
        </w:rPr>
      </w:pPr>
      <w:r>
        <w:rPr>
          <w:rFonts w:ascii="Times New Roman;Times;serif" w:hAnsi="Times New Roman;Times;serif"/>
          <w:i/>
          <w:sz w:val="16"/>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Net Sales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Net sales were $5.54 billion for the year ended December 31, 2021, an increase of approximately $942.7 million, or 20.5% higher than net sales of $4.60 billion for the year ended December 31, 2020. Net sales increased primarily due to increased worldwide sales by volume of our Monster Energy® brand energy drinks as a result of increased consumer demand. Net changes in foreign currency exchange rates had a favorable impact on net sales of approximately $61.9 million for the year ended December 31, 2021. The comparative net sales for the year ended December 31, 2020 were negatively impacted by $15.2 million related to the Product Returns.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Net sales for the Monster Energy® Drinks segment were $5.22 billion for the year ended December 31, 2021, an increase of approximately $915.4 million, or 21.3% higher than net sales of $4.31 billion for the year ended December 31, 2020. Net sales for the Monster Energy® Drinks segment increased primarily due to increased worldwide sales by volume of our Monster Energy® brand energy drinks as a result of increased consumer demand. Net changes in foreign currency exchange rates had a favorable impact on net sales for the Monster Energy® Drinks segment of approximately $57.6 million for the year ended December 31, 2021. The comparative net sales for the Monster Energy® Drinks segment for the year ended December 31, 2020 were negatively impacted by $15.2 million related to the Product Returns.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Net sales for the Strategic Brands segment were $294.8 million for the year ended December 31, 2021, an increase of approximately $28.4 million, or 10.7% higher than net sales of $266.4 million for the year ended December 31, 2020. Net sales for the Strategic Brands segment increased primarily due to increased worldwide sales by volume of our Predator®, Burn® and Mother® brand energy drinks as a result of increased consumer demand. Shortages of certain NOS® concentrates negatively impacted net sales for the year ended December 31, 2021. Net changes in foreign currency exchange rates had a favorable impact on net sales of approximately $4.3 million for the Strategic Brands segment for the year ended December 31, 2021.</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Net sales for the Other segment were $25.9 million for the year ended December 31, 2021, a decrease of approximately $1.1 million, or 4.1% lower than net sales of $27.0 million for the year ended December 31, 2020.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Case sales, in 192-ounce case equivalents, were 613.4 million cases for the year ended December 31, 2021, an increase of approximately 108.6 million cases or 21.5% higher than case sales of 504.8 million cases for the year ended December 31, 2020. The overall average net sales per case (excluding net sales of AFF Third-Party Products of $25.9 million and $27.0 million for the year ended December 31, 2021 and 2020, respectively, as these sales do not have unit case equivalents) decreased to $8.99 for the year ended December 31, 2021, which was 0.7% lower than the average net sales per case of $9.06 for the year ended December 31, 2020. The decrease in the average net sales per case was primarily the result of geographical sales mix.</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Gross Profit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Gross profit was $3.11 billion for the year ended December 31, 2021, an increase of approximately $384.6 million, or 14.1% higher than the gross profit of $2.72 billion for the year ended December 31, 2020. The increase in gross profit dollars was primarily the result of the $942.7 million increase in net sales for the year ended December 31, 2021.</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Gross profit as a percentage of net sales decreased to 56.1% for the year ended December 31, 2021 from 59.2% for the year ended December 31, 2020. The decrease for the year ended December 31, 2021 was primarily the result of increased aluminum can costs attributable to higher aluminum commodity pricing, increased costs of certain other raw materials and ingredients, increased freight-in costs and geographical sales mix.</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Operating Expenses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Total operating expenses were $1.31 billion for the year ended December 31, 2021, an increase of approximately $220.3 million, or 20.2% higher than total operating expenses of $1.09 billion for the year ended December 31, 2020. As a percentage of net sales, operating expenses were 23.7% for both the years ended December 31, 2021 and 2020. The increase in operating expenses was primarily due to increased out-bound freight and warehouse costs of $86.1 million, increased payroll expenses of $42.5 million, increased expenditures of $38.1 million for sponsorships and endorsements, increased expenditures of $15.7 million for social media and digital marketing, and increased expenditures of $10.4 million for professional service expenses, including accounting and legal costs. The increase in operating expenses for the year ended December 31, 2021, was partially offset by $16.9 million due to the reversal of amounts previously accrued in connection with an intellectual property claim. During the comparative 2020 period, the Company decreased expenditures for sponsorship and endorsements and decreased expenditures for travel and entertainment, each largely as a consequence of the COVID-19 pandemic. The impact of the COVID-19 pandemic was less pronounced on our sales and marketing programs during the year ended December 31, 2021. Operating expenses for the year ended December 31, 2019 (pre COVID-19) were $1.12 billion, or 26.6% of net sales.</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Operating Income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Operating income was $1.80 billion for the year ended December 31, 2021, an increase of approximately $164.3 million, or 10.1% higher than operating income of $1.63 billion for the year ended December 31, 2020. Operating income as a percentage of net sales decreased to 32.4% for the year ended December 31, 2021 from 35.5% for the year ended December 31, 2020. Operating income was $402.8 million and $279.7 million for the year ended December 31, 2021 and 2020, respectively, for our operations in EMEA, Asia Pacific, Latin America and the Caribbean. Operating income for the year ended December 31,2019 (pre COVID-19) was $1.4 billion, or 33.4% of net sales.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Operating income for the Monster Energy® Drinks segment, exclusive of corporate and unallocated expenses, was $1.99 billion for the year ended December 31, 2021, an increase of approximately $170.4 million, or 9.4% higher than operating income of $1.82 billion for the year ended December 31, 2020. The increase in operating income for the Monster Energy® Drinks segment was primarily the result of the $915.4 million increase in net sales for the year ended December 31, 2021.</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Operating income for the Strategic Brands segment, exclusive of corporate and unallocated expenses, was $173.7 million for the year ended December 31, 2021, an increase of approximately $18.6 million, or 12.0% higher than operating income of $155.0 million for the year ended December 31, 2020. The increase in operating income for the Strategic Brands segment was primarily the result of the $28.4 million increase in net sales.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Operating income for the Other segment, exclusive of corporate and unallocated expenses, was $6.9 million for the year ended December 31, 2021, an increase of approximately $1.0 million, or 16.9% higher than operating income of $5.9 million for the year ended December 31, 2020.</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Other Income (Expense), net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Other income (expense), net, was $4.0 million for the year ended December 31, 2021, as compared to other income (expense), net, of ($7.0) million for the year ended December 31, 2020. Foreign currency transaction gains (losses) were $0.3 million and ($11.2) million for the year ended December 31, 2021 and 2020, respectively. Interest income was $4.2 million and $8.1 million for the year ended December 31, 2021 and 2020, respectively.</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2"/>
        </w:rPr>
      </w:pPr>
      <w:bookmarkStart w:id="46" w:name="_Hlk64390719"/>
      <w:bookmarkEnd w:id="46"/>
      <w:r>
        <w:rPr>
          <w:rFonts w:ascii="Times New Roman;Times;serif" w:hAnsi="Times New Roman;Times;serif"/>
          <w:b/>
          <w:sz w:val="22"/>
        </w:rPr>
        <w:t>Provision for Income Taxes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Provision for income taxes was $423.9 million for the year ended December 31, 2021, an increase of $207.4 million, or 95.8% higher than the provision for income taxes of $216.6 million for the year ended December 31, 2020. The effective combined federal, state and foreign tax rate was 23.5% and 13.3% for the year ended December 31, 2021 and 2020, respectively. The comparative provision for income taxes for the year ended December 31, 2020 included the Non-Recurring Tax Benefit of approximately $165.1 million.</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Net Income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Net income was $1.38 billion for the year ended December 31, 2021, a decrease of $32.1 million, or 2.3% lower than net income of $1.41 billion for the year ended December 31, 2020. The decrease in net income for the year ended December 31, 2021 was primarily due to the $207.4 million increase in the provision for income taxes and the $220.3 million increase in operating expenses, partially offset by the $393.1 million increase in gross profit.</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Key Business Metrics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 below.</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Non-GAAP Financial Measures and Other Key Metrics</w:t>
      </w:r>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Gross Billings**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Gross billings were $6.42 billion for the year ended December 31, 2021, an increase of approximately $1.10 billion, or 20.6% higher than gross billings of $5.33 billion for the year ended December 31, 2020. Net changes in foreign currency exchange rates had a favorable impact on gross billings of approximately $83.1 million for the year ended December 31, 2021. The comparative gross billings for the year ended December 31, 2020 were negatively impacted by $15.2 million related to the Product Returns.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Gross billings for the Monster Energy® Drinks segment were $6.06 billion for the year ended December 31, 2021, an increase of approximately $1.06 billion, or 21.3% higher than gross billings of $5.00 billion for the year ended December 31, 2020. Gross billings for the Monster Energy® Drinks segment increased primarily due to increased worldwide sales by volume of our Monster Energy® brand energy drinks as a result of increased consumer demand. Net changes in foreign currency exchange rates had a favorable impact on gross billings for the Monster Energy® Drinks segment of approximately $78.7 million for the year ended December 31, 2021. The comparative gross billings for the Monster Energy® Drinks segment for the year ended December 31, 2020 were negatively impacted by $15.2 million related to the Product Returns.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Gross billings for the Strategic Brands segment were $340.2 million for the year ended December 31, 2021, an increase of $34.8 million, or 11.4% higher than gross billings of $305.4 million for the year ended December 31, 2020. Shortages of NOS® concentrate negatively impacted gross billings for the year ended December 31, 2021. Net changes in foreign currency exchange rates had a favorable impact on gross billings in the Strategic Brands segment of approximately $4.4 million for the year ended December 31, 2021.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Gross billings for the Other segment were $25.9 million for the year ended December 31, 2021, a decrease of $1.1 million, or 4.1% lower than gross billings of $27.0 million for the year ended December 31, 2020. </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Promotional allowances, commissions and other expenses, as described in the footnote below, were $924.7 million for the year ended December 31, 2021, an increase of $152.6 million, or 19.8% higher than promotional allowances,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commissions and other expenses of $772.2 million for the year ended December 31, 2020. Promotional allowances as a percentage of gross billings decreased to 12.8% from 13.1% for the year ended December 31, 2021 and 2020, respectively.</w:t>
      </w:r>
    </w:p>
    <w:p>
      <w:pPr>
        <w:pStyle w:val="TextBody"/>
        <w:spacing w:before="0" w:after="240"/>
        <w:ind w:left="0" w:right="0" w:hanging="0"/>
        <w:jc w:val="both"/>
        <w:rPr>
          <w:rFonts w:ascii="Times New Roman;Times;serif" w:hAnsi="Times New Roman;Times;serif"/>
          <w:i/>
          <w:sz w:val="18"/>
        </w:rPr>
      </w:pPr>
      <w:r>
        <w:rPr>
          <w:rFonts w:ascii="Times New Roman;Times;serif" w:hAnsi="Times New Roman;Times;serif"/>
          <w:i/>
          <w:sz w:val="18"/>
        </w:rPr>
        <w:t>**Gross billings represent amounts invoiced to customers net of cash discounts and returns.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following table reconciles the non-GAAP financial measure of gross billings with the most directly comparable GAAP financial measure of net sales: </w:t>
      </w:r>
    </w:p>
    <w:tbl>
      <w:tblPr>
        <w:tblW w:w="10205" w:type="dxa"/>
        <w:jc w:val="left"/>
        <w:tblInd w:w="0" w:type="dxa"/>
        <w:tblCellMar>
          <w:top w:w="0" w:type="dxa"/>
          <w:left w:w="0" w:type="dxa"/>
          <w:bottom w:w="0" w:type="dxa"/>
          <w:right w:w="0" w:type="dxa"/>
        </w:tblCellMar>
      </w:tblPr>
      <w:tblGrid>
        <w:gridCol w:w="3752"/>
        <w:gridCol w:w="326"/>
        <w:gridCol w:w="196"/>
        <w:gridCol w:w="826"/>
        <w:gridCol w:w="326"/>
        <w:gridCol w:w="196"/>
        <w:gridCol w:w="826"/>
        <w:gridCol w:w="326"/>
        <w:gridCol w:w="196"/>
        <w:gridCol w:w="826"/>
        <w:gridCol w:w="326"/>
        <w:gridCol w:w="856"/>
        <w:gridCol w:w="326"/>
        <w:gridCol w:w="901"/>
      </w:tblGrid>
      <w:tr>
        <w:trPr/>
        <w:tc>
          <w:tcPr>
            <w:tcW w:w="37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82520" cy="175260"/>
                      <wp:effectExtent l="0" t="0" r="0" b="0"/>
                      <wp:wrapNone/>
                      <wp:docPr id="33" name="Frame32"/>
                      <a:graphic xmlns:a="http://schemas.openxmlformats.org/drawingml/2006/main">
                        <a:graphicData uri="http://schemas.microsoft.com/office/word/2010/wordprocessingShape">
                          <wps:wsp>
                            <wps:cNvSpPr txBox="1"/>
                            <wps:spPr>
                              <a:xfrm>
                                <a:off x="0" y="0"/>
                                <a:ext cx="2382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4510" cy="175260"/>
                      <wp:effectExtent l="0" t="0" r="0" b="0"/>
                      <wp:wrapNone/>
                      <wp:docPr id="36" name="Frame35"/>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8" name="Frame3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24510" cy="175260"/>
                      <wp:effectExtent l="0" t="0" r="0" b="0"/>
                      <wp:wrapNone/>
                      <wp:docPr id="39" name="Frame3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1" name="Frame4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24510" cy="175260"/>
                      <wp:effectExtent l="0" t="0" r="0" b="0"/>
                      <wp:wrapNone/>
                      <wp:docPr id="42" name="Frame41"/>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43560" cy="175260"/>
                      <wp:effectExtent l="0" t="0" r="0" b="0"/>
                      <wp:wrapNone/>
                      <wp:docPr id="44" name="Frame43"/>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72135" cy="175260"/>
                      <wp:effectExtent l="0" t="0" r="0" b="0"/>
                      <wp:wrapNone/>
                      <wp:docPr id="46" name="Frame4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5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Percentage</w:t>
            </w:r>
          </w:p>
        </w:tc>
      </w:tr>
      <w:tr>
        <w:trPr/>
        <w:tc>
          <w:tcPr>
            <w:tcW w:w="3752"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 thousands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Change</w:t>
            </w:r>
          </w:p>
        </w:tc>
      </w:tr>
      <w:tr>
        <w:trPr/>
        <w:tc>
          <w:tcPr>
            <w:tcW w:w="375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32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21 vs. 20</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 vs. 19</w:t>
            </w:r>
          </w:p>
        </w:tc>
      </w:tr>
      <w:tr>
        <w:trPr/>
        <w:tc>
          <w:tcPr>
            <w:tcW w:w="375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Gross Billings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6,424,632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5,328,683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4,821,411</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20.6%</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10.5%</w:t>
            </w:r>
          </w:p>
        </w:tc>
      </w:tr>
      <w:tr>
        <w:trPr/>
        <w:tc>
          <w:tcPr>
            <w:tcW w:w="3752"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41,462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42,110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46,287</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(1.5%)</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(9.0%)</w:t>
            </w:r>
          </w:p>
        </w:tc>
      </w:tr>
      <w:tr>
        <w:trPr/>
        <w:tc>
          <w:tcPr>
            <w:tcW w:w="375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Less: Promotional allowances, commissions and other expenses***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(924,742)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(772,155)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(666,879)</w:t>
            </w:r>
          </w:p>
        </w:tc>
        <w:tc>
          <w:tcPr>
            <w:tcW w:w="32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19.8%</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15.8%</w:t>
            </w:r>
          </w:p>
        </w:tc>
      </w:tr>
      <w:tr>
        <w:trPr/>
        <w:tc>
          <w:tcPr>
            <w:tcW w:w="3752"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Sales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5,541,352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4,598,638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4,200,819</w:t>
            </w:r>
          </w:p>
        </w:tc>
        <w:tc>
          <w:tcPr>
            <w:tcW w:w="32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20.5%</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9.5%</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i/>
          <w:sz w:val="16"/>
        </w:rPr>
      </w:pPr>
      <w:r>
        <w:rPr>
          <w:rFonts w:ascii="Times New Roman;Times;serif" w:hAnsi="Times New Roman;Times;serif"/>
          <w:i/>
          <w:sz w:val="16"/>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years ended December 31, 2021 and 2020 were (i) to increase sales volume and trial, (ii) to address market conditions, and (iii) to secure shelf and display space at retail.</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Sales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table set forth below discloses selected quarterly data regarding sales for the past three years. Data from any one or more quarters is not necessarily indicative of annual results or continuing trends.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bottlers/distributors and customers, changes in the sales mix of our products and changes in and/or increased advertising and promotional expenses. (See “Part I, Item 1 – Business – Seasonality”).</w:t>
      </w:r>
    </w:p>
    <w:tbl>
      <w:tblPr>
        <w:tblW w:w="8275" w:type="dxa"/>
        <w:jc w:val="left"/>
        <w:tblInd w:w="0" w:type="dxa"/>
        <w:tblCellMar>
          <w:top w:w="0" w:type="dxa"/>
          <w:left w:w="0" w:type="dxa"/>
          <w:bottom w:w="0" w:type="dxa"/>
          <w:right w:w="0" w:type="dxa"/>
        </w:tblCellMar>
      </w:tblPr>
      <w:tblGrid>
        <w:gridCol w:w="3826"/>
        <w:gridCol w:w="326"/>
        <w:gridCol w:w="211"/>
        <w:gridCol w:w="931"/>
        <w:gridCol w:w="326"/>
        <w:gridCol w:w="211"/>
        <w:gridCol w:w="931"/>
        <w:gridCol w:w="326"/>
        <w:gridCol w:w="211"/>
        <w:gridCol w:w="976"/>
      </w:tblGrid>
      <w:tr>
        <w:trPr/>
        <w:tc>
          <w:tcPr>
            <w:tcW w:w="3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429510" cy="175260"/>
                      <wp:effectExtent l="0" t="0" r="0" b="0"/>
                      <wp:wrapNone/>
                      <wp:docPr id="47" name="Frame46"/>
                      <a:graphic xmlns:a="http://schemas.openxmlformats.org/drawingml/2006/main">
                        <a:graphicData uri="http://schemas.microsoft.com/office/word/2010/wordprocessingShape">
                          <wps:wsp>
                            <wps:cNvSpPr txBox="1"/>
                            <wps:spPr>
                              <a:xfrm>
                                <a:off x="0" y="0"/>
                                <a:ext cx="2429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0" name="Frame4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2" name="Frame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91185" cy="175260"/>
                      <wp:effectExtent l="0" t="0" r="0" b="0"/>
                      <wp:wrapNone/>
                      <wp:docPr id="53" name="Frame5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19760" cy="175260"/>
                      <wp:effectExtent l="0" t="0" r="0" b="0"/>
                      <wp:wrapNone/>
                      <wp:docPr id="56" name="Frame55"/>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 (in Thousands)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1,243,816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1,062,097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945,991</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1,461,934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1,093,896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1,104,045</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1,410,557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1,246,362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1,133,577</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1,425,045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1,196,283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1,017,206</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5,541,352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4,598,638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4,200,819</w:t>
            </w:r>
          </w:p>
        </w:tc>
      </w:tr>
      <w:tr>
        <w:trPr/>
        <w:tc>
          <w:tcPr>
            <w:tcW w:w="38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AFF third party net sales (in Thousands)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(5,321)</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(5,791)</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(5,860)</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(6,671)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(4,893)</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(21,865)</w:t>
            </w:r>
          </w:p>
        </w:tc>
      </w:tr>
      <w:tr>
        <w:trPr/>
        <w:tc>
          <w:tcPr>
            <w:tcW w:w="3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Net Sales (in Thousands)¹</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1,238,089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1,056,992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940,670</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1,454,029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1,087,252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1,098,254</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1,404,241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1,237,744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1,127,717</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1,419,076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1,189,612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1,012,313</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5,515,435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4,571,600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4,178,954</w:t>
            </w:r>
          </w:p>
        </w:tc>
      </w:tr>
      <w:tr>
        <w:trPr/>
        <w:tc>
          <w:tcPr>
            <w:tcW w:w="38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Case Volume / Sales (in Thousands)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138,566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115,598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101,284</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161,450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116,960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119,595</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159,975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139,922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121,854</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153,450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132,341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106,037</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613,441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504,821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448,770</w:t>
            </w:r>
          </w:p>
        </w:tc>
      </w:tr>
      <w:tr>
        <w:trPr/>
        <w:tc>
          <w:tcPr>
            <w:tcW w:w="3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Average Net Sales Per Case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Quarter 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9.31</w:t>
            </w:r>
          </w:p>
        </w:tc>
      </w:tr>
    </w:tbl>
    <w:p>
      <w:pPr>
        <w:pStyle w:val="TextBody"/>
        <w:spacing w:before="0" w:after="0"/>
        <w:ind w:left="0" w:right="0" w:hanging="0"/>
        <w:rPr/>
      </w:pPr>
      <w:r>
        <w:rPr/>
        <w:t>​</w:t>
      </w:r>
    </w:p>
    <w:p>
      <w:pPr>
        <w:pStyle w:val="TextBody"/>
        <w:spacing w:lineRule="auto" w:line="240" w:before="0" w:after="240"/>
        <w:ind w:left="0" w:right="0" w:firstLine="36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Excludes Other segment net sales of $25.9 million, $27.0 million and $21.9 million for the years ended December 31, 2021, 2020 and 2019, respectively, comprised of sales of our AFF Third-Party Products to independent third parties as these sales do not have unit case equivalents.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following represents case sales by segment for the years ended December 31:</w:t>
      </w:r>
    </w:p>
    <w:tbl>
      <w:tblPr>
        <w:tblW w:w="7615" w:type="dxa"/>
        <w:jc w:val="left"/>
        <w:tblInd w:w="0" w:type="dxa"/>
        <w:tblCellMar>
          <w:top w:w="0" w:type="dxa"/>
          <w:left w:w="0" w:type="dxa"/>
          <w:bottom w:w="0" w:type="dxa"/>
          <w:right w:w="0" w:type="dxa"/>
        </w:tblCellMar>
      </w:tblPr>
      <w:tblGrid>
        <w:gridCol w:w="3466"/>
        <w:gridCol w:w="266"/>
        <w:gridCol w:w="211"/>
        <w:gridCol w:w="931"/>
        <w:gridCol w:w="266"/>
        <w:gridCol w:w="211"/>
        <w:gridCol w:w="931"/>
        <w:gridCol w:w="146"/>
        <w:gridCol w:w="211"/>
        <w:gridCol w:w="976"/>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00910" cy="175260"/>
                      <wp:effectExtent l="0" t="0" r="0" b="0"/>
                      <wp:wrapNone/>
                      <wp:docPr id="57" name="Frame56"/>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8910" cy="175260"/>
                      <wp:effectExtent l="0" t="0" r="0" b="0"/>
                      <wp:wrapNone/>
                      <wp:docPr id="58" name="Frame5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91185" cy="175260"/>
                      <wp:effectExtent l="0" t="0" r="0" b="0"/>
                      <wp:wrapNone/>
                      <wp:docPr id="60" name="Frame5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8910" cy="175260"/>
                      <wp:effectExtent l="0" t="0" r="0" b="0"/>
                      <wp:wrapNone/>
                      <wp:docPr id="61" name="Frame60"/>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2" name="Frame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91185" cy="175260"/>
                      <wp:effectExtent l="0" t="0" r="0" b="0"/>
                      <wp:wrapNone/>
                      <wp:docPr id="63" name="Frame6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2710" cy="175260"/>
                      <wp:effectExtent l="0" t="0" r="0" b="0"/>
                      <wp:wrapNone/>
                      <wp:docPr id="64" name="Frame6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5"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19760" cy="175260"/>
                      <wp:effectExtent l="0" t="0" r="0" b="0"/>
                      <wp:wrapNone/>
                      <wp:docPr id="66" name="Frame65"/>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 thousands, except average net sales per case)</w:t>
            </w:r>
          </w:p>
        </w:tc>
        <w:tc>
          <w:tcPr>
            <w:tcW w:w="26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26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146" w:type="dxa"/>
            <w:tcBorders/>
            <w:shd w:fill="auto" w:val="clear"/>
            <w:vAlign w:val="center"/>
          </w:tcPr>
          <w:p>
            <w:pPr>
              <w:pStyle w:val="TableContents"/>
              <w:spacing w:before="0" w:after="0"/>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5,541,352</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4,598,638</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4,200,819</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AFF third-party sales</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(25,917)</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(27,038)</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(21,865)</w:t>
            </w:r>
          </w:p>
        </w:tc>
      </w:tr>
      <w:tr>
        <w:trPr/>
        <w:tc>
          <w:tcPr>
            <w:tcW w:w="346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5,515,435</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4,571,600</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4,178,954</w:t>
            </w:r>
          </w:p>
        </w:tc>
      </w:tr>
      <w:tr>
        <w:trPr/>
        <w:tc>
          <w:tcPr>
            <w:tcW w:w="346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Case sales by segment:</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520,577</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428,596</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377,551</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92,864</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76,225</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71,219</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case sales</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613,441</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504,821</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448,770</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Average net sales per case</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9.31</w:t>
            </w:r>
          </w:p>
        </w:tc>
      </w:tr>
    </w:tbl>
    <w:p>
      <w:pPr>
        <w:pStyle w:val="TextBody"/>
        <w:spacing w:before="0" w:after="0"/>
        <w:ind w:left="0" w:right="0" w:hanging="0"/>
        <w:rPr/>
      </w:pPr>
      <w:r>
        <w:rPr/>
        <w:t>​</w:t>
      </w:r>
    </w:p>
    <w:p>
      <w:pPr>
        <w:pStyle w:val="TextBody"/>
        <w:spacing w:lineRule="auto" w:line="240" w:before="0" w:after="240"/>
        <w:ind w:left="0" w:right="0" w:firstLine="36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Excludes Other segment net sales of $25.9 million, $27.0 million and $21.9 million for the years ended December 31, 2021, 2020 and 2019, respectively, comprised of sales of our AFF Third-Party Products to independent third parties as these sales do not have unit case equivalents.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Inflation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Inflation had a negative impact on our results of operations, leading to increased cost of sales and operating expenses for the year ended December 31, 2021. Inflation did not have a significant impact on our results of operations for the years ended December 31, 2020 or 2019.</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Liquidity and Capital Resources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Cash and cash equivalents, short-term and long-term investments – </w:t>
      </w:r>
      <w:r>
        <w:rPr>
          <w:rFonts w:ascii="Times New Roman;Times;serif" w:hAnsi="Times New Roman;Times;serif"/>
          <w:sz w:val="22"/>
        </w:rPr>
        <w:t>As of December 31, 2021, we had $1.33 billion in cash and cash equivalents, $1.75 billion in short-term investments and $99.4 million in long-term investments, including certificates of deposit, commercial paper, U.S. government agency securities, U.S. treasuries, and to a lesser extent, municipal securities.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Of our $1.33 billion of cash and cash equivalents held at December 31, 2021, $608.6 million was held by our foreign subsidiaries. No short-term or long-term investments were held by our foreign subsidiaries at December 31, 2021.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believe that cash available from operations, including our cash resources and our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purchases of capital assets, equipment and properties, through at least the next 12 months. Based on our current plans, capital expenditures (exclusive of common stock repurchases) are currently estimated to be approximately $150.0 million through December 31, 2022. However, future business opportunities may cause a change in this estimate.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summarizes our cash flows for the years ended December 31, 2021, 2020 and 2019 (in thousands):</w:t>
      </w:r>
    </w:p>
    <w:p>
      <w:pPr>
        <w:pStyle w:val="TextBody"/>
        <w:spacing w:before="0" w:after="0"/>
        <w:ind w:left="0" w:right="0" w:hanging="0"/>
        <w:rPr/>
      </w:pPr>
      <w:r>
        <w:rPr/>
        <w:t>​</w:t>
      </w:r>
    </w:p>
    <w:tbl>
      <w:tblPr>
        <w:tblW w:w="7105" w:type="dxa"/>
        <w:jc w:val="left"/>
        <w:tblInd w:w="0" w:type="dxa"/>
        <w:tblCellMar>
          <w:top w:w="0" w:type="dxa"/>
          <w:left w:w="0" w:type="dxa"/>
          <w:bottom w:w="0" w:type="dxa"/>
          <w:right w:w="0" w:type="dxa"/>
        </w:tblCellMar>
      </w:tblPr>
      <w:tblGrid>
        <w:gridCol w:w="2656"/>
        <w:gridCol w:w="326"/>
        <w:gridCol w:w="211"/>
        <w:gridCol w:w="931"/>
        <w:gridCol w:w="326"/>
        <w:gridCol w:w="211"/>
        <w:gridCol w:w="931"/>
        <w:gridCol w:w="326"/>
        <w:gridCol w:w="211"/>
        <w:gridCol w:w="976"/>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86560" cy="175260"/>
                      <wp:effectExtent l="0" t="0" r="0" b="0"/>
                      <wp:wrapNone/>
                      <wp:docPr id="67" name="Frame66"/>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0" name="Frame6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1185" cy="175260"/>
                      <wp:effectExtent l="0" t="0" r="0" b="0"/>
                      <wp:wrapNone/>
                      <wp:docPr id="73" name="Frame7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19760" cy="175260"/>
                      <wp:effectExtent l="0" t="0" r="0" b="0"/>
                      <wp:wrapNone/>
                      <wp:docPr id="76" name="Frame75"/>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1,155,741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1,364,163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1,113,762</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(992,022)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(472,487)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(326,724)</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(526,068)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(628,506)</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Cash flows provided by operating activities.</w:t>
      </w:r>
      <w:r>
        <w:rPr>
          <w:rFonts w:ascii="Times New Roman;Times;serif" w:hAnsi="Times New Roman;Times;serif"/>
          <w:sz w:val="22"/>
        </w:rPr>
        <w:t xml:space="preserve"> Cash provided by operating activities was $1.16 billion for the year ended December 31, 2021, as compared with cash provided by operating activities of $1.36 billion for the year ended December 31, 2020.</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For the year ended December 31, 2021, cash provided by operating activities was primarily attributable to net income earned of $1.38 billion and adjustments for certain non-cash expenses, consisting of $50.2 million of depreciation and amortization, and $70.5 million of stock-based compensation. For the year ended December 31, 2021, cash provided by operating activities also increased due to a $114.3 million increase in accounts payable, a $71.6 million increase in accrued liabilities, a $31.5 million increase in accrued promotional allowances, a $16.4 million increase in deferred income taxes, an $8.0 million increase in accrued compensation and a $7.2 million increase in income taxes payable. For the year ended December 31, 2021, cash used in operating activities was primarily attributable a $277.8 million increase in inventories, a $254.2 million increase in accounts receivable, a $29.3 million increase in prepaid expenses and other assets, a $22.7 million decrease in deferred revenue and a $10.9 million increase in prepaid income taxes.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For the year ended December 31, 2020, cash provided by operating activities was primarily attributable to net income earned of $1.41 billion and adjustments for certain non-cash expenses, consisting of $57.0 million of depreciation and amortization, $70.3 million of stock-based compensation and $8.7 million of intangible impairments. For the year ended December 31, 2020, cash provided by operating activities also increased due to a $30.3 million decrease in inventories, a $26.4 million increase in accrued liabilities, an $18.7 million increase in accounts payable, a $13.8 million increase in accrued promotional allowances, a $10.4 million increase in income taxes payable, a $7.5 million increase in accrued compensation, a $5.5 million decrease in prepaid income taxes and a $1.0 million decrease in prepaid expenses and other assets. For the year ended December 31, 2020, cash used in operating activities was primarily attributable to a $156.9 million increase in deferred income taxes, a $120.1 million increase in accounts receivable and a $21.5 million decrease in deferred revenue.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Cash flows used in investing activities. </w:t>
      </w:r>
      <w:r>
        <w:rPr>
          <w:rFonts w:ascii="Times New Roman;Times;serif" w:hAnsi="Times New Roman;Times;serif"/>
          <w:sz w:val="22"/>
        </w:rPr>
        <w:t>Net cash used in investing activities was $992.0 million for the year ended December 31, 2021 as compared to cash used in investing activities of $472.5 million for the year ended December 31, 2020.</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For both the years ended December 31, 2021 and 2020, cash provided by investing activities was primarily attributable to sales of available-for-sale investments. For both the years ended December 31, 2021 and 2020, cash used in investing activities was primarily attributable to purchases of available-for-sale investments. For both the years ended December 31, 2021 and 2020, cash used in investing activities also included the acquisition of fixed assets consisting of vans and promotional vehicles, coolers and other equipment to support our marketing and promotional activities, production equipment, furniture and fixtures, office and computer equipment, real property, computer software, equipment used for sales and administrative activities, certain leasehold improvements, improvements to real property as well as the acquisition, defense and maintenance of trademarks.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Cash flows provided by (used in) financing activities. </w:t>
      </w:r>
      <w:r>
        <w:rPr>
          <w:rFonts w:ascii="Times New Roman;Times;serif" w:hAnsi="Times New Roman;Times;serif"/>
          <w:sz w:val="22"/>
        </w:rPr>
        <w:t xml:space="preserve">Cash provided by financing activities was $34.8 million for the year ended December 31, 2021 as compared to cash used in financing activities of ($526.1) million for the year ended December 31, 2020. The cash flows provided by financing activities for both the years ended December 31, 2021, and 2020 was primarily attributable to the issuance of our common stock related to stock-based compensation. The cash flows used in financing activities for both the years ended December 31, 2021 and 2020 was primarily the result of the repurchases of our common stock related to stock-based compensation.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following represents a summary of the Company’s contractual commitments and related scheduled maturities as of December 31, 2021:</w:t>
      </w:r>
    </w:p>
    <w:tbl>
      <w:tblPr>
        <w:tblW w:w="8435" w:type="dxa"/>
        <w:jc w:val="left"/>
        <w:tblInd w:w="0" w:type="dxa"/>
        <w:tblCellMar>
          <w:top w:w="0" w:type="dxa"/>
          <w:left w:w="0" w:type="dxa"/>
          <w:bottom w:w="0" w:type="dxa"/>
          <w:right w:w="0" w:type="dxa"/>
        </w:tblCellMar>
      </w:tblPr>
      <w:tblGrid>
        <w:gridCol w:w="2161"/>
        <w:gridCol w:w="326"/>
        <w:gridCol w:w="211"/>
        <w:gridCol w:w="781"/>
        <w:gridCol w:w="326"/>
        <w:gridCol w:w="211"/>
        <w:gridCol w:w="781"/>
        <w:gridCol w:w="326"/>
        <w:gridCol w:w="211"/>
        <w:gridCol w:w="676"/>
        <w:gridCol w:w="326"/>
        <w:gridCol w:w="211"/>
        <w:gridCol w:w="571"/>
        <w:gridCol w:w="326"/>
        <w:gridCol w:w="235"/>
        <w:gridCol w:w="75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72235" cy="175260"/>
                      <wp:effectExtent l="0" t="0" r="0" b="0"/>
                      <wp:wrapNone/>
                      <wp:docPr id="77" name="Frame76"/>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5935" cy="175260"/>
                      <wp:effectExtent l="0" t="0" r="0" b="0"/>
                      <wp:wrapNone/>
                      <wp:docPr id="80" name="Frame7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2" name="Frame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3" name="Frame8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5" name="Frame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6" name="Frame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89" name="Frame8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0"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9225" cy="175260"/>
                      <wp:effectExtent l="0" t="0" r="0" b="0"/>
                      <wp:wrapNone/>
                      <wp:docPr id="91" name="Frame90"/>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80060" cy="175260"/>
                      <wp:effectExtent l="0" t="0" r="0" b="0"/>
                      <wp:wrapNone/>
                      <wp:docPr id="92" name="Frame91"/>
                      <a:graphic xmlns:a="http://schemas.openxmlformats.org/drawingml/2006/main">
                        <a:graphicData uri="http://schemas.microsoft.com/office/word/2010/wordprocessingShape">
                          <wps:wsp>
                            <wps:cNvSpPr txBox="1"/>
                            <wps:spPr>
                              <a:xfrm>
                                <a:off x="0" y="0"/>
                                <a:ext cx="480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948"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w:t>
            </w:r>
          </w:p>
        </w:tc>
        <w:tc>
          <w:tcPr>
            <w:tcW w:w="756" w:type="dxa"/>
            <w:tcBorders/>
            <w:shd w:fill="auto" w:val="clear"/>
            <w:vAlign w:val="center"/>
          </w:tcPr>
          <w:p>
            <w:pPr>
              <w:pStyle w:val="TableContents"/>
              <w:spacing w:before="0" w:after="0"/>
              <w:ind w:left="0" w:right="0" w:hanging="0"/>
              <w:jc w:val="right"/>
              <w:rPr/>
            </w:pPr>
            <w:r>
              <w:rPr/>
              <w:t>​</w:t>
            </w:r>
          </w:p>
        </w:tc>
      </w:tr>
      <w:tr>
        <w:trPr/>
        <w:tc>
          <w:tcPr>
            <w:tcW w:w="216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305,053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236,698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spacing w:before="0" w:after="0"/>
              <w:ind w:left="0" w:right="0" w:hanging="0"/>
              <w:jc w:val="right"/>
              <w:rPr/>
            </w:pPr>
            <w:r>
              <w:rPr/>
              <w:t>—</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auto" w:val="clear"/>
            <w:vAlign w:val="center"/>
          </w:tcPr>
          <w:p>
            <w:pPr>
              <w:pStyle w:val="TableContents"/>
              <w:spacing w:before="0" w:after="0"/>
              <w:ind w:left="0" w:right="0" w:hanging="0"/>
              <w:rPr/>
            </w:pPr>
            <w:r>
              <w:rPr/>
              <w:t>​</w:t>
            </w:r>
          </w:p>
        </w:tc>
        <w:tc>
          <w:tcPr>
            <w:tcW w:w="235" w:type="dxa"/>
            <w:tcBorders/>
            <w:shd w:fill="auto" w:val="clear"/>
            <w:vAlign w:val="center"/>
          </w:tcPr>
          <w:p>
            <w:pPr>
              <w:pStyle w:val="TableContents"/>
              <w:spacing w:before="0" w:after="0"/>
              <w:ind w:left="0" w:right="0" w:hanging="0"/>
              <w:rPr/>
            </w:pPr>
            <w:r>
              <w:rPr/>
              <w:t> </w:t>
            </w:r>
          </w:p>
        </w:tc>
        <w:tc>
          <w:tcPr>
            <w:tcW w:w="756" w:type="dxa"/>
            <w:tcBorders/>
            <w:shd w:fill="auto" w:val="clear"/>
            <w:vAlign w:val="center"/>
          </w:tcPr>
          <w:p>
            <w:pPr>
              <w:pStyle w:val="TableContents"/>
              <w:spacing w:before="0" w:after="0"/>
              <w:ind w:left="0" w:right="0" w:hanging="0"/>
              <w:jc w:val="right"/>
              <w:rPr/>
            </w:pPr>
            <w:r>
              <w:rPr/>
              <w:t>—</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3,361</w:t>
            </w:r>
          </w:p>
        </w:tc>
        <w:tc>
          <w:tcPr>
            <w:tcW w:w="326" w:type="dxa"/>
            <w:tcBorders/>
            <w:shd w:fill="CCEEFF" w:val="clear"/>
            <w:vAlign w:val="center"/>
          </w:tcPr>
          <w:p>
            <w:pPr>
              <w:pStyle w:val="TableContents"/>
              <w:spacing w:before="0" w:after="0"/>
              <w:ind w:left="0" w:right="0" w:hanging="0"/>
              <w:rPr/>
            </w:pPr>
            <w:r>
              <w:rPr/>
              <w:t>​</w:t>
            </w:r>
          </w:p>
        </w:tc>
        <w:tc>
          <w:tcPr>
            <w:tcW w:w="235" w:type="dxa"/>
            <w:tcBorders/>
            <w:shd w:fill="CCEEFF" w:val="clear"/>
            <w:vAlign w:val="center"/>
          </w:tcPr>
          <w:p>
            <w:pPr>
              <w:pStyle w:val="TableContents"/>
              <w:spacing w:before="0" w:after="0"/>
              <w:ind w:left="0" w:right="0" w:hanging="0"/>
              <w:rPr/>
            </w:pPr>
            <w:r>
              <w:rPr/>
              <w:t> </w:t>
            </w:r>
          </w:p>
        </w:tc>
        <w:tc>
          <w:tcPr>
            <w:tcW w:w="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9,949</w:t>
            </w:r>
          </w:p>
        </w:tc>
      </w:tr>
      <w:tr>
        <w:trPr/>
        <w:tc>
          <w:tcPr>
            <w:tcW w:w="216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273,422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273,422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1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604,195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515,689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75,178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3,379</w:t>
            </w:r>
          </w:p>
        </w:tc>
        <w:tc>
          <w:tcPr>
            <w:tcW w:w="326" w:type="dxa"/>
            <w:tcBorders/>
            <w:shd w:fill="CCEEFF" w:val="clear"/>
            <w:vAlign w:val="center"/>
          </w:tcPr>
          <w:p>
            <w:pPr>
              <w:pStyle w:val="TableContents"/>
              <w:spacing w:before="0" w:after="0"/>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9,949</w:t>
            </w:r>
          </w:p>
        </w:tc>
      </w:tr>
    </w:tbl>
    <w:p>
      <w:pPr>
        <w:pStyle w:val="TextBody"/>
        <w:spacing w:before="0" w:after="240"/>
        <w:ind w:left="0" w:right="0" w:hanging="0"/>
        <w:jc w:val="both"/>
        <w:rPr>
          <w:rFonts w:ascii="Times New Roman;Times;serif" w:hAnsi="Times New Roman;Times;serif"/>
          <w:sz w:val="16"/>
        </w:rPr>
      </w:pPr>
      <w:bookmarkStart w:id="47" w:name="_Hlk95232058"/>
      <w:bookmarkEnd w:id="47"/>
      <w:r>
        <w:rPr>
          <w:rFonts w:ascii="Times New Roman;Times;serif" w:hAnsi="Times New Roman;Times;serif"/>
          <w:sz w:val="16"/>
        </w:rPr>
        <w:t>¹ Contractual obligations include our obligations related to sponsorships, other marketing activities and AFF new production facility construction costs.</w:t>
      </w:r>
    </w:p>
    <w:p>
      <w:pPr>
        <w:pStyle w:val="TextBody"/>
        <w:spacing w:before="0" w:after="240"/>
        <w:ind w:left="0" w:right="0" w:hanging="0"/>
        <w:jc w:val="both"/>
        <w:rPr>
          <w:rFonts w:ascii="Times New Roman;Times;serif" w:hAnsi="Times New Roman;Times;serif"/>
          <w:sz w:val="16"/>
        </w:rPr>
      </w:pPr>
      <w:r>
        <w:rPr>
          <w:rFonts w:ascii="Times New Roman;Times;serif" w:hAnsi="Times New Roman;Times;serif"/>
          <w:sz w:val="16"/>
        </w:rPr>
        <w:t>² Purchase commitments include obligations made by us and our subsidiaries to various suppliers for raw materials used in the production of our products. These obligations vary in terms, but are generally satisfied within one year.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addition, no unrecognized tax benefits have been recorded as liabilities as of December 31, 2021. It is expected that the amount of unrecognized tax benefits will not significantly change within the next 12 months.</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Accounting Policies and Pronouncements</w:t>
      </w:r>
    </w:p>
    <w:p>
      <w:pPr>
        <w:pStyle w:val="TextBody"/>
        <w:spacing w:before="0" w:after="240"/>
        <w:ind w:left="720" w:right="0" w:hanging="0"/>
        <w:rPr>
          <w:rFonts w:ascii="Times New Roman;Times;serif" w:hAnsi="Times New Roman;Times;serif"/>
          <w:b/>
          <w:i/>
          <w:sz w:val="22"/>
        </w:rPr>
      </w:pPr>
      <w:r>
        <w:rPr>
          <w:rFonts w:ascii="Times New Roman;Times;serif" w:hAnsi="Times New Roman;Times;serif"/>
          <w:b/>
          <w:i/>
          <w:sz w:val="22"/>
        </w:rPr>
        <w:t>Critical Accounting Policies and Estimates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See “Part II, Item 8 – Financial Statements and Supplementary Data – Note 1 – Organization and Summary of Significant Accounting Policies” for a summary of our significant accounting policies.</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following summarizes our most significant critical accounting estimates: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Goodwill</w:t>
      </w:r>
      <w:r>
        <w:rPr>
          <w:rFonts w:ascii="Times New Roman;Times;serif" w:hAnsi="Times New Roman;Times;serif"/>
          <w:sz w:val="22"/>
        </w:rPr>
        <w:t> – The Company records goodwill when the consideration paid for an acquisition exceeds the fair value of 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Application of the goodwill impairment test requires significant judgment, including the identification of reporting units, assignment of assets and liabilities to reporting units, assignment of goodwill to reporting units, and determination of the fair value of each reporting unit. The fair value of each reporting unit is estimated through the use of a discounted cash flow methodology. This analysis requires significant assumptions, including discount rate, projected future revenues, projected future operating margins and terminal growth rates. 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 The Company will recognize an impairment for the amount by which the carrying amount exceeds a reporting unit’s fair value. For the years ended December 31, 2021, 2020 and 2019, there were no impairments recorded and there are no accumulated impairment balances.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Other Intangibles</w:t>
      </w:r>
      <w:r>
        <w:rPr>
          <w:rFonts w:ascii="Times New Roman;Times;serif" w:hAnsi="Times New Roman;Times;serif"/>
          <w:sz w:val="22"/>
        </w:rPr>
        <w:t> – In accordance with FASB ASC 350, intangible assets with indefinite lives are not amortized but instead are measured for impairment at least annually, or when events indicate that an impairment exists. Recoverability of indefinite-lived intangible assets is determined on a relief from royalty methodology, which is based on the implied royalty paid, at an appropriate discount rate, to license the use of an asset rather than owning the asset. The present value of the after-tax cost savings (i.e. royalty relief) indicates the estimated fair value of the asset. Any excess of the carrying value over the estimated fair value is recognized as an impairment loss equal to that excess. This analysis requires significant assumptions, including discount rate, projected future revenues and terminal growth rates. A significant change in any or a combination of the assumptions used to estimate fair value of our indefinite-lived intangible assets could have a negative impact on the estimated fair values. The Company amortizes its trademarks with finite useful lives over their respective useful lives. For the years ended December 31, 2021 and 2019 no impairments were recorded. For the year ended December 31, 2020, an impairment charge of $8.7 million was recorded to intangibles.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Revenue Recognition</w:t>
      </w:r>
      <w:r>
        <w:rPr>
          <w:rFonts w:ascii="Times New Roman;Times;serif" w:hAnsi="Times New Roman;Times;serif"/>
          <w:sz w:val="22"/>
        </w:rPr>
        <w:t> – Promotional and other allowances (variable consideration) recorded as a reduction to net sales, primarily include consideration given to the Company’s bottlers/distributors or retail customers including, but not limited to the following:</w:t>
      </w:r>
    </w:p>
    <w:tbl>
      <w:tblPr>
        <w:tblW w:w="9051" w:type="dxa"/>
        <w:jc w:val="left"/>
        <w:tblInd w:w="0" w:type="dxa"/>
        <w:tblCellMar>
          <w:top w:w="28" w:type="dxa"/>
          <w:left w:w="28" w:type="dxa"/>
          <w:bottom w:w="28" w:type="dxa"/>
          <w:right w:w="28" w:type="dxa"/>
        </w:tblCellMar>
      </w:tblPr>
      <w:tblGrid>
        <w:gridCol w:w="124"/>
        <w:gridCol w:w="256"/>
        <w:gridCol w:w="8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discounts granted off list prices to support price promotions to end-consumers by retailers;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reimbursements given to the Company’s bottlers/distributors for agreed portions of their promotional spend with retailers, including slotting, shelf space allowances and other fees for both new and existing products;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Company’s agreed share of fees given to bottlers/distributors and/or directly to retailers for advertising, in-store marketing and promotional activities;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Company’s agreed share of slotting, shelf space allowances and other fees given directly to retailers;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incentives given to the Company’s bottlers/distributors and/or retailers for achieving or exceeding certain predetermined sales goals; </w:t>
            </w:r>
          </w:p>
        </w:tc>
      </w:tr>
    </w:tbl>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discounted or free products;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contractual fees given to the Company’s bottlers/distributors related to sales made directly by the Company to certain customers that fall within the bottlers’/distributors’ sales territories; and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commissions paid to TCCC based on our sales to certain wholly-owned subsidiaries of TCCC and/or to certain companies accounted for under the equity method by TCCC.</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pStyle w:val="TextBody"/>
        <w:spacing w:before="0" w:after="240"/>
        <w:ind w:left="720" w:right="0" w:hanging="0"/>
        <w:rPr>
          <w:rFonts w:ascii="Times New Roman;Times;serif" w:hAnsi="Times New Roman;Times;serif"/>
          <w:b/>
          <w:i/>
          <w:sz w:val="22"/>
        </w:rPr>
      </w:pPr>
      <w:r>
        <w:rPr>
          <w:rFonts w:ascii="Times New Roman;Times;serif" w:hAnsi="Times New Roman;Times;serif"/>
          <w:b/>
          <w:i/>
          <w:sz w:val="22"/>
        </w:rPr>
        <w:t>Recent Accounting Pronouncements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Forward-Looking Statements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absorb, mitigate or pass on to our bottlers/distributors and/or consumers increases in commodity, freight and other costs;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human and economic consequences of the COVID-19 pandemic, including new variants, as well as the measures taken or that may be taken in the future by governments, and consequently, businesses (including the Company and its suppliers, bottlers/ distributors, co-packers and other service providers) and the public at large to limit the COVID-19 pandemic;</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Fluctuations in growth and/or growth rates and/or decline in sales of the domestic and international energy drink categories generally, including in the convenience and gas channel (which is our largest channel) and the impact on demand for our products resulting from deteriorating economic conditions and/or financial uncertainties due to the COVID-19 pandemic;</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the reduction in 2020 or future reductions of our sponsorship and endorsement activities as well as our sampling activities as a result of COVID-19 or other pandemics on our future sales and market share;</w:t>
            </w:r>
          </w:p>
        </w:tc>
      </w:tr>
    </w:tbl>
    <w:tbl>
      <w:tblPr>
        <w:tblW w:w="9167" w:type="dxa"/>
        <w:jc w:val="left"/>
        <w:tblInd w:w="0" w:type="dxa"/>
        <w:tblCellMar>
          <w:top w:w="0" w:type="dxa"/>
          <w:left w:w="0" w:type="dxa"/>
          <w:bottom w:w="0" w:type="dxa"/>
          <w:right w:w="0" w:type="dxa"/>
        </w:tblCellMar>
      </w:tblPr>
      <w:tblGrid>
        <w:gridCol w:w="271"/>
        <w:gridCol w:w="8896"/>
      </w:tblGrid>
      <w:tr>
        <w:trPr/>
        <w:tc>
          <w:tcPr>
            <w:tcW w:w="271" w:type="dxa"/>
            <w:tcBorders/>
            <w:shd w:fill="auto" w:val="clear"/>
            <w:vAlign w:val="center"/>
          </w:tcPr>
          <w:p>
            <w:pPr>
              <w:pStyle w:val="TableContents"/>
              <w:spacing w:before="0" w:after="283"/>
              <w:rPr/>
            </w:pPr>
            <w:r>
              <w:rPr/>
              <w:t>●</w:t>
            </w:r>
          </w:p>
        </w:tc>
        <w:tc>
          <w:tcPr>
            <w:tcW w:w="88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impact of countries being in lockdown due to the COVID-19 pandemic at various times;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Delays in the availability and/or administration and/or acceptance of vaccines may prolong the COVID-19 pandemic;</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vaccine mandates on our business and supply chain, including our ability to recruit and/or retain employees, and disruptions in the business of our co-packers, bottlers/distributors and/or suppliers.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Closures of, and continued restrictions on, on-premise retailers and other establishments which sell our products as the result of the COVID-19 pandemic;</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limitation or reduction by our suppliers, bottlers/distributors and/or co-packers of their activities and/or operations during the COVID-19 pandemic;</w:t>
            </w:r>
          </w:p>
        </w:tc>
      </w:tr>
    </w:tbl>
    <w:tbl>
      <w:tblPr>
        <w:tblW w:w="7517" w:type="dxa"/>
        <w:jc w:val="left"/>
        <w:tblInd w:w="0" w:type="dxa"/>
        <w:tblCellMar>
          <w:top w:w="0" w:type="dxa"/>
          <w:left w:w="0" w:type="dxa"/>
          <w:bottom w:w="0" w:type="dxa"/>
          <w:right w:w="0" w:type="dxa"/>
        </w:tblCellMar>
      </w:tblPr>
      <w:tblGrid>
        <w:gridCol w:w="271"/>
        <w:gridCol w:w="7246"/>
      </w:tblGrid>
      <w:tr>
        <w:trPr/>
        <w:tc>
          <w:tcPr>
            <w:tcW w:w="271" w:type="dxa"/>
            <w:tcBorders/>
            <w:shd w:fill="auto" w:val="clear"/>
            <w:vAlign w:val="center"/>
          </w:tcPr>
          <w:p>
            <w:pPr>
              <w:pStyle w:val="TableContents"/>
              <w:spacing w:before="0" w:after="283"/>
              <w:rPr/>
            </w:pPr>
            <w:r>
              <w:rPr/>
              <w:t>●</w:t>
            </w:r>
          </w:p>
        </w:tc>
        <w:tc>
          <w:tcPr>
            <w:tcW w:w="72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the COVID-19 pandemic on our product sampling programs;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introduce new products and the impact of the COVID-19 pandemic on our innovation activities;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successfully adapt to the changing landscape of advertising, marketing, promotional, sponsorship and endorsement opportunities created by the COVID-19 pandemic;</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Other effects of the COVID-19 pandemic on our employees, such as mental health challenges that employees may face;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any reductions in productivity and disruptions to our business routines while most office-based employees of the Company are working remotely;</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logistical issues, including shortages of shipping containers, port of entry congestion and increased freight costs;</w:t>
            </w:r>
          </w:p>
        </w:tc>
      </w:tr>
    </w:tbl>
    <w:p>
      <w:pPr>
        <w:pStyle w:val="Normal"/>
        <w:spacing w:before="0" w:after="0"/>
        <w:rPr>
          <w:sz w:val="4"/>
          <w:szCs w:val="4"/>
        </w:rPr>
      </w:pPr>
      <w:r>
        <w:rPr>
          <w:sz w:val="4"/>
          <w:szCs w:val="4"/>
        </w:rPr>
      </w:r>
      <w:bookmarkStart w:id="48" w:name="_Hlk15649289"/>
      <w:bookmarkStart w:id="49" w:name="_Hlk15649289"/>
      <w:bookmarkEnd w:id="49"/>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have extensive commercial arrangements with TCCC and, as a result, our future performance is substantially dependent on the success of our relationship with TCCC;</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TCCC’s bottlers/distributors distributing Coca-Cola brand energy drinks and possible reductions in the number of our SKUs carried by such bottlers/distributors and/or such bottlers/distributors imposing limitations on distributing new product SKUs;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effect of TCCC being one of our significant stockholders and the potential divergence of TCCC’s interests from those of our other stockholders;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maintain relationships with TCCC system bottlers/distributors and manage their ongoing commitment to focus on our products;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Disruption in distribution channels and/or decline in sales due to the termination and/or insolvency of existing and/or new domestic and/or international bottlers/distributors;</w:t>
            </w:r>
          </w:p>
        </w:tc>
      </w:tr>
    </w:tbl>
    <w:tbl>
      <w:tblPr>
        <w:tblW w:w="8492" w:type="dxa"/>
        <w:jc w:val="left"/>
        <w:tblInd w:w="0" w:type="dxa"/>
        <w:tblCellMar>
          <w:top w:w="0" w:type="dxa"/>
          <w:left w:w="0" w:type="dxa"/>
          <w:bottom w:w="0" w:type="dxa"/>
          <w:right w:w="0" w:type="dxa"/>
        </w:tblCellMar>
      </w:tblPr>
      <w:tblGrid>
        <w:gridCol w:w="271"/>
        <w:gridCol w:w="8221"/>
      </w:tblGrid>
      <w:tr>
        <w:trPr/>
        <w:tc>
          <w:tcPr>
            <w:tcW w:w="271" w:type="dxa"/>
            <w:tcBorders/>
            <w:shd w:fill="auto" w:val="clear"/>
            <w:vAlign w:val="center"/>
          </w:tcPr>
          <w:p>
            <w:pPr>
              <w:pStyle w:val="TableContents"/>
              <w:spacing w:before="0" w:after="283"/>
              <w:rPr/>
            </w:pPr>
            <w:r>
              <w:rPr/>
              <w:t>●</w:t>
            </w:r>
          </w:p>
        </w:tc>
        <w:tc>
          <w:tcPr>
            <w:tcW w:w="82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Lack of anticipated demand for our products in domestic and/or international markets;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Fluctuations in the inventory levels of our bottlers/distributors, planned or otherwise, and the resultant impact on our revenues;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comply with laws, regulations and evolving industry standards regarding consumer privacy and data use and security, including with respect to the General Data Protection Regulation and the California Consumer Privacy Act of 2018;</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achieve profitability and/or repatriate cash from certain of our operations outside the United States;</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U.S. tax laws as a result of any legislation proposed by the new U.S. Presidential Administration or U.S. Congress, which may include efforts to change or repeal the 2017 Tax Cuts and Jobs Act and the federal corporate income tax rate reduction;</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produce our products in international markets in which they are sold, thereby reducing freight costs and/or product damages;</w:t>
            </w:r>
          </w:p>
        </w:tc>
      </w:tr>
    </w:tbl>
    <w:tbl>
      <w:tblPr>
        <w:tblW w:w="8072" w:type="dxa"/>
        <w:jc w:val="left"/>
        <w:tblInd w:w="0" w:type="dxa"/>
        <w:tblCellMar>
          <w:top w:w="0" w:type="dxa"/>
          <w:left w:w="0" w:type="dxa"/>
          <w:bottom w:w="0" w:type="dxa"/>
          <w:right w:w="0" w:type="dxa"/>
        </w:tblCellMar>
      </w:tblPr>
      <w:tblGrid>
        <w:gridCol w:w="271"/>
        <w:gridCol w:w="7801"/>
      </w:tblGrid>
      <w:tr>
        <w:trPr/>
        <w:tc>
          <w:tcPr>
            <w:tcW w:w="271" w:type="dxa"/>
            <w:tcBorders/>
            <w:shd w:fill="auto" w:val="clear"/>
            <w:vAlign w:val="center"/>
          </w:tcPr>
          <w:p>
            <w:pPr>
              <w:pStyle w:val="TableContents"/>
              <w:spacing w:before="0" w:after="283"/>
              <w:rPr/>
            </w:pPr>
            <w:r>
              <w:rPr/>
              <w:t>●</w:t>
            </w:r>
          </w:p>
        </w:tc>
        <w:tc>
          <w:tcPr>
            <w:tcW w:w="78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effectively manage our inventories and/or our accounts receivables;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foreign currency exchange rate risk with respect to our sales, expenses, profits, assets and liabilities denominated in currencies other than the U.S. dollar, which will continue to increase as foreign sales increase;</w:t>
            </w:r>
          </w:p>
        </w:tc>
      </w:tr>
    </w:tbl>
    <w:tbl>
      <w:tblPr>
        <w:tblW w:w="9557" w:type="dxa"/>
        <w:jc w:val="left"/>
        <w:tblInd w:w="0" w:type="dxa"/>
        <w:tblCellMar>
          <w:top w:w="0" w:type="dxa"/>
          <w:left w:w="0" w:type="dxa"/>
          <w:bottom w:w="0" w:type="dxa"/>
          <w:right w:w="0" w:type="dxa"/>
        </w:tblCellMar>
      </w:tblPr>
      <w:tblGrid>
        <w:gridCol w:w="271"/>
        <w:gridCol w:w="9286"/>
      </w:tblGrid>
      <w:tr>
        <w:trPr/>
        <w:tc>
          <w:tcPr>
            <w:tcW w:w="271" w:type="dxa"/>
            <w:tcBorders/>
            <w:shd w:fill="auto" w:val="clear"/>
            <w:vAlign w:val="center"/>
          </w:tcPr>
          <w:p>
            <w:pPr>
              <w:pStyle w:val="TableContents"/>
              <w:spacing w:before="0" w:after="283"/>
              <w:rPr/>
            </w:pPr>
            <w:r>
              <w:rPr/>
              <w:t>●</w:t>
            </w:r>
          </w:p>
        </w:tc>
        <w:tc>
          <w:tcPr>
            <w:tcW w:w="92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long-term impact of the United Kingdom’s departure from the European Union (or “Brexit”);</w:t>
            </w:r>
          </w:p>
        </w:tc>
      </w:tr>
    </w:tbl>
    <w:tbl>
      <w:tblPr>
        <w:tblW w:w="6992" w:type="dxa"/>
        <w:jc w:val="left"/>
        <w:tblInd w:w="0" w:type="dxa"/>
        <w:tblCellMar>
          <w:top w:w="0" w:type="dxa"/>
          <w:left w:w="0" w:type="dxa"/>
          <w:bottom w:w="0" w:type="dxa"/>
          <w:right w:w="0" w:type="dxa"/>
        </w:tblCellMar>
      </w:tblPr>
      <w:tblGrid>
        <w:gridCol w:w="271"/>
        <w:gridCol w:w="6721"/>
      </w:tblGrid>
      <w:tr>
        <w:trPr/>
        <w:tc>
          <w:tcPr>
            <w:tcW w:w="271" w:type="dxa"/>
            <w:tcBorders/>
            <w:shd w:fill="auto" w:val="clear"/>
            <w:vAlign w:val="center"/>
          </w:tcPr>
          <w:p>
            <w:pPr>
              <w:pStyle w:val="TableContents"/>
              <w:spacing w:before="0" w:after="283"/>
              <w:rPr/>
            </w:pPr>
            <w:r>
              <w:rPr/>
              <w:t>●</w:t>
            </w:r>
          </w:p>
        </w:tc>
        <w:tc>
          <w:tcPr>
            <w:tcW w:w="67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accounting standards may affect our reported profitability;</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Implications of the Organization for Economic Cooperation and Development’s base erosion and profit shifting project;</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proceedings which may be brought against us by the Securities and Exchange Commission (the “SEC”), the FDA, the FTC or other governmental agencies or bodies;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outcome and/or possibility of future shareholder derivative actions or shareholder securities litigation that may be filed against us and/or against certain of our officers and directors, and the possibility of other private shareholder litigation;</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tc>
      </w:tr>
    </w:tbl>
    <w:tbl>
      <w:tblPr>
        <w:tblW w:w="8117" w:type="dxa"/>
        <w:jc w:val="left"/>
        <w:tblInd w:w="0" w:type="dxa"/>
        <w:tblCellMar>
          <w:top w:w="0" w:type="dxa"/>
          <w:left w:w="0" w:type="dxa"/>
          <w:bottom w:w="0" w:type="dxa"/>
          <w:right w:w="0" w:type="dxa"/>
        </w:tblCellMar>
      </w:tblPr>
      <w:tblGrid>
        <w:gridCol w:w="271"/>
        <w:gridCol w:w="7846"/>
      </w:tblGrid>
      <w:tr>
        <w:trPr/>
        <w:tc>
          <w:tcPr>
            <w:tcW w:w="271" w:type="dxa"/>
            <w:tcBorders/>
            <w:shd w:fill="auto" w:val="clear"/>
            <w:vAlign w:val="center"/>
          </w:tcPr>
          <w:p>
            <w:pPr>
              <w:pStyle w:val="TableContents"/>
              <w:spacing w:before="0" w:after="283"/>
              <w:rPr/>
            </w:pPr>
            <w:r>
              <w:rPr/>
              <w:t>●</w:t>
            </w:r>
          </w:p>
        </w:tc>
        <w:tc>
          <w:tcPr>
            <w:tcW w:w="78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Exposure to significant liabilities due to litigation, legal or regulatory proceedings;</w:t>
            </w:r>
          </w:p>
        </w:tc>
      </w:tr>
    </w:tbl>
    <w:tbl>
      <w:tblPr>
        <w:tblW w:w="3467" w:type="dxa"/>
        <w:jc w:val="left"/>
        <w:tblInd w:w="0" w:type="dxa"/>
        <w:tblCellMar>
          <w:top w:w="0" w:type="dxa"/>
          <w:left w:w="0" w:type="dxa"/>
          <w:bottom w:w="0" w:type="dxa"/>
          <w:right w:w="0" w:type="dxa"/>
        </w:tblCellMar>
      </w:tblPr>
      <w:tblGrid>
        <w:gridCol w:w="271"/>
        <w:gridCol w:w="3196"/>
      </w:tblGrid>
      <w:tr>
        <w:trPr/>
        <w:tc>
          <w:tcPr>
            <w:tcW w:w="271" w:type="dxa"/>
            <w:tcBorders/>
            <w:shd w:fill="auto" w:val="clear"/>
            <w:vAlign w:val="center"/>
          </w:tcPr>
          <w:p>
            <w:pPr>
              <w:pStyle w:val="TableContents"/>
              <w:spacing w:before="0" w:after="283"/>
              <w:rPr/>
            </w:pPr>
            <w:r>
              <w:rPr/>
              <w:t>●</w:t>
            </w:r>
          </w:p>
        </w:tc>
        <w:tc>
          <w:tcPr>
            <w:tcW w:w="31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Intellectual property injunctions;</w:t>
            </w:r>
          </w:p>
        </w:tc>
      </w:tr>
    </w:tbl>
    <w:tbl>
      <w:tblPr>
        <w:tblW w:w="3977" w:type="dxa"/>
        <w:jc w:val="left"/>
        <w:tblInd w:w="0" w:type="dxa"/>
        <w:tblCellMar>
          <w:top w:w="0" w:type="dxa"/>
          <w:left w:w="0" w:type="dxa"/>
          <w:bottom w:w="0" w:type="dxa"/>
          <w:right w:w="0" w:type="dxa"/>
        </w:tblCellMar>
      </w:tblPr>
      <w:tblGrid>
        <w:gridCol w:w="271"/>
        <w:gridCol w:w="3706"/>
      </w:tblGrid>
      <w:tr>
        <w:trPr/>
        <w:tc>
          <w:tcPr>
            <w:tcW w:w="271" w:type="dxa"/>
            <w:tcBorders/>
            <w:shd w:fill="auto" w:val="clear"/>
            <w:vAlign w:val="center"/>
          </w:tcPr>
          <w:p>
            <w:pPr>
              <w:pStyle w:val="TableContents"/>
              <w:spacing w:before="0" w:after="283"/>
              <w:rPr/>
            </w:pPr>
            <w:r>
              <w:rPr/>
              <w:t>●</w:t>
            </w:r>
          </w:p>
        </w:tc>
        <w:tc>
          <w:tcPr>
            <w:tcW w:w="37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Unfavorable resolution of tax matters;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Uncertainty and volatility in the domestic and global economies, including risk of counterparty default or failure;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address any significant deficiencies or material weakness in our internal controls over financial reporting;</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continue to generate sufficient cash flows to support our expansion plans and general operating activities;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Adverse publicity surrounding obesity and health concerns related to our products, product safety and quality, water usage, environmental impact and sustainability, human rights, our culture, workforce and labor and workplace laws;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unstable political conditions, civil unrest, large scale terrorist acts, the outbreak or escalation of armed hostilities, major natural disasters and extreme weather conditions, or widespread outbreaks of infectious diseases (such as the COVID-19 pandemic);</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on our business of trademark and trade dress infringement proceedings brought against us relating to our brands, including our Reign Total Body Fuel® high performance energy drinks, which could result in an injunction barring us from selling certain of our products and/or require changes to be made to our current trade dress;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implement and/or maintain price increases, including through reductions in promotional allowances;</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072" w:type="dxa"/>
        <w:jc w:val="left"/>
        <w:tblInd w:w="0" w:type="dxa"/>
        <w:tblCellMar>
          <w:top w:w="0" w:type="dxa"/>
          <w:left w:w="0" w:type="dxa"/>
          <w:bottom w:w="0" w:type="dxa"/>
          <w:right w:w="0" w:type="dxa"/>
        </w:tblCellMar>
      </w:tblPr>
      <w:tblGrid>
        <w:gridCol w:w="271"/>
        <w:gridCol w:w="7801"/>
      </w:tblGrid>
      <w:tr>
        <w:trPr/>
        <w:tc>
          <w:tcPr>
            <w:tcW w:w="271" w:type="dxa"/>
            <w:tcBorders/>
            <w:shd w:fill="auto" w:val="clear"/>
            <w:vAlign w:val="center"/>
          </w:tcPr>
          <w:p>
            <w:pPr>
              <w:pStyle w:val="TableContents"/>
              <w:spacing w:before="0" w:after="283"/>
              <w:rPr/>
            </w:pPr>
            <w:r>
              <w:rPr/>
              <w:t>●</w:t>
            </w:r>
          </w:p>
        </w:tc>
        <w:tc>
          <w:tcPr>
            <w:tcW w:w="78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inability to achieve volume growth through product and packaging initiatives;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sustain the current level of sales and/or achieve growth for our Monster Energy® brand energy drinks and/or our other products, including our Strategic Brands;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implement our growth strategy, including expanding our business in existing and new sectors, such as the alcoholic beverage sector;</w:t>
            </w:r>
          </w:p>
        </w:tc>
      </w:tr>
    </w:tbl>
    <w:tbl>
      <w:tblPr>
        <w:tblW w:w="8582" w:type="dxa"/>
        <w:jc w:val="left"/>
        <w:tblInd w:w="0" w:type="dxa"/>
        <w:tblCellMar>
          <w:top w:w="0" w:type="dxa"/>
          <w:left w:w="0" w:type="dxa"/>
          <w:bottom w:w="0" w:type="dxa"/>
          <w:right w:w="0" w:type="dxa"/>
        </w:tblCellMar>
      </w:tblPr>
      <w:tblGrid>
        <w:gridCol w:w="271"/>
        <w:gridCol w:w="8311"/>
      </w:tblGrid>
      <w:tr>
        <w:trPr/>
        <w:tc>
          <w:tcPr>
            <w:tcW w:w="271" w:type="dxa"/>
            <w:tcBorders/>
            <w:shd w:fill="auto" w:val="clear"/>
            <w:vAlign w:val="center"/>
          </w:tcPr>
          <w:p>
            <w:pPr>
              <w:pStyle w:val="TableContents"/>
              <w:spacing w:before="0" w:after="283"/>
              <w:rPr/>
            </w:pPr>
            <w:r>
              <w:rPr/>
              <w:t>●</w:t>
            </w:r>
          </w:p>
        </w:tc>
        <w:tc>
          <w:tcPr>
            <w:tcW w:w="83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successfully integrate CANarchy and other acquired businesses or assets;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comply with and/or resulting lower consumer demand and/or lower profit margins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Disruptions in the timely import or export of our products and/or ingredients including flavors, flavor ingredients and supplement ingredients due to port congestion, strikes and related labor issues or otherwise;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may have on our business;</w:t>
            </w:r>
          </w:p>
        </w:tc>
      </w:tr>
    </w:tbl>
    <w:tbl>
      <w:tblPr>
        <w:tblW w:w="10022" w:type="dxa"/>
        <w:jc w:val="left"/>
        <w:tblInd w:w="0" w:type="dxa"/>
        <w:tblCellMar>
          <w:top w:w="0" w:type="dxa"/>
          <w:left w:w="0" w:type="dxa"/>
          <w:bottom w:w="0" w:type="dxa"/>
          <w:right w:w="0" w:type="dxa"/>
        </w:tblCellMar>
      </w:tblPr>
      <w:tblGrid>
        <w:gridCol w:w="271"/>
        <w:gridCol w:w="9751"/>
      </w:tblGrid>
      <w:tr>
        <w:trPr/>
        <w:tc>
          <w:tcPr>
            <w:tcW w:w="271" w:type="dxa"/>
            <w:tcBorders/>
            <w:shd w:fill="auto" w:val="clear"/>
            <w:vAlign w:val="center"/>
          </w:tcPr>
          <w:p>
            <w:pPr>
              <w:pStyle w:val="TableContents"/>
              <w:spacing w:before="0" w:after="283"/>
              <w:rPr/>
            </w:pPr>
            <w:r>
              <w:rPr/>
              <w:t>●</w:t>
            </w:r>
          </w:p>
        </w:tc>
        <w:tc>
          <w:tcPr>
            <w:tcW w:w="97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effect of unfavorable or adverse public relations, press, articles, comments and/or media attention;</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the cost, quality and availability of containers, packaging materials, aluminum cans, the Midwest and other premiums, raw materials, including flavors and flavor ingredients, and other ingredients and juice concentrates, and our ability to obtain and/or maintain favorable supply arrangements and relationships and procure timely and/or sufficient production of all or any of our products to meet customer demand;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shortages that may be experienced in the procurement of containers and/or other raw materials including, without limitation, flavors, flavor ingredients, supplement ingredients, aluminum cans generally, PET containers used for our Monster Hydro® energy drinks, 24-ounce aluminum cap cans and 550ml BRE aluminum cans with resealable ends;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Limitations in securing the supply of sufficient quantities of aluminum cans may cause us to focus on producing higher volume products. As a result, certain of our lower volume products may be temporarily discontinued by our bottlers/distributors and/or their retail customers, and we may not be able to reinstate all, or any, of such lower volume products in the future;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on our cost of sales of corporate activity among the limited number of suppliers from whom we purchase certain raw materials;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pass on to our customers all or a portion of any increases in the costs of raw materials, ingredients, commodities and/or other cost inputs affecting our business;</w:t>
            </w:r>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penetrate new domestic and/or international markets and/or gain approval or mitigate the delay in securing approval for the sale of our products in various countries;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effectiveness of sales and/or marketing efforts by us and/or by the bottlers/distributors of our products, most of whom distribute products that may be regarded as competitive with our products;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devote less resources to the sale of our products;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impact of possible trading disputes between our bottler/distributors and their customers and/or one or more buying groups which may result in the delisting of certain of the Company products, temporarily or otherwise;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effects of retailer consolidation on our business and our ability to successfully adapt to the rapidly changing retail landscape;</w:t>
            </w:r>
          </w:p>
        </w:tc>
      </w:tr>
    </w:tbl>
    <w:tbl>
      <w:tblPr>
        <w:tblW w:w="9647" w:type="dxa"/>
        <w:jc w:val="left"/>
        <w:tblInd w:w="0" w:type="dxa"/>
        <w:tblCellMar>
          <w:top w:w="0" w:type="dxa"/>
          <w:left w:w="0" w:type="dxa"/>
          <w:bottom w:w="0" w:type="dxa"/>
          <w:right w:w="0" w:type="dxa"/>
        </w:tblCellMar>
      </w:tblPr>
      <w:tblGrid>
        <w:gridCol w:w="271"/>
        <w:gridCol w:w="9376"/>
      </w:tblGrid>
      <w:tr>
        <w:trPr/>
        <w:tc>
          <w:tcPr>
            <w:tcW w:w="271" w:type="dxa"/>
            <w:tcBorders/>
            <w:shd w:fill="auto" w:val="clear"/>
            <w:vAlign w:val="center"/>
          </w:tcPr>
          <w:p>
            <w:pPr>
              <w:pStyle w:val="TableContents"/>
              <w:spacing w:before="0" w:after="283"/>
              <w:rPr/>
            </w:pPr>
            <w:r>
              <w:rPr/>
              <w:t>●</w:t>
            </w:r>
          </w:p>
        </w:tc>
        <w:tc>
          <w:tcPr>
            <w:tcW w:w="93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adapt to the changing retail landscape with the rapid growth in e-commerce retailers;</w:t>
            </w:r>
          </w:p>
        </w:tc>
      </w:tr>
    </w:tbl>
    <w:tbl>
      <w:tblPr>
        <w:tblW w:w="6302" w:type="dxa"/>
        <w:jc w:val="left"/>
        <w:tblInd w:w="0" w:type="dxa"/>
        <w:tblCellMar>
          <w:top w:w="0" w:type="dxa"/>
          <w:left w:w="0" w:type="dxa"/>
          <w:bottom w:w="0" w:type="dxa"/>
          <w:right w:w="0" w:type="dxa"/>
        </w:tblCellMar>
      </w:tblPr>
      <w:tblGrid>
        <w:gridCol w:w="271"/>
        <w:gridCol w:w="6031"/>
      </w:tblGrid>
      <w:tr>
        <w:trPr/>
        <w:tc>
          <w:tcPr>
            <w:tcW w:w="271" w:type="dxa"/>
            <w:tcBorders/>
            <w:shd w:fill="auto" w:val="clear"/>
            <w:vAlign w:val="center"/>
          </w:tcPr>
          <w:p>
            <w:pPr>
              <w:pStyle w:val="TableContents"/>
              <w:spacing w:before="0" w:after="283"/>
              <w:rPr/>
            </w:pPr>
            <w:r>
              <w:rPr/>
              <w:t>●</w:t>
            </w:r>
          </w:p>
        </w:tc>
        <w:tc>
          <w:tcPr>
            <w:tcW w:w="60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effects of bottler/distributor consolidation on our business;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costs and/or effectiveness, now or in the future, of our advertising, marketing and promotional strategies;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success of our sports marketing, social media and other general marketing endeavors both domestically and internationally;</w:t>
            </w:r>
          </w:p>
        </w:tc>
      </w:tr>
    </w:tbl>
    <w:tbl>
      <w:tblPr>
        <w:tblW w:w="8822" w:type="dxa"/>
        <w:jc w:val="left"/>
        <w:tblInd w:w="0" w:type="dxa"/>
        <w:tblCellMar>
          <w:top w:w="0" w:type="dxa"/>
          <w:left w:w="0" w:type="dxa"/>
          <w:bottom w:w="0" w:type="dxa"/>
          <w:right w:w="0" w:type="dxa"/>
        </w:tblCellMar>
      </w:tblPr>
      <w:tblGrid>
        <w:gridCol w:w="271"/>
        <w:gridCol w:w="8551"/>
      </w:tblGrid>
      <w:tr>
        <w:trPr/>
        <w:tc>
          <w:tcPr>
            <w:tcW w:w="271" w:type="dxa"/>
            <w:tcBorders/>
            <w:shd w:fill="auto" w:val="clear"/>
            <w:vAlign w:val="center"/>
          </w:tcPr>
          <w:p>
            <w:pPr>
              <w:pStyle w:val="TableContents"/>
              <w:spacing w:before="0" w:after="283"/>
              <w:rPr/>
            </w:pPr>
            <w:r>
              <w:rPr/>
              <w:t>●</w:t>
            </w:r>
          </w:p>
        </w:tc>
        <w:tc>
          <w:tcPr>
            <w:tcW w:w="85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Unforeseen economic and political changes and local or international catastrophic events;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Possible product recalls and/or reformulations of certain of our products and/or market withdrawals of certain of our products due to defective and/or non-compliant formulas or production in one or more jurisdictions;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tc>
      </w:tr>
    </w:tbl>
    <w:tbl>
      <w:tblPr>
        <w:tblW w:w="9872" w:type="dxa"/>
        <w:jc w:val="left"/>
        <w:tblInd w:w="0" w:type="dxa"/>
        <w:tblCellMar>
          <w:top w:w="0" w:type="dxa"/>
          <w:left w:w="0" w:type="dxa"/>
          <w:bottom w:w="0" w:type="dxa"/>
          <w:right w:w="0" w:type="dxa"/>
        </w:tblCellMar>
      </w:tblPr>
      <w:tblGrid>
        <w:gridCol w:w="271"/>
        <w:gridCol w:w="9601"/>
      </w:tblGrid>
      <w:tr>
        <w:trPr/>
        <w:tc>
          <w:tcPr>
            <w:tcW w:w="271" w:type="dxa"/>
            <w:tcBorders/>
            <w:shd w:fill="auto" w:val="clear"/>
            <w:vAlign w:val="center"/>
          </w:tcPr>
          <w:p>
            <w:pPr>
              <w:pStyle w:val="TableContents"/>
              <w:spacing w:before="0" w:after="283"/>
              <w:rPr/>
            </w:pPr>
            <w:r>
              <w:rPr/>
              <w:t>●</w:t>
            </w:r>
          </w:p>
        </w:tc>
        <w:tc>
          <w:tcPr>
            <w:tcW w:w="96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ability to make suitable arrangements for the timely procurement of non-defective raw materials;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inability to protect and/or the loss of our intellectual property rights and/or our inability to use our trademarks, trade names or designs and/or trade dress in certain countries;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Volatility of stock prices which may restrict stock sales, stock purchases or other opportunities as well as negatively impact the motivation of equity award grantees;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Provisions in our organizational documents and/or control by insiders which may prevent changes in control even if such changes would be beneficial to other stockholders;</w:t>
            </w:r>
          </w:p>
        </w:tc>
      </w:tr>
    </w:tbl>
    <w:tbl>
      <w:tblPr>
        <w:tblW w:w="9737" w:type="dxa"/>
        <w:jc w:val="left"/>
        <w:tblInd w:w="0" w:type="dxa"/>
        <w:tblCellMar>
          <w:top w:w="0" w:type="dxa"/>
          <w:left w:w="0" w:type="dxa"/>
          <w:bottom w:w="0" w:type="dxa"/>
          <w:right w:w="0" w:type="dxa"/>
        </w:tblCellMar>
      </w:tblPr>
      <w:tblGrid>
        <w:gridCol w:w="271"/>
        <w:gridCol w:w="9466"/>
      </w:tblGrid>
      <w:tr>
        <w:trPr/>
        <w:tc>
          <w:tcPr>
            <w:tcW w:w="271" w:type="dxa"/>
            <w:tcBorders/>
            <w:shd w:fill="auto" w:val="clear"/>
            <w:vAlign w:val="center"/>
          </w:tcPr>
          <w:p>
            <w:pPr>
              <w:pStyle w:val="TableContents"/>
              <w:spacing w:before="0" w:after="283"/>
              <w:rPr/>
            </w:pPr>
            <w:r>
              <w:rPr/>
              <w:t>●</w:t>
            </w:r>
          </w:p>
        </w:tc>
        <w:tc>
          <w:tcPr>
            <w:tcW w:w="946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failure of our bottlers and/or co-packers to manufacture our products on a timely basis or at all;</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Recruitment and retention of senior management, other key employees and our employee base in general.</w:t>
            </w:r>
          </w:p>
        </w:tc>
      </w:tr>
    </w:tbl>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spacing w:before="0" w:after="240"/>
        <w:ind w:left="0" w:right="0" w:hanging="0"/>
        <w:rPr>
          <w:rFonts w:ascii="Times New Roman;Times;serif" w:hAnsi="Times New Roman;Times;serif"/>
          <w:b/>
          <w:sz w:val="22"/>
        </w:rPr>
      </w:pPr>
      <w:bookmarkStart w:id="50" w:name="ITEM7AQUANTITATIVEANDQUALITATIVEDISCLOSU"/>
      <w:bookmarkStart w:id="51" w:name="_a83c90b8_f202_4358_b2ad_04405a7445bc"/>
      <w:bookmarkEnd w:id="50"/>
      <w:bookmarkEnd w:id="51"/>
      <w:r>
        <w:rPr>
          <w:rFonts w:ascii="Times New Roman;Times;serif" w:hAnsi="Times New Roman;Times;serif"/>
          <w:b/>
          <w:sz w:val="22"/>
        </w:rPr>
        <w:t>ITEM 7A.        QUANTITATIVE AND QUALITATIVE DISCLOSURES ABOUT MARKET RISK</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juice concentrates, increases in the price of aluminum cans, as well as sugar, sucralose and other sweeteners, glucose, sucrose, milk, cream, protein, coffee and tea, all of which are used in some or many of our products), fluctuations in energy and fuel prices, and limited availability of aluminum cans and certain other raw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do not use derivative financial instruments to protect ourselves from fluctuations in interest rates and generally do not hedge against fluctuations in commodity prices.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net sales to customers outside of the United States were approximately 37% and 33% of consolidated net sales for the years ended December 31, 2021 and 2020, respectively. Our growth strategy includes expanding our international business. As a result, we are subject to risks from changes in foreign currency exchange rates. During the year ended December 31, 2021,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2021 have terms of three months or less. We do not enter into forward currency exchange contracts for speculation or trading purposes.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not designated our foreign currency exchange contracts as hedge transactions under FASB ASC 815. Therefore, gains and losses on our foreign currency exchange contracts are recognized in other income,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2021 to be significant.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of December 31, 2021, we had $1.33 billion in cash and cash equivalents, $1.75 billion in short-term investments and $99.4 million in long-term investments including certificates of deposit, commercial paper, U.S. government agency securities, U.S. treasuries, and to a lesser extent, municipal securities. Certain of these investments are subject to general credit, liquidity, market and interest rate risks.</w:t>
      </w:r>
    </w:p>
    <w:p>
      <w:pPr>
        <w:pStyle w:val="TextBody"/>
        <w:spacing w:before="0" w:after="240"/>
        <w:ind w:left="0" w:right="0" w:hanging="0"/>
        <w:rPr>
          <w:rFonts w:ascii="Times New Roman;Times;serif" w:hAnsi="Times New Roman;Times;serif"/>
          <w:b/>
          <w:sz w:val="22"/>
        </w:rPr>
      </w:pPr>
      <w:bookmarkStart w:id="52" w:name="ITEM8FINANCIALSTATEMENTSANDSUPPLEMENTARY"/>
      <w:bookmarkStart w:id="53" w:name="_43519db2_ae10_46d2_a8ac_6f46c2be9275"/>
      <w:bookmarkEnd w:id="52"/>
      <w:bookmarkEnd w:id="53"/>
      <w:r>
        <w:rPr>
          <w:rFonts w:ascii="Times New Roman;Times;serif" w:hAnsi="Times New Roman;Times;serif"/>
          <w:b/>
          <w:sz w:val="22"/>
        </w:rPr>
        <w:t>ITEM 8.          FINANCIAL STATEMENTS AND SUPPLEMENTARY DATA</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information required to be furnished in response to this Item 8 follows the signature page and Index to Exhibits hereto at pages 76 through 122.</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2"/>
        </w:rPr>
      </w:pPr>
      <w:bookmarkStart w:id="54" w:name="ITEM9CHANGESINANDDISAGREEMENTSWITHACCOUN"/>
      <w:bookmarkStart w:id="55" w:name="_b8210f3e_3825_462e_91d3_027aeeaafe1d"/>
      <w:bookmarkEnd w:id="54"/>
      <w:bookmarkEnd w:id="55"/>
      <w:r>
        <w:rPr>
          <w:rFonts w:ascii="Times New Roman;Times;serif" w:hAnsi="Times New Roman;Times;serif"/>
          <w:b/>
          <w:sz w:val="22"/>
        </w:rPr>
        <w:t>ITEM 9.          CHANGES IN AND DISAGREEMENTS WITH ACCOUNTANTS ON ACCOUNTING AND FINANCIAL DISCLOSURE</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None.</w:t>
      </w:r>
    </w:p>
    <w:p>
      <w:pPr>
        <w:pStyle w:val="TextBody"/>
        <w:spacing w:before="0" w:after="240"/>
        <w:ind w:left="0" w:right="0" w:firstLine="720"/>
        <w:jc w:val="both"/>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bookmarkStart w:id="56" w:name="ITEM9ACONTROLSANDPROCEDURES_106507"/>
      <w:bookmarkStart w:id="57" w:name="_d2d3b735_b787_46a5_9c8e_b78265e98111"/>
      <w:bookmarkEnd w:id="56"/>
      <w:bookmarkEnd w:id="57"/>
      <w:r>
        <w:rPr>
          <w:rFonts w:ascii="Times New Roman;Times;serif" w:hAnsi="Times New Roman;Times;serif"/>
          <w:b/>
          <w:sz w:val="22"/>
        </w:rPr>
        <w:t>ITEM 9A.        CONTROLS AND PROCEDURES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Evaluation of Disclosure Controls and Procedures</w:t>
      </w:r>
      <w:r>
        <w:rPr>
          <w:rFonts w:ascii="Times New Roman;Times;serif" w:hAnsi="Times New Roman;Times;serif"/>
          <w:sz w:val="22"/>
        </w:rPr>
        <w:t xml:space="preserve"> – Under the supervision and with the participation of the 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Management’s Report on Internal Control Over Financial Reporting</w:t>
      </w:r>
      <w:r>
        <w:rPr>
          <w:rFonts w:ascii="Times New Roman;Times;serif" w:hAnsi="Times New Roman;Times;serif"/>
          <w:sz w:val="22"/>
        </w:rPr>
        <w:t xml:space="preserve"> – Our management is responsible for establishing and maintaining adequate internal control over financial reporting, as defined in Exchange Act Rules 13a-15(f) and 15d-15(f). Under the supervision and with the participation of our management, including our Co-Chief Executive Officers and Chief Financial Officer, our management conducted an evaluation of the effectiveness of our internal control over financial reporting as of December 31, 2020, based on the framework in </w:t>
      </w:r>
      <w:r>
        <w:rPr>
          <w:rFonts w:ascii="Times New Roman;Times;serif" w:hAnsi="Times New Roman;Times;serif"/>
          <w:i/>
          <w:sz w:val="22"/>
        </w:rPr>
        <w:t>Internal Control – Integrated Framework</w:t>
      </w:r>
      <w:r>
        <w:rPr>
          <w:rFonts w:ascii="Times New Roman;Times;serif" w:hAnsi="Times New Roman;Times;serif"/>
          <w:sz w:val="22"/>
        </w:rPr>
        <w:t xml:space="preserve"> </w:t>
      </w:r>
      <w:r>
        <w:rPr>
          <w:rFonts w:ascii="Times New Roman;Times;serif" w:hAnsi="Times New Roman;Times;serif"/>
          <w:i/>
          <w:sz w:val="22"/>
        </w:rPr>
        <w:t>(2013)</w:t>
      </w:r>
      <w:r>
        <w:rPr>
          <w:rFonts w:ascii="Times New Roman;Times;serif" w:hAnsi="Times New Roman;Times;serif"/>
          <w:sz w:val="22"/>
        </w:rPr>
        <w:t xml:space="preserve"> issued by the Committee of Sponsoring Organizations of the Treadway Commission. Based on our management’s evaluation under the framework in </w:t>
      </w:r>
      <w:r>
        <w:rPr>
          <w:rFonts w:ascii="Times New Roman;Times;serif" w:hAnsi="Times New Roman;Times;serif"/>
          <w:i/>
          <w:sz w:val="22"/>
        </w:rPr>
        <w:t>Internal Control - Integrated Framework (2013)</w:t>
      </w:r>
      <w:r>
        <w:rPr>
          <w:rFonts w:ascii="Times New Roman;Times;serif" w:hAnsi="Times New Roman;Times;serif"/>
          <w:sz w:val="22"/>
        </w:rPr>
        <w:t>, our management concluded that our internal control over financial reporting was effective as of December 31, 2021.</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Our internal control over financial reporting as of December 31, 2021 has been audited by Deloitte &amp; Touche LLP, an independent registered public accounting firm, as stated in their attestation report, which is included herein.</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i/>
          <w:sz w:val="22"/>
        </w:rPr>
        <w:t>Changes in Internal Control Over Financial Reporting</w:t>
      </w:r>
      <w:r>
        <w:rPr>
          <w:rFonts w:ascii="Times New Roman;Times;serif" w:hAnsi="Times New Roman;Times;serif"/>
          <w:sz w:val="22"/>
        </w:rPr>
        <w:t> – There were no changes in the Company’s internal controls over financial reporting during the quarter ended December 31, 2021,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b/>
          <w:sz w:val="22"/>
        </w:rPr>
      </w:pPr>
      <w:bookmarkStart w:id="58" w:name="_0fff78ed_aab9_49c7_bb6d_43871ba908d8"/>
      <w:bookmarkEnd w:id="58"/>
      <w:r>
        <w:rPr>
          <w:rFonts w:ascii="Times New Roman;Times;serif" w:hAnsi="Times New Roman;Times;serif"/>
          <w:b/>
          <w:sz w:val="22"/>
        </w:rPr>
        <w:t>REPORT OF INDEPENDENT REGISTERED PUBLIC ACCOUNTING FIRM</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To the Board of Directors and Stockholders of</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Monster Beverage Corporation</w:t>
      </w:r>
    </w:p>
    <w:p>
      <w:pPr>
        <w:pStyle w:val="TextBody"/>
        <w:spacing w:before="0" w:after="120"/>
        <w:ind w:left="0" w:right="0" w:hanging="0"/>
        <w:jc w:val="both"/>
        <w:rPr>
          <w:rFonts w:ascii="Times New Roman;Times;serif" w:hAnsi="Times New Roman;Times;serif"/>
          <w:sz w:val="22"/>
        </w:rPr>
      </w:pPr>
      <w:r>
        <w:rPr>
          <w:rFonts w:ascii="Times New Roman;Times;serif" w:hAnsi="Times New Roman;Times;serif"/>
          <w:sz w:val="22"/>
        </w:rPr>
        <w:t>Corona, California</w:t>
      </w:r>
    </w:p>
    <w:p>
      <w:pPr>
        <w:pStyle w:val="TextBody"/>
        <w:spacing w:before="0" w:after="120"/>
        <w:ind w:left="0" w:right="0" w:hanging="0"/>
        <w:rPr>
          <w:rFonts w:ascii="Times New Roman;Times;serif" w:hAnsi="Times New Roman;Times;serif"/>
          <w:b/>
          <w:sz w:val="22"/>
        </w:rPr>
      </w:pPr>
      <w:r>
        <w:rPr>
          <w:rFonts w:ascii="Times New Roman;Times;serif" w:hAnsi="Times New Roman;Times;serif"/>
          <w:b/>
          <w:sz w:val="22"/>
        </w:rPr>
        <w:t>Opinion on Internal Control over Financial Reporting</w:t>
      </w:r>
    </w:p>
    <w:p>
      <w:pPr>
        <w:pStyle w:val="TextBody"/>
        <w:spacing w:before="0" w:after="120"/>
        <w:ind w:left="0" w:right="0" w:hanging="0"/>
        <w:jc w:val="both"/>
        <w:rPr>
          <w:rFonts w:ascii="Times New Roman;Times;serif" w:hAnsi="Times New Roman;Times;serif"/>
          <w:sz w:val="22"/>
        </w:rPr>
      </w:pPr>
      <w:r>
        <w:rPr>
          <w:rFonts w:ascii="Times New Roman;Times;serif" w:hAnsi="Times New Roman;Times;serif"/>
          <w:sz w:val="22"/>
        </w:rPr>
        <w:t xml:space="preserve">We have audited the internal control over financial reporting of Monster Beverage Corporation and subsidiaries (the ”Company”) as of December 31, 2021, based on criteria established in </w:t>
      </w:r>
      <w:r>
        <w:rPr>
          <w:rFonts w:ascii="Times New Roman;Times;serif" w:hAnsi="Times New Roman;Times;serif"/>
          <w:i/>
          <w:sz w:val="22"/>
        </w:rPr>
        <w:t>Internal Control —Integrated Framework (2013)</w:t>
      </w:r>
      <w:r>
        <w:rPr>
          <w:rFonts w:ascii="Times New Roman;Times;serif" w:hAnsi="Times New Roman;Times;serif"/>
          <w:sz w:val="22"/>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Times New Roman;Times;serif" w:hAnsi="Times New Roman;Times;serif"/>
          <w:i/>
          <w:sz w:val="22"/>
        </w:rPr>
        <w:t>Internal Control — Integrated Framework (2013)</w:t>
      </w:r>
      <w:r>
        <w:rPr>
          <w:rFonts w:ascii="Times New Roman;Times;serif" w:hAnsi="Times New Roman;Times;serif"/>
          <w:sz w:val="22"/>
        </w:rPr>
        <w:t xml:space="preserve"> issued by COSO.</w:t>
      </w:r>
    </w:p>
    <w:p>
      <w:pPr>
        <w:pStyle w:val="TextBody"/>
        <w:spacing w:before="0" w:after="120"/>
        <w:ind w:left="0" w:right="0" w:hanging="0"/>
        <w:jc w:val="both"/>
        <w:rPr>
          <w:rFonts w:ascii="Times New Roman;Times;serif" w:hAnsi="Times New Roman;Times;serif"/>
          <w:sz w:val="22"/>
        </w:rPr>
      </w:pPr>
      <w:r>
        <w:rPr>
          <w:rFonts w:ascii="Times New Roman;Times;serif" w:hAnsi="Times New Roman;Times;serif"/>
          <w:sz w:val="22"/>
        </w:rPr>
        <w:t>We have also audited, in accordance with the standards of the Public Company Accounting Oversight Board (United States) (“PCAOB”), the consolidated financial statements and financial statement schedule as of and for the year ended December 31, 2021, of the Company and our report dated February 28, 2022, expressed an unqualified opinion on those financial statements.</w:t>
      </w:r>
    </w:p>
    <w:p>
      <w:pPr>
        <w:pStyle w:val="TextBody"/>
        <w:spacing w:before="0" w:after="120"/>
        <w:ind w:left="0" w:right="0" w:hanging="0"/>
        <w:rPr>
          <w:rFonts w:ascii="Times New Roman;Times;serif" w:hAnsi="Times New Roman;Times;serif"/>
          <w:b/>
          <w:sz w:val="22"/>
        </w:rPr>
      </w:pPr>
      <w:r>
        <w:rPr>
          <w:rFonts w:ascii="Times New Roman;Times;serif" w:hAnsi="Times New Roman;Times;serif"/>
          <w:b/>
          <w:sz w:val="22"/>
        </w:rPr>
        <w:t>Basis for Opinion</w:t>
      </w:r>
    </w:p>
    <w:p>
      <w:pPr>
        <w:pStyle w:val="TextBody"/>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120"/>
        <w:ind w:left="0" w:right="0" w:hanging="0"/>
        <w:jc w:val="both"/>
        <w:rPr>
          <w:rFonts w:ascii="Times New Roman;Times;serif" w:hAnsi="Times New Roman;Times;serif"/>
          <w:sz w:val="22"/>
        </w:rPr>
      </w:pPr>
      <w:r>
        <w:rPr>
          <w:rFonts w:ascii="Times New Roman;Times;serif" w:hAnsi="Times New Roman;Times;serif"/>
          <w:sz w:val="22"/>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120"/>
        <w:ind w:left="0" w:right="0" w:hanging="0"/>
        <w:rPr>
          <w:rFonts w:ascii="Times New Roman;Times;serif" w:hAnsi="Times New Roman;Times;serif"/>
          <w:b/>
          <w:sz w:val="22"/>
        </w:rPr>
      </w:pPr>
      <w:r>
        <w:rPr>
          <w:rFonts w:ascii="Times New Roman;Times;serif" w:hAnsi="Times New Roman;Times;serif"/>
          <w:b/>
          <w:sz w:val="22"/>
        </w:rPr>
        <w:t>Definition and Limitations of Internal Control over Financial Reporting</w:t>
      </w:r>
    </w:p>
    <w:p>
      <w:pPr>
        <w:pStyle w:val="TextBody"/>
        <w:spacing w:before="0" w:after="120"/>
        <w:ind w:left="0" w:right="0" w:hanging="0"/>
        <w:jc w:val="both"/>
        <w:rPr>
          <w:rFonts w:ascii="Times New Roman;Times;serif" w:hAnsi="Times New Roman;Times;serif"/>
          <w:sz w:val="22"/>
        </w:rPr>
      </w:pPr>
      <w:r>
        <w:rPr>
          <w:rFonts w:ascii="Times New Roman;Times;serif" w:hAnsi="Times New Roman;Times;serif"/>
          <w:sz w:val="22"/>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120"/>
        <w:ind w:left="0" w:right="0" w:hanging="0"/>
        <w:jc w:val="both"/>
        <w:rPr>
          <w:rFonts w:ascii="Times New Roman;Times;serif" w:hAnsi="Times New Roman;Times;serif"/>
          <w:sz w:val="22"/>
        </w:rPr>
      </w:pPr>
      <w:r>
        <w:rPr>
          <w:rFonts w:ascii="Times New Roman;Times;serif" w:hAnsi="Times New Roman;Times;serif"/>
          <w:sz w:val="22"/>
        </w:rPr>
        <w:t>Because of its inherent limitations, internal control over financial reporting may not prevent or detect misstatements. Also, projections of any evaluation of effectiveness to future periods are subject to the risk that the controls may become inadequate because of changes in conditions, or that the degree of compliance with the policies or procedures may deteriorate.</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/s/ DELOITTE &amp; TOUCHE LLP</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Costa Mesa, California</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February 28,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bookmarkStart w:id="59" w:name="ITEM9BOTHERINFORMATION_368767"/>
      <w:bookmarkStart w:id="60" w:name="_12788420_7c4e_4b9d_be37_6bc5961ed1f1"/>
      <w:bookmarkEnd w:id="59"/>
      <w:bookmarkEnd w:id="60"/>
      <w:r>
        <w:rPr>
          <w:rFonts w:ascii="Times New Roman;Times;serif" w:hAnsi="Times New Roman;Times;serif"/>
          <w:b/>
          <w:sz w:val="22"/>
        </w:rPr>
        <w:t>ITEM 9B.        OTHER INFORMATION</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None.</w:t>
      </w:r>
    </w:p>
    <w:p>
      <w:pPr>
        <w:pStyle w:val="TextBody"/>
        <w:spacing w:before="0" w:after="240"/>
        <w:ind w:left="0" w:right="0" w:firstLine="720"/>
        <w:jc w:val="both"/>
        <w:rPr/>
      </w:pPr>
      <w:r>
        <w:rPr/>
        <w:t>​</w:t>
      </w:r>
    </w:p>
    <w:p>
      <w:pPr>
        <w:pStyle w:val="TextBody"/>
        <w:spacing w:before="0" w:after="240"/>
        <w:ind w:left="0" w:right="0" w:hanging="0"/>
        <w:jc w:val="both"/>
        <w:rPr>
          <w:rFonts w:ascii="Times New Roman;Times;serif" w:hAnsi="Times New Roman;Times;serif"/>
          <w:sz w:val="22"/>
        </w:rPr>
      </w:pPr>
      <w:bookmarkStart w:id="61" w:name="ITEM9CDISCLOSUREREGARDINGFOREIGNJURISDIC"/>
      <w:bookmarkStart w:id="62" w:name="_e7b5b672_4c00_4a5c_bb0c_95706f761e59"/>
      <w:bookmarkEnd w:id="61"/>
      <w:bookmarkEnd w:id="62"/>
      <w:r>
        <w:rPr>
          <w:rFonts w:ascii="Times New Roman;Times;serif" w:hAnsi="Times New Roman;Times;serif"/>
          <w:b/>
          <w:sz w:val="22"/>
        </w:rPr>
        <w:t>ITEM 9C.</w:t>
      </w:r>
      <w:r>
        <w:rPr>
          <w:rFonts w:ascii="Times New Roman;Times;serif" w:hAnsi="Times New Roman;Times;serif"/>
          <w:sz w:val="22"/>
        </w:rPr>
        <w:t xml:space="preserve">         </w:t>
      </w:r>
      <w:r>
        <w:rPr>
          <w:rFonts w:ascii="Times New Roman;Times;serif" w:hAnsi="Times New Roman;Times;serif"/>
          <w:b/>
          <w:sz w:val="22"/>
        </w:rPr>
        <w:t>DISCLOSURE REGARDING FOREIGN JURISDICITONS THAT PREVENT INSPECTIONS</w:t>
      </w:r>
    </w:p>
    <w:p>
      <w:pPr>
        <w:pStyle w:val="TextBody"/>
        <w:spacing w:before="0" w:after="0"/>
        <w:ind w:left="0" w:right="0" w:firstLine="720"/>
        <w:rPr>
          <w:rFonts w:ascii="Times New Roman;Times;serif" w:hAnsi="Times New Roman;Times;serif"/>
          <w:sz w:val="22"/>
        </w:rPr>
      </w:pPr>
      <w:r>
        <w:rPr>
          <w:rFonts w:ascii="Times New Roman;Times;serif" w:hAnsi="Times New Roman;Times;serif"/>
          <w:sz w:val="22"/>
        </w:rPr>
        <w:t>Not applicable.</w:t>
      </w:r>
    </w:p>
    <w:p>
      <w:pPr>
        <w:pStyle w:val="TextBody"/>
        <w:spacing w:before="0" w:after="0"/>
        <w:ind w:left="0" w:right="0" w:firstLine="720"/>
        <w:rPr/>
      </w:pPr>
      <w:r>
        <w:rPr/>
        <w:t>​</w:t>
      </w:r>
    </w:p>
    <w:p>
      <w:pPr>
        <w:pStyle w:val="TextBody"/>
        <w:spacing w:before="0" w:after="240"/>
        <w:ind w:left="0" w:right="0" w:hanging="0"/>
        <w:jc w:val="center"/>
        <w:rPr>
          <w:rFonts w:ascii="Times New Roman;Times;serif" w:hAnsi="Times New Roman;Times;serif"/>
          <w:b/>
          <w:sz w:val="22"/>
        </w:rPr>
      </w:pPr>
      <w:bookmarkStart w:id="63" w:name="PARTIII_53101"/>
      <w:bookmarkStart w:id="64" w:name="_44ed7291_cea3_4582_9f14_f2a8a2943ca6"/>
      <w:bookmarkEnd w:id="63"/>
      <w:bookmarkEnd w:id="64"/>
      <w:r>
        <w:rPr>
          <w:rFonts w:ascii="Times New Roman;Times;serif" w:hAnsi="Times New Roman;Times;serif"/>
          <w:b/>
          <w:sz w:val="22"/>
        </w:rPr>
        <w:t>PART III</w:t>
      </w:r>
    </w:p>
    <w:p>
      <w:pPr>
        <w:pStyle w:val="TextBody"/>
        <w:spacing w:before="0" w:after="240"/>
        <w:ind w:left="0" w:right="0" w:hanging="0"/>
        <w:rPr>
          <w:rFonts w:ascii="Times New Roman;Times;serif" w:hAnsi="Times New Roman;Times;serif"/>
          <w:b/>
          <w:sz w:val="22"/>
        </w:rPr>
      </w:pPr>
      <w:bookmarkStart w:id="65" w:name="ITEM10DIRECTORSEXECUTIVEOFFICERSANDCORPO"/>
      <w:bookmarkEnd w:id="65"/>
      <w:r>
        <w:rPr>
          <w:rFonts w:ascii="Times New Roman;Times;serif" w:hAnsi="Times New Roman;Times;serif"/>
          <w:b/>
          <w:sz w:val="22"/>
        </w:rPr>
        <w:t>ITEM 10.        DIRECTORS, EXECUTIVE OFFICERS AND CORPORATE GOVERNANCE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information required by this item regarding our directors is included under the caption “Proposal One – Election of Directors” in our Proxy Statement for our 2022 Annual Meeting of Stockholders to be filed with the SEC within 120 days after the end of the fiscal year ended December 31, 2021 (the “2022 Proxy Statement”) and is incorporated herein by reference.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Information concerning compliance with Section 16(a) of the Exchange Act is included under the caption “Delinquent Section 16(a) Reports” in our 2022 Proxy Statement and is incorporated herein by reference.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Information concerning the Audit Committee and the Audit Committee Financial Expert is reported under the caption “Audit Committee; Report of the Audit Committee; Duties and Responsibilities” in our 2022 Proxy Statement and is incorporated herein by reference.</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Code of Business Conduct and Ethics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We have adopted a Code of Business Conduct and Ethics that applies to all our directors, officers (including our principal executive officers, principal financial officer, principal accounting officer and controllers) and employees. The Code of Business Conduct and Ethics and any amendment thereto, as well as any waivers that are required to be disclosed by the rules of the SEC or NASDAQ, may be obtained at http://investors.monsterbevcorp.com/corporate-governance or at no cost to you by writing or telephoning us at the following address or telephone number:</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Monster Beverage Corporation</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1 Monster Way</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Corona, CA 92879</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(951) 739-6200</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(800) 426-7367</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2"/>
        </w:rPr>
      </w:pPr>
      <w:bookmarkStart w:id="66" w:name="ITEM11EXECUTIVECOMPENSATION_330828"/>
      <w:bookmarkStart w:id="67" w:name="_dfe68396_45bd_48ee_b9b7_4fd301ee765f"/>
      <w:bookmarkEnd w:id="66"/>
      <w:bookmarkEnd w:id="67"/>
      <w:r>
        <w:rPr>
          <w:rFonts w:ascii="Times New Roman;Times;serif" w:hAnsi="Times New Roman;Times;serif"/>
          <w:b/>
          <w:sz w:val="22"/>
        </w:rPr>
        <w:t>ITEM 11.        EXECUTIVE COMPENSATION</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Information concerning the compensation of our directors and executive officers and Compensation Committee Interlocks and Insider Participation is reported under the captions “Compensation Discussion and Analysis,” and “Compensation Committee,” respectively, in our 2022 Proxy Statement and is incorporated herein by reference.</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2"/>
        </w:rPr>
      </w:pPr>
      <w:bookmarkStart w:id="68" w:name="ITEM12SECURITYOWNERSHIPOFCERTAINBENEFICI"/>
      <w:bookmarkStart w:id="69" w:name="_0c8c268f_f815_4c8c_99d7_ef0fce6a9813"/>
      <w:bookmarkEnd w:id="68"/>
      <w:bookmarkEnd w:id="69"/>
      <w:r>
        <w:rPr>
          <w:rFonts w:ascii="Times New Roman;Times;serif" w:hAnsi="Times New Roman;Times;serif"/>
          <w:b/>
          <w:sz w:val="22"/>
        </w:rPr>
        <w:t>ITEM 12.         SECURITY OWNERSHIP OF CERTAIN BENEFICIAL OWNERS AND MANAGEMENT AND RELATED STOCKHOLDER MATTERS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disclosure set forth in Item 5, “Market for the Registrant’s Common Equity, Related Stockholder Matters and Issuer Repurchases of Equity Securities”, of this report is incorporated herein.</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 is reported under the caption “Principal Stockholders and Security Ownership of Management” in our 2022 Proxy Statement and is incorporated herein by reference.</w:t>
      </w:r>
    </w:p>
    <w:p>
      <w:pPr>
        <w:pStyle w:val="TextBody"/>
        <w:spacing w:before="0" w:after="240"/>
        <w:ind w:left="0" w:right="0" w:firstLine="720"/>
        <w:jc w:val="both"/>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Information concerning shares of the Company’s Common Stock authorized for issuance under the Company’s equity compensation plans is reported under the caption “Employee Equity Compensation Plan Information” in our 2022 Proxy Statement and is incorporated herein by reference.</w:t>
      </w:r>
    </w:p>
    <w:p>
      <w:pPr>
        <w:pStyle w:val="TextBody"/>
        <w:spacing w:before="0" w:after="0"/>
        <w:ind w:left="0" w:right="0" w:hanging="0"/>
        <w:rPr/>
      </w:pPr>
      <w:r>
        <w:rPr/>
        <w:t>​</w:t>
      </w:r>
    </w:p>
    <w:p>
      <w:pPr>
        <w:pStyle w:val="TextBody"/>
        <w:spacing w:before="0" w:after="160"/>
        <w:ind w:left="0" w:right="0" w:hanging="0"/>
        <w:jc w:val="both"/>
        <w:rPr>
          <w:rFonts w:ascii="Times New Roman;Times;serif" w:hAnsi="Times New Roman;Times;serif"/>
          <w:b/>
          <w:sz w:val="22"/>
        </w:rPr>
      </w:pPr>
      <w:bookmarkStart w:id="70" w:name="ITEM13CERTAINRELATIONSHIPSANDRELATEDTRAN"/>
      <w:bookmarkStart w:id="71" w:name="_7cdd994d_909b_47b3_8beb_137dffd7f313"/>
      <w:bookmarkEnd w:id="70"/>
      <w:bookmarkEnd w:id="71"/>
      <w:r>
        <w:rPr>
          <w:rFonts w:ascii="Times New Roman;Times;serif" w:hAnsi="Times New Roman;Times;serif"/>
          <w:b/>
          <w:sz w:val="22"/>
        </w:rPr>
        <w:t>ITEM 13.         CERTAIN RELATIONSHIPS AND RELATED TRANSACTIONS AND DIRECTOR INDEPENDENCE</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Information concerning certain relationships and related transactions is reported under the caption “Certain Relationships and Related Transactions and Director Independence” in our 2022 Proxy Statement and is incorporated herein by reference.</w:t>
      </w:r>
    </w:p>
    <w:p>
      <w:pPr>
        <w:pStyle w:val="TextBody"/>
        <w:spacing w:before="0" w:after="0"/>
        <w:ind w:left="0" w:right="0" w:hanging="0"/>
        <w:rPr/>
      </w:pPr>
      <w:r>
        <w:rPr/>
        <w:t>​</w:t>
      </w:r>
    </w:p>
    <w:p>
      <w:pPr>
        <w:pStyle w:val="TextBody"/>
        <w:spacing w:before="0" w:after="160"/>
        <w:ind w:left="0" w:right="0" w:hanging="0"/>
        <w:rPr>
          <w:rFonts w:ascii="Times New Roman;Times;serif" w:hAnsi="Times New Roman;Times;serif"/>
          <w:b/>
          <w:sz w:val="22"/>
        </w:rPr>
      </w:pPr>
      <w:bookmarkStart w:id="72" w:name="ITEM14PRINCIPALACCOUNTINGFEESANDSERVICES"/>
      <w:bookmarkStart w:id="73" w:name="_583dc548_2c83_4586_916b_1e92ac1b2844"/>
      <w:bookmarkEnd w:id="72"/>
      <w:bookmarkEnd w:id="73"/>
      <w:r>
        <w:rPr>
          <w:rFonts w:ascii="Times New Roman;Times;serif" w:hAnsi="Times New Roman;Times;serif"/>
          <w:b/>
          <w:sz w:val="22"/>
        </w:rPr>
        <w:t>ITEM 14.         PRINCIPAL ACCOUNTING FEES AND SERVICES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2022 Proxy Statement and is incorporated herein by reference.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2"/>
        </w:rPr>
      </w:pPr>
      <w:bookmarkStart w:id="74" w:name="PARTIV_523093"/>
      <w:bookmarkStart w:id="75" w:name="_4a66d6ac_84d8_4a77_b7aa_186289f24885"/>
      <w:bookmarkEnd w:id="74"/>
      <w:bookmarkEnd w:id="75"/>
      <w:r>
        <w:rPr>
          <w:rFonts w:ascii="Times New Roman;Times;serif" w:hAnsi="Times New Roman;Times;serif"/>
          <w:b/>
          <w:sz w:val="22"/>
        </w:rPr>
        <w:t>PART IV</w:t>
      </w:r>
    </w:p>
    <w:p>
      <w:pPr>
        <w:pStyle w:val="TextBody"/>
        <w:spacing w:before="0" w:after="200"/>
        <w:ind w:left="0" w:right="0" w:hanging="0"/>
        <w:rPr>
          <w:rFonts w:ascii="Times New Roman;Times;serif" w:hAnsi="Times New Roman;Times;serif"/>
          <w:b/>
          <w:sz w:val="22"/>
        </w:rPr>
      </w:pPr>
      <w:bookmarkStart w:id="76" w:name="ITEM15EXHIBITSANDFINANCIALSTATEMENTSCHED"/>
      <w:bookmarkEnd w:id="76"/>
      <w:r>
        <w:rPr>
          <w:rFonts w:ascii="Times New Roman;Times;serif" w:hAnsi="Times New Roman;Times;serif"/>
          <w:b/>
          <w:sz w:val="22"/>
        </w:rPr>
        <w:t>ITEM 15.        EXHIBITS AND FINANCIAL STATEMENT SCHEDULES</w:t>
      </w:r>
    </w:p>
    <w:tbl>
      <w:tblPr>
        <w:tblW w:w="6501" w:type="dxa"/>
        <w:jc w:val="left"/>
        <w:tblInd w:w="0" w:type="dxa"/>
        <w:tblCellMar>
          <w:top w:w="0" w:type="dxa"/>
          <w:left w:w="0" w:type="dxa"/>
          <w:bottom w:w="0" w:type="dxa"/>
          <w:right w:w="0" w:type="dxa"/>
        </w:tblCellMar>
      </w:tblPr>
      <w:tblGrid>
        <w:gridCol w:w="124"/>
        <w:gridCol w:w="361"/>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6016"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following documents are filed as a part of this Form 10-K:</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109"/>
        <w:gridCol w:w="9135"/>
        <w:gridCol w:w="326"/>
        <w:gridCol w:w="511"/>
      </w:tblGrid>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24485" cy="29210"/>
                      <wp:effectExtent l="0" t="0" r="0" b="0"/>
                      <wp:wrapNone/>
                      <wp:docPr id="93" name="Frame92"/>
                      <a:graphic xmlns:a="http://schemas.openxmlformats.org/drawingml/2006/main">
                        <a:graphicData uri="http://schemas.microsoft.com/office/word/2010/wordprocessingShape">
                          <wps:wsp>
                            <wps:cNvSpPr txBox="1"/>
                            <wps:spPr>
                              <a:xfrm>
                                <a:off x="0" y="0"/>
                                <a:ext cx="324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2"/>
                </w:rPr>
                <w:t>Report of Independent Registered Public Accounting F</w:t>
              </w:r>
            </w:hyperlink>
            <w:hyperlink w:anchor="REPORTOFINDEPENDENTREGISTEREDPUBLICACCOU">
              <w:r>
                <w:rPr>
                  <w:rStyle w:val="InternetLink"/>
                  <w:rFonts w:ascii="Times New Roman;Times;serif" w:hAnsi="Times New Roman;Times;serif"/>
                  <w:b w:val="false"/>
                  <w:i w:val="false"/>
                  <w:caps w:val="false"/>
                  <w:smallCaps w:val="false"/>
                  <w:sz w:val="20"/>
                </w:rPr>
                <w:t>irm</w:t>
              </w:r>
            </w:hyperlink>
            <w:r>
              <w:rPr>
                <w:rFonts w:ascii="Times New Roman;Times;serif" w:hAnsi="Times New Roman;Times;serif"/>
                <w:sz w:val="20"/>
              </w:rPr>
              <w:t xml:space="preserve"> (PCAOB ID No. 34)</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77</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Financial Statements:</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hyperlink w:anchor="BALANCESHEETS_625207">
              <w:r>
                <w:rPr>
                  <w:rStyle w:val="InternetLink"/>
                  <w:rFonts w:ascii="Times New Roman;Times;serif" w:hAnsi="Times New Roman;Times;serif"/>
                  <w:b w:val="false"/>
                  <w:i w:val="false"/>
                  <w:caps w:val="false"/>
                  <w:smallCaps w:val="false"/>
                  <w:sz w:val="22"/>
                </w:rPr>
                <w:t>Consolidated Balance Sheets as of December 31, 2021 and 2020</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80</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hyperlink w:anchor="CONSOLIDATEDSTATEMENTSOFINCOME_622029">
              <w:r>
                <w:rPr>
                  <w:rStyle w:val="InternetLink"/>
                  <w:rFonts w:ascii="Times New Roman;Times;serif" w:hAnsi="Times New Roman;Times;serif"/>
                  <w:b w:val="false"/>
                  <w:i w:val="false"/>
                  <w:caps w:val="false"/>
                  <w:smallCaps w:val="false"/>
                  <w:sz w:val="22"/>
                </w:rPr>
                <w:t>Consolidated Statements of Income for the years ended December 31, 2021, 2020 and 2019</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81</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hyperlink w:anchor="COMPREHENSIVEINCOME_444106">
              <w:r>
                <w:rPr>
                  <w:rStyle w:val="InternetLink"/>
                  <w:rFonts w:ascii="Times New Roman;Times;serif" w:hAnsi="Times New Roman;Times;serif"/>
                  <w:b w:val="false"/>
                  <w:i w:val="false"/>
                  <w:caps w:val="false"/>
                  <w:smallCaps w:val="false"/>
                  <w:sz w:val="22"/>
                </w:rPr>
                <w:t>Consolidated Statements of Comprehensive Income for the years ended December 31, 2021, 2020 and 2019</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hyperlink w:anchor="EQUITY_813398">
              <w:r>
                <w:rPr>
                  <w:rStyle w:val="InternetLink"/>
                  <w:rFonts w:ascii="Times New Roman;Times;serif" w:hAnsi="Times New Roman;Times;serif"/>
                  <w:b w:val="false"/>
                  <w:i w:val="false"/>
                  <w:caps w:val="false"/>
                  <w:smallCaps w:val="false"/>
                  <w:sz w:val="22"/>
                </w:rPr>
                <w:t>Consolidated Statements of Stockholders’ Equity for the years ended December 31, 2021, 2020 and 2019</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hyperlink w:anchor="CASHFLOWS_256883">
              <w:r>
                <w:rPr>
                  <w:rStyle w:val="InternetLink"/>
                  <w:rFonts w:ascii="Times New Roman;Times;serif" w:hAnsi="Times New Roman;Times;serif"/>
                  <w:b w:val="false"/>
                  <w:i w:val="false"/>
                  <w:caps w:val="false"/>
                  <w:smallCaps w:val="false"/>
                  <w:sz w:val="22"/>
                </w:rPr>
                <w:t>Consolidated Statements of Cash Flows for the years ended December 31, 2021, 2020 and 2019</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84</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hyperlink w:anchor="a1ORGANIZATIONANDSUMMARYOFSIGNIFICANTACC">
              <w:r>
                <w:rPr>
                  <w:rStyle w:val="InternetLink"/>
                  <w:rFonts w:ascii="Times New Roman;Times;serif" w:hAnsi="Times New Roman;Times;serif"/>
                  <w:b w:val="false"/>
                  <w:i w:val="false"/>
                  <w:caps w:val="false"/>
                  <w:smallCaps w:val="false"/>
                  <w:sz w:val="22"/>
                </w:rPr>
                <w:t>Notes to Consolidated Financial Statements</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86</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Financial Statement Schedule:</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hyperlink w:anchor="SCH">
              <w:r>
                <w:rPr>
                  <w:rStyle w:val="InternetLink"/>
                  <w:rFonts w:ascii="Times New Roman;Times;serif" w:hAnsi="Times New Roman;Times;serif"/>
                  <w:b w:val="false"/>
                  <w:i w:val="false"/>
                  <w:caps w:val="false"/>
                  <w:smallCaps w:val="false"/>
                  <w:sz w:val="22"/>
                </w:rPr>
                <w:t>Valuation and Qualifying Accounts for the years ended December 31, 2021, 2020 and 2019</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122</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Exhibits:</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135"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The Exhibits listed in the Index of Exhibits, which appears immediately preceding the signature page and is incorporated herein by reference, as filed as part of this Form 10-K.</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2"/>
        </w:rPr>
      </w:pPr>
      <w:bookmarkStart w:id="77" w:name="ITEM16FORM10KSUMMARY_855159"/>
      <w:bookmarkStart w:id="78" w:name="_39917e21_b85b_4274_9ed3_a9ee21d52c37"/>
      <w:bookmarkEnd w:id="77"/>
      <w:bookmarkEnd w:id="78"/>
      <w:r>
        <w:rPr>
          <w:rFonts w:ascii="Times New Roman;Times;serif" w:hAnsi="Times New Roman;Times;serif"/>
          <w:b/>
          <w:sz w:val="22"/>
        </w:rPr>
        <w:t>ITEM 16.        FORM 10-K SUMMARY</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2"/>
        </w:rPr>
      </w:pPr>
      <w:bookmarkStart w:id="79" w:name="_60be2fe4_7ada_4948_94f7_cff47385daf7"/>
      <w:bookmarkEnd w:id="79"/>
      <w:r>
        <w:rPr>
          <w:rFonts w:ascii="Times New Roman;Times;serif" w:hAnsi="Times New Roman;Times;serif"/>
          <w:b/>
          <w:sz w:val="22"/>
        </w:rPr>
        <w:t>INDEX TO EXHIBITS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w:t>
      </w:r>
    </w:p>
    <w:tbl>
      <w:tblPr>
        <w:tblW w:w="10205" w:type="dxa"/>
        <w:jc w:val="left"/>
        <w:tblInd w:w="0" w:type="dxa"/>
        <w:tblCellMar>
          <w:top w:w="0" w:type="dxa"/>
          <w:left w:w="0" w:type="dxa"/>
          <w:bottom w:w="0" w:type="dxa"/>
          <w:right w:w="0" w:type="dxa"/>
        </w:tblCellMar>
      </w:tblPr>
      <w:tblGrid>
        <w:gridCol w:w="643"/>
        <w:gridCol w:w="9562"/>
      </w:tblGrid>
      <w:tr>
        <w:trPr/>
        <w:tc>
          <w:tcPr>
            <w:tcW w:w="643" w:type="dxa"/>
            <w:tcBorders/>
            <w:shd w:fill="auto" w:val="clear"/>
            <w:vAlign w:val="center"/>
          </w:tcPr>
          <w:p>
            <w:pPr>
              <w:pStyle w:val="TableContents"/>
              <w:spacing w:before="0" w:after="283"/>
              <w:ind w:left="0" w:right="0" w:hanging="0"/>
              <w:rPr>
                <w:sz w:val="4"/>
                <w:szCs w:val="4"/>
              </w:rPr>
            </w:pPr>
            <w:r>
              <w:rPr>
                <w:sz w:val="4"/>
                <w:szCs w:val="4"/>
              </w:rPr>
            </w:r>
          </w:p>
        </w:tc>
        <w:tc>
          <w:tcPr>
            <w:tcW w:w="9562" w:type="dxa"/>
            <w:tcBorders/>
            <w:shd w:fill="auto" w:val="clear"/>
            <w:vAlign w:val="center"/>
          </w:tcPr>
          <w:p>
            <w:pPr>
              <w:pStyle w:val="TableContents"/>
              <w:spacing w:before="0" w:after="283"/>
              <w:ind w:left="0" w:right="0" w:hanging="0"/>
              <w:rPr>
                <w:sz w:val="4"/>
                <w:szCs w:val="4"/>
              </w:rPr>
            </w:pPr>
            <w:r>
              <w:rPr>
                <w:sz w:val="4"/>
                <w:szCs w:val="4"/>
              </w:rPr>
            </w:r>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2.1</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Transaction Agreement, dated as of August 14, 2014, by and among Monster Beverage Corporation, New Laser Corporation, New Laser Merger Corp, The Coca-Cola Company and European Refreshments (incorporated by reference to Exhibit 2.1 to our Form 8-K dated August 18, 2014).</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2.1.1</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Amendment to Transaction Agreement, dated as of March 16, 2018, by and among Monster Beverage Corporation, New Laser Corporation, New Laser Merger Corp., The Coca-Cola Company and European Refreshments (incorporated by reference to Exhibit 2.1 to our Form 8-K dated March 20, 2018).</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2.2</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Asset Transfer Agreement, dated as of August 14, 2014, by and among Monster Beverage Corporation, New Laser Corporation and The Coca-Cola Company (incorporated by reference to Exhibit 2.2 to our Form 8-K dated August 18, 2014).</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3.1</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Certificate of Incorporation of the Company, as amended (incorporated by reference to Exhibit 3.1 to our Form 10-K dated November 7, 2016).</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3.2</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Second Amended and Restated By-laws of the Company (incorporated by reference to Exhibit 3.2 to our Form 8-K dated April 16, 2018).</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4.1</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Description of Common Stock (incorporated by reference to Exhibit 4.1 to our Form 10-K dated February 28, 2020).</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Amended and Restated Distribution Coordination Agreement, dated as of June 12, 2015, between Monster Energy Company and The Coca-Cola Company (incorporated by reference to Exhibit 10.1 to our Form 10-Q dated August 10, 2015).</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10.2</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Amended and Restated International Distribution Coordination Agreement, dated as of June 12, 2015, between Monster Energy Ltd. and Monster Energy Company and The Coca-Cola Company (incorporated by reference to Exhibit 10.2 to our Form 10-Q dated August 10, 2015).</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10.3</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Form of Indemnification Agreement (to be provided by Monster Beverage Corporation to its directors and officers) (incorporated by reference to Exhibit 10.1 to our Form 8-K dated June 11, 2019).</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10.4+</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Form of Restricted Stock Unit Agreement pursuant to the Monster Beverage Corporation 2017 Compensation Plan for Non-Employee Directors (incorporated by reference to Exhibit 10.4 to our Form 10-K dated March 1, 2021).</w:t>
              </w:r>
            </w:hyperlink>
            <w:r>
              <w:rPr>
                <w:rFonts w:ascii="Times New Roman;Times;serif" w:hAnsi="Times New Roman;Times;serif"/>
                <w:sz w:val="20"/>
              </w:rPr>
              <w:t xml:space="preserve"> </w:t>
            </w:r>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10.5+</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Form of Restricted Stock Agreement (incorporated by reference to Exhibit 10.1 to our Form 10-Q dated August 9, 2011).</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10.6+</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4">
              <w:r>
                <w:rPr>
                  <w:rStyle w:val="InternetLink"/>
                  <w:rFonts w:ascii="Times New Roman;Times;serif" w:hAnsi="Times New Roman;Times;serif"/>
                  <w:b w:val="false"/>
                  <w:i w:val="false"/>
                  <w:caps w:val="false"/>
                  <w:smallCaps w:val="false"/>
                  <w:sz w:val="20"/>
                </w:rPr>
                <w:t>Monster Beverage Corporation 2011 Omnibus Incentive Plan (incorporated by reference to Exhibit 10.1 to our Form 8-K dated May 24, 2011).</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10.7+</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5">
              <w:r>
                <w:rPr>
                  <w:rStyle w:val="InternetLink"/>
                  <w:rFonts w:ascii="Times New Roman;Times;serif" w:hAnsi="Times New Roman;Times;serif"/>
                  <w:b w:val="false"/>
                  <w:i w:val="false"/>
                  <w:caps w:val="false"/>
                  <w:smallCaps w:val="false"/>
                  <w:sz w:val="20"/>
                </w:rPr>
                <w:t>Employment Agreement between Monster Beverage Corporation and Rodney C. Sacks (incorporated by reference to Exhibit 10.1 to our Form 8-K dated March 19, 2014).</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10.8+</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6">
              <w:r>
                <w:rPr>
                  <w:rStyle w:val="InternetLink"/>
                  <w:rFonts w:ascii="Times New Roman;Times;serif" w:hAnsi="Times New Roman;Times;serif"/>
                  <w:b w:val="false"/>
                  <w:i w:val="false"/>
                  <w:caps w:val="false"/>
                  <w:smallCaps w:val="false"/>
                  <w:sz w:val="20"/>
                </w:rPr>
                <w:t>Employment Agreement between Monster Beverage Corporation and Hilton H. Schlosberg (incorporated by reference to Exhibit 10.2 to our Form 8-K dated March 19, 2014).</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10.9+</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7">
              <w:r>
                <w:rPr>
                  <w:rStyle w:val="InternetLink"/>
                  <w:rFonts w:ascii="Times New Roman;Times;serif" w:hAnsi="Times New Roman;Times;serif"/>
                  <w:b w:val="false"/>
                  <w:i w:val="false"/>
                  <w:caps w:val="false"/>
                  <w:smallCaps w:val="false"/>
                  <w:sz w:val="20"/>
                </w:rPr>
                <w:t>Form of Stock Option Agreement for grants under the Monster Beverage Corporation 2011 Omnibus Incentive Plan (incorporated by reference to Exhibit 10.10 to our Form 10-K dated March 1, 2018).</w:t>
              </w:r>
            </w:hyperlink>
            <w:r>
              <w:rPr>
                <w:rFonts w:ascii="Times New Roman;Times;serif" w:hAnsi="Times New Roman;Times;serif"/>
                <w:sz w:val="20"/>
              </w:rPr>
              <w:t xml:space="preserve"> </w:t>
            </w:r>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10.10+</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8">
              <w:r>
                <w:rPr>
                  <w:rStyle w:val="InternetLink"/>
                  <w:rFonts w:ascii="Times New Roman;Times;serif" w:hAnsi="Times New Roman;Times;serif"/>
                  <w:b w:val="false"/>
                  <w:i w:val="false"/>
                  <w:caps w:val="false"/>
                  <w:smallCaps w:val="false"/>
                  <w:sz w:val="20"/>
                </w:rPr>
                <w:t>Form of Stock Option Agreement of Co-Chief Executive Officers for grants under the Monster Beverage Corporation 2011 Omnibus Incentive Plan (incorporated by reference to Exhibit 10.11 to our Form 10-K dated March 1, 2018).</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10.11+</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pPr>
            <w:hyperlink r:id="rId19">
              <w:r>
                <w:rPr>
                  <w:rStyle w:val="InternetLink"/>
                  <w:rFonts w:ascii="Times New Roman;Times;serif" w:hAnsi="Times New Roman;Times;serif"/>
                  <w:b w:val="false"/>
                  <w:i w:val="false"/>
                  <w:caps w:val="false"/>
                  <w:smallCaps w:val="false"/>
                  <w:sz w:val="20"/>
                </w:rPr>
                <w:t>Form of 2020 Annual Incentive Award Agreement for grants under the Monster Beverage Corporation 2011 Omnibus Incentive Plan (incorporated by reference to Exhibit 10.1 to our Form 10-Q dated May 11, 2020).</w:t>
              </w:r>
            </w:hyperlink>
          </w:p>
        </w:tc>
      </w:tr>
      <w:tr>
        <w:trPr/>
        <w:tc>
          <w:tcPr>
            <w:tcW w:w="643"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10.12+</w:t>
            </w:r>
          </w:p>
        </w:tc>
        <w:tc>
          <w:tcPr>
            <w:tcW w:w="9562"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72" w:right="0" w:hanging="0"/>
              <w:rPr/>
            </w:pPr>
            <w:hyperlink r:id="rId20">
              <w:r>
                <w:rPr>
                  <w:rStyle w:val="InternetLink"/>
                  <w:rFonts w:ascii="Times New Roman;Times;serif" w:hAnsi="Times New Roman;Times;serif"/>
                  <w:b w:val="false"/>
                  <w:i w:val="false"/>
                  <w:caps w:val="false"/>
                  <w:smallCaps w:val="false"/>
                  <w:sz w:val="20"/>
                </w:rPr>
                <w:t>Form of Performance Share Unit Award Agreement for grants under the Monster Beverage Corporation 2011 Omnibus Incentive Plan (incorporated by reference to Exhibit 10.2 to our Form 10-Q dated May 11, 2020).</w:t>
              </w:r>
            </w:hyperlink>
          </w:p>
        </w:tc>
      </w:tr>
    </w:tbl>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615"/>
        <w:gridCol w:w="9590"/>
      </w:tblGrid>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10.13+</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1">
              <w:r>
                <w:rPr>
                  <w:rStyle w:val="InternetLink"/>
                  <w:rFonts w:ascii="Times New Roman;Times;serif" w:hAnsi="Times New Roman;Times;serif"/>
                  <w:b w:val="false"/>
                  <w:i w:val="false"/>
                  <w:caps w:val="false"/>
                  <w:smallCaps w:val="false"/>
                  <w:sz w:val="20"/>
                </w:rPr>
                <w:t>Form of Restricted Stock Unit Agreement for grants under the Monster Beverage Corporation 2011 Omnibus Incentive Plan (incorporated by reference to Exhibit 10.13 to our Form 10-K dated March 1, 2021).</w:t>
              </w:r>
            </w:hyperlink>
            <w:r>
              <w:rPr>
                <w:rFonts w:ascii="Times New Roman;Times;serif" w:hAnsi="Times New Roman;Times;serif"/>
                <w:sz w:val="20"/>
              </w:rPr>
              <w:t xml:space="preserve"> </w:t>
            </w:r>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10.14+</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2">
              <w:r>
                <w:rPr>
                  <w:rStyle w:val="InternetLink"/>
                  <w:rFonts w:ascii="Times New Roman;Times;serif" w:hAnsi="Times New Roman;Times;serif"/>
                  <w:b w:val="false"/>
                  <w:i w:val="false"/>
                  <w:caps w:val="false"/>
                  <w:smallCaps w:val="false"/>
                  <w:sz w:val="20"/>
                </w:rPr>
                <w:t>Form of Restricted Stock Unit Agreement of Co-Chief Executive Officers for grants under the Monster Beverage Corporation 2011 Omnibus Incentive Plan (incorporated by reference to Exhibit 10.14 to our Form 10-K dated March 1, 2021).</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10.15+</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3">
              <w:r>
                <w:rPr>
                  <w:rStyle w:val="InternetLink"/>
                  <w:rFonts w:ascii="Times New Roman;Times;serif" w:hAnsi="Times New Roman;Times;serif"/>
                  <w:b w:val="false"/>
                  <w:i w:val="false"/>
                  <w:caps w:val="false"/>
                  <w:smallCaps w:val="false"/>
                  <w:sz w:val="20"/>
                </w:rPr>
                <w:t>Monster Beverage Corporation 2020 Omnibus Incentive Plan (incorporated by reference to Appendix A to our Definitive Proxy Statement on Schedule 14A, filed April 21, 2020).</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10.16+</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4">
              <w:r>
                <w:rPr>
                  <w:rStyle w:val="InternetLink"/>
                  <w:rFonts w:ascii="Times New Roman;Times;serif" w:hAnsi="Times New Roman;Times;serif"/>
                  <w:b w:val="false"/>
                  <w:i w:val="false"/>
                  <w:caps w:val="false"/>
                  <w:smallCaps w:val="false"/>
                  <w:sz w:val="20"/>
                </w:rPr>
                <w:t>Monster Beverage Corporation 2017 Compensation Plan for Non-Employee Directors (incorporated by reference to Exhibit 4.1 to our Form S-8 dated June 21, 2017).</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10.17+</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5">
              <w:r>
                <w:rPr>
                  <w:rStyle w:val="InternetLink"/>
                  <w:rFonts w:ascii="Times New Roman;Times;serif" w:hAnsi="Times New Roman;Times;serif"/>
                  <w:b w:val="false"/>
                  <w:i w:val="false"/>
                  <w:caps w:val="false"/>
                  <w:smallCaps w:val="false"/>
                  <w:sz w:val="20"/>
                </w:rPr>
                <w:t>Monster Beverage Corporation Deferred Compensation Plan for Non-Employee Directors (incorporated by reference to Exhibit 4.2 to our Form S-8 dated June 21, 2017).</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10.18+</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6">
              <w:r>
                <w:rPr>
                  <w:rStyle w:val="InternetLink"/>
                  <w:rFonts w:ascii="Times New Roman;Times;serif" w:hAnsi="Times New Roman;Times;serif"/>
                  <w:b w:val="false"/>
                  <w:i w:val="false"/>
                  <w:caps w:val="false"/>
                  <w:smallCaps w:val="false"/>
                  <w:sz w:val="20"/>
                </w:rPr>
                <w:t>Amended and Restated Monster Beverage Corporation Deferred Compensation Plan (incorporated by reference to Exhibit 10.14 to our Form 10-K dated March 1, 2018).</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10.19+</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7">
              <w:r>
                <w:rPr>
                  <w:rStyle w:val="InternetLink"/>
                  <w:rFonts w:ascii="Times New Roman;Times;serif" w:hAnsi="Times New Roman;Times;serif"/>
                  <w:b w:val="false"/>
                  <w:i w:val="false"/>
                  <w:caps w:val="false"/>
                  <w:smallCaps w:val="false"/>
                  <w:sz w:val="20"/>
                </w:rPr>
                <w:t>Form of Stock Option Award Agreement for grants under the Monster Beverage Corporation 2020 Omnibus Incentive Plan (incorporated by reference to Exhibit 10.1 to our Form 10-Q dated May 7, 2021).</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10.20+</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8">
              <w:r>
                <w:rPr>
                  <w:rStyle w:val="InternetLink"/>
                  <w:rFonts w:ascii="Times New Roman;Times;serif" w:hAnsi="Times New Roman;Times;serif"/>
                  <w:b w:val="false"/>
                  <w:i w:val="false"/>
                  <w:caps w:val="false"/>
                  <w:smallCaps w:val="false"/>
                  <w:sz w:val="20"/>
                </w:rPr>
                <w:t>Form of Annual Incentive Award Agreement for grants under the Monster Beverage Corporation 2020 Omnibus Incentive Plan (incorporated by reference to Exhibit 10.2 to our Form 10-Q dated May 7, 2021).</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10.21+</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29">
              <w:r>
                <w:rPr>
                  <w:rStyle w:val="InternetLink"/>
                  <w:rFonts w:ascii="Times New Roman;Times;serif" w:hAnsi="Times New Roman;Times;serif"/>
                  <w:b w:val="false"/>
                  <w:i w:val="false"/>
                  <w:caps w:val="false"/>
                  <w:smallCaps w:val="false"/>
                  <w:sz w:val="20"/>
                </w:rPr>
                <w:t>Form of Performance Share Unit Award Agreement for grants under the Monster Beverage Corporation 2020 Omnibus Incentive Plan (incorporated by reference to Exhibit 10.3 to our Form 10-Q dated May 7, 2021).</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10.22+</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r:id="rId30">
              <w:r>
                <w:rPr>
                  <w:rStyle w:val="InternetLink"/>
                  <w:rFonts w:ascii="Times New Roman;Times;serif" w:hAnsi="Times New Roman;Times;serif"/>
                  <w:b w:val="false"/>
                  <w:i w:val="false"/>
                  <w:caps w:val="false"/>
                  <w:smallCaps w:val="false"/>
                  <w:sz w:val="20"/>
                </w:rPr>
                <w:t>Form of Restricted Stock Unit Award Agreement for grants under the Monster Beverage Corporation 2020 Omnibus Incentive Plan (incorporated by reference to Exhibit 10.4 to our Form 10-Q dated May 7, 2021).</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21*</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w:anchor="mnst-20211231xex21.htm">
              <w:r>
                <w:rPr>
                  <w:rStyle w:val="InternetLink"/>
                  <w:rFonts w:ascii="Times New Roman;Times;serif" w:hAnsi="Times New Roman;Times;serif"/>
                  <w:b w:val="false"/>
                  <w:i w:val="false"/>
                  <w:caps w:val="false"/>
                  <w:smallCaps w:val="false"/>
                  <w:sz w:val="20"/>
                </w:rPr>
                <w:t>Subsidiaries</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23*</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w:anchor="mnst-20211231xex23.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31.1*</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w:anchor="mnst-20211231xex31d1.htm">
              <w:r>
                <w:rPr>
                  <w:rStyle w:val="InternetLink"/>
                  <w:rFonts w:ascii="Times New Roman;Times;serif" w:hAnsi="Times New Roman;Times;serif"/>
                  <w:b w:val="false"/>
                  <w:i w:val="false"/>
                  <w:caps w:val="false"/>
                  <w:smallCaps w:val="false"/>
                  <w:sz w:val="20"/>
                </w:rPr>
                <w:t>Certification by Co-Chief Executive Officer pursuant to Rule 13A-14(a) or 15D-14(a) of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31.2*</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w:anchor="mnst-20211231xex31d2.htm">
              <w:r>
                <w:rPr>
                  <w:rStyle w:val="InternetLink"/>
                  <w:rFonts w:ascii="Times New Roman;Times;serif" w:hAnsi="Times New Roman;Times;serif"/>
                  <w:b w:val="false"/>
                  <w:i w:val="false"/>
                  <w:caps w:val="false"/>
                  <w:smallCaps w:val="false"/>
                  <w:sz w:val="20"/>
                </w:rPr>
                <w:t>Certification by Co-Chief Executive Officer pursuant to Rule 13A-14(a) or 15D-14(a) of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31.3*</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w:anchor="mnst-20211231xex31d3.htm">
              <w:r>
                <w:rPr>
                  <w:rStyle w:val="InternetLink"/>
                  <w:rFonts w:ascii="Times New Roman;Times;serif" w:hAnsi="Times New Roman;Times;serif"/>
                  <w:b w:val="false"/>
                  <w:i w:val="false"/>
                  <w:caps w:val="false"/>
                  <w:smallCaps w:val="false"/>
                  <w:sz w:val="20"/>
                </w:rPr>
                <w:t>Certification by Chief Financial Officer pursuant to Rule 13A-14(a) or 15D-14(a) of the Securities Exchange Act of 1934, as adopted pursuant to Section 302 of the Sarbanes-Oxley Act of 2002</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32.1*</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w:anchor="mnst-20211231xex32d1.htm">
              <w:r>
                <w:rPr>
                  <w:rStyle w:val="InternetLink"/>
                  <w:rFonts w:ascii="Times New Roman;Times;serif" w:hAnsi="Times New Roman;Times;serif"/>
                  <w:b w:val="false"/>
                  <w:i w:val="false"/>
                  <w:caps w:val="false"/>
                  <w:smallCaps w:val="false"/>
                  <w:sz w:val="20"/>
                </w:rPr>
                <w:t>Certification by Co-Chief Executive Officer pursuant to 18 U.S.C. Section 1350, as adopted pursuant to Section 906 of the Sarbanes-Oxley Act of 2002</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32.2*</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w:anchor="mnst-20211231xex32d2.htm">
              <w:r>
                <w:rPr>
                  <w:rStyle w:val="InternetLink"/>
                  <w:rFonts w:ascii="Times New Roman;Times;serif" w:hAnsi="Times New Roman;Times;serif"/>
                  <w:b w:val="false"/>
                  <w:i w:val="false"/>
                  <w:caps w:val="false"/>
                  <w:smallCaps w:val="false"/>
                  <w:sz w:val="20"/>
                </w:rPr>
                <w:t>Certification by Co-Chief Executive Officer pursuant to 18 U.S.C. Section 1350, as adopted pursuant to Section 906 of the Sarbanes-Oxley Act of 2002</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32.3*</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pPr>
            <w:hyperlink w:anchor="mnst-20211231xex32d3.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101*</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1"/>
              </w:rPr>
              <w:t>The following materials from Monster Beverage Corporation’s Annual Report on Form 10-K for the fiscal year ended December 31, 2021 are furnished herewith, formatted in iXBRL (Inline eXtensible Business Reporting Language): (i) Consolidated Balance Sheets as of December 31, 2021 and 2020, (ii) Consolidated Statements of Income for the years ended December 31, 2021, 2020</w:t>
            </w:r>
            <w:r>
              <w:rPr>
                <w:rFonts w:ascii="Times New Roman;Times;serif" w:hAnsi="Times New Roman;Times;serif"/>
                <w:sz w:val="20"/>
              </w:rPr>
              <w:t xml:space="preserve"> </w:t>
            </w:r>
            <w:r>
              <w:rPr>
                <w:rFonts w:ascii="Times New Roman;Times;serif" w:hAnsi="Times New Roman;Times;serif"/>
                <w:sz w:val="21"/>
              </w:rPr>
              <w:t>and 2019, (iii) Consolidated Statements of Comprehensive Income for the years ended December 31, 2021, 2020</w:t>
            </w:r>
            <w:r>
              <w:rPr>
                <w:rFonts w:ascii="Times New Roman;Times;serif" w:hAnsi="Times New Roman;Times;serif"/>
                <w:sz w:val="20"/>
              </w:rPr>
              <w:t xml:space="preserve"> </w:t>
            </w:r>
            <w:r>
              <w:rPr>
                <w:rFonts w:ascii="Times New Roman;Times;serif" w:hAnsi="Times New Roman;Times;serif"/>
                <w:sz w:val="21"/>
              </w:rPr>
              <w:t>and 2019, (iv) Consolidated Statements of Stockholders’ Equity for the years ended December 31, 2021, 2020</w:t>
            </w:r>
            <w:r>
              <w:rPr>
                <w:rFonts w:ascii="Times New Roman;Times;serif" w:hAnsi="Times New Roman;Times;serif"/>
                <w:sz w:val="20"/>
              </w:rPr>
              <w:t xml:space="preserve"> </w:t>
            </w:r>
            <w:r>
              <w:rPr>
                <w:rFonts w:ascii="Times New Roman;Times;serif" w:hAnsi="Times New Roman;Times;serif"/>
                <w:sz w:val="21"/>
              </w:rPr>
              <w:t>and 2019, (v) Consolidated Statements of Cash Flows for the years ended December 31, 2021, 2020</w:t>
            </w:r>
            <w:r>
              <w:rPr>
                <w:rFonts w:ascii="Times New Roman;Times;serif" w:hAnsi="Times New Roman;Times;serif"/>
                <w:sz w:val="20"/>
              </w:rPr>
              <w:t xml:space="preserve"> </w:t>
            </w:r>
            <w:r>
              <w:rPr>
                <w:rFonts w:ascii="Times New Roman;Times;serif" w:hAnsi="Times New Roman;Times;serif"/>
                <w:sz w:val="21"/>
              </w:rPr>
              <w:t>and 2019, and (vi) Notes to Consolidated Financial Statements.</w:t>
            </w:r>
          </w:p>
        </w:tc>
      </w:tr>
      <w:tr>
        <w:trPr/>
        <w:tc>
          <w:tcPr>
            <w:tcW w:w="61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104*</w:t>
            </w:r>
          </w:p>
        </w:tc>
        <w:tc>
          <w:tcPr>
            <w:tcW w:w="959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72" w:right="0" w:hanging="0"/>
              <w:jc w:val="both"/>
              <w:rPr>
                <w:rFonts w:ascii="Times New Roman;Times;serif" w:hAnsi="Times New Roman;Times;serif"/>
                <w:sz w:val="21"/>
              </w:rPr>
            </w:pPr>
            <w:r>
              <w:rPr>
                <w:rFonts w:ascii="Times New Roman;Times;serif" w:hAnsi="Times New Roman;Times;serif"/>
                <w:sz w:val="21"/>
              </w:rPr>
              <w:t>The cover page from Monster Beverage Corporation’s Annual Report on Form 10-K for the fiscal year ended December 31, 2021, formatted in iXBRL (Inline eXtensible Business Reporting Language) and contained in Exhibit 101.</w:t>
            </w:r>
          </w:p>
        </w:tc>
      </w:tr>
    </w:tbl>
    <w:p>
      <w:pPr>
        <w:pStyle w:val="TextBody"/>
        <w:spacing w:before="0" w:after="0"/>
        <w:ind w:left="0" w:right="0" w:hanging="0"/>
        <w:rPr/>
      </w:pPr>
      <w:r>
        <w:rPr/>
        <w:t>​</w:t>
      </w:r>
    </w:p>
    <w:tbl>
      <w:tblPr>
        <w:tblW w:w="1367" w:type="dxa"/>
        <w:jc w:val="left"/>
        <w:tblInd w:w="0" w:type="dxa"/>
        <w:tblCellMar>
          <w:top w:w="0" w:type="dxa"/>
          <w:left w:w="0" w:type="dxa"/>
          <w:bottom w:w="0" w:type="dxa"/>
          <w:right w:w="0" w:type="dxa"/>
        </w:tblCellMar>
      </w:tblPr>
      <w:tblGrid>
        <w:gridCol w:w="181"/>
        <w:gridCol w:w="1186"/>
      </w:tblGrid>
      <w:tr>
        <w:trPr/>
        <w:tc>
          <w:tcPr>
            <w:tcW w:w="181" w:type="dxa"/>
            <w:tcBorders/>
            <w:shd w:fill="auto" w:val="clear"/>
            <w:vAlign w:val="center"/>
          </w:tcPr>
          <w:p>
            <w:pPr>
              <w:pStyle w:val="TableContents"/>
              <w:spacing w:lineRule="auto" w:line="240" w:before="0" w:after="0"/>
              <w:jc w:val="both"/>
              <w:rPr>
                <w:rFonts w:ascii="Times New Roman;Times;serif" w:hAnsi="Times New Roman;Times;serif"/>
                <w:sz w:val="12"/>
              </w:rPr>
            </w:pPr>
            <w:r>
              <w:rPr>
                <w:rFonts w:ascii="Times New Roman;Times;serif" w:hAnsi="Times New Roman;Times;serif"/>
                <w:sz w:val="12"/>
              </w:rPr>
              <w:t>*</w:t>
            </w:r>
          </w:p>
        </w:tc>
        <w:tc>
          <w:tcPr>
            <w:tcW w:w="1186" w:type="dxa"/>
            <w:tcBorders/>
            <w:shd w:fill="auto" w:val="clear"/>
            <w:vAlign w:val="center"/>
          </w:tcPr>
          <w:p>
            <w:pPr>
              <w:pStyle w:val="TableContents"/>
              <w:spacing w:before="0" w:after="0"/>
              <w:jc w:val="both"/>
              <w:rPr>
                <w:rFonts w:ascii="Times New Roman;Times;serif" w:hAnsi="Times New Roman;Times;serif"/>
                <w:sz w:val="16"/>
              </w:rPr>
            </w:pPr>
            <w:r>
              <w:rPr>
                <w:rFonts w:ascii="Times New Roman;Times;serif" w:hAnsi="Times New Roman;Times;serif"/>
                <w:sz w:val="16"/>
              </w:rPr>
              <w:t>Filed herewith.</w:t>
            </w:r>
          </w:p>
        </w:tc>
      </w:tr>
    </w:tbl>
    <w:tbl>
      <w:tblPr>
        <w:tblW w:w="4682" w:type="dxa"/>
        <w:jc w:val="left"/>
        <w:tblInd w:w="0" w:type="dxa"/>
        <w:tblCellMar>
          <w:top w:w="0" w:type="dxa"/>
          <w:left w:w="0" w:type="dxa"/>
          <w:bottom w:w="0" w:type="dxa"/>
          <w:right w:w="0" w:type="dxa"/>
        </w:tblCellMar>
      </w:tblPr>
      <w:tblGrid>
        <w:gridCol w:w="196"/>
        <w:gridCol w:w="4486"/>
      </w:tblGrid>
      <w:tr>
        <w:trPr/>
        <w:tc>
          <w:tcPr>
            <w:tcW w:w="196" w:type="dxa"/>
            <w:tcBorders/>
            <w:shd w:fill="auto" w:val="clear"/>
            <w:vAlign w:val="center"/>
          </w:tcPr>
          <w:p>
            <w:pPr>
              <w:pStyle w:val="TableContents"/>
              <w:spacing w:lineRule="auto" w:line="240" w:before="0" w:after="0"/>
              <w:jc w:val="both"/>
              <w:rPr>
                <w:rFonts w:ascii="Times New Roman;Times;serif" w:hAnsi="Times New Roman;Times;serif"/>
                <w:sz w:val="12"/>
              </w:rPr>
            </w:pPr>
            <w:r>
              <w:rPr>
                <w:rFonts w:ascii="Times New Roman;Times;serif" w:hAnsi="Times New Roman;Times;serif"/>
                <w:sz w:val="12"/>
              </w:rPr>
              <w:t>+</w:t>
            </w:r>
          </w:p>
        </w:tc>
        <w:tc>
          <w:tcPr>
            <w:tcW w:w="4486" w:type="dxa"/>
            <w:tcBorders/>
            <w:shd w:fill="auto" w:val="clear"/>
            <w:vAlign w:val="center"/>
          </w:tcPr>
          <w:p>
            <w:pPr>
              <w:pStyle w:val="TableContents"/>
              <w:spacing w:before="0" w:after="0"/>
              <w:jc w:val="both"/>
              <w:rPr>
                <w:rFonts w:ascii="Times New Roman;Times;serif" w:hAnsi="Times New Roman;Times;serif"/>
                <w:sz w:val="16"/>
              </w:rPr>
            </w:pPr>
            <w:r>
              <w:rPr>
                <w:rFonts w:ascii="Times New Roman;Times;serif" w:hAnsi="Times New Roman;Times;serif"/>
                <w:sz w:val="16"/>
              </w:rPr>
              <w:t>Management contract or compensatory plans or arrangements.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rPr>
          <w:rFonts w:ascii="Times New Roman;Times;serif" w:hAnsi="Times New Roman;Times;serif"/>
          <w:b/>
          <w:sz w:val="22"/>
        </w:rPr>
      </w:pPr>
      <w:bookmarkStart w:id="80" w:name="SIGNATURES_717339"/>
      <w:bookmarkStart w:id="81" w:name="_b0db0374_b043_42c3_802d_10fcda2bd8f9"/>
      <w:bookmarkEnd w:id="80"/>
      <w:bookmarkEnd w:id="81"/>
      <w:r>
        <w:rPr>
          <w:rFonts w:ascii="Times New Roman;Times;serif" w:hAnsi="Times New Roman;Times;serif"/>
          <w:b/>
          <w:sz w:val="22"/>
        </w:rPr>
        <w:t>SIGNATURES</w:t>
      </w:r>
    </w:p>
    <w:p>
      <w:pPr>
        <w:pStyle w:val="TextBody"/>
        <w:spacing w:before="0" w:after="160"/>
        <w:ind w:left="0" w:right="0" w:firstLine="720"/>
        <w:jc w:val="both"/>
        <w:rPr>
          <w:rFonts w:ascii="Times New Roman;Times;serif" w:hAnsi="Times New Roman;Times;serif"/>
          <w:sz w:val="22"/>
        </w:rPr>
      </w:pPr>
      <w:r>
        <w:rPr>
          <w:rFonts w:ascii="Times New Roman;Times;serif" w:hAnsi="Times New Roman;Times;serif"/>
          <w:sz w:val="22"/>
        </w:rPr>
        <w:t>Pursuant to the requirements of Sections 13 or 15(d) of the Securities Exchange Act of 1934, as amended, the registrant has duly caused this report to be signed on its behalf by the undersigned, thereunto duly authorized.</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MONSTER BEVERAGE CORPORATION</w:t>
      </w:r>
    </w:p>
    <w:tbl>
      <w:tblPr>
        <w:tblW w:w="9130" w:type="dxa"/>
        <w:jc w:val="left"/>
        <w:tblInd w:w="0" w:type="dxa"/>
        <w:tblCellMar>
          <w:top w:w="0" w:type="dxa"/>
          <w:left w:w="0" w:type="dxa"/>
          <w:bottom w:w="28" w:type="dxa"/>
          <w:right w:w="0" w:type="dxa"/>
        </w:tblCellMar>
      </w:tblPr>
      <w:tblGrid>
        <w:gridCol w:w="3031"/>
        <w:gridCol w:w="326"/>
        <w:gridCol w:w="3001"/>
        <w:gridCol w:w="326"/>
        <w:gridCol w:w="2446"/>
      </w:tblGrid>
      <w:tr>
        <w:trPr/>
        <w:tc>
          <w:tcPr>
            <w:tcW w:w="303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RODNEY C. SACKS</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30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Rodney C. Sacks</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24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 February 28, 2022</w:t>
            </w:r>
          </w:p>
        </w:tc>
      </w:tr>
      <w:tr>
        <w:trPr/>
        <w:tc>
          <w:tcPr>
            <w:tcW w:w="3031"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0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Chairman of the Board of</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446" w:type="dxa"/>
            <w:tcBorders/>
            <w:shd w:fill="auto" w:val="clear"/>
            <w:tcMar>
              <w:bottom w:w="0" w:type="dxa"/>
            </w:tcMar>
            <w:vAlign w:val="center"/>
          </w:tcPr>
          <w:p>
            <w:pPr>
              <w:pStyle w:val="TableContents"/>
              <w:spacing w:before="0" w:after="0"/>
              <w:ind w:left="0" w:right="0" w:hanging="0"/>
              <w:rPr/>
            </w:pPr>
            <w:r>
              <w:rPr/>
              <w:t>​</w:t>
            </w:r>
          </w:p>
        </w:tc>
      </w:tr>
      <w:tr>
        <w:trPr/>
        <w:tc>
          <w:tcPr>
            <w:tcW w:w="303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0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Directors and Co-Chief</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446" w:type="dxa"/>
            <w:tcBorders/>
            <w:shd w:fill="auto" w:val="clear"/>
            <w:tcMar>
              <w:bottom w:w="0" w:type="dxa"/>
            </w:tcMar>
            <w:vAlign w:val="center"/>
          </w:tcPr>
          <w:p>
            <w:pPr>
              <w:pStyle w:val="TableContents"/>
              <w:spacing w:before="0" w:after="0"/>
              <w:ind w:left="0" w:right="0" w:hanging="0"/>
              <w:rPr/>
            </w:pPr>
            <w:r>
              <w:rPr/>
              <w:t>​</w:t>
            </w:r>
          </w:p>
        </w:tc>
      </w:tr>
      <w:tr>
        <w:trPr/>
        <w:tc>
          <w:tcPr>
            <w:tcW w:w="303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0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Executive Officer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446" w:type="dxa"/>
            <w:tcBorders/>
            <w:shd w:fill="auto" w:val="clear"/>
            <w:tcMar>
              <w:bottom w:w="0" w:type="dxa"/>
            </w:tcMar>
            <w:vAlign w:val="center"/>
          </w:tcPr>
          <w:p>
            <w:pPr>
              <w:pStyle w:val="TableContents"/>
              <w:spacing w:before="0" w:after="0"/>
              <w:ind w:left="0" w:right="0" w:hanging="0"/>
              <w:rPr/>
            </w:pPr>
            <w:r>
              <w:rPr/>
              <w:t>​</w:t>
            </w:r>
          </w:p>
        </w:tc>
      </w:tr>
      <w:tr>
        <w:trPr/>
        <w:tc>
          <w:tcPr>
            <w:tcW w:w="303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00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446" w:type="dxa"/>
            <w:tcBorders/>
            <w:shd w:fill="auto" w:val="clear"/>
            <w:tcMar>
              <w:bottom w:w="0" w:type="dxa"/>
            </w:tcMar>
            <w:vAlign w:val="center"/>
          </w:tcPr>
          <w:p>
            <w:pPr>
              <w:pStyle w:val="TableContents"/>
              <w:spacing w:before="0" w:after="0"/>
              <w:ind w:left="0" w:right="0" w:hanging="0"/>
              <w:rPr/>
            </w:pPr>
            <w:r>
              <w:rPr/>
              <w:t>​</w:t>
            </w:r>
          </w:p>
        </w:tc>
      </w:tr>
      <w:tr>
        <w:trPr/>
        <w:tc>
          <w:tcPr>
            <w:tcW w:w="303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HILTON H. SCHLOSBERG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0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Hilton H. Schlosberg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4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 February 28, 2022</w:t>
            </w:r>
          </w:p>
        </w:tc>
      </w:tr>
      <w:tr>
        <w:trPr/>
        <w:tc>
          <w:tcPr>
            <w:tcW w:w="3031"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0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Vice Chairman of the Board of</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446" w:type="dxa"/>
            <w:tcBorders/>
            <w:shd w:fill="auto" w:val="clear"/>
            <w:tcMar>
              <w:bottom w:w="0" w:type="dxa"/>
            </w:tcMar>
            <w:vAlign w:val="center"/>
          </w:tcPr>
          <w:p>
            <w:pPr>
              <w:pStyle w:val="TableContents"/>
              <w:spacing w:before="0" w:after="0"/>
              <w:ind w:left="0" w:right="0" w:hanging="0"/>
              <w:rPr/>
            </w:pPr>
            <w:r>
              <w:rPr/>
              <w:t>​</w:t>
            </w:r>
          </w:p>
        </w:tc>
      </w:tr>
      <w:tr>
        <w:trPr/>
        <w:tc>
          <w:tcPr>
            <w:tcW w:w="303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0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Directors and Co-Chief</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446" w:type="dxa"/>
            <w:tcBorders/>
            <w:shd w:fill="auto" w:val="clear"/>
            <w:tcMar>
              <w:bottom w:w="0" w:type="dxa"/>
            </w:tcMar>
            <w:vAlign w:val="center"/>
          </w:tcPr>
          <w:p>
            <w:pPr>
              <w:pStyle w:val="TableContents"/>
              <w:spacing w:before="0" w:after="0"/>
              <w:ind w:left="0" w:right="0" w:hanging="0"/>
              <w:rPr/>
            </w:pPr>
            <w:r>
              <w:rPr/>
              <w:t>​</w:t>
            </w:r>
          </w:p>
        </w:tc>
      </w:tr>
      <w:tr>
        <w:trPr/>
        <w:tc>
          <w:tcPr>
            <w:tcW w:w="303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00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Executive Officer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446"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Pursuant to the requirements of the Securities Exchange Act of 1934, this report has been signed below by the following persons on behalf of the registrant in the capacities and on the dates indicated.</w:t>
      </w:r>
    </w:p>
    <w:tbl>
      <w:tblPr>
        <w:tblW w:w="9010" w:type="dxa"/>
        <w:jc w:val="left"/>
        <w:tblInd w:w="0" w:type="dxa"/>
        <w:tblCellMar>
          <w:top w:w="0" w:type="dxa"/>
          <w:left w:w="0" w:type="dxa"/>
          <w:bottom w:w="28" w:type="dxa"/>
          <w:right w:w="0" w:type="dxa"/>
        </w:tblCellMar>
      </w:tblPr>
      <w:tblGrid>
        <w:gridCol w:w="2866"/>
        <w:gridCol w:w="326"/>
        <w:gridCol w:w="3766"/>
        <w:gridCol w:w="326"/>
        <w:gridCol w:w="1726"/>
      </w:tblGrid>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Signature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37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Title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172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RODNEY C. SACKS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Chairman of the Board of</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Rodney C. Sacks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Directors and Co-Chief Executive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Officer (principal executive officer)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HILTON H. SCHLOSBERG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Vice Chairman of the Board of Directors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Hilton H. Schlosberg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and Co-Chief Executive Officer (principal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lineRule="auto" w:line="304" w:before="0" w:after="0"/>
              <w:ind w:left="0" w:right="0" w:hanging="0"/>
              <w:rPr>
                <w:rFonts w:ascii="Times New Roman;Times;serif" w:hAnsi="Times New Roman;Times;serif"/>
                <w:sz w:val="21"/>
              </w:rPr>
            </w:pPr>
            <w:r>
              <w:rPr>
                <w:rFonts w:ascii="Times New Roman;Times;serif" w:hAnsi="Times New Roman;Times;serif"/>
                <w:sz w:val="21"/>
              </w:rPr>
              <w:t>executive officer)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THOMAS J. KELLY</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Chief Financial Officer (principal financial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Thomas J. Kelly</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officer, principal accounting officer)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ANA DEMEL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Ana Demel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JAMES L. DINKINS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James L. Dinkins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GARY P. FAYARD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Gary P. Fayard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MARK J. HALL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Mark J. Hall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TIFFANY M. HALL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Tiffany M. Hall</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JEANNE P. JACKSON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Jeanne P. Jackson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STEVEN G. PIZULA</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Steven G. Pizula</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BENJAMIN M. POLK</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Benjamin M. Polk</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r>
        <w:trPr/>
        <w:tc>
          <w:tcPr>
            <w:tcW w:w="286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/s/ MARK S. VIDERGAUZ</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Director</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February 28, 2022</w:t>
            </w:r>
          </w:p>
        </w:tc>
      </w:tr>
      <w:tr>
        <w:trPr/>
        <w:tc>
          <w:tcPr>
            <w:tcW w:w="286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1"/>
              </w:rPr>
            </w:pPr>
            <w:r>
              <w:rPr>
                <w:rFonts w:ascii="Times New Roman;Times;serif" w:hAnsi="Times New Roman;Times;serif"/>
                <w:sz w:val="21"/>
              </w:rPr>
              <w:t>Mark S. Vidergauz</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76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26"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2"/>
        </w:rPr>
      </w:pPr>
      <w:r>
        <w:rPr>
          <w:rFonts w:ascii="Times New Roman;Times;serif" w:hAnsi="Times New Roman;Times;serif"/>
          <w:sz w:val="22"/>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bookmarkStart w:id="82" w:name="_40ec3bcd_9dd0_45c8_8740_130e5bc86a1e"/>
      <w:bookmarkEnd w:id="82"/>
      <w:r>
        <w:rPr>
          <w:rFonts w:ascii="Times New Roman;Times;serif" w:hAnsi="Times New Roman;Times;serif"/>
          <w:b/>
          <w:sz w:val="22"/>
        </w:rPr>
        <w:t>INDEX TO CONSOLIDATED FINANCIAL STATEMENTS AND FINANCIAL STATEMENT SCHEDULE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9604"/>
        <w:gridCol w:w="601"/>
      </w:tblGrid>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81635" cy="29210"/>
                      <wp:effectExtent l="0" t="0" r="0" b="0"/>
                      <wp:wrapNone/>
                      <wp:docPr id="94" name="Frame93"/>
                      <a:graphic xmlns:a="http://schemas.openxmlformats.org/drawingml/2006/main">
                        <a:graphicData uri="http://schemas.microsoft.com/office/word/2010/wordprocessingShape">
                          <wps:wsp>
                            <wps:cNvSpPr txBox="1"/>
                            <wps:spPr>
                              <a:xfrm>
                                <a:off x="0" y="0"/>
                                <a:ext cx="3816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Page</w:t>
            </w:r>
          </w:p>
        </w:tc>
      </w:tr>
      <w:tr>
        <w:trPr/>
        <w:tc>
          <w:tcPr>
            <w:tcW w:w="9604"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MONSTER BEVERAGE CORPORATION AND SUBSIDIARIES</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2"/>
                </w:rPr>
                <w:t>Report of Independent Registered Public Accounting Firm</w:t>
              </w:r>
            </w:hyperlink>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77</w: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hyperlink w:anchor="BALANCESHEETS_625207">
              <w:r>
                <w:rPr>
                  <w:rStyle w:val="InternetLink"/>
                  <w:rFonts w:ascii="Times New Roman;Times;serif" w:hAnsi="Times New Roman;Times;serif"/>
                  <w:b w:val="false"/>
                  <w:i w:val="false"/>
                  <w:caps w:val="false"/>
                  <w:smallCaps w:val="false"/>
                  <w:sz w:val="22"/>
                </w:rPr>
                <w:t>Consolidated Balance Sheets as of December 31, 2021 and 2020</w:t>
              </w:r>
            </w:hyperlink>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80</w: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hyperlink w:anchor="STATEMENTSOFINCOME_553557">
              <w:r>
                <w:rPr>
                  <w:rStyle w:val="InternetLink"/>
                  <w:rFonts w:ascii="Times New Roman;Times;serif" w:hAnsi="Times New Roman;Times;serif"/>
                  <w:b w:val="false"/>
                  <w:i w:val="false"/>
                  <w:caps w:val="false"/>
                  <w:smallCaps w:val="false"/>
                  <w:sz w:val="22"/>
                </w:rPr>
                <w:t>Consolidated Statements of Income for the years ended December 31, 2021, 2020 and 2019</w:t>
              </w:r>
            </w:hyperlink>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81</w: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hyperlink w:anchor="COMPREHENSIVEINCOME_444106">
              <w:r>
                <w:rPr>
                  <w:rStyle w:val="InternetLink"/>
                  <w:rFonts w:ascii="Times New Roman;Times;serif" w:hAnsi="Times New Roman;Times;serif"/>
                  <w:b w:val="false"/>
                  <w:i w:val="false"/>
                  <w:caps w:val="false"/>
                  <w:smallCaps w:val="false"/>
                  <w:sz w:val="22"/>
                </w:rPr>
                <w:t>Consolidated Statements of Comprehensive Income for the years ended December 31, 2021, 2020 and 2019</w:t>
              </w:r>
            </w:hyperlink>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82</w: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hyperlink w:anchor="EQUITY_813398">
              <w:r>
                <w:rPr>
                  <w:rStyle w:val="InternetLink"/>
                  <w:rFonts w:ascii="Times New Roman;Times;serif" w:hAnsi="Times New Roman;Times;serif"/>
                  <w:b w:val="false"/>
                  <w:i w:val="false"/>
                  <w:caps w:val="false"/>
                  <w:smallCaps w:val="false"/>
                  <w:sz w:val="22"/>
                </w:rPr>
                <w:t>Consolidated Statements of Stockholders’ Equity for the years ended December 31, 2021, 2020 and 2019</w:t>
              </w:r>
            </w:hyperlink>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83</w: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hyperlink w:anchor="CASHFLOWS_256883">
              <w:r>
                <w:rPr>
                  <w:rStyle w:val="InternetLink"/>
                  <w:rFonts w:ascii="Times New Roman;Times;serif" w:hAnsi="Times New Roman;Times;serif"/>
                  <w:b w:val="false"/>
                  <w:i w:val="false"/>
                  <w:caps w:val="false"/>
                  <w:smallCaps w:val="false"/>
                  <w:sz w:val="22"/>
                </w:rPr>
                <w:t>Consolidated Statements of Cash Flows for the years ended December 31, 2021, 2020 and 2019</w:t>
              </w:r>
            </w:hyperlink>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84</w: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hyperlink w:anchor="a1ORGANIZATIONANDSUMMARYOFSIGNIFICANTACC">
              <w:r>
                <w:rPr>
                  <w:rStyle w:val="InternetLink"/>
                  <w:rFonts w:ascii="Times New Roman;Times;serif" w:hAnsi="Times New Roman;Times;serif"/>
                  <w:b w:val="false"/>
                  <w:i w:val="false"/>
                  <w:caps w:val="false"/>
                  <w:smallCaps w:val="false"/>
                  <w:sz w:val="22"/>
                </w:rPr>
                <w:t>Notes to Consolidated Financial Statements</w:t>
              </w:r>
            </w:hyperlink>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86</w:t>
            </w:r>
          </w:p>
        </w:tc>
      </w:tr>
      <w:tr>
        <w:trPr/>
        <w:tc>
          <w:tcPr>
            <w:tcW w:w="9604"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r>
      <w:tr>
        <w:trPr/>
        <w:tc>
          <w:tcPr>
            <w:tcW w:w="9604" w:type="dxa"/>
            <w:tcBorders/>
            <w:shd w:fill="auto" w:val="clear"/>
            <w:vAlign w:val="center"/>
          </w:tcPr>
          <w:p>
            <w:pPr>
              <w:pStyle w:val="TableContents"/>
              <w:spacing w:before="0" w:after="0"/>
              <w:ind w:left="0" w:right="0" w:hanging="0"/>
              <w:rPr/>
            </w:pPr>
            <w:hyperlink w:anchor="SCH">
              <w:r>
                <w:rPr>
                  <w:rStyle w:val="InternetLink"/>
                  <w:rFonts w:ascii="Times New Roman;Times;serif" w:hAnsi="Times New Roman;Times;serif"/>
                  <w:b w:val="false"/>
                  <w:i w:val="false"/>
                  <w:caps w:val="false"/>
                  <w:smallCaps w:val="false"/>
                  <w:sz w:val="22"/>
                </w:rPr>
                <w:t>Financial Statement Schedule – Valuation and Qualifying Accounts for the years ended December 31, 2021, 2020 and 2019</w:t>
              </w:r>
            </w:hyperlink>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22"/>
              </w:rPr>
            </w:pPr>
            <w:r>
              <w:rPr>
                <w:rFonts w:ascii="Times New Roman;Times;serif" w:hAnsi="Times New Roman;Times;serif"/>
                <w:sz w:val="22"/>
              </w:rPr>
              <w:t>122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bookmarkStart w:id="83" w:name="REPORTOFINDEPENDENTREGISTEREDPUBLICACCOU"/>
      <w:bookmarkStart w:id="84" w:name="_0aecb15e_6006_4c57_9dd3_2e747ea8a12f"/>
      <w:bookmarkEnd w:id="83"/>
      <w:bookmarkEnd w:id="84"/>
      <w:r>
        <w:rPr>
          <w:rFonts w:ascii="Times New Roman;Times;serif" w:hAnsi="Times New Roman;Times;serif"/>
          <w:b/>
          <w:sz w:val="22"/>
        </w:rPr>
        <w:t>REPORT OF INDEPENDENT REGISTERED PUBLIC ACCOUNTING FIRM</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To the Board of Directors and Stockholders of</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Monster Beverage Corporation</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Corona, California</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Opinion on the Financial Statements</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We have audited the accompanying consolidated balance sheets of Monster Beverage Corporation and subsidiaries (the “Company”) as of December 31, 2021 and 2020, the related consolidated statements of income, comprehensive income, stockholders’ equity and cash flows, for each of the three years in the period ended December 31, 2021, and the related notes and the schedule listed in the Index at Item 15(a)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Times New Roman;Times;serif" w:hAnsi="Times New Roman;Times;serif"/>
          <w:i/>
          <w:sz w:val="22"/>
        </w:rPr>
        <w:t>Internal Control–Integrated Framework (2013)</w:t>
      </w:r>
      <w:r>
        <w:rPr>
          <w:rFonts w:ascii="Times New Roman;Times;serif" w:hAnsi="Times New Roman;Times;serif"/>
          <w:sz w:val="22"/>
        </w:rPr>
        <w:t xml:space="preserve"> issued by the Committee of Sponsoring Organizations of the Treadway Commission and our report dated February 28, 2022, expressed an unqualified opinion on the Company’s internal control over financial reporting.</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Basis for Opinion</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240"/>
        <w:ind w:left="0" w:right="0" w:hanging="0"/>
        <w:rPr>
          <w:rFonts w:ascii="Times New Roman;Times;serif" w:hAnsi="Times New Roman;Times;serif"/>
          <w:b/>
          <w:sz w:val="22"/>
        </w:rPr>
      </w:pPr>
      <w:r>
        <w:rPr>
          <w:rFonts w:ascii="Times New Roman;Times;serif" w:hAnsi="Times New Roman;Times;serif"/>
          <w:b/>
          <w:sz w:val="22"/>
        </w:rPr>
        <w:t>Critical Audit Matter</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2"/>
        </w:rPr>
      </w:pPr>
      <w:r>
        <w:rPr>
          <w:rFonts w:ascii="Times New Roman;Times;serif" w:hAnsi="Times New Roman;Times;serif"/>
          <w:b/>
          <w:sz w:val="22"/>
        </w:rPr>
        <w:t>Accrued Promotional Allowances — Refer to Note 2 to the financial statements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Critical Audit Matter Description</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The Company’s promotional and other allowances are calculated based on various programs with its bottlers/distributors and retail customers, and accruals are established at the time of the initial product sale for the Company’s anticipated liabilities. These accruals are based on agreed-upon terms as well as the Company’s historical experience with similar programs and require management’s judgment with respect to estimating consumer participation and/or bottler/distributor and retail customer performance levels. Promotional and other allowances primarily include consideration given to bottlers/distributors or retail customers, including, but not limited to, the following: (i) discounts granted off list prices to support price promotions to end consumers by retailers; (ii) reimbursements given to bottlers/distributors for agreed portions of their promotional spend with retailers, including slotting, shelf space allowances, and other fees for both new and existing products; (iii) agreed share of fees given to bottlers/distributors and/or directly to retailers for advertising, in-store marketing, and promotional activities; (iv) agreed share of slotting, shelf space allowances, and other fees given directly to retailers, club stores and/or wholesalers; (v) incentives given to bottlers/distributors and/or retailers for achieving or exceeding certain predetermined sales goals; (vi) discounted or free products; (vii) contractual fees given to bottlers/distributors related to sales made by the Company directly to certain customers that fall within the bottlers’/distributors’ sales territories; and (viii) certain commissions paid based on sales to bottlers/distributors. The promotional programs are of varying durations, typically ranging from one week to one year based on the agreed-upon terms. The nature of such programs is determined on a per retail customer basis, and in certain instances, the same program is set for multiple retail customers. The promotional expenditures are recorded as a reduction to net sales in the period the underlying sale occurs. Total promotional expenditures included as a reduction to net sales were $924.7 million for the year ended December 31, 2021, and accrued promotional allowances were $211.5 million as of December 31, 2021. </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We identified accrued promotional allowances as a critical audit matter because of the extent and subjective nature of management judgment required with respect to estimating consumer participation and/or distributor and retail customer performance levels and future promotional claims.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How the Critical Audit Matter Was Addressed in the Audit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Our audit procedures over accrued promotional allowances, with respect to management’s judgment regarding levels of consumer participation and/or distributor and retail customer performance levels and future promotional claims, included the following, among others: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tested the effectiveness of controls over accrued promotional allowances, including those controls pertaining to management’s estimation of future promotional claims.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selected a sample of accrued promotional allowances recorded for specific distributors and retail customers and sent confirmation requests of the accrual recorded and key terms of the agreement directly to the distributor or retail customer. We compared the confirmation response to the accrued amount recorded by the Company. In instances of nonreplies to our confirmation request from the distributor or retail customer, we performed alternative procedures as follows: (1) developing an expectation of the accrual using current-year claim and payment data, and/or (2) vouching known claim submissions, unpaid as of period-end, to underlying supporting documentation.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tested the promotional expenditure amount recorded as a reduction to net sales and assessed the reasonableness of management’s estimate by developing an expectation of the amount, based on historical promotional expenditure amounts recorded as a percentage of sales, and compared our expectation to the recorded promotional expenditure amount.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performed inquiries with the Company’s sales and marketing personnel to corroborate our understanding of new and existing promotional programs that may alter the relationship between gross billings and promotional allowances, as such programs are considered by management when estimating future promotional claims.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evaluated management’s ability to estimate promotional allowances by comparing the actual promotional allowances subsequently paid to the original estimates of management.</w:t>
            </w:r>
          </w:p>
        </w:tc>
      </w:tr>
    </w:tbl>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/s/ DELOITTE &amp; TOUCHE LLP</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Costa Mesa, California</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February 28, 2022</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We have served as the Company’s auditor since 1991.</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bookmarkStart w:id="85" w:name="_226a4e8d_75d6_4660_9edb_0a4d552470d5"/>
      <w:bookmarkEnd w:id="85"/>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bookmarkStart w:id="86" w:name="CONSOLIDATEDBALANCESHEETS_945777"/>
      <w:bookmarkStart w:id="87" w:name="BALANCESHEETS_625207"/>
      <w:bookmarkEnd w:id="86"/>
      <w:bookmarkEnd w:id="87"/>
      <w:r>
        <w:rPr>
          <w:rFonts w:ascii="Times New Roman;Times;serif" w:hAnsi="Times New Roman;Times;serif"/>
          <w:b/>
          <w:sz w:val="22"/>
        </w:rPr>
        <w:t>CONSOLIDATED BALANCE SHEETS</w:t>
      </w:r>
    </w:p>
    <w:p>
      <w:pPr>
        <w:pStyle w:val="TextBody"/>
        <w:pBdr>
          <w:bottom w:val="single" w:sz="12" w:space="1" w:color="000000"/>
        </w:pBdr>
        <w:spacing w:before="0" w:after="40"/>
        <w:ind w:left="0" w:right="0" w:hanging="0"/>
        <w:rPr>
          <w:rFonts w:ascii="Times New Roman;Times;serif" w:hAnsi="Times New Roman;Times;serif"/>
          <w:b/>
          <w:sz w:val="22"/>
        </w:rPr>
      </w:pPr>
      <w:r>
        <w:rPr>
          <w:rFonts w:ascii="Times New Roman;Times;serif" w:hAnsi="Times New Roman;Times;serif"/>
          <w:b/>
          <w:sz w:val="22"/>
        </w:rPr>
        <w:t>AS OF DECEMBER 31, 2021 AND 2020 (In Thousands, Except Par Value)</w:t>
      </w:r>
    </w:p>
    <w:p>
      <w:pPr>
        <w:pStyle w:val="Normal"/>
        <w:spacing w:before="0" w:after="0"/>
        <w:rPr>
          <w:sz w:val="4"/>
          <w:szCs w:val="4"/>
        </w:rPr>
      </w:pPr>
      <w:r>
        <w:rPr>
          <w:sz w:val="4"/>
          <w:szCs w:val="4"/>
        </w:rPr>
      </w:r>
      <w:bookmarkStart w:id="88" w:name="Tc_R_RAltZ_gEKntjhG1T5M1A_44_5"/>
      <w:bookmarkStart w:id="89" w:name="Tc_tBsQJ-brTEebOrrbfwDz0Q_44_2"/>
      <w:bookmarkStart w:id="90" w:name="Tc_Qe9bgwsoU0GzSrE0xAYU5w_44_0"/>
      <w:bookmarkStart w:id="91" w:name="Tc_-KcSXfC0EE6jYDlKjKEDuw_43_0"/>
      <w:bookmarkStart w:id="92" w:name="Tc_KlUYDaS6VEujTMSIuAt1rQ_42_0"/>
      <w:bookmarkStart w:id="93" w:name="Tc_Aiq8NMKkvUOnzjR2B9AAeA_41_0"/>
      <w:bookmarkStart w:id="94" w:name="Tc_0n2UcQ89jEW4gegxl-6xBg_40_0"/>
      <w:bookmarkStart w:id="95" w:name="Tc_ij5m4XO7k0uqiQ-H2X_XkQ_39_0"/>
      <w:bookmarkStart w:id="96" w:name="Tc_EltB_4_5z0e60ZMLowSHHg_38_0"/>
      <w:bookmarkStart w:id="97" w:name="Tc_xV6LY8bnsESi87usdgBasA_37_0"/>
      <w:bookmarkStart w:id="98" w:name="Tc_o6LE8cQT9U-lZMPHJmUU0g_35_0"/>
      <w:bookmarkStart w:id="99" w:name="Tc_AO24tBakdUm2ML0exUFTjQ_33_0"/>
      <w:bookmarkStart w:id="100" w:name="Tc_Sr8piqeH5EOWB8FiTTAJ4w_31_0"/>
      <w:bookmarkStart w:id="101" w:name="Tc_II6dwsILfU6aTOXise4lRA_29_0"/>
      <w:bookmarkStart w:id="102" w:name="Tc_qhPpgK28SkuYcnRONGKYrQ_28_0"/>
      <w:bookmarkStart w:id="103" w:name="Tc_ySCMpFTs106uXXLskGVjGg_27_0"/>
      <w:bookmarkStart w:id="104" w:name="Tc_lBKGviP3c0CSwB9TqK7NoQ_26_0"/>
      <w:bookmarkStart w:id="105" w:name="Tc_qmlS4YCDl0iXbQs3cUpHeQ_25_0"/>
      <w:bookmarkStart w:id="106" w:name="Tc_kbGjINCyS0SSISXAK3TsSQ_24_0"/>
      <w:bookmarkStart w:id="107" w:name="Tc_3w8xkWdPpk22n__6GpuR-w_23_5"/>
      <w:bookmarkStart w:id="108" w:name="Tc__emr4QpiM0-6iWCcecZMEQ_23_2"/>
      <w:bookmarkStart w:id="109" w:name="Tc_2Ze7slZ79Ei5Lsh7EUH14g_23_0"/>
      <w:bookmarkStart w:id="110" w:name="Tc_Ugz77OIKTE2HBB5bDljcpA_22_0"/>
      <w:bookmarkStart w:id="111" w:name="Tc_RwIgO389kU2SQ9r5x_N5eg_21_0"/>
      <w:bookmarkStart w:id="112" w:name="Tc_A38mzDgG70eH4qim7c-YgA_19_5"/>
      <w:bookmarkStart w:id="113" w:name="Tc_zUn1AuE9v0u1T0ISrkBrjA_19_2"/>
      <w:bookmarkStart w:id="114" w:name="Tc_VPaYZO1diESGDnjtidyfVw_19_0"/>
      <w:bookmarkStart w:id="115" w:name="Tc_4w695mPN_UKYVfaOEm2xxA_18_0"/>
      <w:bookmarkStart w:id="116" w:name="Tc_KasMQUyOsUiyLU2nD3YWMg_17_0"/>
      <w:bookmarkStart w:id="117" w:name="Tc_MvLUJVyhwkyaAgrbmSC71g_16_0"/>
      <w:bookmarkStart w:id="118" w:name="Tc__EPV9n2IO0CEFXqG_t4UoA_15_0"/>
      <w:bookmarkStart w:id="119" w:name="Tc_6Nrr2LVqj0iCl2I1R6t1uA_14_0"/>
      <w:bookmarkStart w:id="120" w:name="Tc_Gm8D0iHBzUST_TbaWFDWXA_13_0"/>
      <w:bookmarkStart w:id="121" w:name="Tc_PoIP_W-z0E6z7URwDvlFUg_11_0"/>
      <w:bookmarkStart w:id="122" w:name="Tc_GB_osmijVUuxd3hWnfxq4Q_10_0"/>
      <w:bookmarkStart w:id="123" w:name="Tc_fSliUWsuJ0G44LqpKEEWsA_9_0"/>
      <w:bookmarkStart w:id="124" w:name="Tc_41fGqXTkpEyYr06H8-32Jw_8_0"/>
      <w:bookmarkStart w:id="125" w:name="Tc_Na6Mk7XTfkeloWnMSQjy4A_7_0"/>
      <w:bookmarkStart w:id="126" w:name="Tc_ZxQ36krY0Eq6eTW4mnJhDw_6_0"/>
      <w:bookmarkStart w:id="127" w:name="Tc_FJMHOkDZlEu6AcnKmd2Apg_5_5"/>
      <w:bookmarkStart w:id="128" w:name="Tc_bqn8yjwYfUmBt9vHQ8i9Zw_5_2"/>
      <w:bookmarkStart w:id="129" w:name="Tc_3lQjetjy3USvMn7VdeNTHA_5_0"/>
      <w:bookmarkStart w:id="130" w:name="Tc_1M6sQhMJkEicUbVUIQLzQQ_4_0"/>
      <w:bookmarkStart w:id="131" w:name="Tc_3tdZyIFmJUuuXEwRK4rIcA_3_0"/>
      <w:bookmarkStart w:id="132" w:name="Tc_nGQ7fPKCjkOoJ2rewSLuig_2_5"/>
      <w:bookmarkStart w:id="133" w:name="Tc_YuxaxqSHnE-ixfkhAZUOeQ_2_2"/>
      <w:bookmarkStart w:id="134" w:name="Tc_Hz8EJqEYvki84TrllQt2qA_1_5"/>
      <w:bookmarkStart w:id="135" w:name="Tc_Zla9SzxjB0CQAeGcFFIIfQ_1_2"/>
      <w:bookmarkStart w:id="136" w:name="_8b913a17_d713_4c2e_b9dd_3b645b802f84"/>
      <w:bookmarkStart w:id="137" w:name="Tc_R_RAltZ_gEKntjhG1T5M1A_44_5"/>
      <w:bookmarkStart w:id="138" w:name="Tc_tBsQJ-brTEebOrrbfwDz0Q_44_2"/>
      <w:bookmarkStart w:id="139" w:name="Tc_Qe9bgwsoU0GzSrE0xAYU5w_44_0"/>
      <w:bookmarkStart w:id="140" w:name="Tc_-KcSXfC0EE6jYDlKjKEDuw_43_0"/>
      <w:bookmarkStart w:id="141" w:name="Tc_KlUYDaS6VEujTMSIuAt1rQ_42_0"/>
      <w:bookmarkStart w:id="142" w:name="Tc_Aiq8NMKkvUOnzjR2B9AAeA_41_0"/>
      <w:bookmarkStart w:id="143" w:name="Tc_0n2UcQ89jEW4gegxl-6xBg_40_0"/>
      <w:bookmarkStart w:id="144" w:name="Tc_ij5m4XO7k0uqiQ-H2X_XkQ_39_0"/>
      <w:bookmarkStart w:id="145" w:name="Tc_EltB_4_5z0e60ZMLowSHHg_38_0"/>
      <w:bookmarkStart w:id="146" w:name="Tc_xV6LY8bnsESi87usdgBasA_37_0"/>
      <w:bookmarkStart w:id="147" w:name="Tc_o6LE8cQT9U-lZMPHJmUU0g_35_0"/>
      <w:bookmarkStart w:id="148" w:name="Tc_AO24tBakdUm2ML0exUFTjQ_33_0"/>
      <w:bookmarkStart w:id="149" w:name="Tc_Sr8piqeH5EOWB8FiTTAJ4w_31_0"/>
      <w:bookmarkStart w:id="150" w:name="Tc_II6dwsILfU6aTOXise4lRA_29_0"/>
      <w:bookmarkStart w:id="151" w:name="Tc_qhPpgK28SkuYcnRONGKYrQ_28_0"/>
      <w:bookmarkStart w:id="152" w:name="Tc_ySCMpFTs106uXXLskGVjGg_27_0"/>
      <w:bookmarkStart w:id="153" w:name="Tc_lBKGviP3c0CSwB9TqK7NoQ_26_0"/>
      <w:bookmarkStart w:id="154" w:name="Tc_qmlS4YCDl0iXbQs3cUpHeQ_25_0"/>
      <w:bookmarkStart w:id="155" w:name="Tc_kbGjINCyS0SSISXAK3TsSQ_24_0"/>
      <w:bookmarkStart w:id="156" w:name="Tc_3w8xkWdPpk22n__6GpuR-w_23_5"/>
      <w:bookmarkStart w:id="157" w:name="Tc__emr4QpiM0-6iWCcecZMEQ_23_2"/>
      <w:bookmarkStart w:id="158" w:name="Tc_2Ze7slZ79Ei5Lsh7EUH14g_23_0"/>
      <w:bookmarkStart w:id="159" w:name="Tc_Ugz77OIKTE2HBB5bDljcpA_22_0"/>
      <w:bookmarkStart w:id="160" w:name="Tc_RwIgO389kU2SQ9r5x_N5eg_21_0"/>
      <w:bookmarkStart w:id="161" w:name="Tc_A38mzDgG70eH4qim7c-YgA_19_5"/>
      <w:bookmarkStart w:id="162" w:name="Tc_zUn1AuE9v0u1T0ISrkBrjA_19_2"/>
      <w:bookmarkStart w:id="163" w:name="Tc_VPaYZO1diESGDnjtidyfVw_19_0"/>
      <w:bookmarkStart w:id="164" w:name="Tc_4w695mPN_UKYVfaOEm2xxA_18_0"/>
      <w:bookmarkStart w:id="165" w:name="Tc_KasMQUyOsUiyLU2nD3YWMg_17_0"/>
      <w:bookmarkStart w:id="166" w:name="Tc_MvLUJVyhwkyaAgrbmSC71g_16_0"/>
      <w:bookmarkStart w:id="167" w:name="Tc__EPV9n2IO0CEFXqG_t4UoA_15_0"/>
      <w:bookmarkStart w:id="168" w:name="Tc_6Nrr2LVqj0iCl2I1R6t1uA_14_0"/>
      <w:bookmarkStart w:id="169" w:name="Tc_Gm8D0iHBzUST_TbaWFDWXA_13_0"/>
      <w:bookmarkStart w:id="170" w:name="Tc_PoIP_W-z0E6z7URwDvlFUg_11_0"/>
      <w:bookmarkStart w:id="171" w:name="Tc_GB_osmijVUuxd3hWnfxq4Q_10_0"/>
      <w:bookmarkStart w:id="172" w:name="Tc_fSliUWsuJ0G44LqpKEEWsA_9_0"/>
      <w:bookmarkStart w:id="173" w:name="Tc_41fGqXTkpEyYr06H8-32Jw_8_0"/>
      <w:bookmarkStart w:id="174" w:name="Tc_Na6Mk7XTfkeloWnMSQjy4A_7_0"/>
      <w:bookmarkStart w:id="175" w:name="Tc_ZxQ36krY0Eq6eTW4mnJhDw_6_0"/>
      <w:bookmarkStart w:id="176" w:name="Tc_FJMHOkDZlEu6AcnKmd2Apg_5_5"/>
      <w:bookmarkStart w:id="177" w:name="Tc_bqn8yjwYfUmBt9vHQ8i9Zw_5_2"/>
      <w:bookmarkStart w:id="178" w:name="Tc_3lQjetjy3USvMn7VdeNTHA_5_0"/>
      <w:bookmarkStart w:id="179" w:name="Tc_1M6sQhMJkEicUbVUIQLzQQ_4_0"/>
      <w:bookmarkStart w:id="180" w:name="Tc_3tdZyIFmJUuuXEwRK4rIcA_3_0"/>
      <w:bookmarkStart w:id="181" w:name="Tc_nGQ7fPKCjkOoJ2rewSLuig_2_5"/>
      <w:bookmarkStart w:id="182" w:name="Tc_YuxaxqSHnE-ixfkhAZUOeQ_2_2"/>
      <w:bookmarkStart w:id="183" w:name="Tc_Hz8EJqEYvki84TrllQt2qA_1_5"/>
      <w:bookmarkStart w:id="184" w:name="Tc_Zla9SzxjB0CQAeGcFFIIfQ_1_2"/>
      <w:bookmarkStart w:id="185" w:name="_8b913a17_d713_4c2e_b9dd_3b645b802f84"/>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tbl>
      <w:tblPr>
        <w:tblW w:w="10205" w:type="dxa"/>
        <w:jc w:val="left"/>
        <w:tblInd w:w="0" w:type="dxa"/>
        <w:tblCellMar>
          <w:top w:w="0" w:type="dxa"/>
          <w:left w:w="0" w:type="dxa"/>
          <w:bottom w:w="0" w:type="dxa"/>
          <w:right w:w="0" w:type="dxa"/>
        </w:tblCellMar>
      </w:tblPr>
      <w:tblGrid>
        <w:gridCol w:w="7295"/>
        <w:gridCol w:w="326"/>
        <w:gridCol w:w="196"/>
        <w:gridCol w:w="910"/>
        <w:gridCol w:w="326"/>
        <w:gridCol w:w="196"/>
        <w:gridCol w:w="956"/>
      </w:tblGrid>
      <w:tr>
        <w:trPr/>
        <w:tc>
          <w:tcPr>
            <w:tcW w:w="72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4460" cy="175260"/>
                      <wp:effectExtent l="0" t="0" r="0" b="0"/>
                      <wp:wrapNone/>
                      <wp:docPr id="96" name="Frame9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77850" cy="175260"/>
                      <wp:effectExtent l="0" t="0" r="0" b="0"/>
                      <wp:wrapNone/>
                      <wp:docPr id="97" name="Frame96"/>
                      <a:graphic xmlns:a="http://schemas.openxmlformats.org/drawingml/2006/main">
                        <a:graphicData uri="http://schemas.microsoft.com/office/word/2010/wordprocessingShape">
                          <wps:wsp>
                            <wps:cNvSpPr txBox="1"/>
                            <wps:spPr>
                              <a:xfrm>
                                <a:off x="0" y="0"/>
                                <a:ext cx="577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4460" cy="175260"/>
                      <wp:effectExtent l="0" t="0" r="0" b="0"/>
                      <wp:wrapNone/>
                      <wp:docPr id="99" name="Frame9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07060" cy="175260"/>
                      <wp:effectExtent l="0" t="0" r="0" b="0"/>
                      <wp:wrapNone/>
                      <wp:docPr id="100" name="Frame99"/>
                      <a:graphic xmlns:a="http://schemas.openxmlformats.org/drawingml/2006/main">
                        <a:graphicData uri="http://schemas.microsoft.com/office/word/2010/wordprocessingShape">
                          <wps:wsp>
                            <wps:cNvSpPr txBox="1"/>
                            <wps:spPr>
                              <a:xfrm>
                                <a:off x="0" y="0"/>
                                <a:ext cx="60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2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rPr/>
            </w:pPr>
            <w:r>
              <w:rPr/>
              <w:t>​</w:t>
            </w:r>
          </w:p>
        </w:tc>
        <w:tc>
          <w:tcPr>
            <w:tcW w:w="11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1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7295" w:type="dxa"/>
            <w:tcBorders/>
            <w:shd w:fill="CCEEFF"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pPr>
            <w:r>
              <w:rPr/>
              <w:t>​</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1,326,462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1,180,413</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investments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1,749,727</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881,354</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896,658</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666,012</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Inventories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593,357</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333,085</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82,668</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55,358</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Prepaid income taxes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33,238</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24,733</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4,682,110</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3,140,955</w:t>
            </w:r>
          </w:p>
        </w:tc>
      </w:tr>
      <w:tr>
        <w:trPr/>
        <w:tc>
          <w:tcPr>
            <w:tcW w:w="72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INVESTMENTS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99,419</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44,291</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313,753</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314,656</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225,221</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241,650</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GOODWILL</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1,331,643</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1,331,643</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INTANGIBLE ASSETS,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1,072,386</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1,059,046</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80,252</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70,475</w:t>
            </w:r>
          </w:p>
        </w:tc>
      </w:tr>
      <w:tr>
        <w:trPr/>
        <w:tc>
          <w:tcPr>
            <w:tcW w:w="7295" w:type="dxa"/>
            <w:tcBorders/>
            <w:shd w:fill="CCEEFF"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7,804,784</w:t>
            </w:r>
          </w:p>
        </w:tc>
        <w:tc>
          <w:tcPr>
            <w:tcW w:w="326" w:type="dxa"/>
            <w:tcBorders/>
            <w:shd w:fill="CCEEFF" w:val="clear"/>
            <w:vAlign w:val="center"/>
          </w:tcPr>
          <w:p>
            <w:pPr>
              <w:pStyle w:val="TableContents"/>
              <w:spacing w:before="0" w:after="0"/>
              <w:ind w:left="0" w:right="0" w:hanging="0"/>
              <w:rPr/>
            </w:pPr>
            <w:r>
              <w:rPr/>
              <w:t> </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6,202,716</w:t>
            </w:r>
          </w:p>
        </w:tc>
      </w:tr>
      <w:tr>
        <w:trPr/>
        <w:tc>
          <w:tcPr>
            <w:tcW w:w="729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5" w:type="dxa"/>
            <w:tcBorders/>
            <w:shd w:fill="CCEEFF"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pPr>
            <w:r>
              <w:rPr/>
              <w:t>​</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404,263</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296,800</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210,964</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142,653</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promotional allowances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211,461</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186,658</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42,530</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45,429</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compensation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65,459</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55,015</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Income taxes payable</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30,399</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23,433</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965,076</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749,988</w:t>
            </w:r>
          </w:p>
        </w:tc>
      </w:tr>
      <w:tr>
        <w:trPr/>
        <w:tc>
          <w:tcPr>
            <w:tcW w:w="72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243,249</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264,436</w:t>
            </w:r>
          </w:p>
        </w:tc>
      </w:tr>
      <w:tr>
        <w:trPr/>
        <w:tc>
          <w:tcPr>
            <w:tcW w:w="72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29,508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27,432</w:t>
            </w:r>
          </w:p>
        </w:tc>
      </w:tr>
      <w:tr>
        <w:trPr/>
        <w:tc>
          <w:tcPr>
            <w:tcW w:w="72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COMMITMENTS AND CONTINGENCIES (Note 12)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pPr>
            <w:r>
              <w:rPr/>
              <w:t>​</w:t>
            </w:r>
          </w:p>
        </w:tc>
      </w:tr>
      <w:tr>
        <w:trPr/>
        <w:tc>
          <w:tcPr>
            <w:tcW w:w="72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pPr>
            <w:r>
              <w:rPr/>
              <w:t>​</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Common stock - $0.005 par value; 1,250,000 shares authorized; 640,043 shares issued and 529,323 shares outstanding as of December 31, 2021; 638,662 shares issued and 528,097 shares outstanding as of December 31, 2020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3,193</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4,652,620</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4,537,982</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Retained earnings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7,809,549</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6,432,074</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Accumulated other comprehensive (loss) income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(69,165)</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3,034</w:t>
            </w:r>
          </w:p>
        </w:tc>
      </w:tr>
      <w:tr>
        <w:trPr/>
        <w:tc>
          <w:tcPr>
            <w:tcW w:w="7295"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Common stock in treasury, at cost; 110,720 shares and 110,565 shares as of December 31, 2021 and December 31, 2020, respectively</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(5,829,253)</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(5,815,423)</w:t>
            </w:r>
          </w:p>
        </w:tc>
      </w:tr>
      <w:tr>
        <w:trPr/>
        <w:tc>
          <w:tcPr>
            <w:tcW w:w="7295"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6,566,951</w:t>
            </w:r>
          </w:p>
        </w:tc>
        <w:tc>
          <w:tcPr>
            <w:tcW w:w="326" w:type="dxa"/>
            <w:tcBorders/>
            <w:shd w:fill="CCEEFF" w:val="clear"/>
            <w:vAlign w:val="center"/>
          </w:tcPr>
          <w:p>
            <w:pPr>
              <w:pStyle w:val="TableContents"/>
              <w:spacing w:before="0" w:after="0"/>
              <w:ind w:left="0" w:right="0" w:hanging="0"/>
              <w:rPr/>
            </w:pPr>
            <w:r>
              <w:rPr/>
              <w:t> </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5,160,860</w:t>
            </w:r>
          </w:p>
        </w:tc>
      </w:tr>
      <w:tr>
        <w:trPr/>
        <w:tc>
          <w:tcPr>
            <w:tcW w:w="7295" w:type="dxa"/>
            <w:tcBorders/>
            <w:shd w:fill="auto"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Liabilities and Stockholders’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7,804,784</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6,202,716</w:t>
            </w:r>
          </w:p>
        </w:tc>
      </w:tr>
    </w:tbl>
    <w:p>
      <w:pPr>
        <w:pStyle w:val="TextBody"/>
        <w:spacing w:before="0" w:after="0"/>
        <w:ind w:left="0" w:right="0" w:hanging="0"/>
        <w:jc w:val="center"/>
        <w:rPr/>
      </w:pPr>
      <w:r>
        <w:rPr/>
        <w:t>​</w:t>
      </w:r>
    </w:p>
    <w:p>
      <w:pPr>
        <w:pStyle w:val="TextBody"/>
        <w:spacing w:before="0" w:after="0"/>
        <w:ind w:left="0" w:right="0" w:firstLine="720"/>
        <w:jc w:val="center"/>
        <w:rPr>
          <w:rFonts w:ascii="Times New Roman;Times;serif" w:hAnsi="Times New Roman;Times;serif"/>
          <w:sz w:val="22"/>
        </w:rPr>
      </w:pPr>
      <w:r>
        <w:rPr>
          <w:rFonts w:ascii="Times New Roman;Times;serif" w:hAnsi="Times New Roman;Times;serif"/>
          <w:sz w:val="22"/>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bookmarkStart w:id="186" w:name="_63d43e82_25e9_4eb1_986e_783dc5d030cc"/>
      <w:bookmarkEnd w:id="186"/>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bookmarkStart w:id="187" w:name="CONSOLIDATEDSTATEMENTSOFINCOME_622029"/>
      <w:bookmarkStart w:id="188" w:name="STATEMENTSOFINCOME_553557"/>
      <w:bookmarkEnd w:id="187"/>
      <w:bookmarkEnd w:id="188"/>
      <w:r>
        <w:rPr>
          <w:rFonts w:ascii="Times New Roman;Times;serif" w:hAnsi="Times New Roman;Times;serif"/>
          <w:b/>
          <w:sz w:val="22"/>
        </w:rPr>
        <w:t>CONSOLIDATED STATEMENTS OF INCOME</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FOR THE YEARS ENDED DECEMBER 31, 2021, 2020 AND 2019</w:t>
      </w:r>
    </w:p>
    <w:p>
      <w:pPr>
        <w:pStyle w:val="TextBody"/>
        <w:pBdr>
          <w:bottom w:val="single" w:sz="12" w:space="1" w:color="000000"/>
        </w:pBdr>
        <w:spacing w:before="0" w:after="40"/>
        <w:ind w:left="0" w:right="0" w:hanging="0"/>
        <w:rPr>
          <w:rFonts w:ascii="Times New Roman;Times;serif" w:hAnsi="Times New Roman;Times;serif"/>
          <w:b/>
          <w:sz w:val="22"/>
        </w:rPr>
      </w:pPr>
      <w:r>
        <w:rPr>
          <w:rFonts w:ascii="Times New Roman;Times;serif" w:hAnsi="Times New Roman;Times;serif"/>
          <w:b/>
          <w:sz w:val="22"/>
        </w:rPr>
        <w:t>(In Thousands, Except Per Share Amounts)</w:t>
      </w:r>
    </w:p>
    <w:p>
      <w:pPr>
        <w:pStyle w:val="Normal"/>
        <w:spacing w:before="0" w:after="0"/>
        <w:rPr>
          <w:sz w:val="4"/>
          <w:szCs w:val="4"/>
        </w:rPr>
      </w:pPr>
      <w:r>
        <w:rPr>
          <w:sz w:val="4"/>
          <w:szCs w:val="4"/>
        </w:rPr>
      </w:r>
      <w:bookmarkStart w:id="189" w:name="Tc_hu0tNOcr8kyMu7eRXooX3g_26_0"/>
      <w:bookmarkStart w:id="190" w:name="Tc_ssa-NmXfCU-vnKIUwTyBZw_25_0"/>
      <w:bookmarkStart w:id="191" w:name="Tc_12vTnPosoUOMZuY9moBggw_24_0"/>
      <w:bookmarkStart w:id="192" w:name="Tc_sGekgE6MG0a4rSdutIwKUg_22_8"/>
      <w:bookmarkStart w:id="193" w:name="Tc_-zP0taCccU6wKN3UX1PeBw_22_5"/>
      <w:bookmarkStart w:id="194" w:name="Tc_08GRRFDdf0Wp6es7dDHCBA_22_2"/>
      <w:bookmarkStart w:id="195" w:name="Tc_DRDNgmcld0aV2ASQWjSjiQ_22_0"/>
      <w:bookmarkStart w:id="196" w:name="Tc_urDkE-pV3UKXMKOozeDoVw_21_8"/>
      <w:bookmarkStart w:id="197" w:name="Tc_3QTJ9XdvHU-r0TltRdJC0g_21_5"/>
      <w:bookmarkStart w:id="198" w:name="Tc_RJVhwkk3SEChcK_53zj__Q_21_2"/>
      <w:bookmarkStart w:id="199" w:name="Tc_Fd7_j8SpPk-zd0twQcDApA_21_0"/>
      <w:bookmarkStart w:id="200" w:name="Tc_YbQEwKA2vEqBztcECrvIow_20_0"/>
      <w:bookmarkStart w:id="201" w:name="Tc_tTnKumGVkEuTLjTJX1dvww_18_8"/>
      <w:bookmarkStart w:id="202" w:name="Tc_Tp4lL9aOkk25SQXMqKkhLw_18_5"/>
      <w:bookmarkStart w:id="203" w:name="Tc_TfEmzhqdj0exeqKv5VccWA_18_2"/>
      <w:bookmarkStart w:id="204" w:name="Tc_Haj0cC-pLE-Ep5UhfcjERA_18_0"/>
      <w:bookmarkStart w:id="205" w:name="Tc_eVB11pIqW06-Am1l3ihq8g_16_0"/>
      <w:bookmarkStart w:id="206" w:name="Tc_ed34pREq20ud1bDhxzz2kQ_14_0"/>
      <w:bookmarkStart w:id="207" w:name="Tc_a0_oFgU7uUejBPXWgaVXNA_12_0"/>
      <w:bookmarkStart w:id="208" w:name="Tc_qWLT6vTiz0SF4VP536s11g_10_0"/>
      <w:bookmarkStart w:id="209" w:name="Tc_7RQX1vClB0SvZh-1uQC9hw_8_0"/>
      <w:bookmarkStart w:id="210" w:name="Tc_b4949X3jRUyGlx9L5Yfysg_6_0"/>
      <w:bookmarkStart w:id="211" w:name="Tc_hGUAcncp7EWONP3_sZqyJQ_4_0"/>
      <w:bookmarkStart w:id="212" w:name="Tc_US4SHlC8pEmcLfNUzrRndw_2_8"/>
      <w:bookmarkStart w:id="213" w:name="Tc_DeMHdhNZ2kGhyZhyMDX58g_2_5"/>
      <w:bookmarkStart w:id="214" w:name="Tc_mdM1AU8Mqk2L0IIytgr7Tg_2_2"/>
      <w:bookmarkStart w:id="215" w:name="Tc_1sP0IuKLXUCUqKgEpUVadA_2_0"/>
      <w:bookmarkStart w:id="216" w:name="Tc_kqokrcNveUqxxGMRaKpYFg_1_8"/>
      <w:bookmarkStart w:id="217" w:name="Tc__YKuwoOtjEqUkLgICMmq-g_1_5"/>
      <w:bookmarkStart w:id="218" w:name="Tc_6CRBf6kxe0y1A21U0IJptQ_1_2"/>
      <w:bookmarkStart w:id="219" w:name="_2bda3e07_ac22_4ca0_965b_640ec5f5df95"/>
      <w:bookmarkStart w:id="220" w:name="Tc_hu0tNOcr8kyMu7eRXooX3g_26_0"/>
      <w:bookmarkStart w:id="221" w:name="Tc_ssa-NmXfCU-vnKIUwTyBZw_25_0"/>
      <w:bookmarkStart w:id="222" w:name="Tc_12vTnPosoUOMZuY9moBggw_24_0"/>
      <w:bookmarkStart w:id="223" w:name="Tc_sGekgE6MG0a4rSdutIwKUg_22_8"/>
      <w:bookmarkStart w:id="224" w:name="Tc_-zP0taCccU6wKN3UX1PeBw_22_5"/>
      <w:bookmarkStart w:id="225" w:name="Tc_08GRRFDdf0Wp6es7dDHCBA_22_2"/>
      <w:bookmarkStart w:id="226" w:name="Tc_DRDNgmcld0aV2ASQWjSjiQ_22_0"/>
      <w:bookmarkStart w:id="227" w:name="Tc_urDkE-pV3UKXMKOozeDoVw_21_8"/>
      <w:bookmarkStart w:id="228" w:name="Tc_3QTJ9XdvHU-r0TltRdJC0g_21_5"/>
      <w:bookmarkStart w:id="229" w:name="Tc_RJVhwkk3SEChcK_53zj__Q_21_2"/>
      <w:bookmarkStart w:id="230" w:name="Tc_Fd7_j8SpPk-zd0twQcDApA_21_0"/>
      <w:bookmarkStart w:id="231" w:name="Tc_YbQEwKA2vEqBztcECrvIow_20_0"/>
      <w:bookmarkStart w:id="232" w:name="Tc_tTnKumGVkEuTLjTJX1dvww_18_8"/>
      <w:bookmarkStart w:id="233" w:name="Tc_Tp4lL9aOkk25SQXMqKkhLw_18_5"/>
      <w:bookmarkStart w:id="234" w:name="Tc_TfEmzhqdj0exeqKv5VccWA_18_2"/>
      <w:bookmarkStart w:id="235" w:name="Tc_Haj0cC-pLE-Ep5UhfcjERA_18_0"/>
      <w:bookmarkStart w:id="236" w:name="Tc_eVB11pIqW06-Am1l3ihq8g_16_0"/>
      <w:bookmarkStart w:id="237" w:name="Tc_ed34pREq20ud1bDhxzz2kQ_14_0"/>
      <w:bookmarkStart w:id="238" w:name="Tc_a0_oFgU7uUejBPXWgaVXNA_12_0"/>
      <w:bookmarkStart w:id="239" w:name="Tc_qWLT6vTiz0SF4VP536s11g_10_0"/>
      <w:bookmarkStart w:id="240" w:name="Tc_7RQX1vClB0SvZh-1uQC9hw_8_0"/>
      <w:bookmarkStart w:id="241" w:name="Tc_b4949X3jRUyGlx9L5Yfysg_6_0"/>
      <w:bookmarkStart w:id="242" w:name="Tc_hGUAcncp7EWONP3_sZqyJQ_4_0"/>
      <w:bookmarkStart w:id="243" w:name="Tc_US4SHlC8pEmcLfNUzrRndw_2_8"/>
      <w:bookmarkStart w:id="244" w:name="Tc_DeMHdhNZ2kGhyZhyMDX58g_2_5"/>
      <w:bookmarkStart w:id="245" w:name="Tc_mdM1AU8Mqk2L0IIytgr7Tg_2_2"/>
      <w:bookmarkStart w:id="246" w:name="Tc_1sP0IuKLXUCUqKgEpUVadA_2_0"/>
      <w:bookmarkStart w:id="247" w:name="Tc_kqokrcNveUqxxGMRaKpYFg_1_8"/>
      <w:bookmarkStart w:id="248" w:name="Tc__YKuwoOtjEqUkLgICMmq-g_1_5"/>
      <w:bookmarkStart w:id="249" w:name="Tc_6CRBf6kxe0y1A21U0IJptQ_1_2"/>
      <w:bookmarkStart w:id="250" w:name="_2bda3e07_ac22_4ca0_965b_640ec5f5df95"/>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10205" w:type="dxa"/>
        <w:jc w:val="left"/>
        <w:tblInd w:w="0" w:type="dxa"/>
        <w:tblCellMar>
          <w:top w:w="0" w:type="dxa"/>
          <w:left w:w="0" w:type="dxa"/>
          <w:bottom w:w="0" w:type="dxa"/>
          <w:right w:w="0" w:type="dxa"/>
        </w:tblCellMar>
      </w:tblPr>
      <w:tblGrid>
        <w:gridCol w:w="5756"/>
        <w:gridCol w:w="326"/>
        <w:gridCol w:w="211"/>
        <w:gridCol w:w="931"/>
        <w:gridCol w:w="326"/>
        <w:gridCol w:w="211"/>
        <w:gridCol w:w="931"/>
        <w:gridCol w:w="326"/>
        <w:gridCol w:w="211"/>
        <w:gridCol w:w="976"/>
      </w:tblGrid>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1"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2" name="Frame1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91185" cy="175260"/>
                      <wp:effectExtent l="0" t="0" r="0" b="0"/>
                      <wp:wrapNone/>
                      <wp:docPr id="103" name="Frame10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1185" cy="175260"/>
                      <wp:effectExtent l="0" t="0" r="0" b="0"/>
                      <wp:wrapNone/>
                      <wp:docPr id="106" name="Frame10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19760" cy="175260"/>
                      <wp:effectExtent l="0" t="0" r="0" b="0"/>
                      <wp:wrapNone/>
                      <wp:docPr id="109" name="Frame108"/>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5,541,352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4,598,638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4,200,819</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2,432,839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1,874,758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1,682,234</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3,108,513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2,723,880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2,518,585</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1,311,046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1,090,727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1,115,646</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1,797,467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1,633,153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1,402,939</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13,023</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1,801,419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1,626,157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1,415,962</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423,944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216,563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308,127</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1,377,475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1,409,594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1,107,835</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57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57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SHARES OF COMMON STOCK AND COMMON STOCK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57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528,763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529,639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542,191</w:t>
            </w:r>
          </w:p>
        </w:tc>
      </w:tr>
      <w:tr>
        <w:trPr/>
        <w:tc>
          <w:tcPr>
            <w:tcW w:w="57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535,639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534,807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546,608</w:t>
            </w:r>
          </w:p>
        </w:tc>
      </w:tr>
    </w:tbl>
    <w:p>
      <w:pPr>
        <w:pStyle w:val="TextBody"/>
        <w:spacing w:before="0" w:after="0"/>
        <w:ind w:left="0" w:right="0" w:hanging="0"/>
        <w:rPr>
          <w:highlight w:val="yellow"/>
        </w:rPr>
      </w:pPr>
      <w:r>
        <w:rPr>
          <w:highlight w:val="yellow"/>
        </w:rPr>
        <w:t>​</w:t>
      </w:r>
    </w:p>
    <w:p>
      <w:pPr>
        <w:pStyle w:val="TextBody"/>
        <w:spacing w:before="0" w:after="0"/>
        <w:ind w:left="0" w:right="0" w:firstLine="720"/>
        <w:jc w:val="center"/>
        <w:rPr>
          <w:rFonts w:ascii="Times New Roman;Times;serif" w:hAnsi="Times New Roman;Times;serif"/>
          <w:sz w:val="22"/>
        </w:rPr>
      </w:pPr>
      <w:r>
        <w:rPr>
          <w:rFonts w:ascii="Times New Roman;Times;serif" w:hAnsi="Times New Roman;Times;serif"/>
          <w:sz w:val="22"/>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bookmarkStart w:id="251" w:name="_6a82b0d2_5dea_43da_a31d_3578cb27fbdf"/>
      <w:bookmarkEnd w:id="251"/>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bookmarkStart w:id="252" w:name="CONSOLIDATEDSTATEMENTSOFCOMPREHENSIVEINC"/>
      <w:bookmarkStart w:id="253" w:name="COMPREHENSIVEINCOME_444106"/>
      <w:bookmarkEnd w:id="252"/>
      <w:bookmarkEnd w:id="253"/>
      <w:r>
        <w:rPr>
          <w:rFonts w:ascii="Times New Roman;Times;serif" w:hAnsi="Times New Roman;Times;serif"/>
          <w:b/>
          <w:sz w:val="22"/>
        </w:rPr>
        <w:t>CONSOLIDATED STATEMENTS OF COMPREHENSIVE INCOME</w:t>
      </w:r>
    </w:p>
    <w:p>
      <w:pPr>
        <w:pStyle w:val="TextBody"/>
        <w:pBdr>
          <w:bottom w:val="single" w:sz="12" w:space="1" w:color="000000"/>
        </w:pBdr>
        <w:spacing w:before="0" w:after="40"/>
        <w:ind w:left="0" w:right="0" w:hanging="0"/>
        <w:rPr>
          <w:rFonts w:ascii="Times New Roman;Times;serif" w:hAnsi="Times New Roman;Times;serif"/>
          <w:b/>
          <w:sz w:val="22"/>
        </w:rPr>
      </w:pPr>
      <w:r>
        <w:rPr>
          <w:rFonts w:ascii="Times New Roman;Times;serif" w:hAnsi="Times New Roman;Times;serif"/>
          <w:b/>
          <w:sz w:val="22"/>
        </w:rPr>
        <w:t>FOR THE YEARS ENDED DECEMBER 31, 2021, 2020 AND 2019 (In Thousands)</w:t>
      </w:r>
    </w:p>
    <w:p>
      <w:pPr>
        <w:pStyle w:val="Normal"/>
        <w:spacing w:before="0" w:after="0"/>
        <w:rPr>
          <w:sz w:val="4"/>
          <w:szCs w:val="4"/>
        </w:rPr>
      </w:pPr>
      <w:r>
        <w:rPr>
          <w:sz w:val="4"/>
          <w:szCs w:val="4"/>
        </w:rPr>
      </w:r>
      <w:bookmarkStart w:id="254" w:name="Tc_w24Gaprj9USuZXSzkYLdMQ_10_8"/>
      <w:bookmarkStart w:id="255" w:name="Tc_1qCpEEqvtUWXWVZCtGdSuA_10_5"/>
      <w:bookmarkStart w:id="256" w:name="Tc_uQP-Zv2_PkGF2sG1UKKTsQ_10_2"/>
      <w:bookmarkStart w:id="257" w:name="Tc_HoBpJMi7AE25rXU7Zq01Aw_10_0"/>
      <w:bookmarkStart w:id="258" w:name="Tc_lJWykgqcuk6OPxlahowyvw_9_0"/>
      <w:bookmarkStart w:id="259" w:name="Tc_b7ZnxDqCJkqbLJIS9G5wSA_8_0"/>
      <w:bookmarkStart w:id="260" w:name="Tc_Z7b3HqVWbUWId52nZGmgSg_7_9"/>
      <w:bookmarkStart w:id="261" w:name="Tc_BL5u_PEmQ0q_9_RoDf62Bw_7_6"/>
      <w:bookmarkStart w:id="262" w:name="Tc_JxrOhNe02kamqgaQpEEu0A_7_3"/>
      <w:bookmarkStart w:id="263" w:name="Tc_PsMVyFEGokyypcvQBUG-rQ_7_0"/>
      <w:bookmarkStart w:id="264" w:name="Tc_0jrmeTuTTEG5Jw4OhUVy-g_6_0"/>
      <w:bookmarkStart w:id="265" w:name="Tc_zfLwM06zQ0G6__Tu7QH18A_5_0"/>
      <w:bookmarkStart w:id="266" w:name="Tc_SxJ_0l_KCEicIY2KjRXxfA_4_0"/>
      <w:bookmarkStart w:id="267" w:name="Tc_U2C7fuxkBkOFEoVT7P6zdg_3_0"/>
      <w:bookmarkStart w:id="268" w:name="Tc_Pq0jeMouJUqswM2KtHy26g_2_8"/>
      <w:bookmarkStart w:id="269" w:name="Tc_7y7assuVDU6ngrU0qErkcA_2_5"/>
      <w:bookmarkStart w:id="270" w:name="Tc_RfnOhUX10UGlAauY8S0f3Q_2_2"/>
      <w:bookmarkStart w:id="271" w:name="Tc_1ce_3iGjt0yTKuLfWEiNKA_2_0"/>
      <w:bookmarkStart w:id="272" w:name="Tc_3Kc2NrMWK0e06MtUfpqqDA_1_8"/>
      <w:bookmarkStart w:id="273" w:name="Tc_51FvK05ihU-HXJilW-OR7g_1_5"/>
      <w:bookmarkStart w:id="274" w:name="Tc_mVgq6FQdZUqpBfDzXdLhKA_1_2"/>
      <w:bookmarkStart w:id="275" w:name="_b2810f67_95f7_4f8f_bfb1_c37984ef119f"/>
      <w:bookmarkStart w:id="276" w:name="Tc_w24Gaprj9USuZXSzkYLdMQ_10_8"/>
      <w:bookmarkStart w:id="277" w:name="Tc_1qCpEEqvtUWXWVZCtGdSuA_10_5"/>
      <w:bookmarkStart w:id="278" w:name="Tc_uQP-Zv2_PkGF2sG1UKKTsQ_10_2"/>
      <w:bookmarkStart w:id="279" w:name="Tc_HoBpJMi7AE25rXU7Zq01Aw_10_0"/>
      <w:bookmarkStart w:id="280" w:name="Tc_lJWykgqcuk6OPxlahowyvw_9_0"/>
      <w:bookmarkStart w:id="281" w:name="Tc_b7ZnxDqCJkqbLJIS9G5wSA_8_0"/>
      <w:bookmarkStart w:id="282" w:name="Tc_Z7b3HqVWbUWId52nZGmgSg_7_9"/>
      <w:bookmarkStart w:id="283" w:name="Tc_BL5u_PEmQ0q_9_RoDf62Bw_7_6"/>
      <w:bookmarkStart w:id="284" w:name="Tc_JxrOhNe02kamqgaQpEEu0A_7_3"/>
      <w:bookmarkStart w:id="285" w:name="Tc_PsMVyFEGokyypcvQBUG-rQ_7_0"/>
      <w:bookmarkStart w:id="286" w:name="Tc_0jrmeTuTTEG5Jw4OhUVy-g_6_0"/>
      <w:bookmarkStart w:id="287" w:name="Tc_zfLwM06zQ0G6__Tu7QH18A_5_0"/>
      <w:bookmarkStart w:id="288" w:name="Tc_SxJ_0l_KCEicIY2KjRXxfA_4_0"/>
      <w:bookmarkStart w:id="289" w:name="Tc_U2C7fuxkBkOFEoVT7P6zdg_3_0"/>
      <w:bookmarkStart w:id="290" w:name="Tc_Pq0jeMouJUqswM2KtHy26g_2_8"/>
      <w:bookmarkStart w:id="291" w:name="Tc_7y7assuVDU6ngrU0qErkcA_2_5"/>
      <w:bookmarkStart w:id="292" w:name="Tc_RfnOhUX10UGlAauY8S0f3Q_2_2"/>
      <w:bookmarkStart w:id="293" w:name="Tc_1ce_3iGjt0yTKuLfWEiNKA_2_0"/>
      <w:bookmarkStart w:id="294" w:name="Tc_3Kc2NrMWK0e06MtUfpqqDA_1_8"/>
      <w:bookmarkStart w:id="295" w:name="Tc_51FvK05ihU-HXJilW-OR7g_1_5"/>
      <w:bookmarkStart w:id="296" w:name="Tc_mVgq6FQdZUqpBfDzXdLhKA_1_2"/>
      <w:bookmarkStart w:id="297" w:name="_b2810f67_95f7_4f8f_bfb1_c37984ef119f"/>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9633" w:type="dxa"/>
        <w:jc w:val="left"/>
        <w:tblInd w:w="0" w:type="dxa"/>
        <w:tblCellMar>
          <w:top w:w="0" w:type="dxa"/>
          <w:left w:w="0" w:type="dxa"/>
          <w:bottom w:w="0" w:type="dxa"/>
          <w:right w:w="0" w:type="dxa"/>
        </w:tblCellMar>
      </w:tblPr>
      <w:tblGrid>
        <w:gridCol w:w="5341"/>
        <w:gridCol w:w="109"/>
        <w:gridCol w:w="211"/>
        <w:gridCol w:w="931"/>
        <w:gridCol w:w="326"/>
        <w:gridCol w:w="211"/>
        <w:gridCol w:w="931"/>
        <w:gridCol w:w="326"/>
        <w:gridCol w:w="211"/>
        <w:gridCol w:w="1036"/>
      </w:tblGrid>
      <w:tr>
        <w:trPr/>
        <w:tc>
          <w:tcPr>
            <w:tcW w:w="5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91185" cy="175260"/>
                      <wp:effectExtent l="0" t="0" r="0" b="0"/>
                      <wp:wrapNone/>
                      <wp:docPr id="112" name="Frame11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4" name="Frame1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185" cy="175260"/>
                      <wp:effectExtent l="0" t="0" r="0" b="0"/>
                      <wp:wrapNone/>
                      <wp:docPr id="115" name="Frame11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7" name="Frame1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57860" cy="175260"/>
                      <wp:effectExtent l="0" t="0" r="0" b="0"/>
                      <wp:wrapNone/>
                      <wp:docPr id="118" name="Frame11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5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as reported</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1,377,475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1,409,594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1,107,835</w:t>
            </w:r>
          </w:p>
        </w:tc>
      </w:tr>
      <w:tr>
        <w:trPr/>
        <w:tc>
          <w:tcPr>
            <w:tcW w:w="5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 income:</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5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foreign currency translation adjustment, net of tax</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(71,158)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5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Available-for-sale investments: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5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Change in net unrealized gains (losses)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5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Reclassification adjustment for net gains included in net income</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change in available-for-sale investments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5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comprehensive (loss) income </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(72,199)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35,421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5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1,305,276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1,445,015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1,108,312</w:t>
            </w:r>
          </w:p>
        </w:tc>
      </w:tr>
    </w:tbl>
    <w:p>
      <w:pPr>
        <w:pStyle w:val="TextBody"/>
        <w:spacing w:before="0" w:after="0"/>
        <w:ind w:left="0" w:right="0" w:hanging="0"/>
        <w:jc w:val="center"/>
        <w:rPr/>
      </w:pPr>
      <w:r>
        <w:rPr/>
        <w:t>​</w:t>
      </w:r>
    </w:p>
    <w:p>
      <w:pPr>
        <w:pStyle w:val="TextBody"/>
        <w:spacing w:before="0" w:after="0"/>
        <w:ind w:left="0" w:right="0" w:firstLine="720"/>
        <w:jc w:val="center"/>
        <w:rPr>
          <w:rFonts w:ascii="Times New Roman;Times;serif" w:hAnsi="Times New Roman;Times;serif"/>
          <w:sz w:val="22"/>
        </w:rPr>
      </w:pPr>
      <w:r>
        <w:rPr>
          <w:rFonts w:ascii="Times New Roman;Times;serif" w:hAnsi="Times New Roman;Times;serif"/>
          <w:sz w:val="22"/>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bookmarkStart w:id="298" w:name="_5fd2c0ef_7f83_40ea_9be4_0ec0e8298eb6"/>
      <w:bookmarkEnd w:id="298"/>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bookmarkStart w:id="299" w:name="CONSOLIDATEDSTATEMENTSOFSTOCKHOLDERSEQUI"/>
      <w:bookmarkStart w:id="300" w:name="EQUITY_813398"/>
      <w:bookmarkEnd w:id="299"/>
      <w:bookmarkEnd w:id="300"/>
      <w:r>
        <w:rPr>
          <w:rFonts w:ascii="Times New Roman;Times;serif" w:hAnsi="Times New Roman;Times;serif"/>
          <w:b/>
          <w:sz w:val="22"/>
        </w:rPr>
        <w:t>CONSOLIDATED STATEMENTS OF STOCKHOLDERS’ EQUITY</w:t>
      </w:r>
    </w:p>
    <w:p>
      <w:pPr>
        <w:pStyle w:val="TextBody"/>
        <w:pBdr>
          <w:bottom w:val="single" w:sz="12" w:space="1" w:color="000000"/>
        </w:pBdr>
        <w:spacing w:before="0" w:after="40"/>
        <w:ind w:left="0" w:right="0" w:hanging="0"/>
        <w:rPr>
          <w:rFonts w:ascii="Times New Roman;Times;serif" w:hAnsi="Times New Roman;Times;serif"/>
          <w:b/>
          <w:sz w:val="22"/>
        </w:rPr>
      </w:pPr>
      <w:r>
        <w:rPr>
          <w:rFonts w:ascii="Times New Roman;Times;serif" w:hAnsi="Times New Roman;Times;serif"/>
          <w:b/>
          <w:sz w:val="22"/>
        </w:rPr>
        <w:t>FOR THE YEARS ENDED DECEMBER 31, 2021, 2020 AND 2019 (In Thousands)</w:t>
      </w:r>
    </w:p>
    <w:p>
      <w:pPr>
        <w:pStyle w:val="Normal"/>
        <w:spacing w:before="0" w:after="0"/>
        <w:rPr>
          <w:sz w:val="4"/>
          <w:szCs w:val="4"/>
        </w:rPr>
      </w:pPr>
      <w:r>
        <w:rPr>
          <w:sz w:val="4"/>
          <w:szCs w:val="4"/>
        </w:rPr>
      </w:r>
      <w:bookmarkStart w:id="301" w:name="Tc_RNO7gxn46kq8NG0DrBjURg_27_21"/>
      <w:bookmarkStart w:id="302" w:name="Tc_5sIus9zcXUO7o-3AimX71A_27_18"/>
      <w:bookmarkStart w:id="303" w:name="Tc_Z1CMlxjHDE2wPw848M_8Lg_27_13"/>
      <w:bookmarkStart w:id="304" w:name="Tc_TFZ4WJYG0kekkNIMb-WAtw_27_10"/>
      <w:bookmarkStart w:id="305" w:name="Tc_dZRPWZbgk0W_c7fyA7SMNQ_27_7"/>
      <w:bookmarkStart w:id="306" w:name="Tc_YyvkBT-Lekm-OuFXqGOkSA_27_4"/>
      <w:bookmarkStart w:id="307" w:name="Tc_PEGuOdfT1k2XixeFg1Xjyw_27_0"/>
      <w:bookmarkStart w:id="308" w:name="Tc_IWccF4BFgEuADtOPh2KPvA_26_19"/>
      <w:bookmarkStart w:id="309" w:name="Tc_xzr3qe5NqU2Fza8Fzc34bg_26_16"/>
      <w:bookmarkStart w:id="310" w:name="Tc_eCsN_91klUakxXRoNDIykA_26_14"/>
      <w:bookmarkStart w:id="311" w:name="Tc_lVczEUbTRUa_HHx6nNggmA_26_8"/>
      <w:bookmarkStart w:id="312" w:name="Tc_-EoGrWGDOEKQip6c94wC_w_26_5"/>
      <w:bookmarkStart w:id="313" w:name="Tc_tnHmLgZUNEWaZ3lNzfSlWg_26_2"/>
      <w:bookmarkStart w:id="314" w:name="Tc_biCDHxz2_k29VCeSk18oGw_26_0"/>
      <w:bookmarkStart w:id="315" w:name="Tc_n5Sdii4bAU-QOqhcpSnkmQ_25_19"/>
      <w:bookmarkStart w:id="316" w:name="Tc_a2v6O2SsBEyPhrEo7rgoVw_25_16"/>
      <w:bookmarkStart w:id="317" w:name="Tc_pxqxcljVcUCcZgpOw5HGwQ_25_11"/>
      <w:bookmarkStart w:id="318" w:name="Tc_ycUNMHtfnU-QyVtEgJIB1w_25_8"/>
      <w:bookmarkStart w:id="319" w:name="Tc_c_eyDP9E8ECrTz32mLEPOg_25_5"/>
      <w:bookmarkStart w:id="320" w:name="Tc_wAUNGUg4l0W-_t1UTWHaag_25_2"/>
      <w:bookmarkStart w:id="321" w:name="Tc_ryv6DQ8s_k6wploGXceRZA_25_0"/>
      <w:bookmarkStart w:id="322" w:name="Tc_Fv5jHlONcUKHKjfxoPi7OA_24_14"/>
      <w:bookmarkStart w:id="323" w:name="Tc_pIfCDopRfEu_YL1Mg56Qkg_24_11"/>
      <w:bookmarkStart w:id="324" w:name="Tc_wUQGdGvpP0iwMyVHtItigA_24_8"/>
      <w:bookmarkStart w:id="325" w:name="Tc_ep7WWpUnmUiAQIjaaSTujg_24_5"/>
      <w:bookmarkStart w:id="326" w:name="Tc_PYrddZzRK0WUVy2lL8egew_24_2"/>
      <w:bookmarkStart w:id="327" w:name="Tc_Cj-2L45LO0imTwKz7Nad9A_24_0"/>
      <w:bookmarkStart w:id="328" w:name="Tc_tYHmWnFCp0CZIOEWi3KPdA_23_19"/>
      <w:bookmarkStart w:id="329" w:name="Tc_pmU2fcpsGEuGyMAgShGyjw_23_16"/>
      <w:bookmarkStart w:id="330" w:name="Tc_hrhJ8md4GUG3sMBiLa9QJQ_23_11"/>
      <w:bookmarkStart w:id="331" w:name="Tc_ZxoAxwSOy02NBcOYVdJTsA_23_8"/>
      <w:bookmarkStart w:id="332" w:name="Tc_wjftYcUrTkSfIl_5QR1wAg_23_5"/>
      <w:bookmarkStart w:id="333" w:name="Tc_aU9E_HpiRU-dVZswknFxbA_23_2"/>
      <w:bookmarkStart w:id="334" w:name="Tc_XSdzpybxnUySaLdAdXM74w_23_0"/>
      <w:bookmarkStart w:id="335" w:name="Tc_3sal-jCKz0mnS_zoNvu-_g_22_19"/>
      <w:bookmarkStart w:id="336" w:name="Tc_CtckbuMll06uvin3vFssig_22_16"/>
      <w:bookmarkStart w:id="337" w:name="Tc_d7XID_w3IEa6eCmz34r28A_22_14"/>
      <w:bookmarkStart w:id="338" w:name="Tc_gtj49vfwRUaZ1G3aDmFjRA_22_11"/>
      <w:bookmarkStart w:id="339" w:name="Tc_87n-SFohqUuBmtEwzp4TNg_22_0"/>
      <w:bookmarkStart w:id="340" w:name="Tc_G0z89unMlUqarwnwykLybw_21_19"/>
      <w:bookmarkStart w:id="341" w:name="Tc_BB4u-Q33eEujE6Oec2YXNw_21_16"/>
      <w:bookmarkStart w:id="342" w:name="Tc_rqHea2rTiECiryQi7df3iA_21_14"/>
      <w:bookmarkStart w:id="343" w:name="Tc_5sv3f4Me-Umq4QyqRI1yog_21_11"/>
      <w:bookmarkStart w:id="344" w:name="Tc_ZGGe1--kC0eOcON75dTHLQ_21_5"/>
      <w:bookmarkStart w:id="345" w:name="Tc_wpyXaTps1kSOhwWfBk7wTg_21_2"/>
      <w:bookmarkStart w:id="346" w:name="Tc_NlnLLqICskGSU18VIP7P-w_21_0"/>
      <w:bookmarkStart w:id="347" w:name="Tc_iH4I4UebsEaLujfI_dYqOg_20_21"/>
      <w:bookmarkStart w:id="348" w:name="Tc_FJb7uiF2aESAAitKTiKJeQ_20_18"/>
      <w:bookmarkStart w:id="349" w:name="Tc_JEf32jbSuk2HCS4N_QhIzA_20_13"/>
      <w:bookmarkStart w:id="350" w:name="Tc_BIPUZXEJIkO8Sl-kymuoag_20_10"/>
      <w:bookmarkStart w:id="351" w:name="Tc_UjxixyhTCEaeCGlsPb3cQA_20_7"/>
      <w:bookmarkStart w:id="352" w:name="Tc_D48ISQbZkEeYS6eS75hQdA_20_4"/>
      <w:bookmarkStart w:id="353" w:name="Tc_rKLoZ-Oj702wj0LFVjPsGQ_20_0"/>
      <w:bookmarkStart w:id="354" w:name="Tc__dMD7sJKyU2F750w65IsXg_19_19"/>
      <w:bookmarkStart w:id="355" w:name="Tc_8v8n35ILCEq0Rz8M154Cug_19_16"/>
      <w:bookmarkStart w:id="356" w:name="Tc_2H2Iq57Xg0CAPqpIuiJkeQ_19_14"/>
      <w:bookmarkStart w:id="357" w:name="Tc_1JkF7fsEaUe7IMrBS--dCQ_19_8"/>
      <w:bookmarkStart w:id="358" w:name="Tc_0zASE2zXH0iQ2Mf33vmgvQ_19_5"/>
      <w:bookmarkStart w:id="359" w:name="Tc_i0vLtWeM7kmPQIAw3kecvA_19_2"/>
      <w:bookmarkStart w:id="360" w:name="Tc_2m4RZzkIfEGeWDGi_zBHfg_19_0"/>
      <w:bookmarkStart w:id="361" w:name="Tc_49RM99FGWkOxrjvvS20B2A_18_19"/>
      <w:bookmarkStart w:id="362" w:name="Tc_tSXKlUkfMEGdvAPuxY9uBw_18_16"/>
      <w:bookmarkStart w:id="363" w:name="Tc_MjSDBY_DG0eVmD0aonGLQQ_18_11"/>
      <w:bookmarkStart w:id="364" w:name="Tc_Dn7bwhFtfkSAyRGEfpZaiA_18_8"/>
      <w:bookmarkStart w:id="365" w:name="Tc_H3V_QsgDhEifxMagixEsZQ_18_5"/>
      <w:bookmarkStart w:id="366" w:name="Tc_CazxvFH9C02iqOsD7fmr7g_18_2"/>
      <w:bookmarkStart w:id="367" w:name="Tc_d1d6hxIbwUiZKH9dOHcQuA_18_0"/>
      <w:bookmarkStart w:id="368" w:name="Tc_P_FuM1mZVEGbYcAKYRFhig_17_14"/>
      <w:bookmarkStart w:id="369" w:name="Tc_Ep1zsVp25U2L9tmBk-sJgA_17_11"/>
      <w:bookmarkStart w:id="370" w:name="Tc_Vwf6vGuscU2TkSgV9463iA_17_8"/>
      <w:bookmarkStart w:id="371" w:name="Tc_TySqKrSgGkqcrKaosdNJyg_17_5"/>
      <w:bookmarkStart w:id="372" w:name="Tc_KZh2yItQgE-8MBnVpS_I2A_17_2"/>
      <w:bookmarkStart w:id="373" w:name="Tc_hrk5g_u7BkSNAdONG0XUGw_17_0"/>
      <w:bookmarkStart w:id="374" w:name="Tc_fWJEe7tHp0CwEVZGbM2kRA_16_19"/>
      <w:bookmarkStart w:id="375" w:name="Tc_JjqwjJJQB0G_gRUltgDmcw_16_16"/>
      <w:bookmarkStart w:id="376" w:name="Tc_jV2bqg0LSEGxnYeN_lWDhg_16_11"/>
      <w:bookmarkStart w:id="377" w:name="Tc_nl_OqMKYWUepb_7fyzcYFw_16_8"/>
      <w:bookmarkStart w:id="378" w:name="Tc_nSDoV1oC1UWz2XKJXxDyIA_16_5"/>
      <w:bookmarkStart w:id="379" w:name="Tc_5ItiobnZbk-wfZwq4x-rUg_16_2"/>
      <w:bookmarkStart w:id="380" w:name="Tc_0PSXG3gHP0iIGPU3iuy38w_16_0"/>
      <w:bookmarkStart w:id="381" w:name="Tc_HM8wE5-HTEOBDUztw-fgtg_15_19"/>
      <w:bookmarkStart w:id="382" w:name="Tc_WULoj0io7EuKW9epbU1OlQ_15_16"/>
      <w:bookmarkStart w:id="383" w:name="Tc_zHu1h4jeaEqjRnxuwu6C5Q_15_14"/>
      <w:bookmarkStart w:id="384" w:name="Tc_1-sdU549wUmq71C6eF6SJQ_15_11"/>
      <w:bookmarkStart w:id="385" w:name="Tc_iX_QUGR26kmgGmvivzk-YA_15_0"/>
      <w:bookmarkStart w:id="386" w:name="Tc_bw0hDvOOhEWEz7thE7X2BA_14_19"/>
      <w:bookmarkStart w:id="387" w:name="Tc_gAQuUq9lqUWbASCYl4L-5w_14_16"/>
      <w:bookmarkStart w:id="388" w:name="Tc_tUgJSE5tVkiSSVkoOgoQ-A_14_14"/>
      <w:bookmarkStart w:id="389" w:name="Tc_dAxQQ_MKC0iHqTDp2pT26A_14_11"/>
      <w:bookmarkStart w:id="390" w:name="Tc_5n52mzGZQEeqhZNsCnFt5A_14_5"/>
      <w:bookmarkStart w:id="391" w:name="Tc_NUtS3LqWf0uK8H5we3532A_14_2"/>
      <w:bookmarkStart w:id="392" w:name="Tc_FiDL-eaEt0SPMNmstD7xDg_14_0"/>
      <w:bookmarkStart w:id="393" w:name="Tc_g55VNfCRQEOedu-jjCY8IA_13_21"/>
      <w:bookmarkStart w:id="394" w:name="Tc_1hMQCmH7fEW6kxTDiChfDw_13_18"/>
      <w:bookmarkStart w:id="395" w:name="Tc_mn3wdTwHMUqO0dK8TDHqOw_13_13"/>
      <w:bookmarkStart w:id="396" w:name="Tc_S-SfFDBw10-a50x7OQH4eQ_13_10"/>
      <w:bookmarkStart w:id="397" w:name="Tc_OlDIQ58Zz0qVOw6eYKmFCA_13_7"/>
      <w:bookmarkStart w:id="398" w:name="Tc_D3NUHWL_zkW_t9yqywKU4w_13_4"/>
      <w:bookmarkStart w:id="399" w:name="Tc_-_0dOfHVw0OxV5bLm_Xh5A_13_0"/>
      <w:bookmarkStart w:id="400" w:name="Tc_yyMJO-qrlkuP8fkkruznTg_12_19"/>
      <w:bookmarkStart w:id="401" w:name="Tc_IMF1hHYW7kCLUXXWu9Jf9Q_12_16"/>
      <w:bookmarkStart w:id="402" w:name="Tc_vIkMT62hXE-4r7pKV9RPdg_12_14"/>
      <w:bookmarkStart w:id="403" w:name="Tc_0MWYm6QxeEWgMN5pRDP_kg_12_8"/>
      <w:bookmarkStart w:id="404" w:name="Tc_9b8WZoryrEWPu5IOhxFZ9A_12_5"/>
      <w:bookmarkStart w:id="405" w:name="Tc_2DDXmPn1DEmkc6F55aI-6Q_12_2"/>
      <w:bookmarkStart w:id="406" w:name="Tc_lQBowep39EymNtCPtZGMUw_12_0"/>
      <w:bookmarkStart w:id="407" w:name="Tc_BrH5BHGJnUSF5AvZQdFIUw_11_19"/>
      <w:bookmarkStart w:id="408" w:name="Tc_uitSsgmhGUmMEzMMsaKKjQ_11_16"/>
      <w:bookmarkStart w:id="409" w:name="Tc_-OqmrOkCk0--9mWbf7tXmw_11_11"/>
      <w:bookmarkStart w:id="410" w:name="Tc_B3O1DqiUhki3VKDL2xNLVw_11_8"/>
      <w:bookmarkStart w:id="411" w:name="Tc_k-6S2ldSWE-vKTHUrQFXwQ_11_5"/>
      <w:bookmarkStart w:id="412" w:name="Tc_HR_0V9e7ZkCERUiKiPc7ww_11_2"/>
      <w:bookmarkStart w:id="413" w:name="Tc_IAmORzwRo0W0M5Bu3Na4zA_11_0"/>
      <w:bookmarkStart w:id="414" w:name="Tc_BJ4F6rz0kk-8Tip2H1ULHg_10_14"/>
      <w:bookmarkStart w:id="415" w:name="Tc_yoHtuSWHZUC0FJDtayVEDg_10_11"/>
      <w:bookmarkStart w:id="416" w:name="Tc_xmt8wKCMKUOiK03jHLd0_A_10_8"/>
      <w:bookmarkStart w:id="417" w:name="Tc_QS98_yVe0UyzhDcmqDa_pQ_10_5"/>
      <w:bookmarkStart w:id="418" w:name="Tc_5ioDncqu-0mrprJ2gx6J7A_10_2"/>
      <w:bookmarkStart w:id="419" w:name="Tc_oGicLbCo3U6nOQNLJB7yFg_10_0"/>
      <w:bookmarkStart w:id="420" w:name="Tc_WEDKQ-OFkU2_q5RF2n9HHw_9_19"/>
      <w:bookmarkStart w:id="421" w:name="Tc_3Hn54oTlR0qulJHfyUvj3Q_9_16"/>
      <w:bookmarkStart w:id="422" w:name="Tc_T6N-VFkPS06-h5P375foSg_9_14"/>
      <w:bookmarkStart w:id="423" w:name="Tc_IpMzoc-O8kaS78luCc1k2Q_9_11"/>
      <w:bookmarkStart w:id="424" w:name="Tc_qXGu-Dee8kO0aJaEuulfUw_9_5"/>
      <w:bookmarkStart w:id="425" w:name="Tc_mrz2rzB9ek6uM_xEUq55JQ_9_2"/>
      <w:bookmarkStart w:id="426" w:name="Tc_Bq0DwgGk0EWH-gXFm9OUvw_9_0"/>
      <w:bookmarkStart w:id="427" w:name="Tc_S0t2nJHLoEebhqviwnSt8g_8_19"/>
      <w:bookmarkStart w:id="428" w:name="Tc_JNG2mW9DN0S10m5jwU0-zA_8_16"/>
      <w:bookmarkStart w:id="429" w:name="Tc_sOpLtK-be0qbdDJhbKg3OA_8_11"/>
      <w:bookmarkStart w:id="430" w:name="Tc_LFby2AL-YEurX1O3Y4_Sdg_8_8"/>
      <w:bookmarkStart w:id="431" w:name="Tc_gPFRdtw5QEKk4glXauIOaw_8_5"/>
      <w:bookmarkStart w:id="432" w:name="Tc_HLsdJs2fWUCtJLjxsAweNA_8_2"/>
      <w:bookmarkStart w:id="433" w:name="Tc_awVnPrgPkE2Ui7HfOn8coA_8_0"/>
      <w:bookmarkStart w:id="434" w:name="Tc_OLyE2bsXmEqkfV6N_W3K3A_7_19"/>
      <w:bookmarkStart w:id="435" w:name="Tc_I8vYQKM_JUu-maKKRvCvjg_7_16"/>
      <w:bookmarkStart w:id="436" w:name="Tc_ZimQstRlzUq9S3n1F2KAKw_7_14"/>
      <w:bookmarkStart w:id="437" w:name="Tc_XyjtvZIrik2_NvgHfgwY0A_7_11"/>
      <w:bookmarkStart w:id="438" w:name="Tc_XXndSbPWB0-f6JnzY_qPpA_7_0"/>
      <w:bookmarkStart w:id="439" w:name="Tc_EGUkeYIpcE-uKCZaIoo5ow_6_19"/>
      <w:bookmarkStart w:id="440" w:name="Tc__0q6j9AeLUax29LAJcKKyw_6_16"/>
      <w:bookmarkStart w:id="441" w:name="Tc__5m9336pDUmKG8QzHXtWXA_6_14"/>
      <w:bookmarkStart w:id="442" w:name="Tc_WLwW3GA0UEipCGdg7jBg1w_6_11"/>
      <w:bookmarkStart w:id="443" w:name="Tc_u8qo0P43D0CkpRVzr5SgRA_6_5"/>
      <w:bookmarkStart w:id="444" w:name="Tc_9mzcRCRcMkCPhR2oTA4t3w_6_2"/>
      <w:bookmarkStart w:id="445" w:name="Tc_D07v8wy0M0u9wjacDVUA8g_6_0"/>
      <w:bookmarkStart w:id="446" w:name="Tc_AulEA46i9EqQ4Hv-bqI7TQ_5_21"/>
      <w:bookmarkStart w:id="447" w:name="Tc_X0Jx5zoptU2jMol3xeVFFA_5_18"/>
      <w:bookmarkStart w:id="448" w:name="Tc_mR4Zr-SAhE6D9hA173u2vQ_5_13"/>
      <w:bookmarkStart w:id="449" w:name="Tc_8LpRNlFPn0ShEfnTYsHehg_5_10"/>
      <w:bookmarkStart w:id="450" w:name="Tc_prV3FgpI502IZHPIunAK0A_5_7"/>
      <w:bookmarkStart w:id="451" w:name="Tc_cNmmQ9eYX0KchexMElYMJA_5_4"/>
      <w:bookmarkStart w:id="452" w:name="Tc_H3wZuxCmr0a5m0zUbtxaJQ_5_0"/>
      <w:bookmarkStart w:id="453" w:name="Tc_FAbGnj68mU2oorsaC_SaJg_4_21"/>
      <w:bookmarkStart w:id="454" w:name="Tc_ntcrlyLxAEaVOI2QbaFkTA_4_18"/>
      <w:bookmarkStart w:id="455" w:name="Tc_Z6bE4y1-ekGy0UnsgRQzfA_4_16"/>
      <w:bookmarkStart w:id="456" w:name="Tc_yD4wFJe_NEeinLXK5FXe0Q_4_13"/>
      <w:bookmarkStart w:id="457" w:name="Tc_kMNkNYPp7ka-EKzxGH3dKg_4_10"/>
      <w:bookmarkStart w:id="458" w:name="Tc_clPwOUWR30uTtHe2PiqImA_4_7"/>
      <w:bookmarkStart w:id="459" w:name="Tc_RojobLkgWk2MtEaLNunF9Q_4_4"/>
      <w:bookmarkStart w:id="460" w:name="Tc_YipH8SDXxkShyEhUvagm9g_4_2"/>
      <w:bookmarkStart w:id="461" w:name="Tc_-uCXhdZssEO2aRa4fsFhXg_3_21"/>
      <w:bookmarkStart w:id="462" w:name="Tc_u3bL1KitgUSnIQU3tf-3Ig_3_16"/>
      <w:bookmarkStart w:id="463" w:name="Tc_wbVSa5VKXkuSssZOtWt-xw_3_13"/>
      <w:bookmarkStart w:id="464" w:name="Tc_4aePrLKlBUyGPneiIGlsBQ_3_10"/>
      <w:bookmarkStart w:id="465" w:name="Tc_iWq437X2jkOus12sulhz6Q_3_7"/>
      <w:bookmarkStart w:id="466" w:name="Tc_9vuQ_l9eoEWAWlUJ8cc1MA_3_2"/>
      <w:bookmarkStart w:id="467" w:name="Tc_yg9U2ykI6U60TrFuGUq1Qw_2_21"/>
      <w:bookmarkStart w:id="468" w:name="Tc_fyeCq8wVpk2iUaBiUQsHgQ_2_13"/>
      <w:bookmarkStart w:id="469" w:name="Tc_17TwcBNCZEKhPIAqwH1VBQ_1_13"/>
      <w:bookmarkStart w:id="470" w:name="_36bf2bfb_1ced_48b8_bf80_97f746a80463"/>
      <w:bookmarkStart w:id="471" w:name="Tc_RNO7gxn46kq8NG0DrBjURg_27_21"/>
      <w:bookmarkStart w:id="472" w:name="Tc_5sIus9zcXUO7o-3AimX71A_27_18"/>
      <w:bookmarkStart w:id="473" w:name="Tc_Z1CMlxjHDE2wPw848M_8Lg_27_13"/>
      <w:bookmarkStart w:id="474" w:name="Tc_TFZ4WJYG0kekkNIMb-WAtw_27_10"/>
      <w:bookmarkStart w:id="475" w:name="Tc_dZRPWZbgk0W_c7fyA7SMNQ_27_7"/>
      <w:bookmarkStart w:id="476" w:name="Tc_YyvkBT-Lekm-OuFXqGOkSA_27_4"/>
      <w:bookmarkStart w:id="477" w:name="Tc_PEGuOdfT1k2XixeFg1Xjyw_27_0"/>
      <w:bookmarkStart w:id="478" w:name="Tc_IWccF4BFgEuADtOPh2KPvA_26_19"/>
      <w:bookmarkStart w:id="479" w:name="Tc_xzr3qe5NqU2Fza8Fzc34bg_26_16"/>
      <w:bookmarkStart w:id="480" w:name="Tc_eCsN_91klUakxXRoNDIykA_26_14"/>
      <w:bookmarkStart w:id="481" w:name="Tc_lVczEUbTRUa_HHx6nNggmA_26_8"/>
      <w:bookmarkStart w:id="482" w:name="Tc_-EoGrWGDOEKQip6c94wC_w_26_5"/>
      <w:bookmarkStart w:id="483" w:name="Tc_tnHmLgZUNEWaZ3lNzfSlWg_26_2"/>
      <w:bookmarkStart w:id="484" w:name="Tc_biCDHxz2_k29VCeSk18oGw_26_0"/>
      <w:bookmarkStart w:id="485" w:name="Tc_n5Sdii4bAU-QOqhcpSnkmQ_25_19"/>
      <w:bookmarkStart w:id="486" w:name="Tc_a2v6O2SsBEyPhrEo7rgoVw_25_16"/>
      <w:bookmarkStart w:id="487" w:name="Tc_pxqxcljVcUCcZgpOw5HGwQ_25_11"/>
      <w:bookmarkStart w:id="488" w:name="Tc_ycUNMHtfnU-QyVtEgJIB1w_25_8"/>
      <w:bookmarkStart w:id="489" w:name="Tc_c_eyDP9E8ECrTz32mLEPOg_25_5"/>
      <w:bookmarkStart w:id="490" w:name="Tc_wAUNGUg4l0W-_t1UTWHaag_25_2"/>
      <w:bookmarkStart w:id="491" w:name="Tc_ryv6DQ8s_k6wploGXceRZA_25_0"/>
      <w:bookmarkStart w:id="492" w:name="Tc_Fv5jHlONcUKHKjfxoPi7OA_24_14"/>
      <w:bookmarkStart w:id="493" w:name="Tc_pIfCDopRfEu_YL1Mg56Qkg_24_11"/>
      <w:bookmarkStart w:id="494" w:name="Tc_wUQGdGvpP0iwMyVHtItigA_24_8"/>
      <w:bookmarkStart w:id="495" w:name="Tc_ep7WWpUnmUiAQIjaaSTujg_24_5"/>
      <w:bookmarkStart w:id="496" w:name="Tc_PYrddZzRK0WUVy2lL8egew_24_2"/>
      <w:bookmarkStart w:id="497" w:name="Tc_Cj-2L45LO0imTwKz7Nad9A_24_0"/>
      <w:bookmarkStart w:id="498" w:name="Tc_tYHmWnFCp0CZIOEWi3KPdA_23_19"/>
      <w:bookmarkStart w:id="499" w:name="Tc_pmU2fcpsGEuGyMAgShGyjw_23_16"/>
      <w:bookmarkStart w:id="500" w:name="Tc_hrhJ8md4GUG3sMBiLa9QJQ_23_11"/>
      <w:bookmarkStart w:id="501" w:name="Tc_ZxoAxwSOy02NBcOYVdJTsA_23_8"/>
      <w:bookmarkStart w:id="502" w:name="Tc_wjftYcUrTkSfIl_5QR1wAg_23_5"/>
      <w:bookmarkStart w:id="503" w:name="Tc_aU9E_HpiRU-dVZswknFxbA_23_2"/>
      <w:bookmarkStart w:id="504" w:name="Tc_XSdzpybxnUySaLdAdXM74w_23_0"/>
      <w:bookmarkStart w:id="505" w:name="Tc_3sal-jCKz0mnS_zoNvu-_g_22_19"/>
      <w:bookmarkStart w:id="506" w:name="Tc_CtckbuMll06uvin3vFssig_22_16"/>
      <w:bookmarkStart w:id="507" w:name="Tc_d7XID_w3IEa6eCmz34r28A_22_14"/>
      <w:bookmarkStart w:id="508" w:name="Tc_gtj49vfwRUaZ1G3aDmFjRA_22_11"/>
      <w:bookmarkStart w:id="509" w:name="Tc_87n-SFohqUuBmtEwzp4TNg_22_0"/>
      <w:bookmarkStart w:id="510" w:name="Tc_G0z89unMlUqarwnwykLybw_21_19"/>
      <w:bookmarkStart w:id="511" w:name="Tc_BB4u-Q33eEujE6Oec2YXNw_21_16"/>
      <w:bookmarkStart w:id="512" w:name="Tc_rqHea2rTiECiryQi7df3iA_21_14"/>
      <w:bookmarkStart w:id="513" w:name="Tc_5sv3f4Me-Umq4QyqRI1yog_21_11"/>
      <w:bookmarkStart w:id="514" w:name="Tc_ZGGe1--kC0eOcON75dTHLQ_21_5"/>
      <w:bookmarkStart w:id="515" w:name="Tc_wpyXaTps1kSOhwWfBk7wTg_21_2"/>
      <w:bookmarkStart w:id="516" w:name="Tc_NlnLLqICskGSU18VIP7P-w_21_0"/>
      <w:bookmarkStart w:id="517" w:name="Tc_iH4I4UebsEaLujfI_dYqOg_20_21"/>
      <w:bookmarkStart w:id="518" w:name="Tc_FJb7uiF2aESAAitKTiKJeQ_20_18"/>
      <w:bookmarkStart w:id="519" w:name="Tc_JEf32jbSuk2HCS4N_QhIzA_20_13"/>
      <w:bookmarkStart w:id="520" w:name="Tc_BIPUZXEJIkO8Sl-kymuoag_20_10"/>
      <w:bookmarkStart w:id="521" w:name="Tc_UjxixyhTCEaeCGlsPb3cQA_20_7"/>
      <w:bookmarkStart w:id="522" w:name="Tc_D48ISQbZkEeYS6eS75hQdA_20_4"/>
      <w:bookmarkStart w:id="523" w:name="Tc_rKLoZ-Oj702wj0LFVjPsGQ_20_0"/>
      <w:bookmarkStart w:id="524" w:name="Tc__dMD7sJKyU2F750w65IsXg_19_19"/>
      <w:bookmarkStart w:id="525" w:name="Tc_8v8n35ILCEq0Rz8M154Cug_19_16"/>
      <w:bookmarkStart w:id="526" w:name="Tc_2H2Iq57Xg0CAPqpIuiJkeQ_19_14"/>
      <w:bookmarkStart w:id="527" w:name="Tc_1JkF7fsEaUe7IMrBS--dCQ_19_8"/>
      <w:bookmarkStart w:id="528" w:name="Tc_0zASE2zXH0iQ2Mf33vmgvQ_19_5"/>
      <w:bookmarkStart w:id="529" w:name="Tc_i0vLtWeM7kmPQIAw3kecvA_19_2"/>
      <w:bookmarkStart w:id="530" w:name="Tc_2m4RZzkIfEGeWDGi_zBHfg_19_0"/>
      <w:bookmarkStart w:id="531" w:name="Tc_49RM99FGWkOxrjvvS20B2A_18_19"/>
      <w:bookmarkStart w:id="532" w:name="Tc_tSXKlUkfMEGdvAPuxY9uBw_18_16"/>
      <w:bookmarkStart w:id="533" w:name="Tc_MjSDBY_DG0eVmD0aonGLQQ_18_11"/>
      <w:bookmarkStart w:id="534" w:name="Tc_Dn7bwhFtfkSAyRGEfpZaiA_18_8"/>
      <w:bookmarkStart w:id="535" w:name="Tc_H3V_QsgDhEifxMagixEsZQ_18_5"/>
      <w:bookmarkStart w:id="536" w:name="Tc_CazxvFH9C02iqOsD7fmr7g_18_2"/>
      <w:bookmarkStart w:id="537" w:name="Tc_d1d6hxIbwUiZKH9dOHcQuA_18_0"/>
      <w:bookmarkStart w:id="538" w:name="Tc_P_FuM1mZVEGbYcAKYRFhig_17_14"/>
      <w:bookmarkStart w:id="539" w:name="Tc_Ep1zsVp25U2L9tmBk-sJgA_17_11"/>
      <w:bookmarkStart w:id="540" w:name="Tc_Vwf6vGuscU2TkSgV9463iA_17_8"/>
      <w:bookmarkStart w:id="541" w:name="Tc_TySqKrSgGkqcrKaosdNJyg_17_5"/>
      <w:bookmarkStart w:id="542" w:name="Tc_KZh2yItQgE-8MBnVpS_I2A_17_2"/>
      <w:bookmarkStart w:id="543" w:name="Tc_hrk5g_u7BkSNAdONG0XUGw_17_0"/>
      <w:bookmarkStart w:id="544" w:name="Tc_fWJEe7tHp0CwEVZGbM2kRA_16_19"/>
      <w:bookmarkStart w:id="545" w:name="Tc_JjqwjJJQB0G_gRUltgDmcw_16_16"/>
      <w:bookmarkStart w:id="546" w:name="Tc_jV2bqg0LSEGxnYeN_lWDhg_16_11"/>
      <w:bookmarkStart w:id="547" w:name="Tc_nl_OqMKYWUepb_7fyzcYFw_16_8"/>
      <w:bookmarkStart w:id="548" w:name="Tc_nSDoV1oC1UWz2XKJXxDyIA_16_5"/>
      <w:bookmarkStart w:id="549" w:name="Tc_5ItiobnZbk-wfZwq4x-rUg_16_2"/>
      <w:bookmarkStart w:id="550" w:name="Tc_0PSXG3gHP0iIGPU3iuy38w_16_0"/>
      <w:bookmarkStart w:id="551" w:name="Tc_HM8wE5-HTEOBDUztw-fgtg_15_19"/>
      <w:bookmarkStart w:id="552" w:name="Tc_WULoj0io7EuKW9epbU1OlQ_15_16"/>
      <w:bookmarkStart w:id="553" w:name="Tc_zHu1h4jeaEqjRnxuwu6C5Q_15_14"/>
      <w:bookmarkStart w:id="554" w:name="Tc_1-sdU549wUmq71C6eF6SJQ_15_11"/>
      <w:bookmarkStart w:id="555" w:name="Tc_iX_QUGR26kmgGmvivzk-YA_15_0"/>
      <w:bookmarkStart w:id="556" w:name="Tc_bw0hDvOOhEWEz7thE7X2BA_14_19"/>
      <w:bookmarkStart w:id="557" w:name="Tc_gAQuUq9lqUWbASCYl4L-5w_14_16"/>
      <w:bookmarkStart w:id="558" w:name="Tc_tUgJSE5tVkiSSVkoOgoQ-A_14_14"/>
      <w:bookmarkStart w:id="559" w:name="Tc_dAxQQ_MKC0iHqTDp2pT26A_14_11"/>
      <w:bookmarkStart w:id="560" w:name="Tc_5n52mzGZQEeqhZNsCnFt5A_14_5"/>
      <w:bookmarkStart w:id="561" w:name="Tc_NUtS3LqWf0uK8H5we3532A_14_2"/>
      <w:bookmarkStart w:id="562" w:name="Tc_FiDL-eaEt0SPMNmstD7xDg_14_0"/>
      <w:bookmarkStart w:id="563" w:name="Tc_g55VNfCRQEOedu-jjCY8IA_13_21"/>
      <w:bookmarkStart w:id="564" w:name="Tc_1hMQCmH7fEW6kxTDiChfDw_13_18"/>
      <w:bookmarkStart w:id="565" w:name="Tc_mn3wdTwHMUqO0dK8TDHqOw_13_13"/>
      <w:bookmarkStart w:id="566" w:name="Tc_S-SfFDBw10-a50x7OQH4eQ_13_10"/>
      <w:bookmarkStart w:id="567" w:name="Tc_OlDIQ58Zz0qVOw6eYKmFCA_13_7"/>
      <w:bookmarkStart w:id="568" w:name="Tc_D3NUHWL_zkW_t9yqywKU4w_13_4"/>
      <w:bookmarkStart w:id="569" w:name="Tc_-_0dOfHVw0OxV5bLm_Xh5A_13_0"/>
      <w:bookmarkStart w:id="570" w:name="Tc_yyMJO-qrlkuP8fkkruznTg_12_19"/>
      <w:bookmarkStart w:id="571" w:name="Tc_IMF1hHYW7kCLUXXWu9Jf9Q_12_16"/>
      <w:bookmarkStart w:id="572" w:name="Tc_vIkMT62hXE-4r7pKV9RPdg_12_14"/>
      <w:bookmarkStart w:id="573" w:name="Tc_0MWYm6QxeEWgMN5pRDP_kg_12_8"/>
      <w:bookmarkStart w:id="574" w:name="Tc_9b8WZoryrEWPu5IOhxFZ9A_12_5"/>
      <w:bookmarkStart w:id="575" w:name="Tc_2DDXmPn1DEmkc6F55aI-6Q_12_2"/>
      <w:bookmarkStart w:id="576" w:name="Tc_lQBowep39EymNtCPtZGMUw_12_0"/>
      <w:bookmarkStart w:id="577" w:name="Tc_BrH5BHGJnUSF5AvZQdFIUw_11_19"/>
      <w:bookmarkStart w:id="578" w:name="Tc_uitSsgmhGUmMEzMMsaKKjQ_11_16"/>
      <w:bookmarkStart w:id="579" w:name="Tc_-OqmrOkCk0--9mWbf7tXmw_11_11"/>
      <w:bookmarkStart w:id="580" w:name="Tc_B3O1DqiUhki3VKDL2xNLVw_11_8"/>
      <w:bookmarkStart w:id="581" w:name="Tc_k-6S2ldSWE-vKTHUrQFXwQ_11_5"/>
      <w:bookmarkStart w:id="582" w:name="Tc_HR_0V9e7ZkCERUiKiPc7ww_11_2"/>
      <w:bookmarkStart w:id="583" w:name="Tc_IAmORzwRo0W0M5Bu3Na4zA_11_0"/>
      <w:bookmarkStart w:id="584" w:name="Tc_BJ4F6rz0kk-8Tip2H1ULHg_10_14"/>
      <w:bookmarkStart w:id="585" w:name="Tc_yoHtuSWHZUC0FJDtayVEDg_10_11"/>
      <w:bookmarkStart w:id="586" w:name="Tc_xmt8wKCMKUOiK03jHLd0_A_10_8"/>
      <w:bookmarkStart w:id="587" w:name="Tc_QS98_yVe0UyzhDcmqDa_pQ_10_5"/>
      <w:bookmarkStart w:id="588" w:name="Tc_5ioDncqu-0mrprJ2gx6J7A_10_2"/>
      <w:bookmarkStart w:id="589" w:name="Tc_oGicLbCo3U6nOQNLJB7yFg_10_0"/>
      <w:bookmarkStart w:id="590" w:name="Tc_WEDKQ-OFkU2_q5RF2n9HHw_9_19"/>
      <w:bookmarkStart w:id="591" w:name="Tc_3Hn54oTlR0qulJHfyUvj3Q_9_16"/>
      <w:bookmarkStart w:id="592" w:name="Tc_T6N-VFkPS06-h5P375foSg_9_14"/>
      <w:bookmarkStart w:id="593" w:name="Tc_IpMzoc-O8kaS78luCc1k2Q_9_11"/>
      <w:bookmarkStart w:id="594" w:name="Tc_qXGu-Dee8kO0aJaEuulfUw_9_5"/>
      <w:bookmarkStart w:id="595" w:name="Tc_mrz2rzB9ek6uM_xEUq55JQ_9_2"/>
      <w:bookmarkStart w:id="596" w:name="Tc_Bq0DwgGk0EWH-gXFm9OUvw_9_0"/>
      <w:bookmarkStart w:id="597" w:name="Tc_S0t2nJHLoEebhqviwnSt8g_8_19"/>
      <w:bookmarkStart w:id="598" w:name="Tc_JNG2mW9DN0S10m5jwU0-zA_8_16"/>
      <w:bookmarkStart w:id="599" w:name="Tc_sOpLtK-be0qbdDJhbKg3OA_8_11"/>
      <w:bookmarkStart w:id="600" w:name="Tc_LFby2AL-YEurX1O3Y4_Sdg_8_8"/>
      <w:bookmarkStart w:id="601" w:name="Tc_gPFRdtw5QEKk4glXauIOaw_8_5"/>
      <w:bookmarkStart w:id="602" w:name="Tc_HLsdJs2fWUCtJLjxsAweNA_8_2"/>
      <w:bookmarkStart w:id="603" w:name="Tc_awVnPrgPkE2Ui7HfOn8coA_8_0"/>
      <w:bookmarkStart w:id="604" w:name="Tc_OLyE2bsXmEqkfV6N_W3K3A_7_19"/>
      <w:bookmarkStart w:id="605" w:name="Tc_I8vYQKM_JUu-maKKRvCvjg_7_16"/>
      <w:bookmarkStart w:id="606" w:name="Tc_ZimQstRlzUq9S3n1F2KAKw_7_14"/>
      <w:bookmarkStart w:id="607" w:name="Tc_XyjtvZIrik2_NvgHfgwY0A_7_11"/>
      <w:bookmarkStart w:id="608" w:name="Tc_XXndSbPWB0-f6JnzY_qPpA_7_0"/>
      <w:bookmarkStart w:id="609" w:name="Tc_EGUkeYIpcE-uKCZaIoo5ow_6_19"/>
      <w:bookmarkStart w:id="610" w:name="Tc__0q6j9AeLUax29LAJcKKyw_6_16"/>
      <w:bookmarkStart w:id="611" w:name="Tc__5m9336pDUmKG8QzHXtWXA_6_14"/>
      <w:bookmarkStart w:id="612" w:name="Tc_WLwW3GA0UEipCGdg7jBg1w_6_11"/>
      <w:bookmarkStart w:id="613" w:name="Tc_u8qo0P43D0CkpRVzr5SgRA_6_5"/>
      <w:bookmarkStart w:id="614" w:name="Tc_9mzcRCRcMkCPhR2oTA4t3w_6_2"/>
      <w:bookmarkStart w:id="615" w:name="Tc_D07v8wy0M0u9wjacDVUA8g_6_0"/>
      <w:bookmarkStart w:id="616" w:name="Tc_AulEA46i9EqQ4Hv-bqI7TQ_5_21"/>
      <w:bookmarkStart w:id="617" w:name="Tc_X0Jx5zoptU2jMol3xeVFFA_5_18"/>
      <w:bookmarkStart w:id="618" w:name="Tc_mR4Zr-SAhE6D9hA173u2vQ_5_13"/>
      <w:bookmarkStart w:id="619" w:name="Tc_8LpRNlFPn0ShEfnTYsHehg_5_10"/>
      <w:bookmarkStart w:id="620" w:name="Tc_prV3FgpI502IZHPIunAK0A_5_7"/>
      <w:bookmarkStart w:id="621" w:name="Tc_cNmmQ9eYX0KchexMElYMJA_5_4"/>
      <w:bookmarkStart w:id="622" w:name="Tc_H3wZuxCmr0a5m0zUbtxaJQ_5_0"/>
      <w:bookmarkStart w:id="623" w:name="Tc_FAbGnj68mU2oorsaC_SaJg_4_21"/>
      <w:bookmarkStart w:id="624" w:name="Tc_ntcrlyLxAEaVOI2QbaFkTA_4_18"/>
      <w:bookmarkStart w:id="625" w:name="Tc_Z6bE4y1-ekGy0UnsgRQzfA_4_16"/>
      <w:bookmarkStart w:id="626" w:name="Tc_yD4wFJe_NEeinLXK5FXe0Q_4_13"/>
      <w:bookmarkStart w:id="627" w:name="Tc_kMNkNYPp7ka-EKzxGH3dKg_4_10"/>
      <w:bookmarkStart w:id="628" w:name="Tc_clPwOUWR30uTtHe2PiqImA_4_7"/>
      <w:bookmarkStart w:id="629" w:name="Tc_RojobLkgWk2MtEaLNunF9Q_4_4"/>
      <w:bookmarkStart w:id="630" w:name="Tc_YipH8SDXxkShyEhUvagm9g_4_2"/>
      <w:bookmarkStart w:id="631" w:name="Tc_-uCXhdZssEO2aRa4fsFhXg_3_21"/>
      <w:bookmarkStart w:id="632" w:name="Tc_u3bL1KitgUSnIQU3tf-3Ig_3_16"/>
      <w:bookmarkStart w:id="633" w:name="Tc_wbVSa5VKXkuSssZOtWt-xw_3_13"/>
      <w:bookmarkStart w:id="634" w:name="Tc_4aePrLKlBUyGPneiIGlsBQ_3_10"/>
      <w:bookmarkStart w:id="635" w:name="Tc_iWq437X2jkOus12sulhz6Q_3_7"/>
      <w:bookmarkStart w:id="636" w:name="Tc_9vuQ_l9eoEWAWlUJ8cc1MA_3_2"/>
      <w:bookmarkStart w:id="637" w:name="Tc_yg9U2ykI6U60TrFuGUq1Qw_2_21"/>
      <w:bookmarkStart w:id="638" w:name="Tc_fyeCq8wVpk2iUaBiUQsHgQ_2_13"/>
      <w:bookmarkStart w:id="639" w:name="Tc_17TwcBNCZEKhPIAqwH1VBQ_1_13"/>
      <w:bookmarkStart w:id="640" w:name="_36bf2bfb_1ced_48b8_bf80_97f746a80463"/>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tbl>
      <w:tblPr>
        <w:tblW w:w="10361" w:type="dxa"/>
        <w:jc w:val="left"/>
        <w:tblInd w:w="0" w:type="dxa"/>
        <w:tblCellMar>
          <w:top w:w="0" w:type="dxa"/>
          <w:left w:w="0" w:type="dxa"/>
          <w:bottom w:w="0" w:type="dxa"/>
          <w:right w:w="0" w:type="dxa"/>
        </w:tblCellMar>
      </w:tblPr>
      <w:tblGrid>
        <w:gridCol w:w="1126"/>
        <w:gridCol w:w="326"/>
        <w:gridCol w:w="586"/>
        <w:gridCol w:w="326"/>
        <w:gridCol w:w="181"/>
        <w:gridCol w:w="436"/>
        <w:gridCol w:w="326"/>
        <w:gridCol w:w="211"/>
        <w:gridCol w:w="810"/>
        <w:gridCol w:w="326"/>
        <w:gridCol w:w="181"/>
        <w:gridCol w:w="691"/>
        <w:gridCol w:w="326"/>
        <w:gridCol w:w="249"/>
        <w:gridCol w:w="772"/>
        <w:gridCol w:w="326"/>
        <w:gridCol w:w="631"/>
        <w:gridCol w:w="326"/>
        <w:gridCol w:w="181"/>
        <w:gridCol w:w="736"/>
        <w:gridCol w:w="326"/>
        <w:gridCol w:w="181"/>
        <w:gridCol w:w="781"/>
      </w:tblGrid>
      <w:tr>
        <w:trPr/>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72110" cy="175260"/>
                      <wp:effectExtent l="0" t="0" r="0" b="0"/>
                      <wp:wrapNone/>
                      <wp:docPr id="120" name="Frame119"/>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14935" cy="175260"/>
                      <wp:effectExtent l="0" t="0" r="0" b="0"/>
                      <wp:wrapNone/>
                      <wp:docPr id="122" name="Frame121"/>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76860" cy="175260"/>
                      <wp:effectExtent l="0" t="0" r="0" b="0"/>
                      <wp:wrapNone/>
                      <wp:docPr id="123" name="Frame122"/>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14350" cy="175260"/>
                      <wp:effectExtent l="0" t="0" r="0" b="0"/>
                      <wp:wrapNone/>
                      <wp:docPr id="126" name="Frame125"/>
                      <a:graphic xmlns:a="http://schemas.openxmlformats.org/drawingml/2006/main">
                        <a:graphicData uri="http://schemas.microsoft.com/office/word/2010/wordprocessingShape">
                          <wps:wsp>
                            <wps:cNvSpPr txBox="1"/>
                            <wps:spPr>
                              <a:xfrm>
                                <a:off x="0" y="0"/>
                                <a:ext cx="514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14935" cy="175260"/>
                      <wp:effectExtent l="0" t="0" r="0" b="0"/>
                      <wp:wrapNone/>
                      <wp:docPr id="128" name="Frame127"/>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38785" cy="175260"/>
                      <wp:effectExtent l="0" t="0" r="0" b="0"/>
                      <wp:wrapNone/>
                      <wp:docPr id="129" name="Frame12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8115" cy="175260"/>
                      <wp:effectExtent l="0" t="0" r="0" b="0"/>
                      <wp:wrapNone/>
                      <wp:docPr id="131" name="Frame130"/>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0220" cy="175260"/>
                      <wp:effectExtent l="0" t="0" r="0" b="0"/>
                      <wp:wrapNone/>
                      <wp:docPr id="132" name="Frame131"/>
                      <a:graphic xmlns:a="http://schemas.openxmlformats.org/drawingml/2006/main">
                        <a:graphicData uri="http://schemas.microsoft.com/office/word/2010/wordprocessingShape">
                          <wps:wsp>
                            <wps:cNvSpPr txBox="1"/>
                            <wps:spPr>
                              <a:xfrm>
                                <a:off x="0" y="0"/>
                                <a:ext cx="490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00685" cy="175260"/>
                      <wp:effectExtent l="0" t="0" r="0" b="0"/>
                      <wp:wrapNone/>
                      <wp:docPr id="134" name="Frame133"/>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14935" cy="175260"/>
                      <wp:effectExtent l="0" t="0" r="0" b="0"/>
                      <wp:wrapNone/>
                      <wp:docPr id="136" name="Frame135"/>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7360" cy="175260"/>
                      <wp:effectExtent l="0" t="0" r="0" b="0"/>
                      <wp:wrapNone/>
                      <wp:docPr id="137" name="Frame136"/>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8"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14935" cy="175260"/>
                      <wp:effectExtent l="0" t="0" r="0" b="0"/>
                      <wp:wrapNone/>
                      <wp:docPr id="139" name="Frame138"/>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0" name="Frame13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r>
      <w:tr>
        <w:trPr/>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2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0"/>
              <w:ind w:left="0" w:right="0" w:hanging="0"/>
              <w:rPr/>
            </w:pPr>
            <w:r>
              <w:rPr/>
              <w:t>​</w:t>
            </w:r>
          </w:p>
        </w:tc>
        <w:tc>
          <w:tcPr>
            <w:tcW w:w="87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shd w:fill="auto" w:val="clear"/>
            <w:vAlign w:val="center"/>
          </w:tcPr>
          <w:p>
            <w:pPr>
              <w:pStyle w:val="TableContents"/>
              <w:spacing w:before="0" w:after="0"/>
              <w:ind w:left="0" w:right="0" w:hanging="0"/>
              <w:rPr/>
            </w:pPr>
            <w:r>
              <w:rPr/>
              <w:t>​</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shd w:fill="auto" w:val="clear"/>
            <w:vAlign w:val="center"/>
          </w:tcPr>
          <w:p>
            <w:pPr>
              <w:pStyle w:val="TableContents"/>
              <w:spacing w:before="0" w:after="0"/>
              <w:ind w:left="0" w:right="0" w:hanging="0"/>
              <w:rPr/>
            </w:pPr>
            <w:r>
              <w:rPr/>
              <w:t>​</w:t>
            </w:r>
          </w:p>
        </w:tc>
        <w:tc>
          <w:tcPr>
            <w:tcW w:w="187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shd w:fill="auto" w:val="clear"/>
            <w:vAlign w:val="center"/>
          </w:tcPr>
          <w:p>
            <w:pPr>
              <w:pStyle w:val="TableContents"/>
              <w:spacing w:before="0" w:after="0"/>
              <w:ind w:left="0" w:right="0" w:hanging="0"/>
              <w:rPr/>
            </w:pPr>
            <w:r>
              <w:rPr/>
              <w:t>​</w:t>
            </w:r>
          </w:p>
        </w:tc>
        <w:tc>
          <w:tcPr>
            <w:tcW w:w="9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6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 Capital</w:t>
            </w:r>
          </w:p>
        </w:tc>
        <w:tc>
          <w:tcPr>
            <w:tcW w:w="326" w:type="dxa"/>
            <w:tcBorders/>
            <w:shd w:fill="auto" w:val="clear"/>
            <w:vAlign w:val="center"/>
          </w:tcPr>
          <w:p>
            <w:pPr>
              <w:pStyle w:val="TableContents"/>
              <w:spacing w:before="0" w:after="0"/>
              <w:ind w:left="0" w:right="0" w:hanging="0"/>
              <w:rPr/>
            </w:pPr>
            <w:r>
              <w:rPr/>
              <w:t>    </w:t>
            </w:r>
          </w:p>
        </w:tc>
        <w:tc>
          <w:tcPr>
            <w:tcW w:w="8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26" w:type="dxa"/>
            <w:tcBorders/>
            <w:shd w:fill="auto" w:val="cle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0"/>
              <w:ind w:left="0" w:right="0" w:hanging="0"/>
              <w:rPr/>
            </w:pPr>
            <w:r>
              <w:rPr/>
              <w:t>    </w:t>
            </w:r>
          </w:p>
        </w:tc>
        <w:tc>
          <w:tcPr>
            <w:tcW w:w="9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Balance, January 1, 2019</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630,970</w:t>
            </w:r>
          </w:p>
        </w:tc>
        <w:tc>
          <w:tcPr>
            <w:tcW w:w="326"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3,155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4,238,170</w:t>
            </w:r>
          </w:p>
        </w:tc>
        <w:tc>
          <w:tcPr>
            <w:tcW w:w="326"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3,914,645</w:t>
            </w:r>
          </w:p>
        </w:tc>
        <w:tc>
          <w:tcPr>
            <w:tcW w:w="326" w:type="dxa"/>
            <w:tcBorders/>
            <w:shd w:fill="CCEEFF" w:val="clear"/>
            <w:vAlign w:val="center"/>
          </w:tcPr>
          <w:p>
            <w:pPr>
              <w:pStyle w:val="TableContents"/>
              <w:spacing w:before="0" w:after="0"/>
              <w:ind w:left="0" w:right="0" w:hanging="0"/>
              <w:rPr/>
            </w:pPr>
            <w:r>
              <w:rPr/>
              <w:t>    </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(32,864)</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(87,294)</w:t>
            </w:r>
          </w:p>
        </w:tc>
        <w:tc>
          <w:tcPr>
            <w:tcW w:w="326"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(4,512,205)</w:t>
            </w:r>
          </w:p>
        </w:tc>
        <w:tc>
          <w:tcPr>
            <w:tcW w:w="326"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3,610,901</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63,356</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63,356</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Exercise of stock options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5,490</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92,336</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92,363</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Unrealized gain on available-for-sale securities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Adjustment to excess tax benefits from prior periods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3,649</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3,649</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(12,468)</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(707,300)</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(707,300)</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194</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194</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1,107,835</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1,107,835</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Balance, December 31, 2019</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636,460</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4,397,511</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5,022,480</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(32,387)</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(99,762)</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(5,219,505)</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4,171,281</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67,546</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67,546</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Exercise of stock options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2,202</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72,925</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72,936</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Unrealized loss on available-for-sale securities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(10,803)</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(595,918)</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(595,918)</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35,531</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35,531</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1,409,594</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1,409,594</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Balance, December 31, 2020</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638,662</w:t>
            </w:r>
          </w:p>
        </w:tc>
        <w:tc>
          <w:tcPr>
            <w:tcW w:w="326" w:type="dxa"/>
            <w:tcBorders/>
            <w:shd w:fill="auto" w:val="clear"/>
            <w:vAlign w:val="center"/>
          </w:tcPr>
          <w:p>
            <w:pPr>
              <w:pStyle w:val="TableContents"/>
              <w:spacing w:before="0" w:after="0"/>
              <w:ind w:left="0" w:right="0" w:hanging="0"/>
              <w:rPr/>
            </w:pPr>
            <w:r>
              <w:rPr/>
              <w:t> </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3,193</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4,537,982</w:t>
            </w:r>
          </w:p>
        </w:tc>
        <w:tc>
          <w:tcPr>
            <w:tcW w:w="326" w:type="dxa"/>
            <w:tcBorders/>
            <w:shd w:fill="auto" w:val="clear"/>
            <w:vAlign w:val="center"/>
          </w:tcPr>
          <w:p>
            <w:pPr>
              <w:pStyle w:val="TableContents"/>
              <w:spacing w:before="0" w:after="0"/>
              <w:ind w:left="0" w:right="0" w:hanging="0"/>
              <w:rPr/>
            </w:pPr>
            <w:r>
              <w:rPr/>
              <w:t> </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6,432,074</w:t>
            </w:r>
          </w:p>
        </w:tc>
        <w:tc>
          <w:tcPr>
            <w:tcW w:w="326" w:type="dxa"/>
            <w:tcBorders/>
            <w:shd w:fill="auto" w:val="clear"/>
            <w:vAlign w:val="center"/>
          </w:tcPr>
          <w:p>
            <w:pPr>
              <w:pStyle w:val="TableContents"/>
              <w:spacing w:before="0" w:after="0"/>
              <w:ind w:left="0" w:right="0" w:hanging="0"/>
              <w:rPr/>
            </w:pPr>
            <w:r>
              <w:rPr/>
              <w:t> </w:t>
            </w:r>
          </w:p>
        </w:tc>
        <w:tc>
          <w:tcPr>
            <w:tcW w:w="249"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3,034</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(110,565)</w:t>
            </w:r>
          </w:p>
        </w:tc>
        <w:tc>
          <w:tcPr>
            <w:tcW w:w="326" w:type="dxa"/>
            <w:tcBorders/>
            <w:shd w:fill="auto" w:val="clear"/>
            <w:vAlign w:val="center"/>
          </w:tcPr>
          <w:p>
            <w:pPr>
              <w:pStyle w:val="TableContents"/>
              <w:spacing w:before="0" w:after="0"/>
              <w:ind w:left="0" w:right="0" w:hanging="0"/>
              <w:rPr/>
            </w:pPr>
            <w:r>
              <w:rPr/>
              <w:t> </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(5,815,423)</w:t>
            </w:r>
          </w:p>
        </w:tc>
        <w:tc>
          <w:tcPr>
            <w:tcW w:w="326" w:type="dxa"/>
            <w:tcBorders/>
            <w:shd w:fill="auto" w:val="clear"/>
            <w:vAlign w:val="center"/>
          </w:tcPr>
          <w:p>
            <w:pPr>
              <w:pStyle w:val="TableContents"/>
              <w:spacing w:before="0" w:after="0"/>
              <w:ind w:left="0" w:right="0" w:hanging="0"/>
              <w:rPr/>
            </w:pPr>
            <w:r>
              <w:rPr/>
              <w:t> </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5,160,860</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68,922</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68,922</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Exercise of stock options </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1,381</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45,716</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45,723</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Unrealized loss on available-for-sale securities</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(1,041)</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(1,041)</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(155)</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(13,830)</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(13,830)</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(71,158)</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(71,158)</w:t>
            </w:r>
          </w:p>
        </w:tc>
      </w:tr>
      <w:tr>
        <w:trPr/>
        <w:tc>
          <w:tcPr>
            <w:tcW w:w="112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1,377,475</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1,377,475</w:t>
            </w:r>
          </w:p>
        </w:tc>
      </w:tr>
      <w:tr>
        <w:trPr/>
        <w:tc>
          <w:tcPr>
            <w:tcW w:w="1126" w:type="dxa"/>
            <w:tcBorders/>
            <w:shd w:fill="CCEEFF" w:val="clear"/>
            <w:vAlign w:val="center"/>
          </w:tcPr>
          <w:p>
            <w:pPr>
              <w:pStyle w:val="TableContents"/>
              <w:pBdr/>
              <w:spacing w:before="0" w:after="0"/>
              <w:ind w:left="0" w:right="0" w:hanging="0"/>
              <w:rPr>
                <w:rFonts w:ascii="Times New Roman;Times;serif" w:hAnsi="Times New Roman;Times;serif"/>
                <w:b/>
                <w:sz w:val="14"/>
              </w:rPr>
            </w:pPr>
            <w:r>
              <w:rPr>
                <w:rFonts w:ascii="Times New Roman;Times;serif" w:hAnsi="Times New Roman;Times;serif"/>
                <w:b/>
                <w:sz w:val="14"/>
              </w:rPr>
              <w:t>Balance, December 31, 2021</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640,043</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4,652,620</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7,809,549</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(69,165)</w:t>
            </w:r>
          </w:p>
        </w:tc>
        <w:tc>
          <w:tcPr>
            <w:tcW w:w="326" w:type="dxa"/>
            <w:tcBorders/>
            <w:shd w:fill="CCEEFF" w:val="clear"/>
            <w:vAlign w:val="center"/>
          </w:tcPr>
          <w:p>
            <w:pPr>
              <w:pStyle w:val="TableContents"/>
              <w:spacing w:before="0" w:after="0"/>
              <w:ind w:left="0" w:right="0" w:hanging="0"/>
              <w:rPr/>
            </w:pPr>
            <w:r>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(110,720)</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(5,829,253)</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6,566,951</w:t>
            </w:r>
          </w:p>
        </w:tc>
      </w:tr>
    </w:tbl>
    <w:p>
      <w:pPr>
        <w:pStyle w:val="TextBody"/>
        <w:spacing w:before="0" w:after="0"/>
        <w:ind w:left="0" w:right="0" w:hanging="0"/>
        <w:rPr/>
      </w:pPr>
      <w:r>
        <w:rPr/>
        <w:t>​</w:t>
      </w:r>
    </w:p>
    <w:p>
      <w:pPr>
        <w:pStyle w:val="TextBody"/>
        <w:spacing w:before="0" w:after="0"/>
        <w:ind w:left="0" w:right="0" w:firstLine="720"/>
        <w:jc w:val="center"/>
        <w:rPr>
          <w:rFonts w:ascii="Times New Roman;Times;serif" w:hAnsi="Times New Roman;Times;serif"/>
          <w:sz w:val="22"/>
        </w:rPr>
      </w:pPr>
      <w:r>
        <w:rPr>
          <w:rFonts w:ascii="Times New Roman;Times;serif" w:hAnsi="Times New Roman;Times;serif"/>
          <w:sz w:val="22"/>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bookmarkStart w:id="641" w:name="_f24b24f7_25bd_4a2e_81cb_100557fa8442"/>
      <w:bookmarkEnd w:id="641"/>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bookmarkStart w:id="642" w:name="CONSOLIDATEDSTATEMENTSOFCASHFLOWS_111089"/>
      <w:bookmarkStart w:id="643" w:name="CASHFLOWS_256883"/>
      <w:bookmarkEnd w:id="642"/>
      <w:bookmarkEnd w:id="643"/>
      <w:r>
        <w:rPr>
          <w:rFonts w:ascii="Times New Roman;Times;serif" w:hAnsi="Times New Roman;Times;serif"/>
          <w:b/>
          <w:sz w:val="22"/>
        </w:rPr>
        <w:t>CONSOLIDATED STATEMENTS OF CASH FLOWS</w:t>
      </w:r>
    </w:p>
    <w:p>
      <w:pPr>
        <w:pStyle w:val="TextBody"/>
        <w:pBdr>
          <w:bottom w:val="single" w:sz="12" w:space="1" w:color="000000"/>
        </w:pBdr>
        <w:spacing w:before="0" w:after="40"/>
        <w:ind w:left="0" w:right="0" w:hanging="0"/>
        <w:rPr>
          <w:rFonts w:ascii="Times New Roman;Times;serif" w:hAnsi="Times New Roman;Times;serif"/>
          <w:b/>
          <w:sz w:val="22"/>
        </w:rPr>
      </w:pPr>
      <w:r>
        <w:rPr>
          <w:rFonts w:ascii="Times New Roman;Times;serif" w:hAnsi="Times New Roman;Times;serif"/>
          <w:b/>
          <w:sz w:val="22"/>
        </w:rPr>
        <w:t>FOR THE YEARS ENDED DECEMBER 31, 2021, 2020 AND 2019 (In Thousands)</w:t>
      </w:r>
    </w:p>
    <w:p>
      <w:pPr>
        <w:pStyle w:val="Normal"/>
        <w:spacing w:before="0" w:after="0"/>
        <w:rPr>
          <w:sz w:val="4"/>
          <w:szCs w:val="4"/>
        </w:rPr>
      </w:pPr>
      <w:r>
        <w:rPr>
          <w:sz w:val="4"/>
          <w:szCs w:val="4"/>
        </w:rPr>
      </w:r>
      <w:bookmarkStart w:id="644" w:name="Tc_LfVqinhanU-GNryKkFkSFA_49_8"/>
      <w:bookmarkStart w:id="645" w:name="Tc_CuIJ69Z9BUatVcztJN60XA_49_5"/>
      <w:bookmarkStart w:id="646" w:name="Tc_d4je2XKB00ScynMaNBq83A_49_2"/>
      <w:bookmarkStart w:id="647" w:name="Tc_BD1JhjWZwkCEoXykb2vYRg_49_0"/>
      <w:bookmarkStart w:id="648" w:name="Tc_hsHAUTtFcUKVfSkioWjyIQ_48_8"/>
      <w:bookmarkStart w:id="649" w:name="Tc_b6-Ra4Y3l02t8B_pJNfk5Q_48_5"/>
      <w:bookmarkStart w:id="650" w:name="Tc_cGckOTxd2Uy0jk7-8wWGBA_48_2"/>
      <w:bookmarkStart w:id="651" w:name="Tc_6ASTe_JJ406yfExeGLAxyw_48_0"/>
      <w:bookmarkStart w:id="652" w:name="Tc_vxfM07X1fkurvvihcUnbbA_47_0"/>
      <w:bookmarkStart w:id="653" w:name="Tc_M9c_Qimp7U-91SXYJjfS8Q_46_0"/>
      <w:bookmarkStart w:id="654" w:name="Tc_oY60Ajf2CEChYYY-66R4jA_44_8"/>
      <w:bookmarkStart w:id="655" w:name="Tc_C1AfY8EhxU-xFg1lJUT0yA_44_5"/>
      <w:bookmarkStart w:id="656" w:name="Tc_n4zq7lqlb0KjIBH5gP7wqg_44_2"/>
      <w:bookmarkStart w:id="657" w:name="Tc_KDJLxwuVIkaOSYsNB2mVxA_44_0"/>
      <w:bookmarkStart w:id="658" w:name="Tc_LQ1Hk2G_uUirb6o9Zl4W5w_43_0"/>
      <w:bookmarkStart w:id="659" w:name="Tc_M17S5JuysUO6ahXbG2B2_Q_42_0"/>
      <w:bookmarkStart w:id="660" w:name="Tc_0T0bwytPcEqO8BpsiqkQOA_40_0"/>
      <w:bookmarkStart w:id="661" w:name="Tc_fAddKsOmYUGHIKAXpIeAlw_38_0"/>
      <w:bookmarkStart w:id="662" w:name="Tc_EZHtGCQgeEONfsoHMmEtWA_37_0"/>
      <w:bookmarkStart w:id="663" w:name="Tc_FuWOkwOY00eeoLiQuZJJ8Q_36_0"/>
      <w:bookmarkStart w:id="664" w:name="Tc_cijtDj_wMEmbTxksqcaJrA_35_0"/>
      <w:bookmarkStart w:id="665" w:name="Tc_Epv8wYlZokGbAXD79qY6fw_34_0"/>
      <w:bookmarkStart w:id="666" w:name="Tc_IB2bhh7ZkkqdXVP-PN0pIw_32_0"/>
      <w:bookmarkStart w:id="667" w:name="Tc_ZiSXGkv6jU-vpRMYwlaJJw_31_0"/>
      <w:bookmarkStart w:id="668" w:name="Tc_huVQ2s1ALE-EHnmWFg04FA_30_0"/>
      <w:bookmarkStart w:id="669" w:name="Tc_1iTx_CKic0OgBbW71rYB1A_29_0"/>
      <w:bookmarkStart w:id="670" w:name="Tc_ZUU5-LSLkECQai-wn8MMww_28_0"/>
      <w:bookmarkStart w:id="671" w:name="Tc_YUGGtlLgBEe0P-xqS55hIg_27_0"/>
      <w:bookmarkStart w:id="672" w:name="Tc_oxpNwqlKhUilMsl7PqRL6g_26_0"/>
      <w:bookmarkStart w:id="673" w:name="Tc_WABJc76PFEyRr3hrzzqRyg_25_0"/>
      <w:bookmarkStart w:id="674" w:name="Tc_zvPnRoqWjUWdGWJ7I7TTPQ_23_0"/>
      <w:bookmarkStart w:id="675" w:name="Tc_uZFUBYS4AkGb3ngaU_G-bA_22_0"/>
      <w:bookmarkStart w:id="676" w:name="Tc_y6isRnvYn06yvgvvDfBJNA_21_0"/>
      <w:bookmarkStart w:id="677" w:name="Tc_uiWpxTFMt0ySJdSl8TpFeg_20_0"/>
      <w:bookmarkStart w:id="678" w:name="Tc_Rz3v4EqB5UqhoXoGkLt2IQ_19_0"/>
      <w:bookmarkStart w:id="679" w:name="Tc_kVmb43BP-0irpta1IKvQEw_18_0"/>
      <w:bookmarkStart w:id="680" w:name="Tc_BO5NXuMnTU6s0gHDiXsmMg_17_0"/>
      <w:bookmarkStart w:id="681" w:name="Tc_yrPprpnSGEevcsOuGRLOcw_16_0"/>
      <w:bookmarkStart w:id="682" w:name="Tc_X2ZLj3up80Ob0kE-fUlfDQ_15_0"/>
      <w:bookmarkStart w:id="683" w:name="Tc_rt39YIZeSEKYkePP-R4J8Q_14_0"/>
      <w:bookmarkStart w:id="684" w:name="Tc_G8UrPiaT-UKB8f3V8XGk3w_13_0"/>
      <w:bookmarkStart w:id="685" w:name="Tc_c4cbNhFj30ysfZpFNIf6PQ_12_0"/>
      <w:bookmarkStart w:id="686" w:name="Tc_VxnJYssmU0WH8YQBKKrVTA_11_0"/>
      <w:bookmarkStart w:id="687" w:name="Tc_6DrLyLrs4UaPZA6mwZPfEg_10_0"/>
      <w:bookmarkStart w:id="688" w:name="Tc_2OlDAJySO0aCwjQ_u_fa8Q_9_0"/>
      <w:bookmarkStart w:id="689" w:name="Tc_TrmfAGmhYU6wRPgIUlsX9w_8_9"/>
      <w:bookmarkStart w:id="690" w:name="Tc_FrEng7b2YEO26ZddAmDPLg_8_3"/>
      <w:bookmarkStart w:id="691" w:name="Tc_7fKk2aiBtk631pyA67eGsA_8_0"/>
      <w:bookmarkStart w:id="692" w:name="Tc_4mhv912zTE--NxSsbWYkhw_7_0"/>
      <w:bookmarkStart w:id="693" w:name="Tc_y0CwAqTfeEC74e1knoPmxQ_6_0"/>
      <w:bookmarkStart w:id="694" w:name="Tc_lQAEFQxtFUi1a6MuYgs--g_5_0"/>
      <w:bookmarkStart w:id="695" w:name="Tc_vTYe0BrNP0Ozl4y9HFBAYQ_4_0"/>
      <w:bookmarkStart w:id="696" w:name="Tc_yZYpgsLodE6fXye3E-7iEQ_3_8"/>
      <w:bookmarkStart w:id="697" w:name="Tc_exAfxoVAXkeKMJn8CK1nBg_3_5"/>
      <w:bookmarkStart w:id="698" w:name="Tc_sLGeY6GEgkOFQ2zkVfHQcg_3_2"/>
      <w:bookmarkStart w:id="699" w:name="Tc_86jUsXBwV0ecjBO6ks4fsg_3_0"/>
      <w:bookmarkStart w:id="700" w:name="Tc_tqWDygprr0CHYeuyKDQ94Q_2_0"/>
      <w:bookmarkStart w:id="701" w:name="Tc_udcJN6jFZkSnLMUz7LwXUA_1_8"/>
      <w:bookmarkStart w:id="702" w:name="Tc_NAcj8CYI9ki2rv7sVc8Lyw_1_5"/>
      <w:bookmarkStart w:id="703" w:name="Tc_wFQhrItUjkO8asa5Vaev1A_1_2"/>
      <w:bookmarkStart w:id="704" w:name="_a8e9e73f_00e1_47e5_ae35_198d4dde8de3"/>
      <w:bookmarkStart w:id="705" w:name="Tc_LfVqinhanU-GNryKkFkSFA_49_8"/>
      <w:bookmarkStart w:id="706" w:name="Tc_CuIJ69Z9BUatVcztJN60XA_49_5"/>
      <w:bookmarkStart w:id="707" w:name="Tc_d4je2XKB00ScynMaNBq83A_49_2"/>
      <w:bookmarkStart w:id="708" w:name="Tc_BD1JhjWZwkCEoXykb2vYRg_49_0"/>
      <w:bookmarkStart w:id="709" w:name="Tc_hsHAUTtFcUKVfSkioWjyIQ_48_8"/>
      <w:bookmarkStart w:id="710" w:name="Tc_b6-Ra4Y3l02t8B_pJNfk5Q_48_5"/>
      <w:bookmarkStart w:id="711" w:name="Tc_cGckOTxd2Uy0jk7-8wWGBA_48_2"/>
      <w:bookmarkStart w:id="712" w:name="Tc_6ASTe_JJ406yfExeGLAxyw_48_0"/>
      <w:bookmarkStart w:id="713" w:name="Tc_vxfM07X1fkurvvihcUnbbA_47_0"/>
      <w:bookmarkStart w:id="714" w:name="Tc_M9c_Qimp7U-91SXYJjfS8Q_46_0"/>
      <w:bookmarkStart w:id="715" w:name="Tc_oY60Ajf2CEChYYY-66R4jA_44_8"/>
      <w:bookmarkStart w:id="716" w:name="Tc_C1AfY8EhxU-xFg1lJUT0yA_44_5"/>
      <w:bookmarkStart w:id="717" w:name="Tc_n4zq7lqlb0KjIBH5gP7wqg_44_2"/>
      <w:bookmarkStart w:id="718" w:name="Tc_KDJLxwuVIkaOSYsNB2mVxA_44_0"/>
      <w:bookmarkStart w:id="719" w:name="Tc_LQ1Hk2G_uUirb6o9Zl4W5w_43_0"/>
      <w:bookmarkStart w:id="720" w:name="Tc_M17S5JuysUO6ahXbG2B2_Q_42_0"/>
      <w:bookmarkStart w:id="721" w:name="Tc_0T0bwytPcEqO8BpsiqkQOA_40_0"/>
      <w:bookmarkStart w:id="722" w:name="Tc_fAddKsOmYUGHIKAXpIeAlw_38_0"/>
      <w:bookmarkStart w:id="723" w:name="Tc_EZHtGCQgeEONfsoHMmEtWA_37_0"/>
      <w:bookmarkStart w:id="724" w:name="Tc_FuWOkwOY00eeoLiQuZJJ8Q_36_0"/>
      <w:bookmarkStart w:id="725" w:name="Tc_cijtDj_wMEmbTxksqcaJrA_35_0"/>
      <w:bookmarkStart w:id="726" w:name="Tc_Epv8wYlZokGbAXD79qY6fw_34_0"/>
      <w:bookmarkStart w:id="727" w:name="Tc_IB2bhh7ZkkqdXVP-PN0pIw_32_0"/>
      <w:bookmarkStart w:id="728" w:name="Tc_ZiSXGkv6jU-vpRMYwlaJJw_31_0"/>
      <w:bookmarkStart w:id="729" w:name="Tc_huVQ2s1ALE-EHnmWFg04FA_30_0"/>
      <w:bookmarkStart w:id="730" w:name="Tc_1iTx_CKic0OgBbW71rYB1A_29_0"/>
      <w:bookmarkStart w:id="731" w:name="Tc_ZUU5-LSLkECQai-wn8MMww_28_0"/>
      <w:bookmarkStart w:id="732" w:name="Tc_YUGGtlLgBEe0P-xqS55hIg_27_0"/>
      <w:bookmarkStart w:id="733" w:name="Tc_oxpNwqlKhUilMsl7PqRL6g_26_0"/>
      <w:bookmarkStart w:id="734" w:name="Tc_WABJc76PFEyRr3hrzzqRyg_25_0"/>
      <w:bookmarkStart w:id="735" w:name="Tc_zvPnRoqWjUWdGWJ7I7TTPQ_23_0"/>
      <w:bookmarkStart w:id="736" w:name="Tc_uZFUBYS4AkGb3ngaU_G-bA_22_0"/>
      <w:bookmarkStart w:id="737" w:name="Tc_y6isRnvYn06yvgvvDfBJNA_21_0"/>
      <w:bookmarkStart w:id="738" w:name="Tc_uiWpxTFMt0ySJdSl8TpFeg_20_0"/>
      <w:bookmarkStart w:id="739" w:name="Tc_Rz3v4EqB5UqhoXoGkLt2IQ_19_0"/>
      <w:bookmarkStart w:id="740" w:name="Tc_kVmb43BP-0irpta1IKvQEw_18_0"/>
      <w:bookmarkStart w:id="741" w:name="Tc_BO5NXuMnTU6s0gHDiXsmMg_17_0"/>
      <w:bookmarkStart w:id="742" w:name="Tc_yrPprpnSGEevcsOuGRLOcw_16_0"/>
      <w:bookmarkStart w:id="743" w:name="Tc_X2ZLj3up80Ob0kE-fUlfDQ_15_0"/>
      <w:bookmarkStart w:id="744" w:name="Tc_rt39YIZeSEKYkePP-R4J8Q_14_0"/>
      <w:bookmarkStart w:id="745" w:name="Tc_G8UrPiaT-UKB8f3V8XGk3w_13_0"/>
      <w:bookmarkStart w:id="746" w:name="Tc_c4cbNhFj30ysfZpFNIf6PQ_12_0"/>
      <w:bookmarkStart w:id="747" w:name="Tc_VxnJYssmU0WH8YQBKKrVTA_11_0"/>
      <w:bookmarkStart w:id="748" w:name="Tc_6DrLyLrs4UaPZA6mwZPfEg_10_0"/>
      <w:bookmarkStart w:id="749" w:name="Tc_2OlDAJySO0aCwjQ_u_fa8Q_9_0"/>
      <w:bookmarkStart w:id="750" w:name="Tc_TrmfAGmhYU6wRPgIUlsX9w_8_9"/>
      <w:bookmarkStart w:id="751" w:name="Tc_FrEng7b2YEO26ZddAmDPLg_8_3"/>
      <w:bookmarkStart w:id="752" w:name="Tc_7fKk2aiBtk631pyA67eGsA_8_0"/>
      <w:bookmarkStart w:id="753" w:name="Tc_4mhv912zTE--NxSsbWYkhw_7_0"/>
      <w:bookmarkStart w:id="754" w:name="Tc_y0CwAqTfeEC74e1knoPmxQ_6_0"/>
      <w:bookmarkStart w:id="755" w:name="Tc_lQAEFQxtFUi1a6MuYgs--g_5_0"/>
      <w:bookmarkStart w:id="756" w:name="Tc_vTYe0BrNP0Ozl4y9HFBAYQ_4_0"/>
      <w:bookmarkStart w:id="757" w:name="Tc_yZYpgsLodE6fXye3E-7iEQ_3_8"/>
      <w:bookmarkStart w:id="758" w:name="Tc_exAfxoVAXkeKMJn8CK1nBg_3_5"/>
      <w:bookmarkStart w:id="759" w:name="Tc_sLGeY6GEgkOFQ2zkVfHQcg_3_2"/>
      <w:bookmarkStart w:id="760" w:name="Tc_86jUsXBwV0ecjBO6ks4fsg_3_0"/>
      <w:bookmarkStart w:id="761" w:name="Tc_tqWDygprr0CHYeuyKDQ94Q_2_0"/>
      <w:bookmarkStart w:id="762" w:name="Tc_udcJN6jFZkSnLMUz7LwXUA_1_8"/>
      <w:bookmarkStart w:id="763" w:name="Tc_NAcj8CYI9ki2rv7sVc8Lyw_1_5"/>
      <w:bookmarkStart w:id="764" w:name="Tc_wFQhrItUjkO8asa5Vaev1A_1_2"/>
      <w:bookmarkStart w:id="765" w:name="_a8e9e73f_00e1_47e5_ae35_198d4dde8de3"/>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tbl>
      <w:tblPr>
        <w:tblW w:w="8710" w:type="dxa"/>
        <w:jc w:val="left"/>
        <w:tblInd w:w="0" w:type="dxa"/>
        <w:tblCellMar>
          <w:top w:w="0" w:type="dxa"/>
          <w:left w:w="0" w:type="dxa"/>
          <w:bottom w:w="0" w:type="dxa"/>
          <w:right w:w="0" w:type="dxa"/>
        </w:tblCellMar>
      </w:tblPr>
      <w:tblGrid>
        <w:gridCol w:w="4801"/>
        <w:gridCol w:w="326"/>
        <w:gridCol w:w="181"/>
        <w:gridCol w:w="781"/>
        <w:gridCol w:w="326"/>
        <w:gridCol w:w="181"/>
        <w:gridCol w:w="781"/>
        <w:gridCol w:w="326"/>
        <w:gridCol w:w="181"/>
        <w:gridCol w:w="826"/>
      </w:tblGrid>
      <w:tr>
        <w:trPr/>
        <w:tc>
          <w:tcPr>
            <w:tcW w:w="4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14935" cy="175260"/>
                      <wp:effectExtent l="0" t="0" r="0" b="0"/>
                      <wp:wrapNone/>
                      <wp:docPr id="142" name="Frame141"/>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95935" cy="175260"/>
                      <wp:effectExtent l="0" t="0" r="0" b="0"/>
                      <wp:wrapNone/>
                      <wp:docPr id="143" name="Frame14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14935" cy="175260"/>
                      <wp:effectExtent l="0" t="0" r="0" b="0"/>
                      <wp:wrapNone/>
                      <wp:docPr id="145" name="Frame144"/>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95935" cy="175260"/>
                      <wp:effectExtent l="0" t="0" r="0" b="0"/>
                      <wp:wrapNone/>
                      <wp:docPr id="146" name="Frame1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14935" cy="175260"/>
                      <wp:effectExtent l="0" t="0" r="0" b="0"/>
                      <wp:wrapNone/>
                      <wp:docPr id="148" name="Frame147"/>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24510" cy="175260"/>
                      <wp:effectExtent l="0" t="0" r="0" b="0"/>
                      <wp:wrapNone/>
                      <wp:docPr id="149" name="Frame14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2021</w:t>
            </w:r>
          </w:p>
        </w:tc>
        <w:tc>
          <w:tcPr>
            <w:tcW w:w="326" w:type="dxa"/>
            <w:tcBorders/>
            <w:shd w:fill="auto" w:val="clear"/>
            <w:vAlign w:val="center"/>
          </w:tcPr>
          <w:p>
            <w:pPr>
              <w:pStyle w:val="TableContents"/>
              <w:spacing w:before="0" w:after="0"/>
              <w:ind w:left="0" w:right="0" w:hanging="0"/>
              <w:rPr/>
            </w:pPr>
            <w:r>
              <w:rPr/>
              <w:t>    </w:t>
            </w:r>
          </w:p>
        </w:tc>
        <w:tc>
          <w:tcPr>
            <w:tcW w:w="9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2020</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2019</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income</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1,377,475</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1,409,594</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1,107,835</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Adjustments to reconcile net income to 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50,155</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57,030</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60,727</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Non-cash lease expense</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4,107</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3,943</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4,087</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Gain on disposal of property and equipment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(1,013)</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(350)</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(252)</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Loss on impairment of intangibles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8,700</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Stock-based compensation</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70,483</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70,289</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63,356</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Deferred income taxes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16,429</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(156,873)</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1,263</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Effect on cash of 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Accounts receivable</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(254,228)</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(119,672)</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(59,941)</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Inventories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(277,793)</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30,304</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(85,222)</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Prepaid expenses and other assets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(29,341)</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1,024</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(13,774)</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Prepaid income taxes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(10,919)</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5,516</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9,481</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Accounts payable</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114,297</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18,696</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28,832</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Accrued liabilities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71,586</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26,113</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(14,018)</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Accrued promotional allowances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31,498</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13,762</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21,943</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Accrued compensation</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7,950</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7,501</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7,228</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Income taxes payable</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7,221</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10,422</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8,105</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Other liabilities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492</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(356)</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(1,030)</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Deferred revenue</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(22,658)</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(21,480)</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(24,858)</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cash provided by operating activities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1,155,741</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1,364,163</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1,113,762</w:t>
            </w:r>
          </w:p>
        </w:tc>
      </w:tr>
      <w:tr>
        <w:trPr/>
        <w:tc>
          <w:tcPr>
            <w:tcW w:w="48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Sales of available-for-sale investments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1,488,599</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920,196</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851,436</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Proceeds from sale of property and equipment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1,328</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993</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1,239</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Purchases of available-for-sale investments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(2,413,143)</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(1,299,981)</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(1,067,736)</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Purchases of property and equipment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(43,868)</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(48,722)</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(101,661)</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Additions to intangibles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(13,585)</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(18,550)</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(8,737)</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Increase in other assets</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(11,353)</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(26,423)</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(1,265)</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(992,022)</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(472,487)</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(326,724)</w:t>
            </w:r>
          </w:p>
        </w:tc>
      </w:tr>
      <w:tr>
        <w:trPr/>
        <w:tc>
          <w:tcPr>
            <w:tcW w:w="4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FLOWS FROM FINANCING ACTIVITIES: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Borrowings (payments) on debt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2,928</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(3,086)</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(13,569)</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common stock</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45,723</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72,936</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92,363</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Purchases of common stock held in treasury</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(13,830)</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(595,918)</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(707,300)</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cash provided by (used in) financing activities</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34,821</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(526,068)</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(628,506)</w:t>
            </w:r>
          </w:p>
        </w:tc>
      </w:tr>
      <w:tr>
        <w:trPr/>
        <w:tc>
          <w:tcPr>
            <w:tcW w:w="4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Effect of exchange rate changes on cash and cash equivalents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(52,491)</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16,848</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1,912</w:t>
            </w:r>
          </w:p>
        </w:tc>
      </w:tr>
      <w:tr>
        <w:trPr/>
        <w:tc>
          <w:tcPr>
            <w:tcW w:w="4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INCREASE IN CASH AND CASH EQUIVALENTS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146,049</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382,456</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160,444</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AND CASH EQUIVALENTS, beginning of year</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1,180,413</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797,957</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637,513</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AND CASH EQUIVALENTS, end of year</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1,326,462</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1,180,413</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797,957</w:t>
            </w:r>
          </w:p>
        </w:tc>
      </w:tr>
      <w:tr>
        <w:trPr/>
        <w:tc>
          <w:tcPr>
            <w:tcW w:w="4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SUPPLEMENTAL INFORMATION:</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Cash paid during the year for:</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80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Interest</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134</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320</w:t>
            </w:r>
          </w:p>
        </w:tc>
      </w:tr>
      <w:tr>
        <w:trPr/>
        <w:tc>
          <w:tcPr>
            <w:tcW w:w="480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Income taxes</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420,521</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355,509</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293,810</w:t>
            </w:r>
          </w:p>
        </w:tc>
      </w:tr>
    </w:tbl>
    <w:p>
      <w:pPr>
        <w:pStyle w:val="TextBody"/>
        <w:spacing w:before="0" w:after="0"/>
        <w:ind w:left="0" w:right="0" w:hanging="0"/>
        <w:jc w:val="center"/>
        <w:rPr/>
      </w:pPr>
      <w:r>
        <w:rPr/>
        <w:t>​</w:t>
      </w:r>
    </w:p>
    <w:p>
      <w:pPr>
        <w:pStyle w:val="TextBody"/>
        <w:spacing w:before="0" w:after="0"/>
        <w:ind w:left="0" w:right="0" w:firstLine="720"/>
        <w:jc w:val="center"/>
        <w:rPr>
          <w:rFonts w:ascii="Times New Roman;Times;serif" w:hAnsi="Times New Roman;Times;serif"/>
          <w:sz w:val="22"/>
        </w:rPr>
      </w:pPr>
      <w:r>
        <w:rPr>
          <w:rFonts w:ascii="Times New Roman;Times;serif" w:hAnsi="Times New Roman;Times;serif"/>
          <w:sz w:val="22"/>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CONSOLIDATED STATEMENTS OF CASH FLOWS (Continued)</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FOR THE YEARS ENDED DECEMBER 31, 2021, 2020 AND 2019</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bookmarkStart w:id="766" w:name="_ab4034dc_542c_4759_8c74_e16af751c1ec"/>
      <w:bookmarkEnd w:id="766"/>
      <w:r>
        <w:rPr>
          <w:rFonts w:ascii="Times New Roman;Times;serif" w:hAnsi="Times New Roman;Times;serif"/>
          <w:sz w:val="22"/>
        </w:rPr>
        <w:t>SUPPLEMENTAL DISCLOSURE OF NON-CASH ITEMS:</w:t>
      </w:r>
    </w:p>
    <w:p>
      <w:pPr>
        <w:pStyle w:val="TextBody"/>
        <w:spacing w:before="0" w:after="0"/>
        <w:ind w:left="0" w:right="0" w:hanging="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Included in accrued liabilities as of December 31, 2021, 2020 and 2019 were $14.0 million, $9.8 million and $12.8 million, respectively, related to net additions to other intangible assets.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Accounts payable included purchases of available-for-sale short-term investments of $8.7 million as of December 31, 2019. No purchases of available-for-sale investments were included in accounts payable as of December 31, 2021 and December 31, 2020.</w:t>
      </w:r>
    </w:p>
    <w:p>
      <w:pPr>
        <w:pStyle w:val="TextBody"/>
        <w:spacing w:before="0" w:after="0"/>
        <w:ind w:left="0" w:right="0" w:firstLine="720"/>
        <w:jc w:val="center"/>
        <w:rPr>
          <w:rFonts w:ascii="Times New Roman;Times;serif" w:hAnsi="Times New Roman;Times;serif"/>
          <w:sz w:val="22"/>
        </w:rPr>
      </w:pPr>
      <w:r>
        <w:rPr>
          <w:rFonts w:ascii="Times New Roman;Times;serif" w:hAnsi="Times New Roman;Times;serif"/>
          <w:sz w:val="22"/>
        </w:rPr>
        <w:t>See accompanying notes to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2"/>
        </w:rPr>
      </w:pPr>
      <w:bookmarkStart w:id="767" w:name="a1ORGANIZATIONANDSUMMARYOFSIGNIFICANTACC"/>
      <w:bookmarkEnd w:id="767"/>
      <w:r>
        <w:rPr>
          <w:rFonts w:ascii="Times New Roman;Times;serif" w:hAnsi="Times New Roman;Times;serif"/>
          <w:sz w:val="22"/>
        </w:rPr>
        <w:t>1.          ORGANIZATION AND SUMMARY OF SIGNIFICANT ACCOUNTING POLICIES</w:t>
      </w:r>
    </w:p>
    <w:p>
      <w:pPr>
        <w:pStyle w:val="TextBody"/>
        <w:spacing w:before="0" w:after="200"/>
        <w:ind w:left="0" w:right="0" w:firstLine="720"/>
        <w:jc w:val="both"/>
        <w:rPr>
          <w:rFonts w:ascii="Times New Roman;Times;serif" w:hAnsi="Times New Roman;Times;serif"/>
          <w:sz w:val="22"/>
        </w:rPr>
      </w:pPr>
      <w:r>
        <w:rPr>
          <w:rFonts w:ascii="Times New Roman;Times;serif" w:hAnsi="Times New Roman;Times;serif"/>
          <w:i/>
          <w:sz w:val="22"/>
        </w:rPr>
        <w:t>Organization</w:t>
      </w:r>
      <w:r>
        <w:rPr>
          <w:rFonts w:ascii="Times New Roman;Times;serif" w:hAnsi="Times New Roman;Times;serif"/>
          <w:sz w:val="22"/>
        </w:rPr>
        <w:t xml:space="preserve"> – Monster Beverage Corporation (the “Company”) was incorporated in the state of Delaware. The Company is a holding company and has no operating business except through its consolidated subsidiaries.</w:t>
      </w:r>
    </w:p>
    <w:p>
      <w:pPr>
        <w:pStyle w:val="TextBody"/>
        <w:spacing w:before="0" w:after="200"/>
        <w:ind w:left="0" w:right="0" w:firstLine="720"/>
        <w:jc w:val="both"/>
        <w:rPr>
          <w:rFonts w:ascii="Times New Roman;Times;serif" w:hAnsi="Times New Roman;Times;serif"/>
          <w:sz w:val="22"/>
        </w:rPr>
      </w:pPr>
      <w:r>
        <w:rPr>
          <w:rFonts w:ascii="Times New Roman;Times;serif" w:hAnsi="Times New Roman;Times;serif"/>
          <w:i/>
          <w:sz w:val="22"/>
        </w:rPr>
        <w:t>Nature of Operations</w:t>
      </w:r>
      <w:r>
        <w:rPr>
          <w:rFonts w:ascii="Times New Roman;Times;serif" w:hAnsi="Times New Roman;Times;serif"/>
          <w:sz w:val="22"/>
        </w:rPr>
        <w:t xml:space="preserve"> – The Company develops, markets, sells and distributes energy drink beverages and concentrates for energy drink beverages, primarily under the following brand names: Monster Energy®, Monster Energy Ultra®, Rehab® Monster, Java Monster®, Muscle Monster®, Espresso Monster®, Punch Monster®, Juice Monster®, Monster Hydro® Energy Water, Monster Hydro® Super Sport, Monster HydroSport Super Fuel®, Monster Super Fuel®, Monster Dragon Tea®, Reign Total Body Fuel®, Reign Inferno® Thermogenic Fuel, NOS®, Full Throttle®, Burn®, Mother®, Nalu®, Ultra Energy®, Play® and Power Play® (stylized), Relentless®, BPM®, BU®, Gladiator®, Samurai®, Live+®, Predator®, Fury® and True North®.</w:t>
      </w:r>
    </w:p>
    <w:p>
      <w:pPr>
        <w:pStyle w:val="TextBody"/>
        <w:spacing w:before="0" w:after="200"/>
        <w:ind w:left="0" w:right="0" w:firstLine="720"/>
        <w:jc w:val="both"/>
        <w:rPr>
          <w:rFonts w:ascii="Times New Roman;Times;serif" w:hAnsi="Times New Roman;Times;serif"/>
          <w:sz w:val="22"/>
        </w:rPr>
      </w:pPr>
      <w:r>
        <w:rPr>
          <w:rFonts w:ascii="Times New Roman;Times;serif" w:hAnsi="Times New Roman;Times;serif"/>
          <w:i/>
          <w:sz w:val="22"/>
        </w:rPr>
        <w:t>Basis of Presentation</w:t>
      </w:r>
      <w:r>
        <w:rPr>
          <w:rFonts w:ascii="Times New Roman;Times;serif" w:hAnsi="Times New Roman;Times;serif"/>
          <w:sz w:val="22"/>
        </w:rPr>
        <w:t xml:space="preserve"> – The accompanying consolidated financial statements have been prepared in accordance with accounting principles generally accepted in the United States of America (“GAAP”) and include the accounts of the Company and its consolidated subsidiaries.</w:t>
      </w:r>
    </w:p>
    <w:p>
      <w:pPr>
        <w:pStyle w:val="TextBody"/>
        <w:spacing w:before="0" w:after="200"/>
        <w:ind w:left="0" w:right="0" w:firstLine="720"/>
        <w:jc w:val="both"/>
        <w:rPr>
          <w:rFonts w:ascii="Times New Roman;Times;serif" w:hAnsi="Times New Roman;Times;serif"/>
          <w:sz w:val="22"/>
        </w:rPr>
      </w:pPr>
      <w:r>
        <w:rPr>
          <w:rFonts w:ascii="Times New Roman;Times;serif" w:hAnsi="Times New Roman;Times;serif"/>
          <w:i/>
          <w:sz w:val="22"/>
        </w:rPr>
        <w:t>Principles of Consolidation</w:t>
      </w:r>
      <w:r>
        <w:rPr>
          <w:rFonts w:ascii="Times New Roman;Times;serif" w:hAnsi="Times New Roman;Times;serif"/>
          <w:sz w:val="22"/>
        </w:rPr>
        <w:t xml:space="preserve"> – The Company consolidates all entities that it controls by ownership of a majority voting interest. All intercompany balances and transactions have been eliminated in consolidation.</w:t>
      </w:r>
    </w:p>
    <w:p>
      <w:pPr>
        <w:pStyle w:val="TextBody"/>
        <w:spacing w:before="0" w:after="200"/>
        <w:ind w:left="0" w:right="0" w:firstLine="720"/>
        <w:jc w:val="both"/>
        <w:rPr>
          <w:rFonts w:ascii="Times New Roman;Times;serif" w:hAnsi="Times New Roman;Times;serif"/>
          <w:sz w:val="22"/>
        </w:rPr>
      </w:pPr>
      <w:r>
        <w:rPr>
          <w:rFonts w:ascii="Times New Roman;Times;serif" w:hAnsi="Times New Roman;Times;serif"/>
          <w:i/>
          <w:sz w:val="22"/>
        </w:rPr>
        <w:t>Business Combinations</w:t>
      </w:r>
      <w:r>
        <w:rPr>
          <w:rFonts w:ascii="Times New Roman;Times;serif" w:hAnsi="Times New Roman;Times;serif"/>
          <w:sz w:val="22"/>
        </w:rPr>
        <w:t xml:space="preserve"> – Business acquisitions are accounted for in accordance with Financial Accounting Standards 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pStyle w:val="TextBody"/>
        <w:spacing w:before="0" w:after="200"/>
        <w:ind w:left="0" w:right="0" w:firstLine="720"/>
        <w:jc w:val="both"/>
        <w:rPr>
          <w:rFonts w:ascii="Times New Roman;Times;serif" w:hAnsi="Times New Roman;Times;serif"/>
          <w:sz w:val="22"/>
        </w:rPr>
      </w:pPr>
      <w:r>
        <w:rPr>
          <w:rFonts w:ascii="Times New Roman;Times;serif" w:hAnsi="Times New Roman;Times;serif"/>
          <w:i/>
          <w:sz w:val="22"/>
        </w:rPr>
        <w:t xml:space="preserve">Cash and Cash Equivalents </w:t>
      </w:r>
      <w:r>
        <w:rPr>
          <w:rFonts w:ascii="Times New Roman;Times;serif" w:hAnsi="Times New Roman;Times;serif"/>
          <w:sz w:val="22"/>
        </w:rPr>
        <w:t>– The Company considers all highly liquid investments with an original maturity of three 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Investments</w:t>
      </w:r>
      <w:r>
        <w:rPr>
          <w:rFonts w:ascii="Times New Roman;Times;serif" w:hAnsi="Times New Roman;Times;serif"/>
          <w:sz w:val="22"/>
        </w:rPr>
        <w:t xml:space="preserve"> – The Company’s investments in debt securities are classified as either held-to-maturity, available-for-sale or trading, in 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326-30-35, a security is considered to be impaired if the fair value of the security is less than its amortized cost basis. Where the decline in fair value below the amortized cost basis has resulted from a credit loss, the Company will record an impairment relating to credit losses through an allowance for credit losses. The allowance is limited by the amount that the fair value is less than the amortized cost basis. Impairment that has not been recorded through an allowance for credit losses is recorded through other comprehensive income (loss), net of applicable taxes. The Company evaluates whether the decline in fair value of its investments has resulted from credit loss or other factors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an impairment has resulted from credit loss or other factors include the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Accounts Receivable – </w:t>
      </w:r>
      <w:r>
        <w:rPr>
          <w:rFonts w:ascii="Times New Roman;Times;serif" w:hAnsi="Times New Roman;Times;serif"/>
          <w:sz w:val="22"/>
        </w:rPr>
        <w:t>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Inventories</w:t>
      </w:r>
      <w:r>
        <w:rPr>
          <w:rFonts w:ascii="Times New Roman;Times;serif" w:hAnsi="Times New Roman;Times;serif"/>
          <w:sz w:val="22"/>
        </w:rPr>
        <w:t xml:space="preserve"> – Inventories are valued at the lower of first-in, first-out, cost or market value (net realizable value).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Property and Equipment</w:t>
      </w:r>
      <w:r>
        <w:rPr>
          <w:rFonts w:ascii="Times New Roman;Times;serif" w:hAnsi="Times New Roman;Times;serif"/>
          <w:sz w:val="22"/>
        </w:rPr>
        <w:t xml:space="preserve"> – Property and equipment are stated at cost. Depreciation of furniture and fixtures, office and computer equipment, computer software, equipment, real property and vehicles is based on their estimated useful lives (</w:t>
      </w:r>
      <w:r>
        <w:rPr>
          <w:rFonts w:ascii="Times New Roman;Times;serif" w:hAnsi="Times New Roman;Times;serif"/>
          <w:b w:val="false"/>
          <w:i w:val="false"/>
          <w:caps w:val="false"/>
          <w:smallCaps w:val="false"/>
          <w:sz w:val="22"/>
        </w:rPr>
        <w:t>three</w:t>
      </w:r>
      <w:r>
        <w:rPr>
          <w:rFonts w:ascii="Times New Roman;Times;serif" w:hAnsi="Times New Roman;Times;serif"/>
          <w:sz w:val="22"/>
        </w:rPr>
        <w:t xml:space="preserve"> to thirty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Goodwill</w:t>
      </w:r>
      <w:r>
        <w:rPr>
          <w:rFonts w:ascii="Times New Roman;Times;serif" w:hAnsi="Times New Roman;Times;serif"/>
          <w:sz w:val="22"/>
        </w:rPr>
        <w:t xml:space="preserve"> – The Company records goodwill when the consideration paid for an acquisition exceeds the fair value of 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The Company will recognize an impairment for the amount by which the carrying amount exceeds a reporting unit’s fair value. For the years ended December 31, 2021, 2020 and 2019 there were no impairments recorded and there are no accumulated impairment balances.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Other Intangibles</w:t>
      </w:r>
      <w:r>
        <w:rPr>
          <w:rFonts w:ascii="Times New Roman;Times;serif" w:hAnsi="Times New Roman;Times;serif"/>
          <w:sz w:val="22"/>
        </w:rPr>
        <w:t xml:space="preserve"> – Other Intangibles are comprised primarily of trademarks that represent the Company’s exclusive ownership of the Monster Energy®, </w:t>
      </w:r>
      <w:r>
        <w:rPr>
          <w:rFonts w:ascii="Times New Roman;Times;serif" w:hAnsi="Times New Roman;Times;serif"/>
          <w:sz w:val="22"/>
        </w:rPr>
        <w:drawing>
          <wp:inline distT="0" distB="0" distL="0" distR="0">
            <wp:extent cx="114300" cy="152400"/>
            <wp:effectExtent l="0" t="0" r="0" b="0"/>
            <wp:docPr id="1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 descr=""/>
                    <pic:cNvPicPr>
                      <a:picLocks noChangeAspect="1" noChangeArrowheads="1"/>
                    </pic:cNvPicPr>
                  </pic:nvPicPr>
                  <pic:blipFill>
                    <a:blip r:embed="rId31"/>
                    <a:stretch>
                      <a:fillRect/>
                    </a:stretch>
                  </pic:blipFill>
                  <pic:spPr bwMode="auto">
                    <a:xfrm>
                      <a:off x="0" y="0"/>
                      <a:ext cx="114300" cy="152400"/>
                    </a:xfrm>
                    <a:prstGeom prst="rect">
                      <a:avLst/>
                    </a:prstGeom>
                  </pic:spPr>
                </pic:pic>
              </a:graphicData>
            </a:graphic>
          </wp:inline>
        </w:drawing>
      </w:r>
      <w:r>
        <w:rPr>
          <w:rFonts w:ascii="Times New Roman;Times;serif" w:hAnsi="Times New Roman;Times;serif"/>
          <w:sz w:val="22"/>
        </w:rPr>
        <w:t>®, Monster Energy Ultra®, Monster Dragon Tea®, Unleash the Beast!®, Rehab® Monster, Java Monster®, Muscle Monster®, Espresso Monster®, Punch Monster®, Juice Monster®, Monster Hydro®, Monster HydroSport Super Fuel®, Monster Super Fuel®, Reign Total Body Fuel®, Reign Inferno®, Predator®, Fury®, True North®, NOS®, Full Throttle®, Burn®, Mother®, Nalu®, Ultra Energy®, Play® and Power Play® (stylized), Relentless®, BPM®, BU®, Gladiator®, and Samurai® trademarks, all used in connection with the manufacture, sale and distribution of beverages. The Company also owns a number of other trademarks, flavors and formulas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For the years ended December 31, 2021 and 2019 no impairments were recorded. For the year ended December 31, 2020, an impairment charge of $8.7 million was recorded to intangibles.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Leases</w:t>
      </w:r>
      <w:r>
        <w:rPr>
          <w:rFonts w:ascii="Times New Roman;Times;serif" w:hAnsi="Times New Roman;Times;serif"/>
          <w:sz w:val="22"/>
        </w:rPr>
        <w:t xml:space="preserve"> – See Note 3.</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Long-Lived Assets </w:t>
      </w:r>
      <w:r>
        <w:rPr>
          <w:rFonts w:ascii="Times New Roman;Times;serif" w:hAnsi="Times New Roman;Times;serif"/>
          <w:sz w:val="22"/>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2021, 2020 and 2019, there were no impairment indicators identified. Long-lived assets held for sale are recorded at the lower of their carrying amount or fair value less cost to sell.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Foreign Currency Translation and Transactions</w:t>
      </w:r>
      <w:r>
        <w:rPr>
          <w:rFonts w:ascii="Times New Roman;Times;serif" w:hAnsi="Times New Roman;Times;serif"/>
          <w:sz w:val="22"/>
        </w:rPr>
        <w:t xml:space="preserve"> – The accounts of the Company’s foreign subsidiaries are translated in accordance 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 During the years ended December 31, 2021, 2020 and 2019,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2021 have terms of three months or less. The Company does not enter into forward currency exchange contracts for speculation or trading purposes.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has not designated its foreign currency exchange contracts as hedge transactions under FASB ASC 815. Therefore, gains and losses on the Company’s foreign currency exchange contracts are recognized in other income, net, in the consolidated statements of income, and are largely offset by the changes in the fair value of the underlying economically hedged item. For the years ended December 31, 2021, 2020 and 2019, aggregate foreign currency transaction gains (losses), including the gains or losses on forward currency exchange contracts, amounted to $0.3 million, ($11.2) million and ($4.1) million, respectively, and have been recorded in other income, net, in the accompanying consolidated statements of income.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Revenue Recognition</w:t>
      </w:r>
      <w:r>
        <w:rPr>
          <w:rFonts w:ascii="Times New Roman;Times;serif" w:hAnsi="Times New Roman;Times;serif"/>
          <w:sz w:val="22"/>
        </w:rPr>
        <w:t xml:space="preserve"> – See Note 2.</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Cost of Sales</w:t>
      </w:r>
      <w:r>
        <w:rPr>
          <w:rFonts w:ascii="Times New Roman;Times;serif" w:hAnsi="Times New Roman;Times;serif"/>
          <w:sz w:val="22"/>
        </w:rPr>
        <w:t xml:space="preserve"> – Cost of sales consists of the costs of flavors, concentrates, supplement ingredients and/or beverage bases, the costs of raw 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Operating Expenses</w:t>
      </w:r>
      <w:r>
        <w:rPr>
          <w:rFonts w:ascii="Times New Roman;Times;serif" w:hAnsi="Times New Roman;Times;serif"/>
          <w:sz w:val="22"/>
        </w:rPr>
        <w:t xml:space="preserve"> – Operating expenses include selling expenses such as distribution expenses to transport products to customers and 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Freight-Out Costs </w:t>
      </w:r>
      <w:r>
        <w:rPr>
          <w:rFonts w:ascii="Times New Roman;Times;serif" w:hAnsi="Times New Roman;Times;serif"/>
          <w:sz w:val="22"/>
        </w:rPr>
        <w:t>– For the years ended December 31, 2021, 2020 and 2019, freight-out costs amounted to $213.9 million, $134.1 million and $122.5 million, respectively, and have been recorded in operating expenses in the accompanying consolidated statements of income.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Advertising and Promotional Expenses </w:t>
      </w:r>
      <w:r>
        <w:rPr>
          <w:rFonts w:ascii="Times New Roman;Times;serif" w:hAnsi="Times New Roman;Times;serif"/>
          <w:sz w:val="22"/>
        </w:rPr>
        <w:t>– The Company accounts for advertising production costs by expensing such production costs 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the periodic performance compliance provisions of the contracts. Advertising and promotional expenses, including, but not limited to, production costs amounted to $417.6 million, $345.7 million and $391.6 million for the years ended December 31, 2021, 2020 and 2019, respectively. Advertising and promotional expenses are included in operating expenses in the accompanying consolidated statements of income.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Income Taxes</w:t>
      </w:r>
      <w:r>
        <w:rPr>
          <w:rFonts w:ascii="Times New Roman;Times;serif" w:hAnsi="Times New Roman;Times;serif"/>
          <w:sz w:val="22"/>
        </w:rPr>
        <w:t xml:space="preserve"> – The Company utilizes the liability method of accounting for income taxes as set forth in FASB 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Stock-Based Compensation</w:t>
      </w:r>
      <w:r>
        <w:rPr>
          <w:rFonts w:ascii="Times New Roman;Times;serif" w:hAnsi="Times New Roman;Times;serif"/>
          <w:sz w:val="22"/>
        </w:rPr>
        <w:t xml:space="preserve"> – The Company accounts for stock-based compensation under the provisions of FASB ASC 718. The 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 See Note 15.</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Net Income Per Common Share</w:t>
      </w:r>
      <w:r>
        <w:rPr>
          <w:rFonts w:ascii="Times New Roman;Times;serif" w:hAnsi="Times New Roman;Times;serif"/>
          <w:sz w:val="22"/>
        </w:rPr>
        <w:t xml:space="preserve"> – In accordance with FASB ASC 260, net income per common share, on a basic and diluted 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Concentration of Risk – </w:t>
      </w:r>
      <w:r>
        <w:rPr>
          <w:rFonts w:ascii="Times New Roman;Times;serif" w:hAnsi="Times New Roman;Times;serif"/>
          <w:sz w:val="22"/>
        </w:rPr>
        <w:t>Certain of the Company’s products utilize components (raw materials and/or co-packing 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Coca-Cola Company (“TCCC”), through certain wholly-owned subsidiaries (the “TCCC Subsidiaries”), accounted for approximately 2%of the Company’s net sales for the years ended December 31, 2021, 2020 and 2019.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Coca-Cola Consolidated, Inc. accounted for approximately 12%, 12% and 13% of the Company’s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Reyes Coca-Cola Bottling, LLC accounted for approximately 10%, 11% and 11% of the Company’s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Coca-Cola Europacific Partners accounted for approximately 12%, 10% and 10% of the Company’s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Credit Risk</w:t>
      </w:r>
      <w:r>
        <w:rPr>
          <w:rFonts w:ascii="Times New Roman;Times;serif" w:hAnsi="Times New Roman;Times;serif"/>
          <w:sz w:val="22"/>
        </w:rPr>
        <w:t xml:space="preserve"> – The Company sells its products nationally and internationally, primarily to bottlers and full service beverage distributors, retail grocery and specialty chains, wholesalers, club stores, mass merchandisers, convenience chains, drug stores, foodservice customers, value stores, e-commerce retailers and the military. The Company performs ongoing credit evaluations of its customers and generally does not require collateral. The Company maintains reserves for estimated credit losses, and historically, such losses have been within management’s expectations.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Fair Value of Financial Instruments</w:t>
      </w:r>
      <w:r>
        <w:rPr>
          <w:rFonts w:ascii="Times New Roman;Times;serif" w:hAnsi="Times New Roman;Times;serif"/>
          <w:sz w:val="22"/>
        </w:rPr>
        <w:t xml:space="preserve"> – The carrying value of the Company’s financial instruments, including cash and cash equivalents, accounts receivable, accounts payable and accrued liabilities, approximate fair value due to the relatively short maturity of the respective instruments.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Use of Estimates</w:t>
      </w:r>
      <w:r>
        <w:rPr>
          <w:rFonts w:ascii="Times New Roman;Times;serif" w:hAnsi="Times New Roman;Times;serif"/>
          <w:sz w:val="22"/>
        </w:rPr>
        <w:t xml:space="preserve"> – 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spacing w:before="0" w:after="0"/>
        <w:ind w:left="0" w:right="0" w:firstLine="720"/>
        <w:jc w:val="both"/>
        <w:rPr>
          <w:rFonts w:ascii="Times New Roman;Times;serif" w:hAnsi="Times New Roman;Times;serif"/>
          <w:i/>
          <w:sz w:val="22"/>
        </w:rPr>
      </w:pPr>
      <w:r>
        <w:rPr>
          <w:rFonts w:ascii="Times New Roman;Times;serif" w:hAnsi="Times New Roman;Times;serif"/>
          <w:i/>
          <w:sz w:val="22"/>
        </w:rPr>
        <w:t>Recent Accounting Pronouncements</w:t>
      </w:r>
      <w:r>
        <w:rPr>
          <w:rFonts w:ascii="Times New Roman;Times;serif" w:hAnsi="Times New Roman;Times;serif"/>
          <w:i/>
          <w:caps w:val="false"/>
          <w:smallCaps w:val="false"/>
          <w:sz w:val="22"/>
        </w:rPr>
        <w:t xml:space="preserve"> –</w:t>
      </w:r>
      <w:r>
        <w:rPr>
          <w:rFonts w:ascii="Times New Roman;Times;serif" w:hAnsi="Times New Roman;Times;serif"/>
          <w:i/>
          <w:sz w:val="22"/>
        </w:rPr>
        <w:t xml:space="preserve"> </w:t>
      </w:r>
      <w:r>
        <w:rPr>
          <w:rFonts w:ascii="Times New Roman;Times;serif" w:hAnsi="Times New Roman;Times;serif"/>
          <w:i w:val="false"/>
          <w:caps w:val="false"/>
          <w:smallCaps w:val="false"/>
          <w:sz w:val="22"/>
        </w:rPr>
        <w:t>In October 2021, the FASB issued Accounting Standards Update (“ASU”) No. 2021-08, “Accounting for Contract Assets and Contract Liabilities from Contracts with Customers (Topic 805)”. ASU No. 2021-08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is effective for annual periods beginning after December 15, 2022, including interim periods within those fiscal years. Adoption of the ASU should be applied prospectively. Early adoption is also permitted, including adoption in an interim period. If early adopted, the amendments are applied retrospectively to all business combinations for which the acquisition date occurred during the fiscal year of adoption. The Company is currently evaluating the impact of ASU No. 2021-08 on its financial position, results of operations and liquidity.</w:t>
      </w:r>
    </w:p>
    <w:p>
      <w:pPr>
        <w:pStyle w:val="TextBody"/>
        <w:pBdr/>
        <w:spacing w:before="0" w:after="0"/>
        <w:ind w:left="0" w:right="0" w:hanging="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bookmarkStart w:id="768" w:name="_Hlk64683988"/>
      <w:bookmarkEnd w:id="768"/>
      <w:r>
        <w:rPr>
          <w:rFonts w:ascii="Times New Roman;Times;serif" w:hAnsi="Times New Roman;Times;serif"/>
          <w:b w:val="false"/>
          <w:sz w:val="22"/>
        </w:rPr>
        <w:t>2.          REVENUE RECOGNITION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Revenues are accounted for in accordance with ASC 606 “Revenue from Contracts with Consumers”. The Company has three operating and </w:t>
      </w:r>
      <w:r>
        <w:rPr>
          <w:rFonts w:ascii="Times New Roman;Times;serif" w:hAnsi="Times New Roman;Times;serif"/>
          <w:b w:val="false"/>
          <w:i w:val="false"/>
          <w:caps w:val="false"/>
          <w:smallCaps w:val="false"/>
          <w:sz w:val="22"/>
        </w:rPr>
        <w:t>reportable</w:t>
      </w:r>
      <w:r>
        <w:rPr>
          <w:rFonts w:ascii="Times New Roman;Times;serif" w:hAnsi="Times New Roman;Times;serif"/>
          <w:sz w:val="22"/>
        </w:rPr>
        <w:t xml:space="preserve"> segments: (i) Monster Energy® Drinks segment (“Monster Energy® Drinks”), which is primarily comprised of the Company’s Monster Energy® drinks, Reign Total Body Fuel® high performance energy drinks and True North® Pure Energy Seltzers, (ii) Strategic Brands segment (“Strategic Brands”), which is primarily comprised of the various energy drink brands acquired from The Coca-Cola Company (“TCCC”) in 2015 as well as the Company’s affordable energy brands, and (iii) Other segment (“Other”), which is comprised of certain products sold by American Fruits and Flavors, LLC, a wholly-owned subsidiary of the Company, to independent third-party customers (the “AFF Third-Party Products”).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Company’s Monster Energy® Drinks segment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chains, drug stores, foodservice customers, value stores, e-commerce retailers and the military.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2021 and December 31, 2020.</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 excludes from revenues all taxes assessed by a governmental authority that are imposed on the sale of its products and collected from customers.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Distribution expenses to transport the Company’s products, where applicable, and warehousing expense after manufacture are accounted for within operating expenses in the consolidated statements of income.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Promotional and other allowances (variable consideration) recorded as a reduction to net sales, primarily include consideration given to the Company’s bottlers/distributors or retail customers including, but not limited to the following: </w:t>
      </w:r>
    </w:p>
    <w:tbl>
      <w:tblPr>
        <w:tblW w:w="9051" w:type="dxa"/>
        <w:jc w:val="left"/>
        <w:tblInd w:w="0" w:type="dxa"/>
        <w:tblCellMar>
          <w:top w:w="28" w:type="dxa"/>
          <w:left w:w="28" w:type="dxa"/>
          <w:bottom w:w="28" w:type="dxa"/>
          <w:right w:w="28" w:type="dxa"/>
        </w:tblCellMar>
      </w:tblPr>
      <w:tblGrid>
        <w:gridCol w:w="124"/>
        <w:gridCol w:w="256"/>
        <w:gridCol w:w="8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discounts granted off list prices to support price promotions to end-consumers by retailers;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reimbursements given to the Company’s bottlers/distributors for agreed portions of their promotional spend with retailers, including slotting, shelf space allowances and other fees for both new and existing products;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Company’s agreed share of fees given to bottlers/distributors and/or directly to retailers for advertising, in-store marketing and promotional activities;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Company’s agreed share of slotting, shelf space allowances and other fees given directly to retailers, club stores and/or wholesalers;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incentives given to the Company’s bottlers/distributors and/or retailers for achieving or exceeding certain predetermined sales goals; </w:t>
            </w:r>
          </w:p>
        </w:tc>
      </w:tr>
    </w:tbl>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discounted or free products;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contractual fees given to the Company’s bottlers/distributors related to sales made directly by the Company to certain customers that fall within the bottlers’/distributors’ sales territories; and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commissions to TCCC based on the Company’s sales to wholly-owned subsidiaries of TCCC (the “TCCC Subsidiaries”) and/or to TCCC bottlers/distributors accounted for under the equity method by TCCC (the “TCCC Related Parties”).</w:t>
            </w:r>
          </w:p>
        </w:tc>
      </w:tr>
    </w:tbl>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also sells and/or enters into license agreements that generate revenues associated with third-party sales of non-beverage products bearing the Company’s trademarks including, but not limited to, clothing, backpacks, hats, t-shirts, jackets, helmets and automotive wheels.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Management believes that adequate provision has been made for cash discounts, returns and spoilage based on the Company’s historical experience.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2"/>
        </w:rPr>
      </w:pPr>
      <w:bookmarkStart w:id="769" w:name="Tc__VB6O2c8hU2tvXfIV7XCrg_9_14"/>
      <w:bookmarkStart w:id="770" w:name="Tc_-mqu3Lxz0kub0XAmQYDo3A_9_11"/>
      <w:bookmarkStart w:id="771" w:name="Tc_pOmxyz-IwUqVgK3b5L4LfQ_9_8"/>
      <w:bookmarkStart w:id="772" w:name="Tc_vGQ0aTSw-EiTpEVg9vS4bQ_9_5"/>
      <w:bookmarkStart w:id="773" w:name="Tc_bNVTQ7BZqU-i5kgNtIwbKw_9_2"/>
      <w:bookmarkStart w:id="774" w:name="Tc_aRqkiOwQMky3u3Xa4UJo0A_9_0"/>
      <w:bookmarkStart w:id="775" w:name="Tc_vVPlf9t4nkOuylAQdaU-Eg_8_12"/>
      <w:bookmarkStart w:id="776" w:name="Tc_NFGM_hM2EkSBN0-mT7iAWQ_8_9"/>
      <w:bookmarkStart w:id="777" w:name="Tc_nUuzf7yO90Gdz0tS1rvtgg_8_6"/>
      <w:bookmarkStart w:id="778" w:name="Tc_OOMZhrhAJkKGpbetXNzEWQ_8_0"/>
      <w:bookmarkStart w:id="779" w:name="Tc_p0RRvmzodkWn3oydL21n9g_7_0"/>
      <w:bookmarkStart w:id="780" w:name="Tc_TI6W3eB6FUeM4XgKPwK_zg_6_14"/>
      <w:bookmarkStart w:id="781" w:name="Tc_63l6Y9gEl0KtJZHtCX3qiQ_6_11"/>
      <w:bookmarkStart w:id="782" w:name="Tc_WvIVPWhcH0ScG-piFXEGfg_6_8"/>
      <w:bookmarkStart w:id="783" w:name="Tc_pUTQfy5OvUCNi2c0PAMEJg_6_5"/>
      <w:bookmarkStart w:id="784" w:name="Tc_jVs0aeXIVkeQ_B7e4ikE7g_6_2"/>
      <w:bookmarkStart w:id="785" w:name="Tc_SxRc1B5s5UyggkF5lgWCDw_6_0"/>
      <w:bookmarkStart w:id="786" w:name="Tc_aQ7pZtjg-EOTRMbUgh2BxA_5_14"/>
      <w:bookmarkStart w:id="787" w:name="Tc_dMvyPIvdNUac-I2CXD4yow_5_11"/>
      <w:bookmarkStart w:id="788" w:name="Tc_XhTZCfs3tk-3eZhAeJ-ymg_5_8"/>
      <w:bookmarkStart w:id="789" w:name="Tc_mlp5Y7ZmzEuI7BbHpnCkRQ_5_5"/>
      <w:bookmarkStart w:id="790" w:name="Tc_R3pPy5mQgU-BM_2-QZpdIg_5_2"/>
      <w:bookmarkStart w:id="791" w:name="Tc_CrvmwiEE2kGoBqaU2z7J6g_5_0"/>
      <w:bookmarkStart w:id="792" w:name="Tc_E3MozcGs1EGQ5QTUjDs9fw_4_11"/>
      <w:bookmarkStart w:id="793" w:name="Tc_74oI-ghyb0el9rWGPc1Xpg_4_2"/>
      <w:bookmarkStart w:id="794" w:name="Tc_0DDgGZCvgk-nnpiWcMBTpw_3_11"/>
      <w:bookmarkStart w:id="795" w:name="Tc_bZcyJGy0JEqRs0UEBh3kmg_2_11"/>
      <w:bookmarkStart w:id="796" w:name="Tc_aA5q5oZbf0GAhVmvyAWlnQ_1_2"/>
      <w:bookmarkStart w:id="797" w:name="_c44bbef0_0f8b_46db_b433_75705cfd2398"/>
      <w:bookmarkStart w:id="798" w:name="Tc_RYmIXEEzj0-RPnmHlFVLAA_9_14"/>
      <w:bookmarkStart w:id="799" w:name="Tc_LpD_1irSkE6PYQWm-qElTA_9_11"/>
      <w:bookmarkStart w:id="800" w:name="Tc_e9Y4v95bOE6SgC5ozAuZyA_9_8"/>
      <w:bookmarkStart w:id="801" w:name="Tc_WGKqOUx0fE-OkCCqH3OKPQ_9_5"/>
      <w:bookmarkStart w:id="802" w:name="Tc_Ipxv9S0QKEim-rzY4W5arg_9_2"/>
      <w:bookmarkStart w:id="803" w:name="Tc_W0_rZzMArk-lZTgSnkzf-A_9_0"/>
      <w:bookmarkStart w:id="804" w:name="Tc_f5EUwtKgf0uPDK2lGpNHww_8_12"/>
      <w:bookmarkStart w:id="805" w:name="Tc_1G0jawqu8kWKM7MH1gyhgQ_8_9"/>
      <w:bookmarkStart w:id="806" w:name="Tc_zvn0A5PxL0GBTgIIB25Liw_8_6"/>
      <w:bookmarkStart w:id="807" w:name="Tc_TOA1h-Na_ky2Xnk4ViH9LQ_8_0"/>
      <w:bookmarkStart w:id="808" w:name="Tc_SgMKIoTfVUWkp4Py4Wv0YA_7_0"/>
      <w:bookmarkStart w:id="809" w:name="Tc_k_zKIHdXdkSVkp0Otl7jdw_6_14"/>
      <w:bookmarkStart w:id="810" w:name="Tc_Q0Rpue-IAkGlDcBNQR7D4g_6_11"/>
      <w:bookmarkStart w:id="811" w:name="Tc_it9i4Xi_5kGDD4m149GAjA_6_8"/>
      <w:bookmarkStart w:id="812" w:name="Tc_NHyVMFT4tE-ihvDkpM81sg_6_5"/>
      <w:bookmarkStart w:id="813" w:name="Tc_2Tca4X4nHEOL7u54R6KpLA_6_2"/>
      <w:bookmarkStart w:id="814" w:name="Tc_PuUAMvlkX0qXVeHB3cnBgQ_6_0"/>
      <w:bookmarkStart w:id="815" w:name="Tc_mCF31FqWuEOuC5zNb7crGA_5_14"/>
      <w:bookmarkStart w:id="816" w:name="Tc_WgWfDGZhfEazacu-LMIcFQ_5_11"/>
      <w:bookmarkStart w:id="817" w:name="Tc_IlzSIOI6uUi7Kxweifaaog_5_8"/>
      <w:bookmarkStart w:id="818" w:name="Tc_Vmo85MANOEun3TIE2WxAqA_5_5"/>
      <w:bookmarkStart w:id="819" w:name="Tc_CDxgYw3xi0a1a-RDbF_YPg_5_2"/>
      <w:bookmarkStart w:id="820" w:name="Tc_sip5nQGMx0uqLYlwTrppXQ_5_0"/>
      <w:bookmarkStart w:id="821" w:name="Tc_eFwK7Ou5FEyGPwTCGwkC2w_4_11"/>
      <w:bookmarkStart w:id="822" w:name="Tc_fSlQXjod6UilrDMC72ULHw_4_2"/>
      <w:bookmarkStart w:id="823" w:name="Tc_srdzDfkoPEyXFuUG-1eWeA_3_11"/>
      <w:bookmarkStart w:id="824" w:name="Tc_IlHbSGhYE0u_vCuZ84yQGg_2_11"/>
      <w:bookmarkStart w:id="825" w:name="Tc_V7Ixc7yDp0qLwrqK6NvPow_1_2"/>
      <w:bookmarkStart w:id="826" w:name="_db33dd62_8bf8_46a6_92f8_9b2dd99b72a2"/>
      <w:bookmarkStart w:id="827" w:name="Tc_hhrVm533jEqdJlu8w6Yf9Q_9_14"/>
      <w:bookmarkStart w:id="828" w:name="Tc_lCH5n8Bm7k2qJmguWXOf3w_9_11"/>
      <w:bookmarkStart w:id="829" w:name="Tc_6-JrNL6hL0CLdWsUjEBvQA_9_8"/>
      <w:bookmarkStart w:id="830" w:name="Tc_k3p-ChK3r0mVTchDA5oxMg_9_5"/>
      <w:bookmarkStart w:id="831" w:name="Tc_edzCknm6FkyXtA_IJqjkPg_9_2"/>
      <w:bookmarkStart w:id="832" w:name="Tc_cbTPUKwLjEuP37VvwSECBg_9_0"/>
      <w:bookmarkStart w:id="833" w:name="Tc_XXVZFViZtU6AmkKG9ULX-g_8_12"/>
      <w:bookmarkStart w:id="834" w:name="Tc_VepxfdhkgUa8BLSCIm50SQ_8_9"/>
      <w:bookmarkStart w:id="835" w:name="Tc_F1C-pAD1wE2MahTd33alYw_8_6"/>
      <w:bookmarkStart w:id="836" w:name="Tc_OY90Akiv70-SvQGjmV8kSQ_8_0"/>
      <w:bookmarkStart w:id="837" w:name="Tc_Wm32OpdCc0ei7_Z3wKnqdA_7_0"/>
      <w:bookmarkStart w:id="838" w:name="Tc_lG4wuAF5k02159JoKFhXOQ_6_14"/>
      <w:bookmarkStart w:id="839" w:name="Tc_ysMgnBQL8Ees5xkTtW8yBg_6_11"/>
      <w:bookmarkStart w:id="840" w:name="Tc_YjHfKfrpMEeKRTXY_qi-JQ_6_8"/>
      <w:bookmarkStart w:id="841" w:name="Tc_t5-cvtPBck2Z6XLyJJwpHQ_6_5"/>
      <w:bookmarkStart w:id="842" w:name="Tc_hnPdeSez-kmljarbNGQplQ_6_2"/>
      <w:bookmarkStart w:id="843" w:name="Tc_WHNIcw9zgE-RnSI-2K9rAA_6_0"/>
      <w:bookmarkStart w:id="844" w:name="Tc_QaMppdzLVECZQseLaYBwag_5_14"/>
      <w:bookmarkStart w:id="845" w:name="Tc_oiMKd2GYKkyP9JNnbu0MTQ_5_11"/>
      <w:bookmarkStart w:id="846" w:name="Tc_dwC_5MP-EkGBVX7cMUEO3w_5_8"/>
      <w:bookmarkStart w:id="847" w:name="Tc_SBJNJpTcW0W5nGj15nLwBg_5_5"/>
      <w:bookmarkStart w:id="848" w:name="Tc_9EQF-KhC_UC7Qc7F-uxx5g_5_2"/>
      <w:bookmarkStart w:id="849" w:name="Tc_KfnGZqELmkeJU3NgP8sqww_5_0"/>
      <w:bookmarkStart w:id="850" w:name="Tc_v-EJnG4itk-ZcHL6zNqgEg_4_11"/>
      <w:bookmarkStart w:id="851" w:name="Tc_2y2Mqh4RO02T1Yt6KylsMA_4_2"/>
      <w:bookmarkStart w:id="852" w:name="Tc__47HchDtpkuOJ8UzF5OxRw_3_11"/>
      <w:bookmarkStart w:id="853" w:name="Tc_sI9YWMNGj0SMpskV8UXxVA_2_11"/>
      <w:bookmarkStart w:id="854" w:name="Tc_n7f-CTgRmEWcdiQxVTZ4AA_1_2"/>
      <w:bookmarkStart w:id="855" w:name="_15d31d9a_92ce_4842_aa96_4d1799f5e481"/>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i/>
          <w:sz w:val="22"/>
        </w:rPr>
        <w:t>Disaggregation of Revenue</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table disaggregates the Company’s revenue by geographical markets and reportable segments:</w:t>
      </w:r>
    </w:p>
    <w:p>
      <w:pPr>
        <w:pStyle w:val="TextBody"/>
        <w:spacing w:before="0" w:after="0"/>
        <w:ind w:left="0" w:right="0" w:hanging="0"/>
        <w:jc w:val="both"/>
        <w:rPr/>
      </w:pPr>
      <w:r>
        <w:rPr/>
        <w:t>​</w:t>
      </w:r>
    </w:p>
    <w:tbl>
      <w:tblPr>
        <w:tblW w:w="9380" w:type="dxa"/>
        <w:jc w:val="left"/>
        <w:tblInd w:w="0" w:type="dxa"/>
        <w:tblCellMar>
          <w:top w:w="0" w:type="dxa"/>
          <w:left w:w="0" w:type="dxa"/>
          <w:bottom w:w="0" w:type="dxa"/>
          <w:right w:w="0" w:type="dxa"/>
        </w:tblCellMar>
      </w:tblPr>
      <w:tblGrid>
        <w:gridCol w:w="2161"/>
        <w:gridCol w:w="326"/>
        <w:gridCol w:w="211"/>
        <w:gridCol w:w="931"/>
        <w:gridCol w:w="326"/>
        <w:gridCol w:w="211"/>
        <w:gridCol w:w="931"/>
        <w:gridCol w:w="326"/>
        <w:gridCol w:w="226"/>
        <w:gridCol w:w="840"/>
        <w:gridCol w:w="326"/>
        <w:gridCol w:w="211"/>
        <w:gridCol w:w="781"/>
        <w:gridCol w:w="326"/>
        <w:gridCol w:w="211"/>
        <w:gridCol w:w="103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72235" cy="175260"/>
                      <wp:effectExtent l="0" t="0" r="0" b="0"/>
                      <wp:wrapNone/>
                      <wp:docPr id="151" name="Frame149"/>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91185" cy="175260"/>
                      <wp:effectExtent l="0" t="0" r="0" b="0"/>
                      <wp:wrapNone/>
                      <wp:docPr id="154" name="Frame15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91185" cy="175260"/>
                      <wp:effectExtent l="0" t="0" r="0" b="0"/>
                      <wp:wrapNone/>
                      <wp:docPr id="157" name="Frame15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3510" cy="175260"/>
                      <wp:effectExtent l="0" t="0" r="0" b="0"/>
                      <wp:wrapNone/>
                      <wp:docPr id="159" name="Frame157"/>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33400" cy="175260"/>
                      <wp:effectExtent l="0" t="0" r="0" b="0"/>
                      <wp:wrapNone/>
                      <wp:docPr id="160" name="Frame158"/>
                      <a:graphic xmlns:a="http://schemas.openxmlformats.org/drawingml/2006/main">
                        <a:graphicData uri="http://schemas.microsoft.com/office/word/2010/wordprocessingShape">
                          <wps:wsp>
                            <wps:cNvSpPr txBox="1"/>
                            <wps:spPr>
                              <a:xfrm>
                                <a:off x="0" y="0"/>
                                <a:ext cx="533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3" name="Frame16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57860" cy="175260"/>
                      <wp:effectExtent l="0" t="0" r="0" b="0"/>
                      <wp:wrapNone/>
                      <wp:docPr id="166" name="Frame16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93"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2021</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3,455,704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1,004,005</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446,023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314,941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5,220,673</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158,390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99,423</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26,811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294,762</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25,917</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Net Sales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3,640,011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1,103,428</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472,834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325,079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5,541,352</w:t>
            </w:r>
          </w:p>
        </w:tc>
      </w:tr>
    </w:tbl>
    <w:p>
      <w:pPr>
        <w:pStyle w:val="TextBody"/>
        <w:spacing w:before="0" w:after="0"/>
        <w:ind w:left="0" w:right="0" w:hanging="0"/>
        <w:jc w:val="both"/>
        <w:rPr/>
      </w:pPr>
      <w:r>
        <w:rPr/>
        <w:t>​</w:t>
      </w:r>
    </w:p>
    <w:tbl>
      <w:tblPr>
        <w:tblW w:w="9229" w:type="dxa"/>
        <w:jc w:val="left"/>
        <w:tblInd w:w="0" w:type="dxa"/>
        <w:tblCellMar>
          <w:top w:w="0" w:type="dxa"/>
          <w:left w:w="0" w:type="dxa"/>
          <w:bottom w:w="0" w:type="dxa"/>
          <w:right w:w="0" w:type="dxa"/>
        </w:tblCellMar>
      </w:tblPr>
      <w:tblGrid>
        <w:gridCol w:w="2161"/>
        <w:gridCol w:w="326"/>
        <w:gridCol w:w="211"/>
        <w:gridCol w:w="931"/>
        <w:gridCol w:w="326"/>
        <w:gridCol w:w="211"/>
        <w:gridCol w:w="781"/>
        <w:gridCol w:w="326"/>
        <w:gridCol w:w="226"/>
        <w:gridCol w:w="839"/>
        <w:gridCol w:w="326"/>
        <w:gridCol w:w="211"/>
        <w:gridCol w:w="781"/>
        <w:gridCol w:w="326"/>
        <w:gridCol w:w="211"/>
        <w:gridCol w:w="103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72235" cy="175260"/>
                      <wp:effectExtent l="0" t="0" r="0" b="0"/>
                      <wp:wrapNone/>
                      <wp:docPr id="167" name="Frame165"/>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91185" cy="175260"/>
                      <wp:effectExtent l="0" t="0" r="0" b="0"/>
                      <wp:wrapNone/>
                      <wp:docPr id="170" name="Frame16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3" name="Frame17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3510" cy="175260"/>
                      <wp:effectExtent l="0" t="0" r="0" b="0"/>
                      <wp:wrapNone/>
                      <wp:docPr id="175" name="Frame173"/>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32765" cy="175260"/>
                      <wp:effectExtent l="0" t="0" r="0" b="0"/>
                      <wp:wrapNone/>
                      <wp:docPr id="176" name="Frame174"/>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5935" cy="175260"/>
                      <wp:effectExtent l="0" t="0" r="0" b="0"/>
                      <wp:wrapNone/>
                      <wp:docPr id="179" name="Frame17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57860" cy="175260"/>
                      <wp:effectExtent l="0" t="0" r="0" b="0"/>
                      <wp:wrapNone/>
                      <wp:docPr id="182" name="Frame18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42"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2020</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jc w:val="center"/>
              <w:rPr/>
            </w:pPr>
            <w:r>
              <w:rPr/>
              <w:t>​</w:t>
            </w:r>
          </w:p>
        </w:tc>
        <w:tc>
          <w:tcPr>
            <w:tcW w:w="8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jc w:val="center"/>
              <w:rPr/>
            </w:pPr>
            <w:r>
              <w:rPr/>
              <w:t>​</w:t>
            </w:r>
          </w:p>
        </w:tc>
        <w:tc>
          <w:tcPr>
            <w:tcW w:w="8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jc w:val="center"/>
              <w:rPr/>
            </w:pPr>
            <w:r>
              <w:rPr/>
              <w:t>​</w:t>
            </w:r>
          </w:p>
        </w:tc>
        <w:tc>
          <w:tcPr>
            <w:tcW w:w="8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jc w:val="center"/>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3,020,667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675,045</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400,317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209,217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4,305,246</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166,861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70,782</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266,354</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27,038</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Net Sales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3,214,566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745,827</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423,792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214,453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4,598,638</w:t>
            </w:r>
          </w:p>
        </w:tc>
      </w:tr>
    </w:tbl>
    <w:p>
      <w:pPr>
        <w:pStyle w:val="TextBody"/>
        <w:spacing w:before="0" w:after="0"/>
        <w:ind w:left="0" w:right="0" w:hanging="0"/>
        <w:jc w:val="both"/>
        <w:rPr/>
      </w:pPr>
      <w:r>
        <w:rPr/>
        <w:t>​</w:t>
      </w:r>
    </w:p>
    <w:tbl>
      <w:tblPr>
        <w:tblW w:w="9230" w:type="dxa"/>
        <w:jc w:val="left"/>
        <w:tblInd w:w="0" w:type="dxa"/>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11"/>
        <w:gridCol w:w="781"/>
        <w:gridCol w:w="326"/>
        <w:gridCol w:w="211"/>
        <w:gridCol w:w="1036"/>
      </w:tblGrid>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91185" cy="175260"/>
                      <wp:effectExtent l="0" t="0" r="0" b="0"/>
                      <wp:wrapNone/>
                      <wp:docPr id="185" name="Frame18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95935" cy="175260"/>
                      <wp:effectExtent l="0" t="0" r="0" b="0"/>
                      <wp:wrapNone/>
                      <wp:docPr id="188" name="Frame1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43510" cy="175260"/>
                      <wp:effectExtent l="0" t="0" r="0" b="0"/>
                      <wp:wrapNone/>
                      <wp:docPr id="190" name="Frame188"/>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33400" cy="175260"/>
                      <wp:effectExtent l="0" t="0" r="0" b="0"/>
                      <wp:wrapNone/>
                      <wp:docPr id="191" name="Frame189"/>
                      <a:graphic xmlns:a="http://schemas.openxmlformats.org/drawingml/2006/main">
                        <a:graphicData uri="http://schemas.microsoft.com/office/word/2010/wordprocessingShape">
                          <wps:wsp>
                            <wps:cNvSpPr txBox="1"/>
                            <wps:spPr>
                              <a:xfrm>
                                <a:off x="0" y="0"/>
                                <a:ext cx="533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5935" cy="175260"/>
                      <wp:effectExtent l="0" t="0" r="0" b="0"/>
                      <wp:wrapNone/>
                      <wp:docPr id="194" name="Frame19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57860" cy="175260"/>
                      <wp:effectExtent l="0" t="0" r="0" b="0"/>
                      <wp:wrapNone/>
                      <wp:docPr id="197" name="Frame19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43"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2019</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shd w:fill="auto" w:val="clear"/>
            <w:vAlign w:val="center"/>
          </w:tcPr>
          <w:p>
            <w:pPr>
              <w:pStyle w:val="TableContents"/>
              <w:spacing w:before="0" w:after="0"/>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2,799,701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599,706</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326,684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3,904,029</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173,968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74,803</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274,925</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21,865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21,865</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Net Sales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2,995,534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674,509</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351,744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179,032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4,200,819</w:t>
            </w:r>
          </w:p>
        </w:tc>
      </w:tr>
    </w:tbl>
    <w:p>
      <w:pPr>
        <w:pStyle w:val="TextBody"/>
        <w:spacing w:lineRule="auto" w:line="240" w:before="0" w:after="240"/>
        <w:ind w:left="0" w:right="0" w:hanging="0"/>
        <w:jc w:val="both"/>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i/>
          <w:sz w:val="16"/>
        </w:rPr>
        <w:t>Europe, Middle East and Africa (“EMEA”)</w:t>
      </w:r>
    </w:p>
    <w:p>
      <w:pPr>
        <w:pStyle w:val="TextBody"/>
        <w:spacing w:before="0" w:after="240"/>
        <w:ind w:left="0" w:right="0" w:hanging="0"/>
        <w:rPr>
          <w:rFonts w:ascii="Times New Roman;Times;serif" w:hAnsi="Times New Roman;Times;serif"/>
          <w:i/>
          <w:sz w:val="22"/>
        </w:rPr>
      </w:pPr>
      <w:r>
        <w:rPr>
          <w:rFonts w:ascii="Times New Roman;Times;serif" w:hAnsi="Times New Roman;Times;serif"/>
          <w:i/>
          <w:sz w:val="22"/>
        </w:rPr>
        <w:t>Contract Liabilities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Amounts received from certain bottlers/distributors at inception of their distribution contracts or at the inception of certain sales/marketing programs are accounted for as deferred revenue. As of December 31, 2021 and 2020, the Company had $285.8 million and $309.9 million of deferred revenue, respectively, which is included in current and long-term deferred revenue in the Company’s consolidated balance sheet. During the years ended December 31, 2021, 2020 and 2019, $41.5 million, $42.1 million and $46.3 million, respectively, of deferred revenue, was recognized in net sales. See Note 10.</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3.          LEASES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Leases are classified as either finance leases or operating leases based on criteria in ASC 842, “Leases”. The Company’s operating leases are comprised of real estate and warehouse equipment, and the Company’s finance leases are comprised of vehicles.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commencement date. ROU assets also include any lease payments made and exclude lease incentives. Lease terms include options to extend or terminate the lease when it is reasonably certain that the Company will exercise that option.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Lease expense for operating leases, consisting of lease payments, is recognized on a straight-line basis over the lease term and is included in operating expenses in the consolidated statement of income. Lease expense for finance leases consists of the amortization of the ROU asset on a straight-line basis over the asset’s estimated useful life and is included in operating expenses in the consolidated statement of income. Interest expense on finance leases is calculated using the amortized cost basis and is included in other income (expense), net in the consolidated statement of income.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Company’s leases have remaining lease terms of less than one year to 12 years, some of which include </w:t>
      </w:r>
      <w:r>
        <w:rPr>
          <w:rFonts w:ascii="Times New Roman;Times;serif" w:hAnsi="Times New Roman;Times;serif"/>
          <w:b w:val="false"/>
          <w:i w:val="false"/>
          <w:caps w:val="false"/>
          <w:smallCaps w:val="false"/>
          <w:sz w:val="22"/>
        </w:rPr>
        <w:t>options</w:t>
      </w:r>
      <w:r>
        <w:rPr>
          <w:rFonts w:ascii="Times New Roman;Times;serif" w:hAnsi="Times New Roman;Times;serif"/>
          <w:sz w:val="22"/>
        </w:rPr>
        <w:t xml:space="preserve"> to </w:t>
      </w:r>
      <w:r>
        <w:rPr>
          <w:rFonts w:ascii="Times New Roman;Times;serif" w:hAnsi="Times New Roman;Times;serif"/>
          <w:b w:val="false"/>
          <w:i w:val="false"/>
          <w:caps w:val="false"/>
          <w:smallCaps w:val="false"/>
          <w:sz w:val="22"/>
        </w:rPr>
        <w:t>extend</w:t>
      </w:r>
      <w:r>
        <w:rPr>
          <w:rFonts w:ascii="Times New Roman;Times;serif" w:hAnsi="Times New Roman;Times;serif"/>
          <w:sz w:val="22"/>
        </w:rPr>
        <w:t xml:space="preserve"> the leases for up to five years, and some of which include </w:t>
      </w:r>
      <w:r>
        <w:rPr>
          <w:rFonts w:ascii="Times New Roman;Times;serif" w:hAnsi="Times New Roman;Times;serif"/>
          <w:b w:val="false"/>
          <w:i w:val="false"/>
          <w:caps w:val="false"/>
          <w:smallCaps w:val="false"/>
          <w:sz w:val="22"/>
        </w:rPr>
        <w:t>options</w:t>
      </w:r>
      <w:r>
        <w:rPr>
          <w:rFonts w:ascii="Times New Roman;Times;serif" w:hAnsi="Times New Roman;Times;serif"/>
          <w:sz w:val="22"/>
        </w:rPr>
        <w:t xml:space="preserve"> to </w:t>
      </w:r>
      <w:r>
        <w:rPr>
          <w:rFonts w:ascii="Times New Roman;Times;serif" w:hAnsi="Times New Roman;Times;serif"/>
          <w:b w:val="false"/>
          <w:i w:val="false"/>
          <w:caps w:val="false"/>
          <w:smallCaps w:val="false"/>
          <w:sz w:val="22"/>
        </w:rPr>
        <w:t>terminate</w:t>
      </w:r>
      <w:r>
        <w:rPr>
          <w:rFonts w:ascii="Times New Roman;Times;serif" w:hAnsi="Times New Roman;Times;serif"/>
          <w:sz w:val="22"/>
        </w:rPr>
        <w:t xml:space="preserve"> the leases within one year. The Company has elected not to recognize ROU assets and lease liabilities for short-term operating leases that have a term of 12 months or less.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2"/>
        </w:rPr>
      </w:pPr>
      <w:bookmarkStart w:id="856" w:name="Tc_5p_kimB3f022kQw1wQ78Jw_4_11"/>
      <w:bookmarkStart w:id="857" w:name="Tc_0HbtCnQfsECriFk-0K3OlQ_4_3"/>
      <w:bookmarkStart w:id="858" w:name="Tc_oyzppTmM3EmJB3r9AFY8ig_3_11"/>
      <w:bookmarkStart w:id="859" w:name="Tc_uXFRH6YTrkuGbQRqkqzXbQ_3_8"/>
      <w:bookmarkStart w:id="860" w:name="Tc_gdgoMkxn2E-k13Oj7MjfoA_3_5"/>
      <w:bookmarkStart w:id="861" w:name="Tc_6TjudmaHkUO6KTZ6sWv7NA_3_2"/>
      <w:bookmarkStart w:id="862" w:name="Tc_WZwZD-CE4kSLtntgUjAj3Q_2_11"/>
      <w:bookmarkStart w:id="863" w:name="Tc_Pm7ySby5mEqT2uWFq0BiFw_2_8"/>
      <w:bookmarkStart w:id="864" w:name="Tc_1lmenIJJOE2fg67ZuZEGxQ_2_5"/>
      <w:bookmarkStart w:id="865" w:name="Tc_FSaUwLncqkqRwmK5OBuvqQ_2_2"/>
      <w:bookmarkStart w:id="866" w:name="Tc_2qRT1fR_M0GMA9Jb79F8LQ_1_2"/>
      <w:bookmarkStart w:id="867" w:name="_3addccff_58aa_43a6_a637_ccd87c938ac7"/>
      <w:bookmarkStart w:id="868" w:name="Tc_YIFxAbvO7k-eabb_K3E0kg_4_11"/>
      <w:bookmarkStart w:id="869" w:name="Tc_koDGP2nDy02yP1F9ToJBpg_4_3"/>
      <w:bookmarkStart w:id="870" w:name="Tc_l6-bh-h4NUml57LV0KuNag_4_0"/>
      <w:bookmarkStart w:id="871" w:name="Tc_xMcM1-k0E0Gr0eO4XKEK8w_3_11"/>
      <w:bookmarkStart w:id="872" w:name="Tc_BU6rBmwBbU2r3fOMGBkCsA_3_8"/>
      <w:bookmarkStart w:id="873" w:name="Tc_2ZQdPefOgkK3Zbv765_XFw_3_5"/>
      <w:bookmarkStart w:id="874" w:name="Tc_0lIdPByaaEK4_nMNB9IKDw_3_2"/>
      <w:bookmarkStart w:id="875" w:name="Tc_4JThI8MNXkahc-hIRz1RZQ_3_0"/>
      <w:bookmarkStart w:id="876" w:name="Tc_n9zjnBmMTUGv4nffF3lZrg_2_11"/>
      <w:bookmarkStart w:id="877" w:name="Tc_Qb28QrfVKEmUWRD_QNnJYg_2_8"/>
      <w:bookmarkStart w:id="878" w:name="Tc_-XQwIRVzKUuyoBqvdpb2Og_2_5"/>
      <w:bookmarkStart w:id="879" w:name="Tc_RfJdh8Pnb0-Y8ucNRL9-Ew_2_2"/>
      <w:bookmarkStart w:id="880" w:name="Tc_mUqEvmOtsEKx9Ww5m-EhEw_1_2"/>
      <w:bookmarkStart w:id="881" w:name="_00ab3e99_7fe1_4852_ab74_a095102e991d"/>
      <w:bookmarkStart w:id="882" w:name="Tc_q38IlFSof0GfXKgCgWP5xg_9_0"/>
      <w:bookmarkStart w:id="883" w:name="Tc_3DYbg_chCE-GbFNfj4efvw_8_0"/>
      <w:bookmarkStart w:id="884" w:name="Tc_VdwBXVwBOE2HDmzJktVDmw_7_0"/>
      <w:bookmarkStart w:id="885" w:name="Tc_1B3qGUrWkkmYqpIkBx1tXQ_5_0"/>
      <w:bookmarkStart w:id="886" w:name="Tc_9prYcN4_CE6eyG7WnigadA_4_0"/>
      <w:bookmarkStart w:id="887" w:name="Tc_CLoytKaG3E2Pp6fhFzd3QA_3_8"/>
      <w:bookmarkStart w:id="888" w:name="Tc_5Gtanvy9WUG7ssSfzqohiQ_3_5"/>
      <w:bookmarkStart w:id="889" w:name="Tc_4yfmUwQYqUycfgKaw7ydeA_3_2"/>
      <w:bookmarkStart w:id="890" w:name="Tc_FgGpxjS3qE2tMJLizvOReg_3_0"/>
      <w:bookmarkStart w:id="891" w:name="Tc_p_JRgW5vyUe4j6Oqla5k6A_2_0"/>
      <w:bookmarkStart w:id="892" w:name="Tc_izUULWtjEUWTOdQLJiMVqw_1_8"/>
      <w:bookmarkStart w:id="893" w:name="Tc_yoSBU3BFx0ygAgFffk6stQ_1_5"/>
      <w:bookmarkStart w:id="894" w:name="Tc_jy6AI-8fWE2OrOwVif_BIw_1_2"/>
      <w:bookmarkStart w:id="895" w:name="Tc_HlRUaDfVsEykTgLRVWi_Yg_13_8"/>
      <w:bookmarkStart w:id="896" w:name="Tc_EXV8Ntc4Tk6NcJeUzw-4_g_13_5"/>
      <w:bookmarkStart w:id="897" w:name="Tc_qoA0SHt5pkOWUiDt1fpctQ_13_2"/>
      <w:bookmarkStart w:id="898" w:name="Tc_Rnet3WnZn0WzYmgSddE1Tg_13_0"/>
      <w:bookmarkStart w:id="899" w:name="Tc_ymocPzYLQEeiTyzny2YCAg_11_0"/>
      <w:bookmarkStart w:id="900" w:name="Tc_VGcSBMlYXEGAhkjXQzZrlQ_10_0"/>
      <w:bookmarkStart w:id="901" w:name="Tc_QGscSkmmU0OohmN0559izw_9_0"/>
      <w:bookmarkStart w:id="902" w:name="Tc_q99D7Fen1E-FXje9IMr1IQ_8_0"/>
      <w:bookmarkStart w:id="903" w:name="Tc_zMYQBjPnnEWaXL7wKkCZ1w_6_0"/>
      <w:bookmarkStart w:id="904" w:name="Tc_6knlw0OV4ku-GkvN_2JKAw_4_0"/>
      <w:bookmarkStart w:id="905" w:name="Tc_QvB1w8Ra1kGeZCkHPtHaRQ_2_8"/>
      <w:bookmarkStart w:id="906" w:name="Tc_cMP4SCvBUkKYokWot0ioZA_2_5"/>
      <w:bookmarkStart w:id="907" w:name="Tc_-xbhm6GIIkKmwsMyxSmBPw_2_2"/>
      <w:bookmarkStart w:id="908" w:name="Tc_O2fEwdZCZUiB5MP69fIcWw_2_0"/>
      <w:bookmarkStart w:id="909" w:name="Tc_8bxkqT_b3UOkOcKyl8f6UQ_1_8"/>
      <w:bookmarkStart w:id="910" w:name="Tc_qAbQSoEJ4UuyAzzH7p5GkQ_1_5"/>
      <w:bookmarkStart w:id="911" w:name="Tc_yFHDvX-qc0azAuEA_TRY6Q_1_2"/>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sz w:val="22"/>
        </w:rPr>
        <w:t>The components of lease cost for the years ended December 31, 2021, 2020 and 2019 were as follows:</w:t>
      </w:r>
    </w:p>
    <w:p>
      <w:pPr>
        <w:pStyle w:val="TextBody"/>
        <w:spacing w:before="0" w:after="0"/>
        <w:ind w:left="0" w:right="0" w:hanging="0"/>
        <w:rPr/>
      </w:pPr>
      <w:r>
        <w:rPr/>
        <w:t>​</w:t>
      </w:r>
    </w:p>
    <w:tbl>
      <w:tblPr>
        <w:tblW w:w="5905" w:type="dxa"/>
        <w:jc w:val="left"/>
        <w:tblInd w:w="0" w:type="dxa"/>
        <w:tblCellMar>
          <w:top w:w="0" w:type="dxa"/>
          <w:left w:w="0" w:type="dxa"/>
          <w:bottom w:w="0" w:type="dxa"/>
          <w:right w:w="0" w:type="dxa"/>
        </w:tblCellMar>
      </w:tblPr>
      <w:tblGrid>
        <w:gridCol w:w="2371"/>
        <w:gridCol w:w="326"/>
        <w:gridCol w:w="211"/>
        <w:gridCol w:w="676"/>
        <w:gridCol w:w="326"/>
        <w:gridCol w:w="211"/>
        <w:gridCol w:w="571"/>
        <w:gridCol w:w="326"/>
        <w:gridCol w:w="211"/>
        <w:gridCol w:w="676"/>
      </w:tblGrid>
      <w:tr>
        <w:trPr/>
        <w:tc>
          <w:tcPr>
            <w:tcW w:w="2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05585" cy="175260"/>
                      <wp:effectExtent l="0" t="0" r="0" b="0"/>
                      <wp:wrapNone/>
                      <wp:docPr id="198" name="Frame196"/>
                      <a:graphic xmlns:a="http://schemas.openxmlformats.org/drawingml/2006/main">
                        <a:graphicData uri="http://schemas.microsoft.com/office/word/2010/wordprocessingShape">
                          <wps:wsp>
                            <wps:cNvSpPr txBox="1"/>
                            <wps:spPr>
                              <a:xfrm>
                                <a:off x="0" y="0"/>
                                <a:ext cx="150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201" name="Frame19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62585" cy="175260"/>
                      <wp:effectExtent l="0" t="0" r="0" b="0"/>
                      <wp:wrapNone/>
                      <wp:docPr id="204" name="Frame20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7" name="Frame20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4,614</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4,899</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lease cost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3,406</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  </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ROU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cost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r>
      <w:tr>
        <w:trPr/>
        <w:tc>
          <w:tcPr>
            <w:tcW w:w="23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cost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9,437</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2"/>
        </w:rPr>
      </w:pPr>
      <w:r>
        <w:rPr>
          <w:rFonts w:ascii="Times New Roman;Times;serif" w:hAnsi="Times New Roman;Times;serif"/>
          <w:sz w:val="22"/>
        </w:rPr>
        <w:t>Supplemental cash flow information for leases for the years ended December 31, 2021, 2020 and 2019 were as follows:</w:t>
      </w:r>
    </w:p>
    <w:p>
      <w:pPr>
        <w:pStyle w:val="TextBody"/>
        <w:spacing w:before="0" w:after="0"/>
        <w:ind w:left="0" w:right="0" w:hanging="0"/>
        <w:rPr/>
      </w:pPr>
      <w:r>
        <w:rPr/>
        <w:t>​</w:t>
      </w:r>
    </w:p>
    <w:tbl>
      <w:tblPr>
        <w:tblW w:w="9520" w:type="dxa"/>
        <w:jc w:val="left"/>
        <w:tblInd w:w="0" w:type="dxa"/>
        <w:tblCellMar>
          <w:top w:w="0" w:type="dxa"/>
          <w:left w:w="0" w:type="dxa"/>
          <w:bottom w:w="0" w:type="dxa"/>
          <w:right w:w="0" w:type="dxa"/>
        </w:tblCellMar>
      </w:tblPr>
      <w:tblGrid>
        <w:gridCol w:w="5866"/>
        <w:gridCol w:w="446"/>
        <w:gridCol w:w="211"/>
        <w:gridCol w:w="571"/>
        <w:gridCol w:w="326"/>
        <w:gridCol w:w="211"/>
        <w:gridCol w:w="571"/>
        <w:gridCol w:w="326"/>
        <w:gridCol w:w="211"/>
        <w:gridCol w:w="781"/>
      </w:tblGrid>
      <w:tr>
        <w:trPr/>
        <w:tc>
          <w:tcPr>
            <w:tcW w:w="5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724910" cy="175260"/>
                      <wp:effectExtent l="0" t="0" r="0" b="0"/>
                      <wp:wrapNone/>
                      <wp:docPr id="208" name="Frame206"/>
                      <a:graphic xmlns:a="http://schemas.openxmlformats.org/drawingml/2006/main">
                        <a:graphicData uri="http://schemas.microsoft.com/office/word/2010/wordprocessingShape">
                          <wps:wsp>
                            <wps:cNvSpPr txBox="1"/>
                            <wps:spPr>
                              <a:xfrm>
                                <a:off x="0" y="0"/>
                                <a:ext cx="3724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83210" cy="175260"/>
                      <wp:effectExtent l="0" t="0" r="0" b="0"/>
                      <wp:wrapNone/>
                      <wp:docPr id="209" name="Frame207"/>
                      <a:graphic xmlns:a="http://schemas.openxmlformats.org/drawingml/2006/main">
                        <a:graphicData uri="http://schemas.microsoft.com/office/word/2010/wordprocessingShape">
                          <wps:wsp>
                            <wps:cNvSpPr txBox="1"/>
                            <wps:spPr>
                              <a:xfrm>
                                <a:off x="0" y="0"/>
                                <a:ext cx="283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2585" cy="175260"/>
                      <wp:effectExtent l="0" t="0" r="0" b="0"/>
                      <wp:wrapNone/>
                      <wp:docPr id="211" name="Frame20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62585" cy="175260"/>
                      <wp:effectExtent l="0" t="0" r="0" b="0"/>
                      <wp:wrapNone/>
                      <wp:docPr id="214" name="Frame21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95935" cy="175260"/>
                      <wp:effectExtent l="0" t="0" r="0" b="0"/>
                      <wp:wrapNone/>
                      <wp:docPr id="217" name="Frame21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66" w:type="dxa"/>
            <w:tcBorders/>
            <w:shd w:fill="auto" w:val="clear"/>
            <w:vAlign w:val="center"/>
          </w:tcPr>
          <w:p>
            <w:pPr>
              <w:pStyle w:val="TableContents"/>
              <w:spacing w:before="0" w:after="0"/>
              <w:ind w:left="0" w:right="0" w:hanging="0"/>
              <w:rPr/>
            </w:pPr>
            <w:r>
              <w:rPr/>
              <w:t>​</w:t>
            </w:r>
          </w:p>
        </w:tc>
        <w:tc>
          <w:tcPr>
            <w:tcW w:w="44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58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4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cash flows from operating leases</w:t>
            </w:r>
          </w:p>
        </w:tc>
        <w:tc>
          <w:tcPr>
            <w:tcW w:w="4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4,077</w:t>
            </w:r>
          </w:p>
        </w:tc>
      </w:tr>
      <w:tr>
        <w:trPr/>
        <w:tc>
          <w:tcPr>
            <w:tcW w:w="58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cash flows from finance leases</w:t>
            </w:r>
          </w:p>
        </w:tc>
        <w:tc>
          <w:tcPr>
            <w:tcW w:w="4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Financing cash flows from finance leases</w:t>
            </w:r>
          </w:p>
        </w:tc>
        <w:tc>
          <w:tcPr>
            <w:tcW w:w="4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r>
      <w:tr>
        <w:trPr/>
        <w:tc>
          <w:tcPr>
            <w:tcW w:w="5866" w:type="dxa"/>
            <w:tcBorders/>
            <w:shd w:fill="CCEEFF" w:val="clear"/>
            <w:vAlign w:val="center"/>
          </w:tcPr>
          <w:p>
            <w:pPr>
              <w:pStyle w:val="TableContents"/>
              <w:spacing w:before="0" w:after="0"/>
              <w:ind w:left="0" w:right="0" w:hanging="0"/>
              <w:rPr/>
            </w:pPr>
            <w:r>
              <w:rPr/>
              <w:t>​</w:t>
            </w:r>
          </w:p>
        </w:tc>
        <w:tc>
          <w:tcPr>
            <w:tcW w:w="4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ROU assets obtained in exchange for lease obligations:</w:t>
            </w:r>
          </w:p>
        </w:tc>
        <w:tc>
          <w:tcPr>
            <w:tcW w:w="4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r>
      <w:tr>
        <w:trPr/>
        <w:tc>
          <w:tcPr>
            <w:tcW w:w="58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Finance leases</w:t>
            </w:r>
          </w:p>
        </w:tc>
        <w:tc>
          <w:tcPr>
            <w:tcW w:w="4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leases</w:t>
            </w:r>
          </w:p>
        </w:tc>
        <w:tc>
          <w:tcPr>
            <w:tcW w:w="4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34,931</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2"/>
        </w:rPr>
      </w:pPr>
      <w:r>
        <w:rPr>
          <w:rFonts w:ascii="Times New Roman;Times;serif" w:hAnsi="Times New Roman;Times;serif"/>
          <w:sz w:val="22"/>
        </w:rPr>
        <w:t>ROU assets for operating and finance leases recognized in the consolidated balance sheets were comprised of the following at:</w:t>
      </w:r>
    </w:p>
    <w:p>
      <w:pPr>
        <w:pStyle w:val="TextBody"/>
        <w:spacing w:before="0" w:after="0"/>
        <w:ind w:left="0" w:right="0" w:firstLine="720"/>
        <w:rPr/>
      </w:pPr>
      <w:r>
        <w:rPr/>
        <w:t>​</w:t>
      </w:r>
    </w:p>
    <w:tbl>
      <w:tblPr>
        <w:tblW w:w="7933" w:type="dxa"/>
        <w:jc w:val="left"/>
        <w:tblInd w:w="0" w:type="dxa"/>
        <w:tblCellMar>
          <w:top w:w="0" w:type="dxa"/>
          <w:left w:w="0" w:type="dxa"/>
          <w:bottom w:w="0" w:type="dxa"/>
          <w:right w:w="0" w:type="dxa"/>
        </w:tblCellMar>
      </w:tblPr>
      <w:tblGrid>
        <w:gridCol w:w="1456"/>
        <w:gridCol w:w="109"/>
        <w:gridCol w:w="242"/>
        <w:gridCol w:w="779"/>
        <w:gridCol w:w="326"/>
        <w:gridCol w:w="271"/>
        <w:gridCol w:w="735"/>
        <w:gridCol w:w="326"/>
        <w:gridCol w:w="211"/>
        <w:gridCol w:w="676"/>
        <w:gridCol w:w="326"/>
        <w:gridCol w:w="2476"/>
      </w:tblGrid>
      <w:tr>
        <w:trPr/>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24560" cy="175260"/>
                      <wp:effectExtent l="0" t="0" r="0" b="0"/>
                      <wp:wrapNone/>
                      <wp:docPr id="218" name="Frame216"/>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3670" cy="175260"/>
                      <wp:effectExtent l="0" t="0" r="0" b="0"/>
                      <wp:wrapNone/>
                      <wp:docPr id="220" name="Frame218"/>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94665" cy="175260"/>
                      <wp:effectExtent l="0" t="0" r="0" b="0"/>
                      <wp:wrapNone/>
                      <wp:docPr id="221" name="Frame219"/>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72085" cy="175260"/>
                      <wp:effectExtent l="0" t="0" r="0" b="0"/>
                      <wp:wrapNone/>
                      <wp:docPr id="223" name="Frame221"/>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66725" cy="175260"/>
                      <wp:effectExtent l="0" t="0" r="0" b="0"/>
                      <wp:wrapNone/>
                      <wp:docPr id="224" name="Frame222"/>
                      <a:graphic xmlns:a="http://schemas.openxmlformats.org/drawingml/2006/main">
                        <a:graphicData uri="http://schemas.microsoft.com/office/word/2010/wordprocessingShape">
                          <wps:wsp>
                            <wps:cNvSpPr txBox="1"/>
                            <wps:spPr>
                              <a:xfrm>
                                <a:off x="0" y="0"/>
                                <a:ext cx="466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29260" cy="175260"/>
                      <wp:effectExtent l="0" t="0" r="0" b="0"/>
                      <wp:wrapNone/>
                      <wp:docPr id="227" name="Frame22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572260" cy="175260"/>
                      <wp:effectExtent l="0" t="0" r="0" b="0"/>
                      <wp:wrapNone/>
                      <wp:docPr id="229" name="Frame227"/>
                      <a:graphic xmlns:a="http://schemas.openxmlformats.org/drawingml/2006/main">
                        <a:graphicData uri="http://schemas.microsoft.com/office/word/2010/wordprocessingShape">
                          <wps:wsp>
                            <wps:cNvSpPr txBox="1"/>
                            <wps:spPr>
                              <a:xfrm>
                                <a:off x="0" y="0"/>
                                <a:ext cx="157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368"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2021</w:t>
            </w:r>
          </w:p>
        </w:tc>
      </w:tr>
      <w:tr>
        <w:trPr/>
        <w:tc>
          <w:tcPr>
            <w:tcW w:w="14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Real Estate</w:t>
            </w:r>
          </w:p>
        </w:tc>
        <w:tc>
          <w:tcPr>
            <w:tcW w:w="32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center"/>
              <w:rPr/>
            </w:pPr>
            <w:r>
              <w:rPr/>
              <w:t>    </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22,518</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23,157</w:t>
            </w:r>
          </w:p>
        </w:tc>
        <w:tc>
          <w:tcPr>
            <w:tcW w:w="326" w:type="dxa"/>
            <w:tcBorders/>
            <w:shd w:fill="CCEEFF" w:val="clear"/>
            <w:vAlign w:val="center"/>
          </w:tcPr>
          <w:p>
            <w:pPr>
              <w:pStyle w:val="TableContents"/>
              <w:spacing w:before="0" w:after="0"/>
              <w:ind w:left="0" w:right="0" w:hanging="0"/>
              <w:rPr/>
            </w:pPr>
            <w:r>
              <w:rPr/>
              <w:t> </w:t>
            </w:r>
          </w:p>
        </w:tc>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leases</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 </w:t>
            </w:r>
          </w:p>
        </w:tc>
        <w:tc>
          <w:tcPr>
            <w:tcW w:w="7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7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2,646</w:t>
            </w:r>
          </w:p>
        </w:tc>
        <w:tc>
          <w:tcPr>
            <w:tcW w:w="326" w:type="dxa"/>
            <w:tcBorders/>
            <w:shd w:fill="auto" w:val="clear"/>
            <w:vAlign w:val="center"/>
          </w:tcPr>
          <w:p>
            <w:pPr>
              <w:pStyle w:val="TableContents"/>
              <w:spacing w:before="0" w:after="0"/>
              <w:ind w:left="0" w:right="0" w:hanging="0"/>
              <w:rPr/>
            </w:pPr>
            <w:r>
              <w:rPr/>
              <w:t> </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r>
    </w:tbl>
    <w:p>
      <w:pPr>
        <w:pStyle w:val="TextBody"/>
        <w:spacing w:before="0" w:after="0"/>
        <w:ind w:left="0" w:right="0" w:hanging="0"/>
        <w:rPr/>
      </w:pPr>
      <w:r>
        <w:rPr/>
        <w:t>​</w:t>
      </w:r>
    </w:p>
    <w:tbl>
      <w:tblPr>
        <w:tblW w:w="7933" w:type="dxa"/>
        <w:jc w:val="left"/>
        <w:tblInd w:w="0" w:type="dxa"/>
        <w:tblCellMar>
          <w:top w:w="0" w:type="dxa"/>
          <w:left w:w="0" w:type="dxa"/>
          <w:bottom w:w="0" w:type="dxa"/>
          <w:right w:w="0" w:type="dxa"/>
        </w:tblCellMar>
      </w:tblPr>
      <w:tblGrid>
        <w:gridCol w:w="1456"/>
        <w:gridCol w:w="109"/>
        <w:gridCol w:w="242"/>
        <w:gridCol w:w="779"/>
        <w:gridCol w:w="326"/>
        <w:gridCol w:w="271"/>
        <w:gridCol w:w="735"/>
        <w:gridCol w:w="326"/>
        <w:gridCol w:w="211"/>
        <w:gridCol w:w="676"/>
        <w:gridCol w:w="326"/>
        <w:gridCol w:w="2476"/>
      </w:tblGrid>
      <w:tr>
        <w:trPr/>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24560" cy="175260"/>
                      <wp:effectExtent l="0" t="0" r="0" b="0"/>
                      <wp:wrapNone/>
                      <wp:docPr id="230" name="Frame228"/>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3670" cy="175260"/>
                      <wp:effectExtent l="0" t="0" r="0" b="0"/>
                      <wp:wrapNone/>
                      <wp:docPr id="232" name="Frame230"/>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94665" cy="175260"/>
                      <wp:effectExtent l="0" t="0" r="0" b="0"/>
                      <wp:wrapNone/>
                      <wp:docPr id="233" name="Frame231"/>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2085" cy="175260"/>
                      <wp:effectExtent l="0" t="0" r="0" b="0"/>
                      <wp:wrapNone/>
                      <wp:docPr id="235" name="Frame233"/>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66725" cy="175260"/>
                      <wp:effectExtent l="0" t="0" r="0" b="0"/>
                      <wp:wrapNone/>
                      <wp:docPr id="236" name="Frame234"/>
                      <a:graphic xmlns:a="http://schemas.openxmlformats.org/drawingml/2006/main">
                        <a:graphicData uri="http://schemas.microsoft.com/office/word/2010/wordprocessingShape">
                          <wps:wsp>
                            <wps:cNvSpPr txBox="1"/>
                            <wps:spPr>
                              <a:xfrm>
                                <a:off x="0" y="0"/>
                                <a:ext cx="466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29260" cy="175260"/>
                      <wp:effectExtent l="0" t="0" r="0" b="0"/>
                      <wp:wrapNone/>
                      <wp:docPr id="239" name="Frame23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572260" cy="175260"/>
                      <wp:effectExtent l="0" t="0" r="0" b="0"/>
                      <wp:wrapNone/>
                      <wp:docPr id="241" name="Frame239"/>
                      <a:graphic xmlns:a="http://schemas.openxmlformats.org/drawingml/2006/main">
                        <a:graphicData uri="http://schemas.microsoft.com/office/word/2010/wordprocessingShape">
                          <wps:wsp>
                            <wps:cNvSpPr txBox="1"/>
                            <wps:spPr>
                              <a:xfrm>
                                <a:off x="0" y="0"/>
                                <a:ext cx="157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368"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2020</w:t>
            </w:r>
          </w:p>
        </w:tc>
      </w:tr>
      <w:tr>
        <w:trPr/>
        <w:tc>
          <w:tcPr>
            <w:tcW w:w="14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Real Estate</w:t>
            </w:r>
          </w:p>
        </w:tc>
        <w:tc>
          <w:tcPr>
            <w:tcW w:w="32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center"/>
              <w:rPr/>
            </w:pPr>
            <w:r>
              <w:rPr/>
              <w:t>    </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r>
          </w:p>
        </w:tc>
        <w:tc>
          <w:tcPr>
            <w:tcW w:w="109"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22,565</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22,754</w:t>
            </w:r>
          </w:p>
        </w:tc>
        <w:tc>
          <w:tcPr>
            <w:tcW w:w="326" w:type="dxa"/>
            <w:tcBorders/>
            <w:shd w:fill="CCEEFF" w:val="clear"/>
            <w:vAlign w:val="center"/>
          </w:tcPr>
          <w:p>
            <w:pPr>
              <w:pStyle w:val="TableContents"/>
              <w:spacing w:before="0" w:after="0"/>
              <w:ind w:left="0" w:right="0" w:hanging="0"/>
              <w:rPr/>
            </w:pPr>
            <w:r>
              <w:rPr/>
              <w:t> </w:t>
            </w:r>
          </w:p>
        </w:tc>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leases</w:t>
            </w:r>
          </w:p>
        </w:tc>
        <w:tc>
          <w:tcPr>
            <w:tcW w:w="109"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 </w:t>
            </w:r>
          </w:p>
        </w:tc>
        <w:tc>
          <w:tcPr>
            <w:tcW w:w="7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7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2,120</w:t>
            </w:r>
          </w:p>
        </w:tc>
        <w:tc>
          <w:tcPr>
            <w:tcW w:w="326" w:type="dxa"/>
            <w:tcBorders/>
            <w:shd w:fill="auto" w:val="clear"/>
            <w:vAlign w:val="center"/>
          </w:tcPr>
          <w:p>
            <w:pPr>
              <w:pStyle w:val="TableContents"/>
              <w:spacing w:before="0" w:after="0"/>
              <w:ind w:left="0" w:right="0" w:hanging="0"/>
              <w:rPr/>
            </w:pPr>
            <w:r>
              <w:rPr/>
              <w:t> </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bookmarkStart w:id="912" w:name="Tc_g9dFMehjJU2c2rIA7-Kshg_11_5"/>
      <w:bookmarkStart w:id="913" w:name="Tc_SdP_vrmQPEuXvzgG6_8MrQ_11_2"/>
      <w:bookmarkStart w:id="914" w:name="Tc_LqvTLyHYs0Sw5A9GMIiE9g_11_0"/>
      <w:bookmarkStart w:id="915" w:name="Tc_WwHLJPFAuUi0b67ZoA19tg_10_0"/>
      <w:bookmarkStart w:id="916" w:name="Tc_pUXa9_XztE2rwb1WP1nRVA_9_0"/>
      <w:bookmarkStart w:id="917" w:name="Tc_DvvLJe8wMUqIMX35xA0Fjg_8_6"/>
      <w:bookmarkStart w:id="918" w:name="Tc_oOf3M6lBp0yIT1zNUHe2tg_8_0"/>
      <w:bookmarkStart w:id="919" w:name="Tc_RP4q309VekKF0oc80urGmQ_7_6"/>
      <w:bookmarkStart w:id="920" w:name="Tc_lEtCqj7IwUm_4F973icOVw_7_0"/>
      <w:bookmarkStart w:id="921" w:name="Tc_iAn6QIryMEmdd1bFF_3Duw_6_0"/>
      <w:bookmarkStart w:id="922" w:name="Tc_TjZzqO9GrUKXPX8LbvYEsg_5_0"/>
      <w:bookmarkStart w:id="923" w:name="Tc_uWzSQ0LxHkaH7wD_qTsObg_4_0"/>
      <w:bookmarkStart w:id="924" w:name="Tc_eMmy3DeQTUSNbgkx9jvriA_3_5"/>
      <w:bookmarkStart w:id="925" w:name="Tc_QYl4mBVgFUKqvb6dljlwnw_3_2"/>
      <w:bookmarkStart w:id="926" w:name="Tc_wEIQPiyTykW2dmZMwDQvyw_3_0"/>
      <w:bookmarkStart w:id="927" w:name="Tc_0pzIgOa8H0Cr-gFpg_RYeQ_2_5"/>
      <w:bookmarkStart w:id="928" w:name="Tc_ZNf-YvaYy0ut1uqC6c8GsQ_2_2"/>
      <w:bookmarkStart w:id="929" w:name="Tc_uY-rnuzvOE6fD200qibdhw_1_2"/>
      <w:bookmarkStart w:id="930" w:name="Tc_chFCqrScOEC9vJtXGrQABA_4_5"/>
      <w:bookmarkStart w:id="931" w:name="Tc_aiTrLPsZs02CtphrmxGmLQ_4_3"/>
      <w:bookmarkStart w:id="932" w:name="Tc_-vhmxEzmTEGPYKj4pnCiVg_4_0"/>
      <w:bookmarkStart w:id="933" w:name="Tc_i0B4q8JW1kakXhp-tfYwoA_3_0"/>
      <w:bookmarkStart w:id="934" w:name="Tc_wrzS_nud40eT397zusFeLQ_2_4"/>
      <w:bookmarkStart w:id="935" w:name="Tc_x9Eb2ltptU2hBv0tZD5OuA_2_2"/>
      <w:bookmarkStart w:id="936" w:name="Tc_blnQwl139Um6dQO532h_Cw_1_2"/>
      <w:bookmarkStart w:id="937" w:name="Tc_F9SLPbqjnk6WFZdMwSKQbw_4_5"/>
      <w:bookmarkStart w:id="938" w:name="Tc_SKh-wju9kU2DFN-UR2CuFg_4_3"/>
      <w:bookmarkStart w:id="939" w:name="Tc_wVSN07BtqUKpm9FdsiZSuw_4_0"/>
      <w:bookmarkStart w:id="940" w:name="Tc_Vr_BTXJMokGs2emjBnNcgw_3_0"/>
      <w:bookmarkStart w:id="941" w:name="Tc_vmpJEB35okGKLuutpchvIg_2_4"/>
      <w:bookmarkStart w:id="942" w:name="Tc_8fgFA7cM8U-BICKOlzl9Fg_2_2"/>
      <w:bookmarkStart w:id="943" w:name="Tc_aXVvUEOBw0eyTX8onAbq2w_1_2"/>
      <w:bookmarkStart w:id="944" w:name="Tc_a7I74Hb5ZkqqYSg0FEiWOA_5_5"/>
      <w:bookmarkStart w:id="945" w:name="Tc_EYS8_VVU5UWbGiaewpRpYw_5_2"/>
      <w:bookmarkStart w:id="946" w:name="Tc_YEFY4_zz40Wb1h7h5zRVmw_4_0"/>
      <w:bookmarkStart w:id="947" w:name="Tc_DHTXAluxZ0qRxQH9wqcTZw_3_5"/>
      <w:bookmarkStart w:id="948" w:name="Tc_HtB38zBc1E2zv9vWNzK0FA_3_2"/>
      <w:bookmarkStart w:id="949" w:name="Tc_yrzRSa9Uc02fz2WW8Rm7oQ_3_0"/>
      <w:bookmarkStart w:id="950" w:name="Tc_zKnGrOD7vEmr5GeSpbw3Qg_2_5"/>
      <w:bookmarkStart w:id="951" w:name="Tc_UVs6_m24r0qM8U877syPfA_2_2"/>
      <w:bookmarkStart w:id="952" w:name="Tc_T7lqTlIRGkSqeToJ18mwPA_1_2"/>
      <w:bookmarkStart w:id="953" w:name="Tc_fU4spvPt70KAaVRUNzlCzw_5_5"/>
      <w:bookmarkStart w:id="954" w:name="Tc_KHxOtb9HwEyFZ_GLtnJovw_5_2"/>
      <w:bookmarkStart w:id="955" w:name="Tc_5KiEt7E7gkmuMTco1dBdeA_4_0"/>
      <w:bookmarkStart w:id="956" w:name="Tc_I3AYnFU8Jky1cIydzn3Kdw_3_5"/>
      <w:bookmarkStart w:id="957" w:name="Tc_YI5c7Eo6GECUU6MyyIrtnQ_3_2"/>
      <w:bookmarkStart w:id="958" w:name="Tc_2whPQmVs8UG54S9QDJZGPQ_3_0"/>
      <w:bookmarkStart w:id="959" w:name="Tc_X7C6LQhj0kGKZwRqCXrVKg_2_5"/>
      <w:bookmarkStart w:id="960" w:name="Tc_Xlc3kFNZUEirz66_gultbA_2_2"/>
      <w:bookmarkStart w:id="961" w:name="Tc_DMrW9g8BYUieRSzVphAdXA_1_2"/>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Times New Roman;Times;serif" w:hAnsi="Times New Roman;Times;serif"/>
          <w:sz w:val="22"/>
        </w:rPr>
        <w:t>Operating and finance lease liabilities recognized in the consolidated balance sheets were as follows at:</w:t>
      </w:r>
    </w:p>
    <w:p>
      <w:pPr>
        <w:pStyle w:val="TextBody"/>
        <w:spacing w:before="0" w:after="0"/>
        <w:ind w:left="0" w:right="0" w:firstLine="720"/>
        <w:jc w:val="both"/>
        <w:rPr/>
      </w:pPr>
      <w:r>
        <w:rPr/>
        <w:t>​</w:t>
      </w:r>
    </w:p>
    <w:tbl>
      <w:tblPr>
        <w:tblW w:w="5155" w:type="dxa"/>
        <w:jc w:val="left"/>
        <w:tblInd w:w="0" w:type="dxa"/>
        <w:tblCellMar>
          <w:top w:w="0" w:type="dxa"/>
          <w:left w:w="0" w:type="dxa"/>
          <w:bottom w:w="0" w:type="dxa"/>
          <w:right w:w="0" w:type="dxa"/>
        </w:tblCellMar>
      </w:tblPr>
      <w:tblGrid>
        <w:gridCol w:w="1621"/>
        <w:gridCol w:w="326"/>
        <w:gridCol w:w="357"/>
        <w:gridCol w:w="1144"/>
        <w:gridCol w:w="326"/>
        <w:gridCol w:w="328"/>
        <w:gridCol w:w="1053"/>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029335" cy="175260"/>
                      <wp:effectExtent l="0" t="0" r="0" b="0"/>
                      <wp:wrapNone/>
                      <wp:docPr id="242" name="Frame240"/>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6695" cy="175260"/>
                      <wp:effectExtent l="0" t="0" r="0" b="0"/>
                      <wp:wrapNone/>
                      <wp:docPr id="244" name="Frame242"/>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26440" cy="175260"/>
                      <wp:effectExtent l="0" t="0" r="0" b="0"/>
                      <wp:wrapNone/>
                      <wp:docPr id="245" name="Frame243"/>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8280" cy="175260"/>
                      <wp:effectExtent l="0" t="0" r="0" b="0"/>
                      <wp:wrapNone/>
                      <wp:docPr id="247" name="Frame245"/>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68655" cy="175260"/>
                      <wp:effectExtent l="0" t="0" r="0" b="0"/>
                      <wp:wrapNone/>
                      <wp:docPr id="248" name="Frame246"/>
                      <a:graphic xmlns:a="http://schemas.openxmlformats.org/drawingml/2006/main">
                        <a:graphicData uri="http://schemas.microsoft.com/office/word/2010/wordprocessingShape">
                          <wps:wsp>
                            <wps:cNvSpPr txBox="1"/>
                            <wps:spPr>
                              <a:xfrm>
                                <a:off x="0" y="0"/>
                                <a:ext cx="668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0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2021</w: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1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spacing w:before="0" w:after="0"/>
              <w:ind w:left="0" w:right="0" w:hanging="0"/>
              <w:rPr/>
            </w:pPr>
            <w:r>
              <w:rPr/>
              <w:t>    </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3,990</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r>
      <w:tr>
        <w:trPr/>
        <w:tc>
          <w:tcPr>
            <w:tcW w:w="16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17,389</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62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326" w:type="dxa"/>
            <w:tcBorders/>
            <w:shd w:fill="CCEEFF" w:val="clear"/>
            <w:vAlign w:val="center"/>
          </w:tcPr>
          <w:p>
            <w:pPr>
              <w:pStyle w:val="TableContents"/>
              <w:spacing w:before="0" w:after="0"/>
              <w:ind w:left="0" w:right="0" w:hanging="0"/>
              <w:rPr/>
            </w:pPr>
            <w:r>
              <w:rPr/>
              <w:t>​</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21,379</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1,001</w:t>
            </w:r>
          </w:p>
        </w:tc>
      </w:tr>
    </w:tbl>
    <w:p>
      <w:pPr>
        <w:pStyle w:val="TextBody"/>
        <w:spacing w:before="0" w:after="0"/>
        <w:ind w:left="0" w:right="0" w:firstLine="720"/>
        <w:jc w:val="both"/>
        <w:rPr/>
      </w:pPr>
      <w:r>
        <w:rPr/>
        <w:t>​</w:t>
      </w:r>
    </w:p>
    <w:tbl>
      <w:tblPr>
        <w:tblW w:w="5155" w:type="dxa"/>
        <w:jc w:val="left"/>
        <w:tblInd w:w="0" w:type="dxa"/>
        <w:tblCellMar>
          <w:top w:w="0" w:type="dxa"/>
          <w:left w:w="0" w:type="dxa"/>
          <w:bottom w:w="0" w:type="dxa"/>
          <w:right w:w="0" w:type="dxa"/>
        </w:tblCellMar>
      </w:tblPr>
      <w:tblGrid>
        <w:gridCol w:w="1621"/>
        <w:gridCol w:w="326"/>
        <w:gridCol w:w="357"/>
        <w:gridCol w:w="1144"/>
        <w:gridCol w:w="326"/>
        <w:gridCol w:w="395"/>
        <w:gridCol w:w="986"/>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029335" cy="175260"/>
                      <wp:effectExtent l="0" t="0" r="0" b="0"/>
                      <wp:wrapNone/>
                      <wp:docPr id="249" name="Frame247"/>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6695" cy="175260"/>
                      <wp:effectExtent l="0" t="0" r="0" b="0"/>
                      <wp:wrapNone/>
                      <wp:docPr id="251" name="Frame249"/>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26440" cy="175260"/>
                      <wp:effectExtent l="0" t="0" r="0" b="0"/>
                      <wp:wrapNone/>
                      <wp:docPr id="252" name="Frame250"/>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50825" cy="175260"/>
                      <wp:effectExtent l="0" t="0" r="0" b="0"/>
                      <wp:wrapNone/>
                      <wp:docPr id="254" name="Frame252"/>
                      <a:graphic xmlns:a="http://schemas.openxmlformats.org/drawingml/2006/main">
                        <a:graphicData uri="http://schemas.microsoft.com/office/word/2010/wordprocessingShape">
                          <wps:wsp>
                            <wps:cNvSpPr txBox="1"/>
                            <wps:spPr>
                              <a:xfrm>
                                <a:off x="0" y="0"/>
                                <a:ext cx="250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26110" cy="175260"/>
                      <wp:effectExtent l="0" t="0" r="0" b="0"/>
                      <wp:wrapNone/>
                      <wp:docPr id="255" name="Frame253"/>
                      <a:graphic xmlns:a="http://schemas.openxmlformats.org/drawingml/2006/main">
                        <a:graphicData uri="http://schemas.microsoft.com/office/word/2010/wordprocessingShape">
                          <wps:wsp>
                            <wps:cNvSpPr txBox="1"/>
                            <wps:spPr>
                              <a:xfrm>
                                <a:off x="0" y="0"/>
                                <a:ext cx="626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0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2020</w: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1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spacing w:before="0" w:after="0"/>
              <w:ind w:left="0" w:right="0" w:hanging="0"/>
              <w:rPr/>
            </w:pPr>
            <w:r>
              <w:rPr/>
              <w:t>    </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3,171</w:t>
            </w:r>
          </w:p>
        </w:tc>
        <w:tc>
          <w:tcPr>
            <w:tcW w:w="326" w:type="dxa"/>
            <w:tcBorders/>
            <w:shd w:fill="CCEEFF" w:val="clear"/>
            <w:vAlign w:val="center"/>
          </w:tcPr>
          <w:p>
            <w:pPr>
              <w:pStyle w:val="TableContents"/>
              <w:spacing w:before="0" w:after="0"/>
              <w:ind w:left="0" w:right="0" w:hanging="0"/>
              <w:rPr/>
            </w:pPr>
            <w:r>
              <w:rPr/>
              <w:t>    </w:t>
            </w:r>
          </w:p>
        </w:tc>
        <w:tc>
          <w:tcPr>
            <w:tcW w:w="3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16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17,342</w:t>
            </w:r>
          </w:p>
        </w:tc>
        <w:tc>
          <w:tcPr>
            <w:tcW w:w="326" w:type="dxa"/>
            <w:tcBorders/>
            <w:shd w:fill="auto" w:val="clear"/>
            <w:vAlign w:val="center"/>
          </w:tcPr>
          <w:p>
            <w:pPr>
              <w:pStyle w:val="TableContents"/>
              <w:spacing w:before="0" w:after="0"/>
              <w:ind w:left="0" w:right="0" w:hanging="0"/>
              <w:rPr/>
            </w:pPr>
            <w:r>
              <w:rPr/>
              <w:t>​</w:t>
            </w:r>
          </w:p>
        </w:tc>
        <w:tc>
          <w:tcPr>
            <w:tcW w:w="39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62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326" w:type="dxa"/>
            <w:tcBorders/>
            <w:shd w:fill="CCEEFF" w:val="clear"/>
            <w:vAlign w:val="center"/>
          </w:tcPr>
          <w:p>
            <w:pPr>
              <w:pStyle w:val="TableContents"/>
              <w:spacing w:before="0" w:after="0"/>
              <w:ind w:left="0" w:right="0" w:hanging="0"/>
              <w:rPr/>
            </w:pPr>
            <w:r>
              <w:rPr/>
              <w:t>​</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20,513</w:t>
            </w:r>
          </w:p>
        </w:tc>
        <w:tc>
          <w:tcPr>
            <w:tcW w:w="326" w:type="dxa"/>
            <w:tcBorders/>
            <w:shd w:fill="CCEEFF" w:val="clear"/>
            <w:vAlign w:val="center"/>
          </w:tcPr>
          <w:p>
            <w:pPr>
              <w:pStyle w:val="TableContents"/>
              <w:spacing w:before="0" w:after="0"/>
              <w:ind w:left="0" w:right="0" w:hanging="0"/>
              <w:rPr/>
            </w:pPr>
            <w:r>
              <w:rPr/>
              <w:t>​</w:t>
            </w:r>
          </w:p>
        </w:tc>
        <w:tc>
          <w:tcPr>
            <w:tcW w:w="3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823</w:t>
            </w:r>
          </w:p>
        </w:tc>
      </w:tr>
    </w:tbl>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weighted-average remaining lease terms and weighted-average discount rates for operating and finance leases were as follows at:</w:t>
      </w:r>
    </w:p>
    <w:p>
      <w:pPr>
        <w:pStyle w:val="TextBody"/>
        <w:spacing w:before="0" w:after="0"/>
        <w:ind w:left="0" w:right="0" w:hanging="0"/>
        <w:rPr/>
      </w:pPr>
      <w:r>
        <w:rPr/>
        <w:t>​</w:t>
      </w:r>
    </w:p>
    <w:tbl>
      <w:tblPr>
        <w:tblW w:w="7756" w:type="dxa"/>
        <w:jc w:val="left"/>
        <w:tblInd w:w="0" w:type="dxa"/>
        <w:tblCellMar>
          <w:top w:w="0" w:type="dxa"/>
          <w:left w:w="0" w:type="dxa"/>
          <w:bottom w:w="0" w:type="dxa"/>
          <w:right w:w="0" w:type="dxa"/>
        </w:tblCellMar>
      </w:tblPr>
      <w:tblGrid>
        <w:gridCol w:w="3916"/>
        <w:gridCol w:w="326"/>
        <w:gridCol w:w="1501"/>
        <w:gridCol w:w="361"/>
        <w:gridCol w:w="1336"/>
        <w:gridCol w:w="316"/>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486660" cy="175260"/>
                      <wp:effectExtent l="0" t="0" r="0" b="0"/>
                      <wp:wrapNone/>
                      <wp:docPr id="256" name="Frame254"/>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53135" cy="175260"/>
                      <wp:effectExtent l="0" t="0" r="0" b="0"/>
                      <wp:wrapNone/>
                      <wp:docPr id="258" name="Frame256"/>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9235" cy="175260"/>
                      <wp:effectExtent l="0" t="0" r="0" b="0"/>
                      <wp:wrapNone/>
                      <wp:docPr id="259" name="Frame25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848360" cy="175260"/>
                      <wp:effectExtent l="0" t="0" r="0" b="0"/>
                      <wp:wrapNone/>
                      <wp:docPr id="260" name="Frame258"/>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0660" cy="175260"/>
                      <wp:effectExtent l="0" t="0" r="0" b="0"/>
                      <wp:wrapNone/>
                      <wp:docPr id="261" name="Frame25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2021</w:t>
            </w:r>
          </w:p>
        </w:tc>
        <w:tc>
          <w:tcPr>
            <w:tcW w:w="316" w:type="dxa"/>
            <w:tcBorders/>
            <w:shd w:fill="auto"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61" w:type="dxa"/>
            <w:tcBorders/>
            <w:shd w:fill="auto" w:val="clear"/>
            <w:vAlign w:val="center"/>
          </w:tcPr>
          <w:p>
            <w:pPr>
              <w:pStyle w:val="TableContents"/>
              <w:spacing w:before="0" w:after="0"/>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c>
          <w:tcPr>
            <w:tcW w:w="316" w:type="dxa"/>
            <w:tcBorders/>
            <w:shd w:fill="auto" w:val="clear"/>
            <w:vAlign w:val="center"/>
          </w:tcPr>
          <w:p>
            <w:pPr>
              <w:pStyle w:val="TableContents"/>
              <w:spacing w:before="0" w:after="0"/>
              <w:ind w:left="0" w:right="0" w:hanging="0"/>
              <w:jc w:val="center"/>
              <w:rPr/>
            </w:pPr>
            <w:r>
              <w:rPr/>
              <w:t> </w:t>
            </w:r>
          </w:p>
        </w:tc>
      </w:tr>
      <w:tr>
        <w:trPr/>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61"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shd w:fill="CCEEFF"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lineRule="auto" w:line="304" w:before="0" w:after="0"/>
        <w:ind w:left="0" w:right="0" w:hanging="0"/>
        <w:rPr/>
      </w:pPr>
      <w:r>
        <w:rPr/>
        <w:t>​</w:t>
      </w:r>
    </w:p>
    <w:tbl>
      <w:tblPr>
        <w:tblW w:w="7756" w:type="dxa"/>
        <w:jc w:val="left"/>
        <w:tblInd w:w="0" w:type="dxa"/>
        <w:tblCellMar>
          <w:top w:w="0" w:type="dxa"/>
          <w:left w:w="0" w:type="dxa"/>
          <w:bottom w:w="0" w:type="dxa"/>
          <w:right w:w="0" w:type="dxa"/>
        </w:tblCellMar>
      </w:tblPr>
      <w:tblGrid>
        <w:gridCol w:w="3916"/>
        <w:gridCol w:w="326"/>
        <w:gridCol w:w="1501"/>
        <w:gridCol w:w="361"/>
        <w:gridCol w:w="1336"/>
        <w:gridCol w:w="316"/>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486660" cy="175260"/>
                      <wp:effectExtent l="0" t="0" r="0" b="0"/>
                      <wp:wrapNone/>
                      <wp:docPr id="262" name="Frame260"/>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53135" cy="175260"/>
                      <wp:effectExtent l="0" t="0" r="0" b="0"/>
                      <wp:wrapNone/>
                      <wp:docPr id="264" name="Frame262"/>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29235" cy="175260"/>
                      <wp:effectExtent l="0" t="0" r="0" b="0"/>
                      <wp:wrapNone/>
                      <wp:docPr id="265" name="Frame26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48360" cy="175260"/>
                      <wp:effectExtent l="0" t="0" r="0" b="0"/>
                      <wp:wrapNone/>
                      <wp:docPr id="266" name="Frame264"/>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0660" cy="175260"/>
                      <wp:effectExtent l="0" t="0" r="0" b="0"/>
                      <wp:wrapNone/>
                      <wp:docPr id="267" name="Frame26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2020</w:t>
            </w:r>
          </w:p>
        </w:tc>
        <w:tc>
          <w:tcPr>
            <w:tcW w:w="316" w:type="dxa"/>
            <w:tcBorders/>
            <w:shd w:fill="auto"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61" w:type="dxa"/>
            <w:tcBorders/>
            <w:shd w:fill="auto" w:val="clear"/>
            <w:vAlign w:val="center"/>
          </w:tcPr>
          <w:p>
            <w:pPr>
              <w:pStyle w:val="TableContents"/>
              <w:spacing w:before="0" w:after="0"/>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c>
          <w:tcPr>
            <w:tcW w:w="316" w:type="dxa"/>
            <w:tcBorders/>
            <w:shd w:fill="auto" w:val="clear"/>
            <w:vAlign w:val="center"/>
          </w:tcPr>
          <w:p>
            <w:pPr>
              <w:pStyle w:val="TableContents"/>
              <w:spacing w:before="0" w:after="0"/>
              <w:ind w:left="0" w:right="0" w:hanging="0"/>
              <w:rPr/>
            </w:pPr>
            <w:r>
              <w:rPr/>
              <w:t>​</w:t>
            </w:r>
          </w:p>
        </w:tc>
      </w:tr>
      <w:tr>
        <w:trPr/>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61" w:type="dxa"/>
            <w:tcBorders/>
            <w:shd w:fill="CCEEFF" w:val="clear"/>
            <w:vAlign w:val="center"/>
          </w:tcPr>
          <w:p>
            <w:pPr>
              <w:pStyle w:val="TableContents"/>
              <w:spacing w:before="0" w:after="0"/>
              <w:ind w:left="0" w:right="0" w:hanging="0"/>
              <w:rPr/>
            </w:pPr>
            <w:r>
              <w:rPr/>
              <w:t>​</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shd w:fill="CCEEFF"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lineRule="auto" w:line="304" w:before="0" w:after="0"/>
        <w:ind w:left="0" w:right="0" w:hanging="0"/>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table reconciles the undiscounted future lease payments for operating and finance leases to the operating and finance leases recorded in the consolidated balance sheet at December 31, 2021:</w:t>
      </w:r>
    </w:p>
    <w:p>
      <w:pPr>
        <w:pStyle w:val="TextBody"/>
        <w:spacing w:lineRule="auto" w:line="304" w:before="0" w:after="0"/>
        <w:ind w:left="0" w:right="0" w:hanging="0"/>
        <w:rPr/>
      </w:pPr>
      <w:r>
        <w:rPr/>
        <w:t>​</w:t>
      </w:r>
    </w:p>
    <w:tbl>
      <w:tblPr>
        <w:tblW w:w="5561" w:type="dxa"/>
        <w:jc w:val="left"/>
        <w:tblInd w:w="0" w:type="dxa"/>
        <w:tblCellMar>
          <w:top w:w="0" w:type="dxa"/>
          <w:left w:w="0" w:type="dxa"/>
          <w:bottom w:w="0" w:type="dxa"/>
          <w:right w:w="0" w:type="dxa"/>
        </w:tblCellMar>
      </w:tblPr>
      <w:tblGrid>
        <w:gridCol w:w="1846"/>
        <w:gridCol w:w="326"/>
        <w:gridCol w:w="357"/>
        <w:gridCol w:w="1144"/>
        <w:gridCol w:w="507"/>
        <w:gridCol w:w="352"/>
        <w:gridCol w:w="1029"/>
      </w:tblGrid>
      <w:tr>
        <w:trPr/>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172210" cy="175260"/>
                      <wp:effectExtent l="0" t="0" r="0" b="0"/>
                      <wp:wrapNone/>
                      <wp:docPr id="268" name="Frame266"/>
                      <a:graphic xmlns:a="http://schemas.openxmlformats.org/drawingml/2006/main">
                        <a:graphicData uri="http://schemas.microsoft.com/office/word/2010/wordprocessingShape">
                          <wps:wsp>
                            <wps:cNvSpPr txBox="1"/>
                            <wps:spPr>
                              <a:xfrm>
                                <a:off x="0" y="0"/>
                                <a:ext cx="1172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6695" cy="175260"/>
                      <wp:effectExtent l="0" t="0" r="0" b="0"/>
                      <wp:wrapNone/>
                      <wp:docPr id="270" name="Frame268"/>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26440" cy="175260"/>
                      <wp:effectExtent l="0" t="0" r="0" b="0"/>
                      <wp:wrapNone/>
                      <wp:docPr id="271" name="Frame269"/>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21945" cy="175260"/>
                      <wp:effectExtent l="0" t="0" r="0" b="0"/>
                      <wp:wrapNone/>
                      <wp:docPr id="272" name="Frame270"/>
                      <a:graphic xmlns:a="http://schemas.openxmlformats.org/drawingml/2006/main">
                        <a:graphicData uri="http://schemas.microsoft.com/office/word/2010/wordprocessingShape">
                          <wps:wsp>
                            <wps:cNvSpPr txBox="1"/>
                            <wps:spPr>
                              <a:xfrm>
                                <a:off x="0" y="0"/>
                                <a:ext cx="321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3520" cy="175260"/>
                      <wp:effectExtent l="0" t="0" r="0" b="0"/>
                      <wp:wrapNone/>
                      <wp:docPr id="273" name="Frame271"/>
                      <a:graphic xmlns:a="http://schemas.openxmlformats.org/drawingml/2006/main">
                        <a:graphicData uri="http://schemas.microsoft.com/office/word/2010/wordprocessingShape">
                          <wps:wsp>
                            <wps:cNvSpPr txBox="1"/>
                            <wps:spPr>
                              <a:xfrm>
                                <a:off x="0" y="0"/>
                                <a:ext cx="223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53415" cy="175260"/>
                      <wp:effectExtent l="0" t="0" r="0" b="0"/>
                      <wp:wrapNone/>
                      <wp:docPr id="274" name="Frame272"/>
                      <a:graphic xmlns:a="http://schemas.openxmlformats.org/drawingml/2006/main">
                        <a:graphicData uri="http://schemas.microsoft.com/office/word/2010/wordprocessingShape">
                          <wps:wsp>
                            <wps:cNvSpPr txBox="1"/>
                            <wps:spPr>
                              <a:xfrm>
                                <a:off x="0" y="0"/>
                                <a:ext cx="653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3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Undiscounted Future Lease Payments</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507" w:type="dxa"/>
            <w:tcBorders/>
            <w:shd w:fill="auto" w:val="clear"/>
            <w:vAlign w:val="center"/>
          </w:tcPr>
          <w:p>
            <w:pPr>
              <w:pStyle w:val="TableContents"/>
              <w:spacing w:before="0" w:after="0"/>
              <w:ind w:left="0" w:right="0" w:hanging="0"/>
              <w:jc w:val="center"/>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1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4,605</w:t>
            </w:r>
          </w:p>
        </w:tc>
        <w:tc>
          <w:tcPr>
            <w:tcW w:w="507" w:type="dxa"/>
            <w:tcBorders/>
            <w:shd w:fill="CCEEFF" w:val="clear"/>
            <w:vAlign w:val="center"/>
          </w:tcPr>
          <w:p>
            <w:pPr>
              <w:pStyle w:val="TableContents"/>
              <w:spacing w:before="0" w:after="0"/>
              <w:ind w:left="0" w:right="0" w:hanging="0"/>
              <w:rPr/>
            </w:pPr>
            <w:r>
              <w:rPr/>
              <w:t>​</w:t>
            </w:r>
          </w:p>
        </w:tc>
        <w:tc>
          <w:tcPr>
            <w:tcW w:w="35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 </w:t>
            </w:r>
          </w:p>
        </w:tc>
        <w:tc>
          <w:tcPr>
            <w:tcW w:w="11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3,821</w:t>
            </w:r>
          </w:p>
        </w:tc>
        <w:tc>
          <w:tcPr>
            <w:tcW w:w="507" w:type="dxa"/>
            <w:tcBorders/>
            <w:shd w:fill="auto" w:val="clear"/>
            <w:vAlign w:val="center"/>
          </w:tcPr>
          <w:p>
            <w:pPr>
              <w:pStyle w:val="TableContents"/>
              <w:spacing w:before="0" w:after="0"/>
              <w:ind w:left="0" w:right="0" w:hanging="0"/>
              <w:rPr/>
            </w:pPr>
            <w:r>
              <w:rPr/>
              <w:t>​</w:t>
            </w:r>
          </w:p>
        </w:tc>
        <w:tc>
          <w:tcPr>
            <w:tcW w:w="352"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pPr>
            <w:r>
              <w:rPr/>
              <w:t> </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507" w:type="dxa"/>
            <w:tcBorders/>
            <w:shd w:fill="CCEEFF" w:val="clear"/>
            <w:vAlign w:val="center"/>
          </w:tcPr>
          <w:p>
            <w:pPr>
              <w:pStyle w:val="TableContents"/>
              <w:spacing w:before="0" w:after="0"/>
              <w:ind w:left="0" w:right="0" w:hanging="0"/>
              <w:rPr/>
            </w:pPr>
            <w:r>
              <w:rPr/>
              <w:t>​</w:t>
            </w:r>
          </w:p>
        </w:tc>
        <w:tc>
          <w:tcPr>
            <w:tcW w:w="352"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 </w:t>
            </w:r>
          </w:p>
        </w:tc>
        <w:tc>
          <w:tcPr>
            <w:tcW w:w="11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1,669</w:t>
            </w:r>
          </w:p>
        </w:tc>
        <w:tc>
          <w:tcPr>
            <w:tcW w:w="507" w:type="dxa"/>
            <w:tcBorders/>
            <w:shd w:fill="auto" w:val="clear"/>
            <w:vAlign w:val="center"/>
          </w:tcPr>
          <w:p>
            <w:pPr>
              <w:pStyle w:val="TableContents"/>
              <w:spacing w:before="0" w:after="0"/>
              <w:ind w:left="0" w:right="0" w:hanging="0"/>
              <w:rPr/>
            </w:pPr>
            <w:r>
              <w:rPr/>
              <w:t>​</w:t>
            </w:r>
          </w:p>
        </w:tc>
        <w:tc>
          <w:tcPr>
            <w:tcW w:w="352"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pPr>
            <w:r>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1,692</w:t>
            </w:r>
          </w:p>
        </w:tc>
        <w:tc>
          <w:tcPr>
            <w:tcW w:w="507" w:type="dxa"/>
            <w:tcBorders/>
            <w:shd w:fill="CCEEFF" w:val="clear"/>
            <w:vAlign w:val="center"/>
          </w:tcPr>
          <w:p>
            <w:pPr>
              <w:pStyle w:val="TableContents"/>
              <w:spacing w:before="0" w:after="0"/>
              <w:ind w:left="0" w:right="0" w:hanging="0"/>
              <w:rPr/>
            </w:pPr>
            <w:r>
              <w:rPr/>
              <w:t>​</w:t>
            </w:r>
          </w:p>
        </w:tc>
        <w:tc>
          <w:tcPr>
            <w:tcW w:w="352" w:type="dxa"/>
            <w:tcBorders/>
            <w:shd w:fill="CCEEFF" w:val="clear"/>
            <w:vAlign w:val="center"/>
          </w:tcPr>
          <w:p>
            <w:pPr>
              <w:pStyle w:val="TableContents"/>
              <w:spacing w:before="0" w:after="0"/>
              <w:ind w:left="0" w:right="0" w:hanging="0"/>
              <w:rPr/>
            </w:pPr>
            <w:r>
              <w:rPr/>
              <w:t>​</w:t>
            </w:r>
          </w:p>
        </w:tc>
        <w:tc>
          <w:tcPr>
            <w:tcW w:w="1029" w:type="dxa"/>
            <w:tcBorders/>
            <w:shd w:fill="CCEEFF" w:val="clear"/>
            <w:vAlign w:val="center"/>
          </w:tcPr>
          <w:p>
            <w:pPr>
              <w:pStyle w:val="TableContents"/>
              <w:spacing w:before="0" w:after="0"/>
              <w:ind w:left="0" w:right="0" w:hanging="0"/>
              <w:jc w:val="right"/>
              <w:rPr/>
            </w:pPr>
            <w:r>
              <w:rPr/>
              <w:t>—</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 and thereafter</w:t>
            </w:r>
          </w:p>
        </w:tc>
        <w:tc>
          <w:tcPr>
            <w:tcW w:w="326"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9,949</w:t>
            </w:r>
          </w:p>
        </w:tc>
        <w:tc>
          <w:tcPr>
            <w:tcW w:w="507" w:type="dxa"/>
            <w:tcBorders/>
            <w:shd w:fill="auto" w:val="clear"/>
            <w:vAlign w:val="center"/>
          </w:tcPr>
          <w:p>
            <w:pPr>
              <w:pStyle w:val="TableContents"/>
              <w:spacing w:before="0" w:after="0"/>
              <w:ind w:left="0" w:right="0" w:hanging="0"/>
              <w:rPr/>
            </w:pPr>
            <w:r>
              <w:rPr/>
              <w:t>​</w:t>
            </w:r>
          </w:p>
        </w:tc>
        <w:tc>
          <w:tcPr>
            <w:tcW w:w="35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pPr>
            <w:r>
              <w:rPr/>
              <w:t> </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24,714</w:t>
            </w:r>
          </w:p>
        </w:tc>
        <w:tc>
          <w:tcPr>
            <w:tcW w:w="507" w:type="dxa"/>
            <w:tcBorders/>
            <w:shd w:fill="CCEEFF" w:val="clear"/>
            <w:vAlign w:val="center"/>
          </w:tcPr>
          <w:p>
            <w:pPr>
              <w:pStyle w:val="TableContents"/>
              <w:spacing w:before="0" w:after="0"/>
              <w:ind w:left="0" w:right="0" w:hanging="0"/>
              <w:rPr/>
            </w:pPr>
            <w:r>
              <w:rPr/>
              <w:t>​</w:t>
            </w:r>
          </w:p>
        </w:tc>
        <w:tc>
          <w:tcPr>
            <w:tcW w:w="352"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(3,335)</w:t>
            </w:r>
          </w:p>
        </w:tc>
        <w:tc>
          <w:tcPr>
            <w:tcW w:w="507" w:type="dxa"/>
            <w:tcBorders/>
            <w:shd w:fill="auto" w:val="clear"/>
            <w:vAlign w:val="center"/>
          </w:tcPr>
          <w:p>
            <w:pPr>
              <w:pStyle w:val="TableContents"/>
              <w:spacing w:before="0" w:after="0"/>
              <w:ind w:left="0" w:right="0" w:hanging="0"/>
              <w:rPr/>
            </w:pPr>
            <w:r>
              <w:rPr/>
              <w:t>​</w:t>
            </w:r>
          </w:p>
        </w:tc>
        <w:tc>
          <w:tcPr>
            <w:tcW w:w="35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21,379</w:t>
            </w:r>
          </w:p>
        </w:tc>
        <w:tc>
          <w:tcPr>
            <w:tcW w:w="507" w:type="dxa"/>
            <w:tcBorders/>
            <w:shd w:fill="CCEEFF" w:val="clear"/>
            <w:vAlign w:val="center"/>
          </w:tcPr>
          <w:p>
            <w:pPr>
              <w:pStyle w:val="TableContents"/>
              <w:spacing w:before="0" w:after="0"/>
              <w:ind w:left="0" w:right="0" w:hanging="0"/>
              <w:rPr/>
            </w:pPr>
            <w:r>
              <w:rPr/>
              <w:t>​</w:t>
            </w:r>
          </w:p>
        </w:tc>
        <w:tc>
          <w:tcPr>
            <w:tcW w:w="35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w:t>
            </w:r>
          </w:p>
        </w:tc>
        <w:tc>
          <w:tcPr>
            <w:tcW w:w="1144" w:type="dxa"/>
            <w:tcBorders/>
            <w:shd w:fill="auto" w:val="clear"/>
            <w:vAlign w:val="center"/>
          </w:tcPr>
          <w:p>
            <w:pPr>
              <w:pStyle w:val="TableContents"/>
              <w:spacing w:before="0" w:after="0"/>
              <w:ind w:left="0" w:right="0" w:hanging="0"/>
              <w:rPr/>
            </w:pPr>
            <w:r>
              <w:rPr/>
              <w:t>​</w:t>
            </w:r>
          </w:p>
        </w:tc>
        <w:tc>
          <w:tcPr>
            <w:tcW w:w="507" w:type="dxa"/>
            <w:tcBorders/>
            <w:shd w:fill="auto" w:val="clear"/>
            <w:vAlign w:val="center"/>
          </w:tcPr>
          <w:p>
            <w:pPr>
              <w:pStyle w:val="TableContents"/>
              <w:spacing w:before="0" w:after="0"/>
              <w:ind w:left="0" w:right="0" w:hanging="0"/>
              <w:rPr/>
            </w:pPr>
            <w:r>
              <w:rPr/>
              <w:t>​</w:t>
            </w:r>
          </w:p>
        </w:tc>
        <w:tc>
          <w:tcPr>
            <w:tcW w:w="352" w:type="dxa"/>
            <w:tcBorders/>
            <w:shd w:fill="auto" w:val="clear"/>
            <w:vAlign w:val="center"/>
          </w:tcPr>
          <w:p>
            <w:pPr>
              <w:pStyle w:val="TableContents"/>
              <w:spacing w:before="0" w:after="0"/>
              <w:ind w:left="0" w:right="0" w:hanging="0"/>
              <w:rPr/>
            </w:pPr>
            <w:r>
              <w:rPr/>
              <w:t>​</w:t>
            </w:r>
          </w:p>
        </w:tc>
        <w:tc>
          <w:tcPr>
            <w:tcW w:w="1029"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2"/>
        </w:rPr>
      </w:pPr>
      <w:r>
        <w:rPr>
          <w:rFonts w:ascii="Times New Roman;Times;serif" w:hAnsi="Times New Roman;Times;serif"/>
          <w:sz w:val="22"/>
        </w:rPr>
        <w:t>As of December 31, 2021, the Company did not have any significant additional operating or finance leases that had not yet commenced.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bookmarkStart w:id="962" w:name="Tc_PqgXUemFJkOxNB2IYN6AmA_16_18"/>
      <w:bookmarkStart w:id="963" w:name="Tc_vZnhHxgi60-fBMt-dUzbuQ_16_17"/>
      <w:bookmarkStart w:id="964" w:name="Tc_ktr4Sm7bIUm6AA611VHaVA_16_14"/>
      <w:bookmarkStart w:id="965" w:name="Tc_CIOAB20bzUWk-heKcWFCYA_16_11"/>
      <w:bookmarkStart w:id="966" w:name="Tc_C62Yyqvq30uMWQKJneiS1w_16_8"/>
      <w:bookmarkStart w:id="967" w:name="Tc_dyJocgb5Tka1JJvEtZjfnQ_16_5"/>
      <w:bookmarkStart w:id="968" w:name="Tc_FgvswMdOok-ENk7Yrwrzxw_16_2"/>
      <w:bookmarkStart w:id="969" w:name="Tc_hCad4ll7AkyYv3gXSBvsCw_16_0"/>
      <w:bookmarkStart w:id="970" w:name="Tc_N9IBvcmdTka1KJioU2feIQ_15_18"/>
      <w:bookmarkStart w:id="971" w:name="Tc_fnPXyVoViUmo3XybRflJpA_15_0"/>
      <w:bookmarkStart w:id="972" w:name="Tc_7LOKDP5fVEqVx45LPIXt9A_14_18"/>
      <w:bookmarkStart w:id="973" w:name="Tc_0jtjs8Zd_0-iarCOi3mSig_14_15"/>
      <w:bookmarkStart w:id="974" w:name="Tc_F4hnGUckW0quJcGbBrXApA_14_9"/>
      <w:bookmarkStart w:id="975" w:name="Tc_gQqeLcUnw06l3LuH96OyMA_14_0"/>
      <w:bookmarkStart w:id="976" w:name="Tc_JhpIAakQ40OxN_bRuAv72g_13_0"/>
      <w:bookmarkStart w:id="977" w:name="Tc_3KBbsp1xf0Ob5f7ZpTrOKg_12_18"/>
      <w:bookmarkStart w:id="978" w:name="Tc_UFFbFUQTUUO3xIyYJvEZDA_12_0"/>
      <w:bookmarkStart w:id="979" w:name="Tc_-0acSFKJ5UGFhb5TytMPbw_11_18"/>
      <w:bookmarkStart w:id="980" w:name="Tc_5VX2S-p7KEmix_XAUfkCAQ_11_0"/>
      <w:bookmarkStart w:id="981" w:name="Tc_z67kxK11b0GwtPnhmgNH8Q_10_18"/>
      <w:bookmarkStart w:id="982" w:name="Tc_fYqkRYo_p0qdU9gLUNFeaQ_10_15"/>
      <w:bookmarkStart w:id="983" w:name="Tc_lkjMYdGd40Kb0-yEjgAKWw_10_9"/>
      <w:bookmarkStart w:id="984" w:name="Tc_sy1bpb6mqkuJIze8siuJbg_10_6"/>
      <w:bookmarkStart w:id="985" w:name="Tc_oDidNK6ayUiOokp66IIyiQ_10_0"/>
      <w:bookmarkStart w:id="986" w:name="Tc_R2FqouNKKUW4TPgL5z3w-Q_9_18"/>
      <w:bookmarkStart w:id="987" w:name="Tc_HgivR9vDLUueYGLGhk-Ajw_9_15"/>
      <w:bookmarkStart w:id="988" w:name="Tc_7wjDGC0qt0CvC1r8jTFeXw_9_9"/>
      <w:bookmarkStart w:id="989" w:name="Tc_ms-EXaPDwkyh7tKzRIzWAw_9_6"/>
      <w:bookmarkStart w:id="990" w:name="Tc_SbnNlD3UAk63UHRlaO6xfA_9_0"/>
      <w:bookmarkStart w:id="991" w:name="Tc_st8-3ME9_k-1QkGcfAcP4A_8_18"/>
      <w:bookmarkStart w:id="992" w:name="Tc_T5LBjZaky0CI2ttWTX6M7w_8_17"/>
      <w:bookmarkStart w:id="993" w:name="Tc_DABqWj5qp027yyuLd1o9lQ_8_15"/>
      <w:bookmarkStart w:id="994" w:name="Tc_SssMYUhnMkGnJIs4WHxqJw_8_14"/>
      <w:bookmarkStart w:id="995" w:name="Tc_xsCiXXjb9kC10EZtYmIKkA_8_11"/>
      <w:bookmarkStart w:id="996" w:name="Tc_V-bvbhZXeU26ivWD7JEidA_8_9"/>
      <w:bookmarkStart w:id="997" w:name="Tc_IMKhOJCDAUSAbXV5x2zshA_8_8"/>
      <w:bookmarkStart w:id="998" w:name="Tc_a2352mMsM0u2ussblZYuEQ_8_6"/>
      <w:bookmarkStart w:id="999" w:name="Tc_H2AbDhNZlUKjZGa5_GKy0A_8_5"/>
      <w:bookmarkStart w:id="1000" w:name="Tc_emvwj8yXkkOU5jHa9vPang_8_2"/>
      <w:bookmarkStart w:id="1001" w:name="Tc_OF0tBA89PE2J09LYtrj8pg_8_0"/>
      <w:bookmarkStart w:id="1002" w:name="Tc_G8Q7i7vwX0yeCkuuojlSpQ_7_0"/>
      <w:bookmarkStart w:id="1003" w:name="Tc_ZY1Vpq5bgkC968m6yd0oKA_6_0"/>
      <w:bookmarkStart w:id="1004" w:name="Tc_N90mQRl9F0yHcUXilhQXzg_5_17"/>
      <w:bookmarkStart w:id="1005" w:name="Tc_veznR5il9EOroaWFdjozGw_5_14"/>
      <w:bookmarkStart w:id="1006" w:name="Tc_-Olo7IHIDUGIFl9Qtm4isA_5_11"/>
      <w:bookmarkStart w:id="1007" w:name="Tc_JuU5L9_r8kqVAJuqYrj7Ug_5_8"/>
      <w:bookmarkStart w:id="1008" w:name="Tc_XaIH7ICwTk-RnoL60VmjbA_5_5"/>
      <w:bookmarkStart w:id="1009" w:name="Tc_h1vv6JihrUiM5_V2pzRscw_5_2"/>
      <w:bookmarkStart w:id="1010" w:name="Tc_uWLa302_6kSmTiXb58WWwg_5_0"/>
      <w:bookmarkStart w:id="1011" w:name="Tc_kIGLxWvJ1kG_GoxrEwPr-A_4_17"/>
      <w:bookmarkStart w:id="1012" w:name="Tc_q_BI29rtR0mqXqyc7CKMlA_4_14"/>
      <w:bookmarkStart w:id="1013" w:name="Tc_X6QnqRAugEOtyrbrGpyV1g_4_11"/>
      <w:bookmarkStart w:id="1014" w:name="Tc_WWw1Db7puE-enixsCpP64g_4_8"/>
      <w:bookmarkStart w:id="1015" w:name="Tc_k71Uc821fUqwKiZcutaimA_4_5"/>
      <w:bookmarkStart w:id="1016" w:name="Tc_zgoYmuDIeU2JKejgQYQUOA_4_2"/>
      <w:bookmarkStart w:id="1017" w:name="Tc_W9RrCvSbqkSpFQMdkoLjaw_3_17"/>
      <w:bookmarkStart w:id="1018" w:name="Tc_XXsg4vKIeU6jIZRntrweMA_3_14"/>
      <w:bookmarkStart w:id="1019" w:name="Tc_v7lHBEAaqEWecWgoIY-2iA_3_8"/>
      <w:bookmarkStart w:id="1020" w:name="Tc_0rhOm_fcTEiwB1tUu3q-CA_3_5"/>
      <w:bookmarkStart w:id="1021" w:name="Tc_67X195BYsUCI4FeGM3dZiw_2_17"/>
      <w:bookmarkStart w:id="1022" w:name="Tc_Fwif8O82E0GYdrDVIYjC2Q_2_14"/>
      <w:bookmarkStart w:id="1023" w:name="Tc_R0orUXssWUWvPJggDeG8ug_2_8"/>
      <w:bookmarkStart w:id="1024" w:name="Tc_RS5fiMP54kCySLarSUFZTg_2_5"/>
      <w:bookmarkStart w:id="1025" w:name="Tc_ADZcg2k0a06kwunEuH74uA_1_17"/>
      <w:bookmarkStart w:id="1026" w:name="Tc_xsY-Ru5NoEWWNlef5lipFw_1_14"/>
      <w:bookmarkStart w:id="1027" w:name="_85fac8cb_9903_4e52_ba86_255525e132d4"/>
      <w:bookmarkStart w:id="1028" w:name="Tc_mnSQYh0eDkGbQwqPMUxvMA_16_18"/>
      <w:bookmarkStart w:id="1029" w:name="Tc_wziSHP5Azkm18zTKFg9duQ_16_17"/>
      <w:bookmarkStart w:id="1030" w:name="Tc_mJNKHIU6t0W6AcI3Qtoylw_16_14"/>
      <w:bookmarkStart w:id="1031" w:name="Tc_vPqzJLZzikiFffMjKhQ2Tg_16_11"/>
      <w:bookmarkStart w:id="1032" w:name="Tc_MhnQAlrlzU2M4yvXlHn9Zg_16_8"/>
      <w:bookmarkStart w:id="1033" w:name="Tc_uSkNF_am60SyUlFne365hg_16_5"/>
      <w:bookmarkStart w:id="1034" w:name="Tc_Qk6dyytOH0mk1esZJafDrA_16_2"/>
      <w:bookmarkStart w:id="1035" w:name="Tc_17uMx0DKe0eZo1yPneI1lg_16_0"/>
      <w:bookmarkStart w:id="1036" w:name="Tc_VjExDv2t_EKK4VkY_MU20w_15_18"/>
      <w:bookmarkStart w:id="1037" w:name="Tc_mGdKk26pl0-n9d8afHvGMw_15_6"/>
      <w:bookmarkStart w:id="1038" w:name="Tc_uy-dQkYK6EmnEWW2Lwp5Ow_15_0"/>
      <w:bookmarkStart w:id="1039" w:name="Tc_94ecvucYt0ylQ1pTO_0OkQ_14_18"/>
      <w:bookmarkStart w:id="1040" w:name="Tc_wKGHZzUKWEm6m4ouOJFHag_14_6"/>
      <w:bookmarkStart w:id="1041" w:name="Tc_Ihw2qeSzSkWrtpKIL86ChQ_14_0"/>
      <w:bookmarkStart w:id="1042" w:name="Tc_imToTiR2EkuprTibjlxjKw_13_0"/>
      <w:bookmarkStart w:id="1043" w:name="Tc_kM5GnC4ptUmr5vr8Tmj63w_12_18"/>
      <w:bookmarkStart w:id="1044" w:name="Tc_SW0enyAZXkCTsorODlbg2w_12_0"/>
      <w:bookmarkStart w:id="1045" w:name="Tc_7XgUDM92C02MyjLqSIc9Hg_11_18"/>
      <w:bookmarkStart w:id="1046" w:name="Tc_9ojARKzb1U-Yk06im-QbtA_11_6"/>
      <w:bookmarkStart w:id="1047" w:name="Tc_VaE-0sJI1EaAnC28nqvEBA_11_0"/>
      <w:bookmarkStart w:id="1048" w:name="Tc_K9zzw07ejUe5E365MfYIYw_10_18"/>
      <w:bookmarkStart w:id="1049" w:name="Tc_4SqmHLok7UuEflS4yNxDEg_10_15"/>
      <w:bookmarkStart w:id="1050" w:name="Tc_-V-G8B4t2EuGXEx5TOqANw_10_9"/>
      <w:bookmarkStart w:id="1051" w:name="Tc_5d6AuCLSwEuRIPjr9I80mQ_10_6"/>
      <w:bookmarkStart w:id="1052" w:name="Tc_xf9HI46Ca0CFJ7MXmhkSKA_10_0"/>
      <w:bookmarkStart w:id="1053" w:name="Tc_RxtikrpPKEq2AlFbLG7ZxQ_9_18"/>
      <w:bookmarkStart w:id="1054" w:name="Tc_-UkL7ngbekSZBdvGQCNUww_9_15"/>
      <w:bookmarkStart w:id="1055" w:name="Tc_OQLofqriH0KhefcPN7w2Sg_9_9"/>
      <w:bookmarkStart w:id="1056" w:name="Tc_RRsST_ju6kS-eb0JvCY3Cg_9_6"/>
      <w:bookmarkStart w:id="1057" w:name="Tc_ZnMqksjUXE62cJBK6CuKmg_9_0"/>
      <w:bookmarkStart w:id="1058" w:name="Tc_802xWYYf9kG9RacEqBvKFw_8_18"/>
      <w:bookmarkStart w:id="1059" w:name="Tc_drW7Ws17606ha_aGzLMUvQ_8_17"/>
      <w:bookmarkStart w:id="1060" w:name="Tc_bA5F3XanXkW5VyEIi3vOjg_8_15"/>
      <w:bookmarkStart w:id="1061" w:name="Tc_oqGqls2CEUKWCzkL4IUf4Q_8_14"/>
      <w:bookmarkStart w:id="1062" w:name="Tc_CfIM21Vd1EqeIzGGdTV4iQ_8_11"/>
      <w:bookmarkStart w:id="1063" w:name="Tc_0Z7aJc788ECwebJZdYejOw_8_9"/>
      <w:bookmarkStart w:id="1064" w:name="Tc_QTOmPiORW02rMPyKvfJeHw_8_8"/>
      <w:bookmarkStart w:id="1065" w:name="Tc_RgfDyXPKa0uMyTvbB7bNbw_8_6"/>
      <w:bookmarkStart w:id="1066" w:name="Tc_1B_phmZbskeGEU8b2Y_kgw_8_5"/>
      <w:bookmarkStart w:id="1067" w:name="Tc_ZezJjOTxfkCa8Obtv9T-bw_8_2"/>
      <w:bookmarkStart w:id="1068" w:name="Tc_LQ9BGJ7IokOcQgsJj06fOw_8_0"/>
      <w:bookmarkStart w:id="1069" w:name="Tc_J2k--a8GTkKKCAQCg33wUw_7_0"/>
      <w:bookmarkStart w:id="1070" w:name="Tc_H_6eTTgeq0a6-EM-pw-Qbw_6_0"/>
      <w:bookmarkStart w:id="1071" w:name="Tc_790Rt7RCGE6dPJJsNvxL_g_5_17"/>
      <w:bookmarkStart w:id="1072" w:name="Tc_R7FuMqKl502_4bdWvWQaGA_5_14"/>
      <w:bookmarkStart w:id="1073" w:name="Tc_-TCE3qST7EGKFiSQG6sVDA_5_11"/>
      <w:bookmarkStart w:id="1074" w:name="Tc_SqY1pl-CrUeNJHMljdX2nA_5_8"/>
      <w:bookmarkStart w:id="1075" w:name="Tc_wIQR897Sj0CYGICEMmm9Ow_5_5"/>
      <w:bookmarkStart w:id="1076" w:name="Tc_A_RlFri8iUiSKj0hn0nnQA_5_2"/>
      <w:bookmarkStart w:id="1077" w:name="Tc_MihlNwg_7U6ThKUJuU7KGA_5_0"/>
      <w:bookmarkStart w:id="1078" w:name="Tc_PLAopsobVEO8Eqivlqsd3A_4_17"/>
      <w:bookmarkStart w:id="1079" w:name="Tc_NQbA7bUN1kK6H0NV0D3mpQ_4_14"/>
      <w:bookmarkStart w:id="1080" w:name="Tc_IKn1UdIxWUGrGlWUahVWcg_4_11"/>
      <w:bookmarkStart w:id="1081" w:name="Tc_ZgUPcaU4Z06ul-bKfiCqPw_4_8"/>
      <w:bookmarkStart w:id="1082" w:name="Tc_Q6g71m4y_0Gf_kUYUyEtvg_4_5"/>
      <w:bookmarkStart w:id="1083" w:name="Tc_WdFHqSwxFUCHOEBBfwAZSA_4_2"/>
      <w:bookmarkStart w:id="1084" w:name="Tc_bcDRTAp67UmYskL1hpuAJw_3_17"/>
      <w:bookmarkStart w:id="1085" w:name="Tc_2vZJqAbf30mYWMYVx5eODQ_3_14"/>
      <w:bookmarkStart w:id="1086" w:name="Tc_ht728F61h0ajahnk8UhHOw_3_8"/>
      <w:bookmarkStart w:id="1087" w:name="Tc_HLO7FMLDHkWCNycj3oh0OQ_3_5"/>
      <w:bookmarkStart w:id="1088" w:name="Tc_RaopXTG2GU6Dwfrd67em7w_2_17"/>
      <w:bookmarkStart w:id="1089" w:name="Tc_rPz3LQypok-JJdr0y-Woqw_2_14"/>
      <w:bookmarkStart w:id="1090" w:name="Tc_ccmVZJrSp0WfdVhfGjfd-g_2_8"/>
      <w:bookmarkStart w:id="1091" w:name="Tc_scxTi7LELkadLX2yOfwQwg_2_5"/>
      <w:bookmarkStart w:id="1092" w:name="Tc_VsMDRoaHlUKT-kHe0apusw_1_17"/>
      <w:bookmarkStart w:id="1093" w:name="Tc_QRRIMu-ZEUW5icce6Z2eOA_1_14"/>
      <w:bookmarkStart w:id="1094" w:name="_5d105083_6902_4520_bdbf_01a807b06f1d"/>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Pr>
          <w:rFonts w:ascii="Times New Roman;Times;serif" w:hAnsi="Times New Roman;Times;serif"/>
          <w:b w:val="false"/>
          <w:sz w:val="22"/>
        </w:rPr>
        <w:t>4.          INVESTMENTS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table summarizes the Company’s investments at:</w:t>
      </w:r>
    </w:p>
    <w:p>
      <w:pPr>
        <w:pStyle w:val="TextBody"/>
        <w:spacing w:before="0" w:after="0"/>
        <w:ind w:left="0" w:right="0" w:firstLine="720"/>
        <w:jc w:val="both"/>
        <w:rPr/>
      </w:pPr>
      <w:r>
        <w:rPr/>
        <w:t>​</w:t>
      </w:r>
    </w:p>
    <w:tbl>
      <w:tblPr>
        <w:tblW w:w="10485" w:type="dxa"/>
        <w:jc w:val="left"/>
        <w:tblInd w:w="0" w:type="dxa"/>
        <w:tblCellMar>
          <w:top w:w="0" w:type="dxa"/>
          <w:left w:w="0" w:type="dxa"/>
          <w:bottom w:w="0" w:type="dxa"/>
          <w:right w:w="0" w:type="dxa"/>
        </w:tblCellMar>
      </w:tblPr>
      <w:tblGrid>
        <w:gridCol w:w="1696"/>
        <w:gridCol w:w="326"/>
        <w:gridCol w:w="211"/>
        <w:gridCol w:w="931"/>
        <w:gridCol w:w="326"/>
        <w:gridCol w:w="375"/>
        <w:gridCol w:w="616"/>
        <w:gridCol w:w="326"/>
        <w:gridCol w:w="330"/>
        <w:gridCol w:w="661"/>
        <w:gridCol w:w="326"/>
        <w:gridCol w:w="211"/>
        <w:gridCol w:w="931"/>
        <w:gridCol w:w="326"/>
        <w:gridCol w:w="399"/>
        <w:gridCol w:w="802"/>
        <w:gridCol w:w="326"/>
        <w:gridCol w:w="435"/>
        <w:gridCol w:w="931"/>
      </w:tblGrid>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91185" cy="175260"/>
                      <wp:effectExtent l="0" t="0" r="0" b="0"/>
                      <wp:wrapNone/>
                      <wp:docPr id="277" name="Frame27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38125" cy="175260"/>
                      <wp:effectExtent l="0" t="0" r="0" b="0"/>
                      <wp:wrapNone/>
                      <wp:docPr id="279" name="Frame277"/>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91160" cy="175260"/>
                      <wp:effectExtent l="0" t="0" r="0" b="0"/>
                      <wp:wrapNone/>
                      <wp:docPr id="280" name="Frame278"/>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9550" cy="175260"/>
                      <wp:effectExtent l="0" t="0" r="0" b="0"/>
                      <wp:wrapNone/>
                      <wp:docPr id="282" name="Frame280"/>
                      <a:graphic xmlns:a="http://schemas.openxmlformats.org/drawingml/2006/main">
                        <a:graphicData uri="http://schemas.microsoft.com/office/word/2010/wordprocessingShape">
                          <wps:wsp>
                            <wps:cNvSpPr txBox="1"/>
                            <wps:spPr>
                              <a:xfrm>
                                <a:off x="0" y="0"/>
                                <a:ext cx="20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19735" cy="175260"/>
                      <wp:effectExtent l="0" t="0" r="0" b="0"/>
                      <wp:wrapNone/>
                      <wp:docPr id="283" name="Frame281"/>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91185" cy="175260"/>
                      <wp:effectExtent l="0" t="0" r="0" b="0"/>
                      <wp:wrapNone/>
                      <wp:docPr id="286" name="Frame28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53365" cy="175260"/>
                      <wp:effectExtent l="0" t="0" r="0" b="0"/>
                      <wp:wrapNone/>
                      <wp:docPr id="288" name="Frame286"/>
                      <a:graphic xmlns:a="http://schemas.openxmlformats.org/drawingml/2006/main">
                        <a:graphicData uri="http://schemas.microsoft.com/office/word/2010/wordprocessingShape">
                          <wps:wsp>
                            <wps:cNvSpPr txBox="1"/>
                            <wps:spPr>
                              <a:xfrm>
                                <a:off x="0" y="0"/>
                                <a:ext cx="253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09270" cy="175260"/>
                      <wp:effectExtent l="0" t="0" r="0" b="0"/>
                      <wp:wrapNone/>
                      <wp:docPr id="289" name="Frame287"/>
                      <a:graphic xmlns:a="http://schemas.openxmlformats.org/drawingml/2006/main">
                        <a:graphicData uri="http://schemas.microsoft.com/office/word/2010/wordprocessingShape">
                          <wps:wsp>
                            <wps:cNvSpPr txBox="1"/>
                            <wps:spPr>
                              <a:xfrm>
                                <a:off x="0" y="0"/>
                                <a:ext cx="509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76225" cy="175260"/>
                      <wp:effectExtent l="0" t="0" r="0" b="0"/>
                      <wp:wrapNone/>
                      <wp:docPr id="291" name="Frame289"/>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91185" cy="175260"/>
                      <wp:effectExtent l="0" t="0" r="0" b="0"/>
                      <wp:wrapNone/>
                      <wp:docPr id="292" name="Frame29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12</w:t>
            </w:r>
          </w:p>
        </w:tc>
      </w:tr>
      <w:tr>
        <w:trPr/>
        <w:tc>
          <w:tcPr>
            <w:tcW w:w="16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12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shd w:fill="auto" w:val="clear"/>
            <w:vAlign w:val="center"/>
          </w:tcPr>
          <w:p>
            <w:pPr>
              <w:pStyle w:val="TableContents"/>
              <w:spacing w:before="0" w:after="0"/>
              <w:ind w:left="0" w:right="0" w:hanging="0"/>
              <w:rPr/>
            </w:pPr>
            <w:r>
              <w:rPr/>
              <w:t>    </w:t>
            </w:r>
          </w:p>
        </w:tc>
        <w:tc>
          <w:tcPr>
            <w:tcW w:w="13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9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9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334,077</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334,077</w:t>
            </w:r>
          </w:p>
        </w:tc>
        <w:tc>
          <w:tcPr>
            <w:tcW w:w="326" w:type="dxa"/>
            <w:tcBorders/>
            <w:shd w:fill="CCEEFF" w:val="clear"/>
            <w:vAlign w:val="center"/>
          </w:tcPr>
          <w:p>
            <w:pPr>
              <w:pStyle w:val="TableContents"/>
              <w:spacing w:before="0" w:after="0"/>
              <w:ind w:left="0" w:right="0" w:hanging="0"/>
              <w:rPr/>
            </w:pPr>
            <w:r>
              <w:rPr/>
              <w:t>​</w:t>
            </w:r>
          </w:p>
        </w:tc>
        <w:tc>
          <w:tcPr>
            <w:tcW w:w="3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44,502</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44,502</w:t>
            </w:r>
          </w:p>
        </w:tc>
        <w:tc>
          <w:tcPr>
            <w:tcW w:w="326" w:type="dxa"/>
            <w:tcBorders/>
            <w:shd w:fill="auto" w:val="clear"/>
            <w:vAlign w:val="center"/>
          </w:tcPr>
          <w:p>
            <w:pPr>
              <w:pStyle w:val="TableContents"/>
              <w:spacing w:before="0" w:after="0"/>
              <w:ind w:left="0" w:right="0" w:hanging="0"/>
              <w:rPr/>
            </w:pPr>
            <w:r>
              <w:rPr/>
              <w:t>​</w:t>
            </w:r>
          </w:p>
        </w:tc>
        <w:tc>
          <w:tcPr>
            <w:tcW w:w="39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26" w:type="dxa"/>
            <w:tcBorders/>
            <w:shd w:fill="CCEEFF" w:val="clear"/>
            <w:vAlign w:val="center"/>
          </w:tcPr>
          <w:p>
            <w:pPr>
              <w:pStyle w:val="TableContents"/>
              <w:spacing w:before="0" w:after="0"/>
              <w:ind w:left="0" w:right="0" w:hanging="0"/>
              <w:rPr/>
            </w:pPr>
            <w:r>
              <w:rPr/>
              <w:t>​</w:t>
            </w:r>
          </w:p>
        </w:tc>
        <w:tc>
          <w:tcPr>
            <w:tcW w:w="39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62,687</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62,661</w:t>
            </w:r>
          </w:p>
        </w:tc>
        <w:tc>
          <w:tcPr>
            <w:tcW w:w="326" w:type="dxa"/>
            <w:tcBorders/>
            <w:shd w:fill="auto" w:val="clear"/>
            <w:vAlign w:val="center"/>
          </w:tcPr>
          <w:p>
            <w:pPr>
              <w:pStyle w:val="TableContents"/>
              <w:spacing w:before="0" w:after="0"/>
              <w:ind w:left="0" w:right="0" w:hanging="0"/>
              <w:rPr/>
            </w:pPr>
            <w:r>
              <w:rPr/>
              <w:t>​</w:t>
            </w:r>
          </w:p>
        </w:tc>
        <w:tc>
          <w:tcPr>
            <w:tcW w:w="399" w:type="dxa"/>
            <w:tcBorders/>
            <w:shd w:fill="auto" w:val="clear"/>
            <w:vAlign w:val="center"/>
          </w:tcPr>
          <w:p>
            <w:pPr>
              <w:pStyle w:val="TableContents"/>
              <w:spacing w:before="0" w:after="0"/>
              <w:ind w:left="0" w:right="0" w:hanging="0"/>
              <w:rPr/>
            </w:pPr>
            <w:r>
              <w:rPr/>
              <w:t> </w:t>
            </w:r>
          </w:p>
        </w:tc>
        <w:tc>
          <w:tcPr>
            <w:tcW w:w="8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1,308,536</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1,307,821</w:t>
            </w:r>
          </w:p>
        </w:tc>
        <w:tc>
          <w:tcPr>
            <w:tcW w:w="326" w:type="dxa"/>
            <w:tcBorders/>
            <w:shd w:fill="CCEEFF" w:val="clear"/>
            <w:vAlign w:val="center"/>
          </w:tcPr>
          <w:p>
            <w:pPr>
              <w:pStyle w:val="TableContents"/>
              <w:spacing w:before="0" w:after="0"/>
              <w:ind w:left="0" w:right="0" w:hanging="0"/>
              <w:rPr/>
            </w:pPr>
            <w:r>
              <w:rPr/>
              <w:t>​</w:t>
            </w:r>
          </w:p>
        </w:tc>
        <w:tc>
          <w:tcPr>
            <w:tcW w:w="399" w:type="dxa"/>
            <w:tcBorders/>
            <w:shd w:fill="CCEEFF" w:val="clear"/>
            <w:vAlign w:val="center"/>
          </w:tcPr>
          <w:p>
            <w:pPr>
              <w:pStyle w:val="TableContents"/>
              <w:spacing w:before="0" w:after="0"/>
              <w:ind w:left="0" w:right="0" w:hanging="0"/>
              <w:rPr/>
            </w:pPr>
            <w:r>
              <w:rPr/>
              <w:t> </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99" w:type="dxa"/>
            <w:tcBorders/>
            <w:shd w:fill="auto" w:val="clear"/>
            <w:vAlign w:val="center"/>
          </w:tcPr>
          <w:p>
            <w:pPr>
              <w:pStyle w:val="TableContents"/>
              <w:spacing w:before="0" w:after="0"/>
              <w:ind w:left="0" w:right="0" w:hanging="0"/>
              <w:rPr/>
            </w:pPr>
            <w:r>
              <w:rPr/>
              <w:t>​</w:t>
            </w:r>
          </w:p>
        </w:tc>
        <w:tc>
          <w:tcPr>
            <w:tcW w:w="80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12,500</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12,476</w:t>
            </w:r>
          </w:p>
        </w:tc>
        <w:tc>
          <w:tcPr>
            <w:tcW w:w="326" w:type="dxa"/>
            <w:tcBorders/>
            <w:shd w:fill="CCEEFF" w:val="clear"/>
            <w:vAlign w:val="center"/>
          </w:tcPr>
          <w:p>
            <w:pPr>
              <w:pStyle w:val="TableContents"/>
              <w:spacing w:before="0" w:after="0"/>
              <w:ind w:left="0" w:right="0" w:hanging="0"/>
              <w:rPr/>
            </w:pPr>
            <w:r>
              <w:rPr/>
              <w:t>​</w:t>
            </w:r>
          </w:p>
        </w:tc>
        <w:tc>
          <w:tcPr>
            <w:tcW w:w="399" w:type="dxa"/>
            <w:tcBorders/>
            <w:shd w:fill="CCEEFF" w:val="clear"/>
            <w:vAlign w:val="center"/>
          </w:tcPr>
          <w:p>
            <w:pPr>
              <w:pStyle w:val="TableContents"/>
              <w:spacing w:before="0" w:after="0"/>
              <w:ind w:left="0" w:right="0" w:hanging="0"/>
              <w:rPr/>
            </w:pPr>
            <w:r>
              <w:rPr/>
              <w:t>​</w:t>
            </w:r>
          </w:p>
        </w:tc>
        <w:tc>
          <w:tcPr>
            <w:tcW w:w="80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87,133</w:t>
            </w:r>
          </w:p>
        </w:tc>
        <w:tc>
          <w:tcPr>
            <w:tcW w:w="326" w:type="dxa"/>
            <w:tcBorders/>
            <w:shd w:fill="auto" w:val="clear"/>
            <w:vAlign w:val="center"/>
          </w:tcPr>
          <w:p>
            <w:pPr>
              <w:pStyle w:val="TableContents"/>
              <w:spacing w:before="0" w:after="0"/>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86,943</w:t>
            </w:r>
          </w:p>
        </w:tc>
        <w:tc>
          <w:tcPr>
            <w:tcW w:w="326" w:type="dxa"/>
            <w:tcBorders/>
            <w:shd w:fill="auto" w:val="clear"/>
            <w:vAlign w:val="center"/>
          </w:tcPr>
          <w:p>
            <w:pPr>
              <w:pStyle w:val="TableContents"/>
              <w:spacing w:before="0" w:after="0"/>
              <w:ind w:left="0" w:right="0" w:hanging="0"/>
              <w:rPr/>
            </w:pPr>
            <w:r>
              <w:rPr/>
              <w:t>​</w:t>
            </w:r>
          </w:p>
        </w:tc>
        <w:tc>
          <w:tcPr>
            <w:tcW w:w="39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auto" w:val="clear"/>
            <w:vAlign w:val="center"/>
          </w:tcPr>
          <w:p>
            <w:pPr>
              <w:pStyle w:val="TableContents"/>
              <w:spacing w:before="0" w:after="0"/>
              <w:ind w:left="0" w:right="0" w:hanging="0"/>
              <w:rPr/>
            </w:pPr>
            <w:r>
              <w:rPr/>
              <w:t>​</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1,850,101</w:t>
            </w:r>
          </w:p>
        </w:tc>
        <w:tc>
          <w:tcPr>
            <w:tcW w:w="326" w:type="dxa"/>
            <w:tcBorders/>
            <w:shd w:fill="CCEEFF" w:val="clear"/>
            <w:vAlign w:val="center"/>
          </w:tcPr>
          <w:p>
            <w:pPr>
              <w:pStyle w:val="TableContents"/>
              <w:spacing w:before="0" w:after="0"/>
              <w:ind w:left="0" w:right="0" w:hanging="0"/>
              <w:rPr/>
            </w:pPr>
            <w:r>
              <w:rPr/>
              <w:t>​</w:t>
            </w:r>
          </w:p>
        </w:tc>
        <w:tc>
          <w:tcPr>
            <w:tcW w:w="37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0"/>
              <w:ind w:left="0" w:right="0" w:hanging="0"/>
              <w:rPr/>
            </w:pPr>
            <w:r>
              <w:rPr/>
              <w:t>​</w:t>
            </w:r>
          </w:p>
        </w:tc>
        <w:tc>
          <w:tcPr>
            <w:tcW w:w="3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1,849,146</w:t>
            </w:r>
          </w:p>
        </w:tc>
        <w:tc>
          <w:tcPr>
            <w:tcW w:w="326" w:type="dxa"/>
            <w:tcBorders/>
            <w:shd w:fill="CCEEFF" w:val="clear"/>
            <w:vAlign w:val="center"/>
          </w:tcPr>
          <w:p>
            <w:pPr>
              <w:pStyle w:val="TableContents"/>
              <w:spacing w:before="0" w:after="0"/>
              <w:ind w:left="0" w:right="0" w:hanging="0"/>
              <w:rPr/>
            </w:pPr>
            <w:r>
              <w:rPr/>
              <w:t>​</w:t>
            </w:r>
          </w:p>
        </w:tc>
        <w:tc>
          <w:tcPr>
            <w:tcW w:w="3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26" w:type="dxa"/>
            <w:tcBorders/>
            <w:shd w:fill="CCEEFF" w:val="clear"/>
            <w:vAlign w:val="center"/>
          </w:tcPr>
          <w:p>
            <w:pPr>
              <w:pStyle w:val="TableContents"/>
              <w:spacing w:before="0" w:after="0"/>
              <w:ind w:left="0" w:right="0" w:hanging="0"/>
              <w:rPr/>
            </w:pPr>
            <w:r>
              <w:rPr/>
              <w:t>​</w:t>
            </w:r>
          </w:p>
        </w:tc>
        <w:tc>
          <w:tcPr>
            <w:tcW w:w="4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16"/>
        <w:gridCol w:w="326"/>
        <w:gridCol w:w="211"/>
        <w:gridCol w:w="781"/>
        <w:gridCol w:w="326"/>
        <w:gridCol w:w="330"/>
        <w:gridCol w:w="661"/>
        <w:gridCol w:w="326"/>
        <w:gridCol w:w="375"/>
        <w:gridCol w:w="616"/>
        <w:gridCol w:w="326"/>
        <w:gridCol w:w="211"/>
        <w:gridCol w:w="781"/>
        <w:gridCol w:w="326"/>
        <w:gridCol w:w="454"/>
        <w:gridCol w:w="747"/>
        <w:gridCol w:w="326"/>
        <w:gridCol w:w="435"/>
        <w:gridCol w:w="931"/>
      </w:tblGrid>
      <w:tr>
        <w:trPr/>
        <w:tc>
          <w:tcPr>
            <w:tcW w:w="1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95935" cy="175260"/>
                      <wp:effectExtent l="0" t="0" r="0" b="0"/>
                      <wp:wrapNone/>
                      <wp:docPr id="295" name="Frame29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9550" cy="175260"/>
                      <wp:effectExtent l="0" t="0" r="0" b="0"/>
                      <wp:wrapNone/>
                      <wp:docPr id="297" name="Frame295"/>
                      <a:graphic xmlns:a="http://schemas.openxmlformats.org/drawingml/2006/main">
                        <a:graphicData uri="http://schemas.microsoft.com/office/word/2010/wordprocessingShape">
                          <wps:wsp>
                            <wps:cNvSpPr txBox="1"/>
                            <wps:spPr>
                              <a:xfrm>
                                <a:off x="0" y="0"/>
                                <a:ext cx="20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19735" cy="175260"/>
                      <wp:effectExtent l="0" t="0" r="0" b="0"/>
                      <wp:wrapNone/>
                      <wp:docPr id="298" name="Frame296"/>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38125" cy="175260"/>
                      <wp:effectExtent l="0" t="0" r="0" b="0"/>
                      <wp:wrapNone/>
                      <wp:docPr id="300" name="Frame298"/>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91160" cy="175260"/>
                      <wp:effectExtent l="0" t="0" r="0" b="0"/>
                      <wp:wrapNone/>
                      <wp:docPr id="301" name="Frame299"/>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95935" cy="175260"/>
                      <wp:effectExtent l="0" t="0" r="0" b="0"/>
                      <wp:wrapNone/>
                      <wp:docPr id="304" name="Frame30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88290" cy="175260"/>
                      <wp:effectExtent l="0" t="0" r="0" b="0"/>
                      <wp:wrapNone/>
                      <wp:docPr id="306" name="Frame304"/>
                      <a:graphic xmlns:a="http://schemas.openxmlformats.org/drawingml/2006/main">
                        <a:graphicData uri="http://schemas.microsoft.com/office/word/2010/wordprocessingShape">
                          <wps:wsp>
                            <wps:cNvSpPr txBox="1"/>
                            <wps:spPr>
                              <a:xfrm>
                                <a:off x="0" y="0"/>
                                <a:ext cx="288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74345" cy="175260"/>
                      <wp:effectExtent l="0" t="0" r="0" b="0"/>
                      <wp:wrapNone/>
                      <wp:docPr id="307" name="Frame305"/>
                      <a:graphic xmlns:a="http://schemas.openxmlformats.org/drawingml/2006/main">
                        <a:graphicData uri="http://schemas.microsoft.com/office/word/2010/wordprocessingShape">
                          <wps:wsp>
                            <wps:cNvSpPr txBox="1"/>
                            <wps:spPr>
                              <a:xfrm>
                                <a:off x="0" y="0"/>
                                <a:ext cx="474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76225" cy="175260"/>
                      <wp:effectExtent l="0" t="0" r="0" b="0"/>
                      <wp:wrapNone/>
                      <wp:docPr id="309" name="Frame307"/>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91185" cy="175260"/>
                      <wp:effectExtent l="0" t="0" r="0" b="0"/>
                      <wp:wrapNone/>
                      <wp:docPr id="310" name="Frame30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12</w:t>
            </w:r>
          </w:p>
        </w:tc>
      </w:tr>
      <w:tr>
        <w:trPr/>
        <w:tc>
          <w:tcPr>
            <w:tcW w:w="17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2020</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12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shd w:fill="auto" w:val="clear"/>
            <w:vAlign w:val="center"/>
          </w:tcPr>
          <w:p>
            <w:pPr>
              <w:pStyle w:val="TableContents"/>
              <w:spacing w:before="0" w:after="0"/>
              <w:ind w:left="0" w:right="0" w:hanging="0"/>
              <w:rPr/>
            </w:pPr>
            <w:r>
              <w:rPr/>
              <w:t>    </w:t>
            </w:r>
          </w:p>
        </w:tc>
        <w:tc>
          <w:tcPr>
            <w:tcW w:w="13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r>
      <w:tr>
        <w:trPr/>
        <w:tc>
          <w:tcPr>
            <w:tcW w:w="17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54"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54"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119,886</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119,886</w:t>
            </w:r>
          </w:p>
        </w:tc>
        <w:tc>
          <w:tcPr>
            <w:tcW w:w="326" w:type="dxa"/>
            <w:tcBorders/>
            <w:shd w:fill="CCEEFF" w:val="clear"/>
            <w:vAlign w:val="center"/>
          </w:tcPr>
          <w:p>
            <w:pPr>
              <w:pStyle w:val="TableContents"/>
              <w:spacing w:before="0" w:after="0"/>
              <w:ind w:left="0" w:right="0" w:hanging="0"/>
              <w:rPr/>
            </w:pPr>
            <w:r>
              <w:rPr/>
              <w:t>​</w:t>
            </w:r>
          </w:p>
        </w:tc>
        <w:tc>
          <w:tcPr>
            <w:tcW w:w="4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20,387</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20,387</w:t>
            </w:r>
          </w:p>
        </w:tc>
        <w:tc>
          <w:tcPr>
            <w:tcW w:w="326" w:type="dxa"/>
            <w:tcBorders/>
            <w:shd w:fill="auto" w:val="clear"/>
            <w:vAlign w:val="center"/>
          </w:tcPr>
          <w:p>
            <w:pPr>
              <w:pStyle w:val="TableContents"/>
              <w:spacing w:before="0" w:after="0"/>
              <w:ind w:left="0" w:right="0" w:hanging="0"/>
              <w:rPr/>
            </w:pPr>
            <w:r>
              <w:rPr/>
              <w:t>​</w:t>
            </w:r>
          </w:p>
        </w:tc>
        <w:tc>
          <w:tcPr>
            <w:tcW w:w="454"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w:t>
            </w:r>
          </w:p>
        </w:tc>
        <w:tc>
          <w:tcPr>
            <w:tcW w:w="326" w:type="dxa"/>
            <w:tcBorders/>
            <w:shd w:fill="CCEEFF" w:val="clear"/>
            <w:vAlign w:val="center"/>
          </w:tcPr>
          <w:p>
            <w:pPr>
              <w:pStyle w:val="TableContents"/>
              <w:spacing w:before="0" w:after="0"/>
              <w:ind w:left="0" w:right="0" w:hanging="0"/>
              <w:rPr/>
            </w:pPr>
            <w:r>
              <w:rPr/>
              <w:t>​</w:t>
            </w:r>
          </w:p>
        </w:tc>
        <w:tc>
          <w:tcPr>
            <w:tcW w:w="454" w:type="dxa"/>
            <w:tcBorders/>
            <w:shd w:fill="CCEEFF" w:val="clear"/>
            <w:vAlign w:val="center"/>
          </w:tcPr>
          <w:p>
            <w:pPr>
              <w:pStyle w:val="TableContents"/>
              <w:spacing w:before="0" w:after="0"/>
              <w:ind w:left="0" w:right="0" w:hanging="0"/>
              <w:rPr/>
            </w:pPr>
            <w:r>
              <w:rPr/>
              <w:t> </w:t>
            </w:r>
          </w:p>
        </w:tc>
        <w:tc>
          <w:tcPr>
            <w:tcW w:w="74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r>
      <w:tr>
        <w:trPr/>
        <w:tc>
          <w:tcPr>
            <w:tcW w:w="1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81,521</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81,531</w:t>
            </w:r>
          </w:p>
        </w:tc>
        <w:tc>
          <w:tcPr>
            <w:tcW w:w="326" w:type="dxa"/>
            <w:tcBorders/>
            <w:shd w:fill="auto" w:val="clear"/>
            <w:vAlign w:val="center"/>
          </w:tcPr>
          <w:p>
            <w:pPr>
              <w:pStyle w:val="TableContents"/>
              <w:spacing w:before="0" w:after="0"/>
              <w:ind w:left="0" w:right="0" w:hanging="0"/>
              <w:rPr/>
            </w:pPr>
            <w:r>
              <w:rPr/>
              <w:t>​</w:t>
            </w:r>
          </w:p>
        </w:tc>
        <w:tc>
          <w:tcPr>
            <w:tcW w:w="454" w:type="dxa"/>
            <w:tcBorders/>
            <w:shd w:fill="auto" w:val="clear"/>
            <w:vAlign w:val="center"/>
          </w:tcPr>
          <w:p>
            <w:pPr>
              <w:pStyle w:val="TableContents"/>
              <w:spacing w:before="0" w:after="0"/>
              <w:ind w:left="0" w:right="0" w:hanging="0"/>
              <w:rPr/>
            </w:pPr>
            <w:r>
              <w:rPr/>
              <w:t> </w:t>
            </w:r>
          </w:p>
        </w:tc>
        <w:tc>
          <w:tcPr>
            <w:tcW w:w="7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r>
      <w:tr>
        <w:trPr/>
        <w:tc>
          <w:tcPr>
            <w:tcW w:w="1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650,386</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650,467</w:t>
            </w:r>
          </w:p>
        </w:tc>
        <w:tc>
          <w:tcPr>
            <w:tcW w:w="326" w:type="dxa"/>
            <w:tcBorders/>
            <w:shd w:fill="CCEEFF" w:val="clear"/>
            <w:vAlign w:val="center"/>
          </w:tcPr>
          <w:p>
            <w:pPr>
              <w:pStyle w:val="TableContents"/>
              <w:spacing w:before="0" w:after="0"/>
              <w:ind w:left="0" w:right="0" w:hanging="0"/>
              <w:rPr/>
            </w:pPr>
            <w:r>
              <w:rPr/>
              <w:t>​</w:t>
            </w:r>
          </w:p>
        </w:tc>
        <w:tc>
          <w:tcPr>
            <w:tcW w:w="454"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54" w:type="dxa"/>
            <w:tcBorders/>
            <w:shd w:fill="auto" w:val="clear"/>
            <w:vAlign w:val="center"/>
          </w:tcPr>
          <w:p>
            <w:pPr>
              <w:pStyle w:val="TableContents"/>
              <w:spacing w:before="0" w:after="0"/>
              <w:ind w:left="0" w:right="0" w:hanging="0"/>
              <w:rPr/>
            </w:pPr>
            <w:r>
              <w:rPr/>
              <w:t>​</w:t>
            </w:r>
          </w:p>
        </w:tc>
        <w:tc>
          <w:tcPr>
            <w:tcW w:w="74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10,350</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10,351</w:t>
            </w:r>
          </w:p>
        </w:tc>
        <w:tc>
          <w:tcPr>
            <w:tcW w:w="326" w:type="dxa"/>
            <w:tcBorders/>
            <w:shd w:fill="CCEEFF" w:val="clear"/>
            <w:vAlign w:val="center"/>
          </w:tcPr>
          <w:p>
            <w:pPr>
              <w:pStyle w:val="TableContents"/>
              <w:spacing w:before="0" w:after="0"/>
              <w:ind w:left="0" w:right="0" w:hanging="0"/>
              <w:rPr/>
            </w:pPr>
            <w:r>
              <w:rPr/>
              <w:t>​</w:t>
            </w:r>
          </w:p>
        </w:tc>
        <w:tc>
          <w:tcPr>
            <w:tcW w:w="454" w:type="dxa"/>
            <w:tcBorders/>
            <w:shd w:fill="CCEEFF" w:val="clear"/>
            <w:vAlign w:val="center"/>
          </w:tcPr>
          <w:p>
            <w:pPr>
              <w:pStyle w:val="TableContents"/>
              <w:spacing w:before="0" w:after="0"/>
              <w:ind w:left="0" w:right="0" w:hanging="0"/>
              <w:rPr/>
            </w:pPr>
            <w:r>
              <w:rPr/>
              <w:t>​</w:t>
            </w:r>
          </w:p>
        </w:tc>
        <w:tc>
          <w:tcPr>
            <w:tcW w:w="74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33,946</w:t>
            </w:r>
          </w:p>
        </w:tc>
        <w:tc>
          <w:tcPr>
            <w:tcW w:w="326" w:type="dxa"/>
            <w:tcBorders/>
            <w:shd w:fill="auto" w:val="clear"/>
            <w:vAlign w:val="center"/>
          </w:tcPr>
          <w:p>
            <w:pPr>
              <w:pStyle w:val="TableContents"/>
              <w:spacing w:before="0" w:after="0"/>
              <w:ind w:left="0" w:right="0" w:hanging="0"/>
              <w:rPr/>
            </w:pPr>
            <w:r>
              <w:rPr/>
              <w:t>​</w:t>
            </w:r>
          </w:p>
        </w:tc>
        <w:tc>
          <w:tcPr>
            <w:tcW w:w="3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33,940</w:t>
            </w:r>
          </w:p>
        </w:tc>
        <w:tc>
          <w:tcPr>
            <w:tcW w:w="326" w:type="dxa"/>
            <w:tcBorders/>
            <w:shd w:fill="auto" w:val="clear"/>
            <w:vAlign w:val="center"/>
          </w:tcPr>
          <w:p>
            <w:pPr>
              <w:pStyle w:val="TableContents"/>
              <w:spacing w:before="0" w:after="0"/>
              <w:ind w:left="0" w:right="0" w:hanging="0"/>
              <w:rPr/>
            </w:pPr>
            <w:r>
              <w:rPr/>
              <w:t>​</w:t>
            </w:r>
          </w:p>
        </w:tc>
        <w:tc>
          <w:tcPr>
            <w:tcW w:w="4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0"/>
              <w:ind w:left="0" w:right="0" w:hanging="0"/>
              <w:rPr/>
            </w:pPr>
            <w:r>
              <w:rPr/>
              <w:t>​</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925,559</w:t>
            </w:r>
          </w:p>
        </w:tc>
        <w:tc>
          <w:tcPr>
            <w:tcW w:w="326" w:type="dxa"/>
            <w:tcBorders/>
            <w:shd w:fill="CCEEFF" w:val="clear"/>
            <w:vAlign w:val="center"/>
          </w:tcPr>
          <w:p>
            <w:pPr>
              <w:pStyle w:val="TableContents"/>
              <w:spacing w:before="0" w:after="0"/>
              <w:ind w:left="0" w:right="0" w:hanging="0"/>
              <w:rPr/>
            </w:pPr>
            <w:r>
              <w:rPr/>
              <w:t>​</w:t>
            </w:r>
          </w:p>
        </w:tc>
        <w:tc>
          <w:tcPr>
            <w:tcW w:w="3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spacing w:before="0" w:after="0"/>
              <w:ind w:left="0" w:right="0" w:hanging="0"/>
              <w:rPr/>
            </w:pPr>
            <w:r>
              <w:rPr/>
              <w:t>​</w:t>
            </w:r>
          </w:p>
        </w:tc>
        <w:tc>
          <w:tcPr>
            <w:tcW w:w="37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925,645</w:t>
            </w:r>
          </w:p>
        </w:tc>
        <w:tc>
          <w:tcPr>
            <w:tcW w:w="326" w:type="dxa"/>
            <w:tcBorders/>
            <w:shd w:fill="CCEEFF" w:val="clear"/>
            <w:vAlign w:val="center"/>
          </w:tcPr>
          <w:p>
            <w:pPr>
              <w:pStyle w:val="TableContents"/>
              <w:spacing w:before="0" w:after="0"/>
              <w:ind w:left="0" w:right="0" w:hanging="0"/>
              <w:rPr/>
            </w:pPr>
            <w:r>
              <w:rPr/>
              <w:t>​</w:t>
            </w:r>
          </w:p>
        </w:tc>
        <w:tc>
          <w:tcPr>
            <w:tcW w:w="4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spacing w:before="0" w:after="0"/>
              <w:ind w:left="0" w:right="0" w:hanging="0"/>
              <w:rPr/>
            </w:pPr>
            <w:r>
              <w:rPr/>
              <w:t>​</w:t>
            </w:r>
          </w:p>
        </w:tc>
        <w:tc>
          <w:tcPr>
            <w:tcW w:w="4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During the years ended December 31, 2021, 2020 and 2019, realized gains or losses recognized on the sale of investments were not significant.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Company’s investments at December 31, 2021 and 2020 carried investment grade credit ratings.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bookmarkStart w:id="1095" w:name="Tc_NTfFyKMm9k2BaptEUUiAeg_12_11"/>
      <w:bookmarkStart w:id="1096" w:name="Tc_P_Dgwa_SXEeEspw43LVO_Q_12_8"/>
      <w:bookmarkStart w:id="1097" w:name="Tc_9grD3PCnBUma_Z-KYsShbA_12_5"/>
      <w:bookmarkStart w:id="1098" w:name="Tc_1ukWt9O-BkelcShHdmp6Xw_12_2"/>
      <w:bookmarkStart w:id="1099" w:name="Tc_HQZQAOBglkeM5B3cH9VqRQ_12_0"/>
      <w:bookmarkStart w:id="1100" w:name="Tc_XFd46anXEEOv6Z6p1Q4EAA_11_0"/>
      <w:bookmarkStart w:id="1101" w:name="Tc_ZhFVendDT06FbIc_J7usOA_10_0"/>
      <w:bookmarkStart w:id="1102" w:name="Tc_DrB1jLNEp0ayVU0-ODFWeA_9_0"/>
      <w:bookmarkStart w:id="1103" w:name="Tc_M-gH7oGOy0-RIu7KcHvnjA_8_0"/>
      <w:bookmarkStart w:id="1104" w:name="Tc_AJZVdpaq3UiAAbYXEPhlAg_7_0"/>
      <w:bookmarkStart w:id="1105" w:name="Tc_4YU5yThYnUusiptFd84D5A_6_0"/>
      <w:bookmarkStart w:id="1106" w:name="Tc_V9Q8ex9uokWOam8do6q7tw_5_0"/>
      <w:bookmarkStart w:id="1107" w:name="Tc_Slk_H2VOEU6NF7yygj_kxA_4_11"/>
      <w:bookmarkStart w:id="1108" w:name="Tc_fMQ55-LZBUGbCDXxN7Bi9w_4_8"/>
      <w:bookmarkStart w:id="1109" w:name="Tc_WNlH_tqWqUK2Vm_Flg7NNw_4_5"/>
      <w:bookmarkStart w:id="1110" w:name="Tc_uSYEnLUp7EmWnU2xB-XIsA_4_2"/>
      <w:bookmarkStart w:id="1111" w:name="Tc_pnzaiW1QuUO-ZfWlkq-szw_4_0"/>
      <w:bookmarkStart w:id="1112" w:name="Tc_YmfM3_6hJUexMKvxKULa4w_3_0"/>
      <w:bookmarkStart w:id="1113" w:name="Tc_2qHVg9xzsUy9eIZlzOcS8Q_2_11"/>
      <w:bookmarkStart w:id="1114" w:name="Tc_QiCtPZBhJkumUA7mTUBxlw_2_8"/>
      <w:bookmarkStart w:id="1115" w:name="Tc_gVqfWOaVukeM7BnQeXWGDQ_2_5"/>
      <w:bookmarkStart w:id="1116" w:name="Tc_e9eZXeF6ikyVdVEDo6mglg_2_2"/>
      <w:bookmarkStart w:id="1117" w:name="Tc_ZBoNdPNxbkqMm1L53lUcyA_1_8"/>
      <w:bookmarkStart w:id="1118" w:name="Tc_yTuw9MqLtEGTq87OikEGRw_1_2"/>
      <w:bookmarkStart w:id="1119" w:name="_16ecb2db_c2d7_4719_b002_af24b1ab5b4c"/>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r>
        <w:rPr>
          <w:rFonts w:ascii="Times New Roman;Times;serif" w:hAnsi="Times New Roman;Times;serif"/>
          <w:sz w:val="22"/>
        </w:rPr>
        <w:t>The following table summarizes the underlying contractual maturities of the Company’s investments at:</w:t>
      </w:r>
    </w:p>
    <w:tbl>
      <w:tblPr>
        <w:tblW w:w="9216" w:type="dxa"/>
        <w:jc w:val="left"/>
        <w:tblInd w:w="0" w:type="dxa"/>
        <w:tblCellMar>
          <w:top w:w="0" w:type="dxa"/>
          <w:left w:w="0" w:type="dxa"/>
          <w:bottom w:w="0" w:type="dxa"/>
          <w:right w:w="0" w:type="dxa"/>
        </w:tblCellMar>
      </w:tblPr>
      <w:tblGrid>
        <w:gridCol w:w="2911"/>
        <w:gridCol w:w="326"/>
        <w:gridCol w:w="255"/>
        <w:gridCol w:w="1126"/>
        <w:gridCol w:w="326"/>
        <w:gridCol w:w="211"/>
        <w:gridCol w:w="931"/>
        <w:gridCol w:w="326"/>
        <w:gridCol w:w="293"/>
        <w:gridCol w:w="1088"/>
        <w:gridCol w:w="326"/>
        <w:gridCol w:w="211"/>
        <w:gridCol w:w="886"/>
      </w:tblGrid>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61925" cy="175260"/>
                      <wp:effectExtent l="0" t="0" r="0" b="0"/>
                      <wp:wrapNone/>
                      <wp:docPr id="312" name="Frame310"/>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15010" cy="175260"/>
                      <wp:effectExtent l="0" t="0" r="0" b="0"/>
                      <wp:wrapNone/>
                      <wp:docPr id="313" name="Frame311"/>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91185" cy="175260"/>
                      <wp:effectExtent l="0" t="0" r="0" b="0"/>
                      <wp:wrapNone/>
                      <wp:docPr id="316" name="Frame31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86055" cy="175260"/>
                      <wp:effectExtent l="0" t="0" r="0" b="0"/>
                      <wp:wrapNone/>
                      <wp:docPr id="318" name="Frame316"/>
                      <a:graphic xmlns:a="http://schemas.openxmlformats.org/drawingml/2006/main">
                        <a:graphicData uri="http://schemas.microsoft.com/office/word/2010/wordprocessingShape">
                          <wps:wsp>
                            <wps:cNvSpPr txBox="1"/>
                            <wps:spPr>
                              <a:xfrm>
                                <a:off x="0" y="0"/>
                                <a:ext cx="186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0880" cy="175260"/>
                      <wp:effectExtent l="0" t="0" r="0" b="0"/>
                      <wp:wrapNone/>
                      <wp:docPr id="319" name="Frame317"/>
                      <a:graphic xmlns:a="http://schemas.openxmlformats.org/drawingml/2006/main">
                        <a:graphicData uri="http://schemas.microsoft.com/office/word/2010/wordprocessingShape">
                          <wps:wsp>
                            <wps:cNvSpPr txBox="1"/>
                            <wps:spPr>
                              <a:xfrm>
                                <a:off x="0" y="0"/>
                                <a:ext cx="690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62610" cy="175260"/>
                      <wp:effectExtent l="0" t="0" r="0" b="0"/>
                      <wp:wrapNone/>
                      <wp:docPr id="322" name="Frame32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4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2021</w:t>
            </w:r>
          </w:p>
        </w:tc>
        <w:tc>
          <w:tcPr>
            <w:tcW w:w="326" w:type="dxa"/>
            <w:tcBorders/>
            <w:shd w:fill="auto" w:val="clear"/>
            <w:vAlign w:val="center"/>
          </w:tcPr>
          <w:p>
            <w:pPr>
              <w:pStyle w:val="TableContents"/>
              <w:spacing w:before="0" w:after="0"/>
              <w:ind w:left="0" w:right="0" w:hanging="0"/>
              <w:rPr/>
            </w:pPr>
            <w:r>
              <w:rPr/>
              <w:t>​</w:t>
            </w:r>
          </w:p>
        </w:tc>
        <w:tc>
          <w:tcPr>
            <w:tcW w:w="280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2020</w:t>
            </w:r>
          </w:p>
        </w:tc>
      </w:tr>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shd w:fill="auto" w:val="clear"/>
            <w:vAlign w:val="center"/>
          </w:tcPr>
          <w:p>
            <w:pPr>
              <w:pStyle w:val="TableContents"/>
              <w:spacing w:before="0" w:after="0"/>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than 1 year:</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3" w:type="dxa"/>
            <w:tcBorders/>
            <w:shd w:fill="CCEEFF" w:val="clear"/>
            <w:vAlign w:val="center"/>
          </w:tcPr>
          <w:p>
            <w:pPr>
              <w:pStyle w:val="TableContents"/>
              <w:spacing w:before="0" w:after="0"/>
              <w:ind w:left="0" w:right="0" w:hanging="0"/>
              <w:rPr/>
            </w:pPr>
            <w:r>
              <w:rPr/>
              <w:t>​</w:t>
            </w:r>
          </w:p>
        </w:tc>
        <w:tc>
          <w:tcPr>
            <w:tcW w:w="10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334,077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334,077</w:t>
            </w:r>
          </w:p>
        </w:tc>
        <w:tc>
          <w:tcPr>
            <w:tcW w:w="326" w:type="dxa"/>
            <w:tcBorders/>
            <w:shd w:fill="auto" w:val="clear"/>
            <w:vAlign w:val="center"/>
          </w:tcPr>
          <w:p>
            <w:pPr>
              <w:pStyle w:val="TableContents"/>
              <w:spacing w:before="0" w:after="0"/>
              <w:ind w:left="0" w:right="0" w:hanging="0"/>
              <w:rPr/>
            </w:pPr>
            <w:r>
              <w:rPr/>
              <w:t> </w:t>
            </w:r>
          </w:p>
        </w:tc>
        <w:tc>
          <w:tcPr>
            <w:tcW w:w="2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119,886</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26"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c>
          <w:tcPr>
            <w:tcW w:w="10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62,687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62,661</w:t>
            </w:r>
          </w:p>
        </w:tc>
        <w:tc>
          <w:tcPr>
            <w:tcW w:w="326" w:type="dxa"/>
            <w:tcBorders/>
            <w:shd w:fill="auto" w:val="clear"/>
            <w:vAlign w:val="center"/>
          </w:tcPr>
          <w:p>
            <w:pPr>
              <w:pStyle w:val="TableContents"/>
              <w:spacing w:before="0" w:after="0"/>
              <w:ind w:left="0" w:right="0" w:hanging="0"/>
              <w:rPr/>
            </w:pPr>
            <w:r>
              <w:rPr/>
              <w:t> </w:t>
            </w:r>
          </w:p>
        </w:tc>
        <w:tc>
          <w:tcPr>
            <w:tcW w:w="293" w:type="dxa"/>
            <w:tcBorders/>
            <w:shd w:fill="auto" w:val="clear"/>
            <w:vAlign w:val="center"/>
          </w:tcPr>
          <w:p>
            <w:pPr>
              <w:pStyle w:val="TableContents"/>
              <w:spacing w:before="0" w:after="0"/>
              <w:ind w:left="0" w:right="0" w:hanging="0"/>
              <w:rPr/>
            </w:pPr>
            <w:r>
              <w:rPr/>
              <w:t> </w:t>
            </w:r>
          </w:p>
        </w:tc>
        <w:tc>
          <w:tcPr>
            <w:tcW w:w="10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81,531</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44,502</w:t>
            </w:r>
          </w:p>
        </w:tc>
        <w:tc>
          <w:tcPr>
            <w:tcW w:w="326"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c>
          <w:tcPr>
            <w:tcW w:w="10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20,387</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1,308,536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1,307,821</w:t>
            </w:r>
          </w:p>
        </w:tc>
        <w:tc>
          <w:tcPr>
            <w:tcW w:w="326"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rPr/>
            </w:pPr>
            <w:r>
              <w:rPr/>
              <w:t>​</w:t>
            </w:r>
          </w:p>
        </w:tc>
        <w:tc>
          <w:tcPr>
            <w:tcW w:w="10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650,386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650,467</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Due 1 - 10 years:</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93" w:type="dxa"/>
            <w:tcBorders/>
            <w:shd w:fill="CCEEFF" w:val="clear"/>
            <w:vAlign w:val="center"/>
          </w:tcPr>
          <w:p>
            <w:pPr>
              <w:pStyle w:val="TableContents"/>
              <w:spacing w:before="0" w:after="0"/>
              <w:ind w:left="0" w:right="0" w:hanging="0"/>
              <w:rPr/>
            </w:pPr>
            <w:r>
              <w:rPr/>
              <w:t>​</w:t>
            </w:r>
          </w:p>
        </w:tc>
        <w:tc>
          <w:tcPr>
            <w:tcW w:w="10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87,133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86,943</w:t>
            </w:r>
          </w:p>
        </w:tc>
        <w:tc>
          <w:tcPr>
            <w:tcW w:w="326"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rPr/>
            </w:pPr>
            <w:r>
              <w:rPr/>
              <w:t>​</w:t>
            </w:r>
          </w:p>
        </w:tc>
        <w:tc>
          <w:tcPr>
            <w:tcW w:w="10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33,940</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spacing w:before="0" w:after="0"/>
              <w:ind w:left="0" w:right="0" w:hanging="0"/>
              <w:rPr/>
            </w:pPr>
            <w:r>
              <w:rPr/>
              <w:t>​</w:t>
            </w:r>
          </w:p>
        </w:tc>
        <w:tc>
          <w:tcPr>
            <w:tcW w:w="25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12,476</w:t>
            </w:r>
          </w:p>
        </w:tc>
        <w:tc>
          <w:tcPr>
            <w:tcW w:w="326" w:type="dxa"/>
            <w:tcBorders/>
            <w:shd w:fill="CCEEFF" w:val="clear"/>
            <w:vAlign w:val="center"/>
          </w:tcPr>
          <w:p>
            <w:pPr>
              <w:pStyle w:val="TableContents"/>
              <w:spacing w:before="0" w:after="0"/>
              <w:ind w:left="0" w:right="0" w:hanging="0"/>
              <w:rPr/>
            </w:pPr>
            <w:r>
              <w:rPr/>
              <w:t> </w:t>
            </w:r>
          </w:p>
        </w:tc>
        <w:tc>
          <w:tcPr>
            <w:tcW w:w="29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10,350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10,351</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5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1,850,101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1,849,146</w:t>
            </w:r>
          </w:p>
        </w:tc>
        <w:tc>
          <w:tcPr>
            <w:tcW w:w="326" w:type="dxa"/>
            <w:tcBorders/>
            <w:shd w:fill="auto" w:val="clear"/>
            <w:vAlign w:val="center"/>
          </w:tcPr>
          <w:p>
            <w:pPr>
              <w:pStyle w:val="TableContents"/>
              <w:spacing w:before="0" w:after="0"/>
              <w:ind w:left="0" w:right="0" w:hanging="0"/>
              <w:rPr/>
            </w:pPr>
            <w:r>
              <w:rPr/>
              <w:t> </w:t>
            </w:r>
          </w:p>
        </w:tc>
        <w:tc>
          <w:tcPr>
            <w:tcW w:w="29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925,559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925,645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5.          FAIR VALUE OF CERTAIN FINANCIAL ASSETS AND LIABILITIES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FASB ASC 820 provides a framework for measuring fair value and requires expanded disclosures regarding fair value measurements.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The three levels of inputs required by the standard that the Company uses to measure fair value are summarized below.</w:t>
      </w:r>
    </w:p>
    <w:tbl>
      <w:tblPr>
        <w:tblW w:w="7341" w:type="dxa"/>
        <w:jc w:val="left"/>
        <w:tblInd w:w="0" w:type="dxa"/>
        <w:tblCellMar>
          <w:top w:w="28" w:type="dxa"/>
          <w:left w:w="28" w:type="dxa"/>
          <w:bottom w:w="28" w:type="dxa"/>
          <w:right w:w="28" w:type="dxa"/>
        </w:tblCellMar>
      </w:tblPr>
      <w:tblGrid>
        <w:gridCol w:w="124"/>
        <w:gridCol w:w="256"/>
        <w:gridCol w:w="6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6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2"/>
              </w:rPr>
              <w:t xml:space="preserve">Level 1: </w:t>
            </w:r>
            <w:r>
              <w:rPr>
                <w:rFonts w:ascii="Times New Roman;Times;serif" w:hAnsi="Times New Roman;Times;serif"/>
                <w:b w:val="false"/>
                <w:i w:val="false"/>
                <w:caps w:val="false"/>
                <w:smallCaps w:val="false"/>
                <w:sz w:val="22"/>
              </w:rPr>
              <w:t>Quoted prices in active markets for identical assets or liabilities.</w:t>
            </w:r>
          </w:p>
        </w:tc>
      </w:tr>
    </w:tbl>
    <w:p>
      <w:pPr>
        <w:pStyle w:val="TextBody"/>
        <w:pBdr/>
        <w:spacing w:before="0" w:after="0"/>
        <w:ind w:left="0" w:right="0" w:hanging="36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2"/>
              </w:rPr>
              <w:t xml:space="preserve">Level 2: </w:t>
            </w:r>
            <w:r>
              <w:rPr>
                <w:rFonts w:ascii="Times New Roman;Times;serif" w:hAnsi="Times New Roman;Times;serif"/>
                <w:b w:val="false"/>
                <w:i w:val="false"/>
                <w:caps w:val="false"/>
                <w:smallCaps w:val="false"/>
                <w:sz w:val="22"/>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p>
      <w:pPr>
        <w:pStyle w:val="TextBody"/>
        <w:spacing w:before="0" w:after="0"/>
        <w:ind w:left="0" w:right="0" w:firstLine="72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2"/>
              </w:rPr>
              <w:t xml:space="preserve">Level 3: </w:t>
            </w:r>
            <w:r>
              <w:rPr>
                <w:rFonts w:ascii="Times New Roman;Times;serif" w:hAnsi="Times New Roman;Times;serif"/>
                <w:b w:val="false"/>
                <w:i w:val="false"/>
                <w:caps w:val="false"/>
                <w:smallCaps w:val="false"/>
                <w:sz w:val="22"/>
              </w:rPr>
              <w:t>Unobservable inputs that are supported by little or no market activity and that are significant to the fair value of the assets or liabilities.</w:t>
            </w:r>
          </w:p>
        </w:tc>
      </w:tr>
    </w:tbl>
    <w:p>
      <w:pPr>
        <w:pStyle w:val="TextBody"/>
        <w:spacing w:before="0" w:after="0"/>
        <w:ind w:left="0" w:right="0" w:firstLine="72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FASB ASC 820 requires the use of observable market inputs (quoted market prices) when measuring fair value and requires a Level 1 quoted price to be used to measure fair value whenever possible.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bookmarkStart w:id="1120" w:name="Tc_k9tvUEFpKUK1fWYlau8IFA_18_11"/>
      <w:bookmarkStart w:id="1121" w:name="Tc_KeQL2zssfE2sEcT53viZyA_18_9"/>
      <w:bookmarkStart w:id="1122" w:name="Tc_cwX50mpt30u7eGqr8IZIzw_18_8"/>
      <w:bookmarkStart w:id="1123" w:name="Tc_YgFWgul9ekKkePpxB0NJhw_18_5"/>
      <w:bookmarkStart w:id="1124" w:name="Tc_Ka0P_8MWwki6oVQlPka2jA_18_2"/>
      <w:bookmarkStart w:id="1125" w:name="Tc_xi6pCCCnCkCjZMTFnUgnQw_18_0"/>
      <w:bookmarkStart w:id="1126" w:name="Tc_-aYzaITQqUWuyvfVscB73w_17_9"/>
      <w:bookmarkStart w:id="1127" w:name="Tc_xczra7NHYUOL8KaSlF0k2Q_17_3"/>
      <w:bookmarkStart w:id="1128" w:name="Tc_bBDl8b7_3Eqz0Zq5BH-MMA_17_0"/>
      <w:bookmarkStart w:id="1129" w:name="Tc_02SdiFE_s0C7ybV89CTbDw_16_9"/>
      <w:bookmarkStart w:id="1130" w:name="Tc_ivdXrKhjVkyT8gBKiYwS-w_16_3"/>
      <w:bookmarkStart w:id="1131" w:name="Tc_NfuYd2OULUiSjKURYNtDcw_16_0"/>
      <w:bookmarkStart w:id="1132" w:name="Tc_fQNcB_zxgUO5CdEFDa7UTA_15_9"/>
      <w:bookmarkStart w:id="1133" w:name="Tc_51zLorKo2USymATHLFzudQ_15_3"/>
      <w:bookmarkStart w:id="1134" w:name="Tc_F5Y0rHleYEeHNLXYHL0ZOQ_15_0"/>
      <w:bookmarkStart w:id="1135" w:name="Tc_GPs8r8g5fEyDflQX3biMhA_14_9"/>
      <w:bookmarkStart w:id="1136" w:name="Tc_0pyNZUikZ0WXQ3d2xYHkPg_14_3"/>
      <w:bookmarkStart w:id="1137" w:name="Tc_lNnDHsJBZkCP--Pci6PtJQ_14_0"/>
      <w:bookmarkStart w:id="1138" w:name="Tc_xyTINAPoY0uHid4mXyvO0A_13_11"/>
      <w:bookmarkStart w:id="1139" w:name="Tc_9tfgfvavcEmRg-yrCzqD_w_13_9"/>
      <w:bookmarkStart w:id="1140" w:name="Tc_-pbImMxFT0msvEa2maLxZg_13_8"/>
      <w:bookmarkStart w:id="1141" w:name="Tc_s88VDLA01UurNQsxN1CTww_13_5"/>
      <w:bookmarkStart w:id="1142" w:name="Tc_iK0B9QmsbkOSC8HCm6Q4AA_13_2"/>
      <w:bookmarkStart w:id="1143" w:name="Tc_-nohHWT0R0mXBnBDW23hHg_13_0"/>
      <w:bookmarkStart w:id="1144" w:name="Tc_EtCI4gmz7UOW_7jSDKr-Qg_12_0"/>
      <w:bookmarkStart w:id="1145" w:name="Tc_IQdz3huoZ0eI8j2PXIEIjw_10_11"/>
      <w:bookmarkStart w:id="1146" w:name="Tc_WKOq9Ua1iE2sqzPieulxSA_10_9"/>
      <w:bookmarkStart w:id="1147" w:name="Tc_KqJoEIk_uUGpfXsGy9nkxw_10_8"/>
      <w:bookmarkStart w:id="1148" w:name="Tc_BLKQbg0NAkmUdpyNNp4-6A_10_5"/>
      <w:bookmarkStart w:id="1149" w:name="Tc_awro4s3MJ0qsh74J2kRsjA_10_2"/>
      <w:bookmarkStart w:id="1150" w:name="Tc_MGpOd1X69kuytVneaR8akw_10_0"/>
      <w:bookmarkStart w:id="1151" w:name="Tc_VGi1LKbHZUGfN5U-aejWkw_9_9"/>
      <w:bookmarkStart w:id="1152" w:name="Tc_8VbTvxk7jEeL-58dyUi4DA_9_3"/>
      <w:bookmarkStart w:id="1153" w:name="Tc_kOv5YmLr7UGwc_751NjkuQ_9_0"/>
      <w:bookmarkStart w:id="1154" w:name="Tc_BoSc4xmExkWyNYFPwQtqkA_8_9"/>
      <w:bookmarkStart w:id="1155" w:name="Tc_dA4GW6uc90uVuypowDAwNQ_8_3"/>
      <w:bookmarkStart w:id="1156" w:name="Tc_nEvZUERoR0CLquXgdLwGbA_8_0"/>
      <w:bookmarkStart w:id="1157" w:name="Tc_pjsUfkLRcUG2aXexppUvgQ_7_9"/>
      <w:bookmarkStart w:id="1158" w:name="Tc_lAkr791xv02f5xQEGXie4Q_7_3"/>
      <w:bookmarkStart w:id="1159" w:name="Tc_ZNO70Z7ChEK45Glt7KpuKg_7_0"/>
      <w:bookmarkStart w:id="1160" w:name="Tc_WrkMvUGvMkahVKBRSOqrsA_6_9"/>
      <w:bookmarkStart w:id="1161" w:name="Tc_o4_aGAW_REuI_kZQDZNj_A_6_3"/>
      <w:bookmarkStart w:id="1162" w:name="Tc_IhcZkXncU0q0LhRhcDh4dw_6_0"/>
      <w:bookmarkStart w:id="1163" w:name="Tc_jjqOY6d_bECAvSNT8_ecrw_5_9"/>
      <w:bookmarkStart w:id="1164" w:name="Tc_hX_l2J4Nqku4YdPijcX9NQ_5_3"/>
      <w:bookmarkStart w:id="1165" w:name="Tc_BrAlcpvdBk-Qd0AIM9rXpA_5_0"/>
      <w:bookmarkStart w:id="1166" w:name="Tc_HAiTadIBL0uaqpdtREpHwg_4_9"/>
      <w:bookmarkStart w:id="1167" w:name="Tc_23_lfQMsAUuok662GiyXgQ_4_3"/>
      <w:bookmarkStart w:id="1168" w:name="Tc_1D4BFj26cEyztCoF3VEuXA_4_0"/>
      <w:bookmarkStart w:id="1169" w:name="Tc_1EU-lJ9f2EWu6e7ZVfXwtw_3_9"/>
      <w:bookmarkStart w:id="1170" w:name="Tc_CvYz_qohG0Od86YzXmBvXg_3_6"/>
      <w:bookmarkStart w:id="1171" w:name="Tc_6mhrD9fzzU-0bOM26BCjaw_3_0"/>
      <w:bookmarkStart w:id="1172" w:name="Tc_dksY-nNFKUaOUPZN-ouasw_2_11"/>
      <w:bookmarkStart w:id="1173" w:name="Tc_k2Esr_bofEe6UzclYAHnXw_2_9"/>
      <w:bookmarkStart w:id="1174" w:name="Tc_CJvprXIcGkau_pDqScYn1Q_2_8"/>
      <w:bookmarkStart w:id="1175" w:name="Tc_xptoqrVmwkOGUPba9H1raA_2_6"/>
      <w:bookmarkStart w:id="1176" w:name="Tc_8uL4LNckfUaAbyn01YRNDQ_2_5"/>
      <w:bookmarkStart w:id="1177" w:name="Tc_sPvowAIEI0CMvu6X4QsFrw_2_2"/>
      <w:bookmarkStart w:id="1178" w:name="Tc_Ap_1iuOPEEyVGTY0YoT4pQ_2_0"/>
      <w:bookmarkStart w:id="1179" w:name="Tc_UaKtw5o-EE2x9LzIiyW9bA_1_11"/>
      <w:bookmarkStart w:id="1180" w:name="Tc_X6628ePZP0OwFFbcdq-uew_1_8"/>
      <w:bookmarkStart w:id="1181" w:name="Tc_45nkdrtQpUmK1LY9Kf2apw_1_5"/>
      <w:bookmarkStart w:id="1182" w:name="Tc_HHPp2-tFEEKoEfc24RZiyw_1_2"/>
      <w:bookmarkStart w:id="1183" w:name="Tc_zanxwQYY1UyqmVeWTZUJpQ_1_0"/>
      <w:bookmarkStart w:id="1184" w:name="_24448934_0c16_4f40_ad02_dac20505b4a6"/>
      <w:bookmarkStart w:id="1185" w:name="Tc_wrNmksqfTUilgRNvU8bbog_18_11"/>
      <w:bookmarkStart w:id="1186" w:name="Tc_ojsvPUhA4k-zJOffZmTl_Q_18_9"/>
      <w:bookmarkStart w:id="1187" w:name="Tc_pUMpxiHUckOiMADFmQn1iw_18_8"/>
      <w:bookmarkStart w:id="1188" w:name="Tc_c4VtJTBoaEq4kNJ87UEgcQ_18_5"/>
      <w:bookmarkStart w:id="1189" w:name="Tc_hcKnDSeRo0uOA6wGkL3yww_18_2"/>
      <w:bookmarkStart w:id="1190" w:name="Tc_LnFLj09qdEOiXezkGD7-vg_18_0"/>
      <w:bookmarkStart w:id="1191" w:name="Tc_1B2NVGPBEUKw9F7kU0ICsA_17_9"/>
      <w:bookmarkStart w:id="1192" w:name="Tc_elva31CmjEKYr1CXuXp_xQ_17_3"/>
      <w:bookmarkStart w:id="1193" w:name="Tc_xI0yBPOookSAL1mF-LBEow_17_0"/>
      <w:bookmarkStart w:id="1194" w:name="Tc_gp6qnKFxDkCAyZCzXYUd8Q_16_9"/>
      <w:bookmarkStart w:id="1195" w:name="Tc_akSdpOJP1UWWPfCMQQ9IMg_16_3"/>
      <w:bookmarkStart w:id="1196" w:name="Tc_wKidbyxpi02DeIJKfIXgPw_16_0"/>
      <w:bookmarkStart w:id="1197" w:name="Tc_tjlO5RP0sECQv9tndyyong_15_9"/>
      <w:bookmarkStart w:id="1198" w:name="Tc_g5XVoePukUKnl1eUqMiuGA_15_3"/>
      <w:bookmarkStart w:id="1199" w:name="Tc_vBdbSp-UUkunvHqFPdsS_A_15_0"/>
      <w:bookmarkStart w:id="1200" w:name="Tc_zZxg-OSXmkesc3gvUu8xmw_14_9"/>
      <w:bookmarkStart w:id="1201" w:name="Tc_hlwcUpX7XUSDCMT3sA0y0A_14_3"/>
      <w:bookmarkStart w:id="1202" w:name="Tc_5gSptDD-okqpt8AZGGQ3cw_14_0"/>
      <w:bookmarkStart w:id="1203" w:name="Tc_IAGvvpy5fU23BWWOyZcs1Q_13_11"/>
      <w:bookmarkStart w:id="1204" w:name="Tc_8u_DfNrXE0uu1kuHd0YvrQ_13_9"/>
      <w:bookmarkStart w:id="1205" w:name="Tc_6iCiAuE7DUOqQ0wy5_cfJw_13_8"/>
      <w:bookmarkStart w:id="1206" w:name="Tc_PpOHw0sotUCaYW0u59dtKA_13_5"/>
      <w:bookmarkStart w:id="1207" w:name="Tc_PlJChxFuwkKal6m3xnNxfQ_13_2"/>
      <w:bookmarkStart w:id="1208" w:name="Tc_JRMvoMd3WEWrngrDlmjBCQ_13_0"/>
      <w:bookmarkStart w:id="1209" w:name="Tc_6TLyY9O3IEa1szxtQzWfgg_12_0"/>
      <w:bookmarkStart w:id="1210" w:name="Tc_GCRPaqtK7Ua7WmOvRcECuQ_10_11"/>
      <w:bookmarkStart w:id="1211" w:name="Tc_mQHyqRoYIEiwUucIRAQcjA_10_9"/>
      <w:bookmarkStart w:id="1212" w:name="Tc_PzRePQ69OkqihI9-kFOGVA_10_8"/>
      <w:bookmarkStart w:id="1213" w:name="Tc_b-qt8OVTIUS4udr75wlS-Q_10_5"/>
      <w:bookmarkStart w:id="1214" w:name="Tc_3ILjK7_hi0q0zhKUtQFN2w_10_2"/>
      <w:bookmarkStart w:id="1215" w:name="Tc_aoSlBh-tskezxVYgiIiykw_10_0"/>
      <w:bookmarkStart w:id="1216" w:name="Tc_8F-l31oDHUCjIx1QlADSig_9_9"/>
      <w:bookmarkStart w:id="1217" w:name="Tc_5r2mpg1wbka9d9oXDWfC9A_9_3"/>
      <w:bookmarkStart w:id="1218" w:name="Tc_FA2nZWAW8U20c7aRHGjwLQ_9_0"/>
      <w:bookmarkStart w:id="1219" w:name="Tc_hbFHXAPM6ka-pHWm7j9W5Q_8_9"/>
      <w:bookmarkStart w:id="1220" w:name="Tc_SwXLtIfhhEGzjFd8zQgd_g_8_3"/>
      <w:bookmarkStart w:id="1221" w:name="Tc_F1MtQjhvtUeDdJaNSiJbSA_8_0"/>
      <w:bookmarkStart w:id="1222" w:name="Tc_6u8DL55EjUuEc2msYzsKcQ_7_9"/>
      <w:bookmarkStart w:id="1223" w:name="Tc_Oids5CF1-UGCPtw9qjXX0w_7_3"/>
      <w:bookmarkStart w:id="1224" w:name="Tc_AwARswzgJ0-nxYRxRLjo4A_7_0"/>
      <w:bookmarkStart w:id="1225" w:name="Tc_6Fao0l6FFEm0ZoSRyecHnw_6_9"/>
      <w:bookmarkStart w:id="1226" w:name="Tc_47N8YIlK-kuQ4TdRNQYhow_6_3"/>
      <w:bookmarkStart w:id="1227" w:name="Tc_AR-UO8nuFEWnDP16PuDW-g_6_0"/>
      <w:bookmarkStart w:id="1228" w:name="Tc_dIITqvHZXE2jIXOU_1NbPQ_5_9"/>
      <w:bookmarkStart w:id="1229" w:name="Tc_92uwiK746k2uwpiy7z2Ojw_5_3"/>
      <w:bookmarkStart w:id="1230" w:name="Tc_lqdqz8QKckqUz80gC0ctVA_5_0"/>
      <w:bookmarkStart w:id="1231" w:name="Tc_dra6pSf2bUKcARBNZz9LgA_4_9"/>
      <w:bookmarkStart w:id="1232" w:name="Tc_abnSXRZBE0qP72Zs7dUkoA_4_3"/>
      <w:bookmarkStart w:id="1233" w:name="Tc_lXaim0jUckGuOx0k50__FQ_4_0"/>
      <w:bookmarkStart w:id="1234" w:name="Tc_9ucosiOKukCUOi57NP-Dpg_3_9"/>
      <w:bookmarkStart w:id="1235" w:name="Tc_mR-0Qm17TUqMoGyeEhGoDQ_3_6"/>
      <w:bookmarkStart w:id="1236" w:name="Tc_BmB_0avxL0OENCBZYHl-9w_3_0"/>
      <w:bookmarkStart w:id="1237" w:name="Tc_Z-JEekRiSEOgX-tJSqtK7Q_2_11"/>
      <w:bookmarkStart w:id="1238" w:name="Tc_gZHNYhBeCEa2-dVNr0ETgg_2_9"/>
      <w:bookmarkStart w:id="1239" w:name="Tc_-4A4ZnRBgUm3_Zd4C8dDOg_2_8"/>
      <w:bookmarkStart w:id="1240" w:name="Tc_6j2engajlUCn1wQ8Svlc_w_2_6"/>
      <w:bookmarkStart w:id="1241" w:name="Tc_r9o3bCc0ck2d2E6q4A8ZNw_2_5"/>
      <w:bookmarkStart w:id="1242" w:name="Tc_Ie7afeFYdUWNpX2gbsWiiQ_2_2"/>
      <w:bookmarkStart w:id="1243" w:name="Tc_EYMDKWluTESZNQqbF5lzIA_2_0"/>
      <w:bookmarkStart w:id="1244" w:name="Tc_mrA9jM-IGUSoaaUk3sKB6Q_1_11"/>
      <w:bookmarkStart w:id="1245" w:name="Tc_arI2jeMYmkyK5Mlte24gZw_1_8"/>
      <w:bookmarkStart w:id="1246" w:name="Tc_A6FA7Pti9Eu1w7Dr_VlfQQ_1_5"/>
      <w:bookmarkStart w:id="1247" w:name="Tc_AalKNJk050y5df43s4_63g_1_2"/>
      <w:bookmarkStart w:id="1248" w:name="Tc_KrdsVO_vM0C816Hml4lP9w_1_0"/>
      <w:bookmarkStart w:id="1249" w:name="_c8dd9247_3406_4a6f_8c40_1dc0d6065953"/>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r>
        <w:rPr>
          <w:rFonts w:ascii="Times New Roman;Times;serif" w:hAnsi="Times New Roman;Times;serif"/>
          <w:sz w:val="22"/>
        </w:rPr>
        <w:t>The following tables present the fair value of Company’s financial assets and liabilities that are recorded at fair value on a recurring basis, segregated among the appropriate levels within the fair value hierarchy at:</w:t>
      </w:r>
    </w:p>
    <w:p>
      <w:pPr>
        <w:pStyle w:val="TextBody"/>
        <w:spacing w:before="0" w:after="0"/>
        <w:ind w:left="0" w:right="0" w:firstLine="720"/>
        <w:jc w:val="both"/>
        <w:rPr/>
      </w:pPr>
      <w:r>
        <w:rPr/>
        <w:t>​</w:t>
      </w:r>
    </w:p>
    <w:tbl>
      <w:tblPr>
        <w:tblW w:w="8467" w:type="dxa"/>
        <w:jc w:val="left"/>
        <w:tblInd w:w="0" w:type="dxa"/>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6"/>
      </w:tblGrid>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91185" cy="175260"/>
                      <wp:effectExtent l="0" t="0" r="0" b="0"/>
                      <wp:wrapNone/>
                      <wp:docPr id="325" name="Frame32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91185" cy="175260"/>
                      <wp:effectExtent l="0" t="0" r="0" b="0"/>
                      <wp:wrapNone/>
                      <wp:docPr id="328" name="Frame32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73355" cy="175260"/>
                      <wp:effectExtent l="0" t="0" r="0" b="0"/>
                      <wp:wrapNone/>
                      <wp:docPr id="330" name="Frame328"/>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84480" cy="175260"/>
                      <wp:effectExtent l="0" t="0" r="0" b="0"/>
                      <wp:wrapNone/>
                      <wp:docPr id="331" name="Frame329"/>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57860" cy="175260"/>
                      <wp:effectExtent l="0" t="0" r="0" b="0"/>
                      <wp:wrapNone/>
                      <wp:docPr id="334" name="Frame33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shd w:fill="auto" w:val="clear"/>
            <w:vAlign w:val="center"/>
          </w:tcPr>
          <w:p>
            <w:pPr>
              <w:pStyle w:val="TableContents"/>
              <w:spacing w:before="0" w:after="0"/>
              <w:ind w:left="0" w:right="0" w:hanging="0"/>
              <w:jc w:val="center"/>
              <w:rPr/>
            </w:pPr>
            <w:r>
              <w:rPr/>
              <w:t>    </w:t>
            </w:r>
          </w:p>
        </w:tc>
        <w:tc>
          <w:tcPr>
            <w:tcW w:w="7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749,089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749,089</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440,826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440,826</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44,502</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44,502</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335,477</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335,477</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U.S. treasuries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1,528,149</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1,528,149</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1,189,915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1,985,415</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3,175,330</w:t>
            </w:r>
          </w:p>
        </w:tc>
      </w:tr>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1,189,915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136,547</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1,326,462</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1,749,727</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1,749,727</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99,419</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99,419</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1,189,915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1,985,415</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3,175,330</w:t>
            </w:r>
          </w:p>
        </w:tc>
      </w:tr>
    </w:tbl>
    <w:p>
      <w:pPr>
        <w:pStyle w:val="TextBody"/>
        <w:spacing w:before="0" w:after="0"/>
        <w:ind w:left="0" w:right="0" w:hanging="0"/>
        <w:rPr/>
      </w:pPr>
      <w:r>
        <w:rPr/>
        <w:t>​</w:t>
      </w:r>
    </w:p>
    <w:tbl>
      <w:tblPr>
        <w:tblW w:w="8317" w:type="dxa"/>
        <w:jc w:val="left"/>
        <w:tblInd w:w="0" w:type="dxa"/>
        <w:tblCellMar>
          <w:top w:w="0" w:type="dxa"/>
          <w:left w:w="0" w:type="dxa"/>
          <w:bottom w:w="0" w:type="dxa"/>
          <w:right w:w="0" w:type="dxa"/>
        </w:tblCellMar>
      </w:tblPr>
      <w:tblGrid>
        <w:gridCol w:w="2911"/>
        <w:gridCol w:w="326"/>
        <w:gridCol w:w="211"/>
        <w:gridCol w:w="931"/>
        <w:gridCol w:w="326"/>
        <w:gridCol w:w="211"/>
        <w:gridCol w:w="781"/>
        <w:gridCol w:w="326"/>
        <w:gridCol w:w="273"/>
        <w:gridCol w:w="448"/>
        <w:gridCol w:w="326"/>
        <w:gridCol w:w="211"/>
        <w:gridCol w:w="1036"/>
      </w:tblGrid>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91185" cy="175260"/>
                      <wp:effectExtent l="0" t="0" r="0" b="0"/>
                      <wp:wrapNone/>
                      <wp:docPr id="337" name="Frame33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95935" cy="175260"/>
                      <wp:effectExtent l="0" t="0" r="0" b="0"/>
                      <wp:wrapNone/>
                      <wp:docPr id="340" name="Frame33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73355" cy="175260"/>
                      <wp:effectExtent l="0" t="0" r="0" b="0"/>
                      <wp:wrapNone/>
                      <wp:docPr id="342" name="Frame34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84480" cy="175260"/>
                      <wp:effectExtent l="0" t="0" r="0" b="0"/>
                      <wp:wrapNone/>
                      <wp:docPr id="343" name="Frame341"/>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57860" cy="175260"/>
                      <wp:effectExtent l="0" t="0" r="0" b="0"/>
                      <wp:wrapNone/>
                      <wp:docPr id="346" name="Frame34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31, 2020</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shd w:fill="auto" w:val="clear"/>
            <w:vAlign w:val="center"/>
          </w:tcPr>
          <w:p>
            <w:pPr>
              <w:pStyle w:val="TableContents"/>
              <w:spacing w:before="0" w:after="0"/>
              <w:ind w:left="0" w:right="0" w:hanging="0"/>
              <w:rPr/>
            </w:pPr>
            <w:r>
              <w:rPr/>
              <w:t>    </w:t>
            </w:r>
          </w:p>
        </w:tc>
        <w:tc>
          <w:tcPr>
            <w:tcW w:w="7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796,421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796,421</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352,730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352,730</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23,137</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23,137</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130,883</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130,883</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91,882</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91,882</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701,922</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701,922</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(2,578)</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(2,578)</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1,149,151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954,329</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2,103,480</w:t>
            </w:r>
          </w:p>
        </w:tc>
      </w:tr>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1,149,151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31,262</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1,180,413</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881,354</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881,354</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44,291</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44,291</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(2,647)</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(2,647)</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1,149,151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954,329</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2,103,480</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2021 and 2020, and there were no changes in the Company’s valuation techniques.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6.          DERIVATIVE INSTRUMENTS AND HEDGING ACTIVITIES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 is exposed to foreign currency exchange rate risks related primarily to its foreign business operations. During the years ended December 31, 2021, 2020 and 2019,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that were outstanding as of December 31, 2021 have terms of three months or less. The Company does not enter into forward currency exchange contracts for speculation or trading purposes.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 has not designated its foreign currency exchange contracts as hedge transactions under FASB ASC 815. Therefore, gains and losses on the Company’s foreign currency exchange contracts are recognized in other income, net, in the consolidated statements of income, and are largely offset by the changes in the fair value of the underlying economically hedged item.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bookmarkStart w:id="1250" w:name="Tc_PpqMDAMuy0eAHgtBhdjt0Q_22_8"/>
      <w:bookmarkStart w:id="1251" w:name="Tc_PQbD2evt4UWAkZok52uwzQ_22_0"/>
      <w:bookmarkStart w:id="1252" w:name="Tc_1CiQUw5zrkKxp9vKTSucGg_21_8"/>
      <w:bookmarkStart w:id="1253" w:name="Tc_vqVzIs6XWk6SePVJ4JLWvQ_21_0"/>
      <w:bookmarkStart w:id="1254" w:name="Tc_ZIdd1rbPXkaA98AoBIZMKA_20_8"/>
      <w:bookmarkStart w:id="1255" w:name="Tc_U1mVexuIm0e_HHNKxXuD5w_20_0"/>
      <w:bookmarkStart w:id="1256" w:name="Tc_EZ5UY6TnB0qyqb0FXyvStQ_19_8"/>
      <w:bookmarkStart w:id="1257" w:name="Tc_awYR8godyUWttVsCmwTETQ_19_0"/>
      <w:bookmarkStart w:id="1258" w:name="Tc_b7wf2kE5ykiqYzDcRswzXg_18_8"/>
      <w:bookmarkStart w:id="1259" w:name="Tc_9Oq3gS4z_kS_qSJIYxkl7A_18_0"/>
      <w:bookmarkStart w:id="1260" w:name="Tc_-M1ITGTN1EOpga7w_7knfQ_17_8"/>
      <w:bookmarkStart w:id="1261" w:name="Tc_NthyL0BW4ki1p7ufNUsh9w_17_0"/>
      <w:bookmarkStart w:id="1262" w:name="Tc_mt2sgP3fSEWbRhZTRVeeng_16_8"/>
      <w:bookmarkStart w:id="1263" w:name="Tc_nhJCyDawc0Sm2sEpBxkQTA_16_0"/>
      <w:bookmarkStart w:id="1264" w:name="Tc_Ax9hmSijWEi4_s0MkpVuCA_15_8"/>
      <w:bookmarkStart w:id="1265" w:name="Tc_TFgxOA9kAkyd_-jGmBvGVw_15_0"/>
      <w:bookmarkStart w:id="1266" w:name="Tc_k1_Kj3t1H0a6vqrzW7RZYw_14_8"/>
      <w:bookmarkStart w:id="1267" w:name="Tc_-t5CIPmLk0i-OLuqu0UoMw_14_0"/>
      <w:bookmarkStart w:id="1268" w:name="Tc_lPUnYD1dEEiJhjvv3C5aaQ_13_8"/>
      <w:bookmarkStart w:id="1269" w:name="Tc_7SNb8Y8pmEK1D9ZwN-4OSw_13_0"/>
      <w:bookmarkStart w:id="1270" w:name="Tc_NBffkf7-hU-3B5k2ehqbbw_12_8"/>
      <w:bookmarkStart w:id="1271" w:name="Tc_OimVuiiSyE2VGylgomRqHA_12_5"/>
      <w:bookmarkStart w:id="1272" w:name="Tc_D2I6nQmVMUWcATZCvZktBQ_12_2"/>
      <w:bookmarkStart w:id="1273" w:name="Tc_ln2yesbrNEK4Eko6A5ol4Q_12_0"/>
      <w:bookmarkStart w:id="1274" w:name="Tc_AeS7A4r_fkOyHMedTAjIUw_11_0"/>
      <w:bookmarkStart w:id="1275" w:name="Tc_OcmiyCVND0-Nahem2lc-iA_10_0"/>
      <w:bookmarkStart w:id="1276" w:name="Tc_PC0nzKy2ukSTQRRtOM_KJw_8_8"/>
      <w:bookmarkStart w:id="1277" w:name="Tc_7t1XYDDIu02rtJODYYfXww_8_0"/>
      <w:bookmarkStart w:id="1278" w:name="Tc_SJaibsvaA0ulbFBtyr40hQ_7_8"/>
      <w:bookmarkStart w:id="1279" w:name="Tc_IgQ4rK9xf0SQrdCklyYmRA_7_5"/>
      <w:bookmarkStart w:id="1280" w:name="Tc_qL5pDBiwAE6Jo_f5zPpCKQ_7_2"/>
      <w:bookmarkStart w:id="1281" w:name="Tc_UmW4Jf7MEEK6lxUyqYCMBA_7_0"/>
      <w:bookmarkStart w:id="1282" w:name="Tc_JKT_R9js8EyM-2bADsxoOA_6_0"/>
      <w:bookmarkStart w:id="1283" w:name="Tc_BXL_Xr30m0SlkLRk1o3I0A_5_0"/>
      <w:bookmarkStart w:id="1284" w:name="Tc_AAKLgTGPakyK4M8ru-cSXQ_4_8"/>
      <w:bookmarkStart w:id="1285" w:name="Tc_U4efqQmhMkCC5Jdwc2dk6g_4_5"/>
      <w:bookmarkStart w:id="1286" w:name="Tc_CNVkTlhzL0mBr7c1UYcm2Q_4_2"/>
      <w:bookmarkStart w:id="1287" w:name="Tc_DNY2TWM05kiV1Ed9HtvBFw_4_0"/>
      <w:bookmarkStart w:id="1288" w:name="Tc_GNKGGh4im0CeUE_r4eMWGg_3_5"/>
      <w:bookmarkStart w:id="1289" w:name="Tc_dQhnfGqJoEy8GNX6SIhazQ_3_2"/>
      <w:bookmarkStart w:id="1290" w:name="Tc_WcPAg1sGhkaOSXlQUoNpCA_3_0"/>
      <w:bookmarkStart w:id="1291" w:name="Tc_AeMc5mf7-EiKKRCBi39XLQ_2_0"/>
      <w:bookmarkStart w:id="1292" w:name="Tc_ZTGHE5g6hkyX3gPu5VpsmQ_1_0"/>
      <w:bookmarkStart w:id="1293" w:name="_bc5919a6_accc_4044_9f3c_0f634541b687"/>
      <w:bookmarkStart w:id="1294" w:name="Tc_auAyPBIdJUOMphlN_eIcUA_20_8"/>
      <w:bookmarkStart w:id="1295" w:name="Tc_2WQtjwmuSEOAo8rvysmsNA_20_0"/>
      <w:bookmarkStart w:id="1296" w:name="Tc_nDhfQdSpjU-0sjsBUTlbOw_19_8"/>
      <w:bookmarkStart w:id="1297" w:name="Tc_Wmzodh52-0m1ZwjRh-FF2Q_19_0"/>
      <w:bookmarkStart w:id="1298" w:name="Tc_pOTSmMRFtEuMQAOJKstXiw_18_8"/>
      <w:bookmarkStart w:id="1299" w:name="Tc_vqCXsHS7YEi9E4R9_2YErw_18_0"/>
      <w:bookmarkStart w:id="1300" w:name="Tc_aNvTBZU56EOqGGmYRoRAlA_17_8"/>
      <w:bookmarkStart w:id="1301" w:name="Tc_U0z5Enxg9UCKi_ZWx5YuuQ_17_0"/>
      <w:bookmarkStart w:id="1302" w:name="Tc_0YvoaeZAhEakMgZ6YrtTgA_16_8"/>
      <w:bookmarkStart w:id="1303" w:name="Tc_3Wy48MNYS0i_fP5S3PgQsA_16_0"/>
      <w:bookmarkStart w:id="1304" w:name="Tc_n21LZxYnUkuZqtSwJN-Bog_15_8"/>
      <w:bookmarkStart w:id="1305" w:name="Tc_33KEggQDdUyoSmav4vVcZw_15_0"/>
      <w:bookmarkStart w:id="1306" w:name="Tc_RQPpmR-aQkqTIjEgLHz9XA_14_8"/>
      <w:bookmarkStart w:id="1307" w:name="Tc_o8LG9NE8vUu0_TRi30LETA_14_5"/>
      <w:bookmarkStart w:id="1308" w:name="Tc_hOM7G2eQxkiL1tB6CLOQjg_14_2"/>
      <w:bookmarkStart w:id="1309" w:name="Tc_SzsBQlqHBUWs_OSrsdkREQ_14_0"/>
      <w:bookmarkStart w:id="1310" w:name="Tc_jQYnyqbq00y00V0gdxCTNw_13_0"/>
      <w:bookmarkStart w:id="1311" w:name="Tc_CSMsluUevkWr7AT19fg05Q_12_0"/>
      <w:bookmarkStart w:id="1312" w:name="Tc_Qw0BiPZldEu9pZ_e61Bsfw_10_8"/>
      <w:bookmarkStart w:id="1313" w:name="Tc_t6O69ztRbUOVwZLIB3PI3w_10_0"/>
      <w:bookmarkStart w:id="1314" w:name="Tc_C7V5WsSz-EadQ8Gc8r5-ow_9_8"/>
      <w:bookmarkStart w:id="1315" w:name="Tc_svj4s19SBEWmhCyoczlbrQ_9_0"/>
      <w:bookmarkStart w:id="1316" w:name="Tc_a5NqRRbQZ0uW4_zyAFEBtg_8_8"/>
      <w:bookmarkStart w:id="1317" w:name="Tc_suXIPACQqEO01ZJbJgSg5w_8_0"/>
      <w:bookmarkStart w:id="1318" w:name="Tc_-nOYwsAWSUWPKLlA2j3MJw_7_8"/>
      <w:bookmarkStart w:id="1319" w:name="Tc_Y2GfR02AIEajMc8ELa6Y5A_7_5"/>
      <w:bookmarkStart w:id="1320" w:name="Tc_TY2N5-YLWUeo3roH_HZYTQ_7_2"/>
      <w:bookmarkStart w:id="1321" w:name="Tc_JLH5DOeVAEiZT_ijRwYkDw_7_0"/>
      <w:bookmarkStart w:id="1322" w:name="Tc_ulNOfAZVL0SMewrzM0RxFA_6_0"/>
      <w:bookmarkStart w:id="1323" w:name="Tc_k8Dcqdvp4kGVyLgly6guXw_5_0"/>
      <w:bookmarkStart w:id="1324" w:name="Tc_GmDz1hhpIEOzmKMydkI4qA_4_8"/>
      <w:bookmarkStart w:id="1325" w:name="Tc_cF4ON0shYU2oAtJwyjXFjw_4_5"/>
      <w:bookmarkStart w:id="1326" w:name="Tc_YPTi6OlkX0SY6gPZMIvmIg_4_2"/>
      <w:bookmarkStart w:id="1327" w:name="Tc__sIKsEYn8Uqx3LN4ykbTgQ_4_0"/>
      <w:bookmarkStart w:id="1328" w:name="Tc_uoqCxvzK7kifvtjCgFnr8A_3_5"/>
      <w:bookmarkStart w:id="1329" w:name="Tc_roMmo9-IRESRYofTzEr3qA_3_2"/>
      <w:bookmarkStart w:id="1330" w:name="Tc_Cue4qwXhkEKS1LkU7H2PUg_3_0"/>
      <w:bookmarkStart w:id="1331" w:name="Tc_0QDli6CGjUmda-YuyAPVoQ_2_0"/>
      <w:bookmarkStart w:id="1332" w:name="Tc_LYrt3olNrUi69swrCDgeHg_1_0"/>
      <w:bookmarkStart w:id="1333" w:name="_213d2770_f23f_4ef4_bc91_997da93e96c3"/>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r>
        <w:rPr>
          <w:rFonts w:ascii="Times New Roman;Times;serif" w:hAnsi="Times New Roman;Times;serif"/>
          <w:sz w:val="22"/>
        </w:rPr>
        <w:t>The notional amount and fair value of all outstanding foreign currency derivative instruments in the consolidated balance sheets consist of the following at:</w:t>
      </w:r>
    </w:p>
    <w:p>
      <w:pPr>
        <w:pStyle w:val="TextBody"/>
        <w:spacing w:before="0" w:after="0"/>
        <w:ind w:left="0" w:right="0" w:firstLine="720"/>
        <w:jc w:val="both"/>
        <w:rPr/>
      </w:pPr>
      <w:r>
        <w:rPr/>
        <w:t>​</w:t>
      </w:r>
    </w:p>
    <w:tbl>
      <w:tblPr>
        <w:tblW w:w="8049" w:type="dxa"/>
        <w:jc w:val="left"/>
        <w:tblInd w:w="0" w:type="dxa"/>
        <w:tblCellMar>
          <w:top w:w="0" w:type="dxa"/>
          <w:left w:w="0" w:type="dxa"/>
          <w:bottom w:w="0" w:type="dxa"/>
          <w:right w:w="0" w:type="dxa"/>
        </w:tblCellMar>
      </w:tblPr>
      <w:tblGrid>
        <w:gridCol w:w="3166"/>
        <w:gridCol w:w="326"/>
        <w:gridCol w:w="271"/>
        <w:gridCol w:w="676"/>
        <w:gridCol w:w="326"/>
        <w:gridCol w:w="271"/>
        <w:gridCol w:w="541"/>
        <w:gridCol w:w="326"/>
        <w:gridCol w:w="2146"/>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10410" cy="175260"/>
                      <wp:effectExtent l="0" t="0" r="0" b="0"/>
                      <wp:wrapNone/>
                      <wp:docPr id="347" name="Frame345"/>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72085" cy="175260"/>
                      <wp:effectExtent l="0" t="0" r="0" b="0"/>
                      <wp:wrapNone/>
                      <wp:docPr id="349" name="Frame347"/>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9260" cy="175260"/>
                      <wp:effectExtent l="0" t="0" r="0" b="0"/>
                      <wp:wrapNone/>
                      <wp:docPr id="350" name="Frame34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72085" cy="175260"/>
                      <wp:effectExtent l="0" t="0" r="0" b="0"/>
                      <wp:wrapNone/>
                      <wp:docPr id="352" name="Frame350"/>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43535" cy="175260"/>
                      <wp:effectExtent l="0" t="0" r="0" b="0"/>
                      <wp:wrapNone/>
                      <wp:docPr id="353" name="Frame351"/>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62710" cy="175260"/>
                      <wp:effectExtent l="0" t="0" r="0" b="0"/>
                      <wp:wrapNone/>
                      <wp:docPr id="355" name="Frame353"/>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049"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2021</w:t>
            </w:r>
          </w:p>
        </w:tc>
      </w:tr>
      <w:tr>
        <w:trPr/>
        <w:tc>
          <w:tcPr>
            <w:tcW w:w="31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jc w:val="center"/>
              <w:rPr/>
            </w:pPr>
            <w:r>
              <w:rPr/>
              <w:t>​</w:t>
            </w:r>
          </w:p>
        </w:tc>
      </w:tr>
      <w:tr>
        <w:trPr/>
        <w:tc>
          <w:tcPr>
            <w:tcW w:w="31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 under</w:t>
            </w:r>
          </w:p>
        </w:tc>
        <w:tc>
          <w:tcPr>
            <w:tcW w:w="326" w:type="dxa"/>
            <w:tcBorders/>
            <w:shd w:fill="auto" w:val="clear"/>
            <w:vAlign w:val="center"/>
          </w:tcPr>
          <w:p>
            <w:pPr>
              <w:pStyle w:val="TableContents"/>
              <w:spacing w:before="0" w:after="0"/>
              <w:ind w:left="0" w:right="0" w:hanging="0"/>
              <w:rPr/>
            </w:pPr>
            <w:r>
              <w:rPr/>
              <w:t>​</w:t>
            </w:r>
          </w:p>
        </w:tc>
        <w:tc>
          <w:tcPr>
            <w:tcW w:w="94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Notional </w:t>
            </w:r>
          </w:p>
        </w:tc>
        <w:tc>
          <w:tcPr>
            <w:tcW w:w="326" w:type="dxa"/>
            <w:tcBorders/>
            <w:shd w:fill="auto" w:val="clear"/>
            <w:vAlign w:val="center"/>
          </w:tcPr>
          <w:p>
            <w:pPr>
              <w:pStyle w:val="TableContents"/>
              <w:spacing w:before="0" w:after="0"/>
              <w:ind w:left="0" w:right="0" w:hanging="0"/>
              <w:rPr/>
            </w:pPr>
            <w:r>
              <w:rPr/>
              <w:t>​</w:t>
            </w:r>
          </w:p>
        </w:tc>
        <w:tc>
          <w:tcPr>
            <w:tcW w:w="81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jc w:val="center"/>
              <w:rPr/>
            </w:pPr>
            <w:r>
              <w:rPr/>
              <w:t>​</w:t>
            </w:r>
          </w:p>
        </w:tc>
      </w:tr>
      <w:tr>
        <w:trPr/>
        <w:tc>
          <w:tcPr>
            <w:tcW w:w="31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FASB ASC 815-20</w:t>
            </w:r>
          </w:p>
        </w:tc>
        <w:tc>
          <w:tcPr>
            <w:tcW w:w="326" w:type="dxa"/>
            <w:tcBorders/>
            <w:shd w:fill="auto" w:val="clear"/>
            <w:vAlign w:val="center"/>
          </w:tcPr>
          <w:p>
            <w:pPr>
              <w:pStyle w:val="TableContents"/>
              <w:spacing w:before="0" w:after="0"/>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rPr/>
            </w:pPr>
            <w:r>
              <w:rPr/>
              <w:t>    </w:t>
            </w:r>
          </w:p>
        </w:tc>
        <w:tc>
          <w:tcPr>
            <w:tcW w:w="8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21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SGD/pay USD</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 </w:t>
            </w: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16,544</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 </w:t>
            </w: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COP</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9,754</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RSD/pay USD</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9,837</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RUB</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7,175</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GBP</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29,929</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AUD</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2,602</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CNY</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12,230</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NZD</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2,693</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EUR</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ZAR</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4,140</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DKK</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bl>
    <w:p>
      <w:pPr>
        <w:pStyle w:val="TextBody"/>
        <w:spacing w:before="0" w:after="0"/>
        <w:ind w:left="0" w:right="0" w:hanging="0"/>
        <w:rPr/>
      </w:pPr>
      <w:r>
        <w:rPr/>
        <w:t>​</w:t>
      </w:r>
    </w:p>
    <w:tbl>
      <w:tblPr>
        <w:tblW w:w="8334" w:type="dxa"/>
        <w:jc w:val="left"/>
        <w:tblInd w:w="0" w:type="dxa"/>
        <w:tblCellMar>
          <w:top w:w="0" w:type="dxa"/>
          <w:left w:w="0" w:type="dxa"/>
          <w:bottom w:w="0" w:type="dxa"/>
          <w:right w:w="0" w:type="dxa"/>
        </w:tblCellMar>
      </w:tblPr>
      <w:tblGrid>
        <w:gridCol w:w="3166"/>
        <w:gridCol w:w="326"/>
        <w:gridCol w:w="211"/>
        <w:gridCol w:w="931"/>
        <w:gridCol w:w="326"/>
        <w:gridCol w:w="211"/>
        <w:gridCol w:w="691"/>
        <w:gridCol w:w="326"/>
        <w:gridCol w:w="2146"/>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10410" cy="175260"/>
                      <wp:effectExtent l="0" t="0" r="0" b="0"/>
                      <wp:wrapNone/>
                      <wp:docPr id="356" name="Frame354"/>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91185" cy="175260"/>
                      <wp:effectExtent l="0" t="0" r="0" b="0"/>
                      <wp:wrapNone/>
                      <wp:docPr id="359" name="Frame35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38785" cy="175260"/>
                      <wp:effectExtent l="0" t="0" r="0" b="0"/>
                      <wp:wrapNone/>
                      <wp:docPr id="362" name="Frame36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62710" cy="175260"/>
                      <wp:effectExtent l="0" t="0" r="0" b="0"/>
                      <wp:wrapNone/>
                      <wp:docPr id="364" name="Frame362"/>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334"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2020</w:t>
            </w:r>
          </w:p>
        </w:tc>
      </w:tr>
      <w:tr>
        <w:trPr/>
        <w:tc>
          <w:tcPr>
            <w:tcW w:w="31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jc w:val="center"/>
              <w:rPr/>
            </w:pPr>
            <w:r>
              <w:rPr/>
              <w:t>​</w:t>
            </w:r>
          </w:p>
        </w:tc>
      </w:tr>
      <w:tr>
        <w:trPr/>
        <w:tc>
          <w:tcPr>
            <w:tcW w:w="31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 under</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Notional</w:t>
            </w:r>
          </w:p>
        </w:tc>
        <w:tc>
          <w:tcPr>
            <w:tcW w:w="326" w:type="dxa"/>
            <w:tcBorders/>
            <w:shd w:fill="auto" w:val="clear"/>
            <w:vAlign w:val="center"/>
          </w:tcPr>
          <w:p>
            <w:pPr>
              <w:pStyle w:val="TableContents"/>
              <w:spacing w:before="0" w:after="0"/>
              <w:ind w:left="0" w:right="0" w:hanging="0"/>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FASB ASC 815-20</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21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SGD/pay USD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RSD/pay USD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10,127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EUR/pay USD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1,298,899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GBP</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AUD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ZAR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COP</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CNY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RUB</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7,780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NOK/pay USD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NZD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SEK/pay USD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Receive USD/pay DKK</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bookmarkStart w:id="1334" w:name="Tc_Y5dv3hc_TECut0U1o_bA5g_7_10"/>
      <w:bookmarkStart w:id="1335" w:name="Tc_p8o-NM74BEC9tCvs7Zx0_g_7_7"/>
      <w:bookmarkStart w:id="1336" w:name="Tc_wQGeCC2WGUCQZms8I5BtkQ_7_4"/>
      <w:bookmarkStart w:id="1337" w:name="Tc_YBCnUe76t0mGvkWtAK1pDA_7_2"/>
      <w:bookmarkStart w:id="1338" w:name="Tc_HD9928wmaEaI1FOledUUDg_7_0"/>
      <w:bookmarkStart w:id="1339" w:name="Tc_2KsVXaZ0bkqdPYSyhk4cbA_6_10"/>
      <w:bookmarkStart w:id="1340" w:name="Tc_XnyM1xzBG0WgQ_W66fUrIA_6_7"/>
      <w:bookmarkStart w:id="1341" w:name="Tc_XMX-3J1kfEmKuIpiUUmJOQ_6_4"/>
      <w:bookmarkStart w:id="1342" w:name="Tc_pQTfd3kqnUuOVJHBOOQDsA_6_2"/>
      <w:bookmarkStart w:id="1343" w:name="Tc_KKDn3-wkEUa6YtIfRH2whA_6_0"/>
      <w:bookmarkStart w:id="1344" w:name="Tc_tDtwV9Z38EG8gGIABc_zOw_5_10"/>
      <w:bookmarkStart w:id="1345" w:name="Tc_QhcUic-bJkS35HQd66ASnQ_5_7"/>
      <w:bookmarkStart w:id="1346" w:name="Tc_f6Zu_db71E-4sUaaAyjVNg_5_4"/>
      <w:bookmarkStart w:id="1347" w:name="Tc_HzPuTxGBnU2TcokkaR3jyQ_5_2"/>
      <w:bookmarkStart w:id="1348" w:name="Tc_fvQF-8Mvp0K-IsFKBYK5jA_5_0"/>
      <w:bookmarkStart w:id="1349" w:name="Tc_JWdZ730AKU-gxdLNHw1SBQ_4_4"/>
      <w:bookmarkStart w:id="1350" w:name="Tc__cIYLW8n_UGbOLXihwrbUQ_4_2"/>
      <w:bookmarkStart w:id="1351" w:name="Tc_b6GfRaeobEKCaZwY5Bpu5Q_4_0"/>
      <w:bookmarkStart w:id="1352" w:name="Tc_g7Gi5muSbkShyBuEUXVU2A_3_4"/>
      <w:bookmarkStart w:id="1353" w:name="Tc_bCqrXV3MzUS3VjxPw5Ex-Q_2_4"/>
      <w:bookmarkStart w:id="1354" w:name="Tc_YJGVLiwpV0uOc52x5r_w6g_1_4"/>
      <w:bookmarkStart w:id="1355" w:name="_940ba7ac_815b_453e_bb27_fdcc4bb29a18"/>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r>
        <w:rPr>
          <w:rFonts w:ascii="Times New Roman;Times;serif" w:hAnsi="Times New Roman;Times;serif"/>
          <w:sz w:val="22"/>
        </w:rPr>
        <w:t>The net gain (loss) on derivative instruments in the consolidated statements of income was as follows:</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891"/>
        <w:gridCol w:w="326"/>
        <w:gridCol w:w="2279"/>
        <w:gridCol w:w="326"/>
        <w:gridCol w:w="307"/>
        <w:gridCol w:w="921"/>
        <w:gridCol w:w="326"/>
        <w:gridCol w:w="307"/>
        <w:gridCol w:w="921"/>
        <w:gridCol w:w="326"/>
        <w:gridCol w:w="302"/>
        <w:gridCol w:w="973"/>
      </w:tblGrid>
      <w:tr>
        <w:trPr/>
        <w:tc>
          <w:tcPr>
            <w:tcW w:w="2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835785" cy="175260"/>
                      <wp:effectExtent l="0" t="0" r="0" b="0"/>
                      <wp:wrapNone/>
                      <wp:docPr id="365" name="Frame363"/>
                      <a:graphic xmlns:a="http://schemas.openxmlformats.org/drawingml/2006/main">
                        <a:graphicData uri="http://schemas.microsoft.com/office/word/2010/wordprocessingShape">
                          <wps:wsp>
                            <wps:cNvSpPr txBox="1"/>
                            <wps:spPr>
                              <a:xfrm>
                                <a:off x="0" y="0"/>
                                <a:ext cx="1835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447165" cy="175260"/>
                      <wp:effectExtent l="0" t="0" r="0" b="0"/>
                      <wp:wrapNone/>
                      <wp:docPr id="367" name="Frame365"/>
                      <a:graphic xmlns:a="http://schemas.openxmlformats.org/drawingml/2006/main">
                        <a:graphicData uri="http://schemas.microsoft.com/office/word/2010/wordprocessingShape">
                          <wps:wsp>
                            <wps:cNvSpPr txBox="1"/>
                            <wps:spPr>
                              <a:xfrm>
                                <a:off x="0" y="0"/>
                                <a:ext cx="1447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94945" cy="175260"/>
                      <wp:effectExtent l="0" t="0" r="0" b="0"/>
                      <wp:wrapNone/>
                      <wp:docPr id="369" name="Frame367"/>
                      <a:graphic xmlns:a="http://schemas.openxmlformats.org/drawingml/2006/main">
                        <a:graphicData uri="http://schemas.microsoft.com/office/word/2010/wordprocessingShape">
                          <wps:wsp>
                            <wps:cNvSpPr txBox="1"/>
                            <wps:spPr>
                              <a:xfrm>
                                <a:off x="0" y="0"/>
                                <a:ext cx="194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84835" cy="175260"/>
                      <wp:effectExtent l="0" t="0" r="0" b="0"/>
                      <wp:wrapNone/>
                      <wp:docPr id="370" name="Frame368"/>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94945" cy="175260"/>
                      <wp:effectExtent l="0" t="0" r="0" b="0"/>
                      <wp:wrapNone/>
                      <wp:docPr id="372" name="Frame370"/>
                      <a:graphic xmlns:a="http://schemas.openxmlformats.org/drawingml/2006/main">
                        <a:graphicData uri="http://schemas.microsoft.com/office/word/2010/wordprocessingShape">
                          <wps:wsp>
                            <wps:cNvSpPr txBox="1"/>
                            <wps:spPr>
                              <a:xfrm>
                                <a:off x="0" y="0"/>
                                <a:ext cx="194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84835" cy="175260"/>
                      <wp:effectExtent l="0" t="0" r="0" b="0"/>
                      <wp:wrapNone/>
                      <wp:docPr id="373" name="Frame371"/>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91770" cy="175260"/>
                      <wp:effectExtent l="0" t="0" r="0" b="0"/>
                      <wp:wrapNone/>
                      <wp:docPr id="375" name="Frame373"/>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17855" cy="175260"/>
                      <wp:effectExtent l="0" t="0" r="0" b="0"/>
                      <wp:wrapNone/>
                      <wp:docPr id="376" name="Frame374"/>
                      <a:graphic xmlns:a="http://schemas.openxmlformats.org/drawingml/2006/main">
                        <a:graphicData uri="http://schemas.microsoft.com/office/word/2010/wordprocessingShape">
                          <wps:wsp>
                            <wps:cNvSpPr txBox="1"/>
                            <wps:spPr>
                              <a:xfrm>
                                <a:off x="0" y="0"/>
                                <a:ext cx="617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7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83" w:type="dxa"/>
            <w:gridSpan w:val="8"/>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 of gain (loss)</w:t>
            </w:r>
          </w:p>
        </w:tc>
      </w:tr>
      <w:tr>
        <w:trPr/>
        <w:tc>
          <w:tcPr>
            <w:tcW w:w="2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7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83" w:type="dxa"/>
            <w:gridSpan w:val="8"/>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w:t>
            </w:r>
          </w:p>
        </w:tc>
      </w:tr>
      <w:tr>
        <w:trPr/>
        <w:tc>
          <w:tcPr>
            <w:tcW w:w="2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7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8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r>
      <w:tr>
        <w:trPr/>
        <w:tc>
          <w:tcPr>
            <w:tcW w:w="28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shd w:fill="auto" w:val="clear"/>
            <w:vAlign w:val="center"/>
          </w:tcPr>
          <w:p>
            <w:pPr>
              <w:pStyle w:val="TableContents"/>
              <w:spacing w:before="0" w:after="0"/>
              <w:ind w:left="0" w:right="0" w:hanging="0"/>
              <w:jc w:val="center"/>
              <w:rPr/>
            </w:pPr>
            <w:r>
              <w:rPr/>
              <w:t>​</w:t>
            </w:r>
          </w:p>
        </w:tc>
        <w:tc>
          <w:tcPr>
            <w:tcW w:w="227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shd w:fill="auto" w:val="clear"/>
            <w:vAlign w:val="center"/>
          </w:tcPr>
          <w:p>
            <w:pPr>
              <w:pStyle w:val="TableContents"/>
              <w:spacing w:before="0" w:after="0"/>
              <w:ind w:left="0" w:right="0" w:hanging="0"/>
              <w:jc w:val="center"/>
              <w:rPr/>
            </w:pPr>
            <w:r>
              <w:rPr/>
              <w:t>​</w:t>
            </w:r>
          </w:p>
        </w:tc>
        <w:tc>
          <w:tcPr>
            <w:tcW w:w="438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 ended</w:t>
            </w:r>
          </w:p>
        </w:tc>
      </w:tr>
      <w:tr>
        <w:trPr/>
        <w:tc>
          <w:tcPr>
            <w:tcW w:w="28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 under</w:t>
            </w:r>
          </w:p>
        </w:tc>
        <w:tc>
          <w:tcPr>
            <w:tcW w:w="326" w:type="dxa"/>
            <w:tcBorders/>
            <w:shd w:fill="auto" w:val="clear"/>
            <w:vAlign w:val="center"/>
          </w:tcPr>
          <w:p>
            <w:pPr>
              <w:pStyle w:val="TableContents"/>
              <w:spacing w:before="0" w:after="0"/>
              <w:ind w:left="0" w:right="0" w:hanging="0"/>
              <w:jc w:val="center"/>
              <w:rPr/>
            </w:pPr>
            <w:r>
              <w:rPr/>
              <w:t>​</w:t>
            </w:r>
          </w:p>
        </w:tc>
        <w:tc>
          <w:tcPr>
            <w:tcW w:w="227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w:t>
            </w:r>
          </w:p>
        </w:tc>
        <w:tc>
          <w:tcPr>
            <w:tcW w:w="326" w:type="dxa"/>
            <w:tcBorders/>
            <w:shd w:fill="auto" w:val="clear"/>
            <w:vAlign w:val="center"/>
          </w:tcPr>
          <w:p>
            <w:pPr>
              <w:pStyle w:val="TableContents"/>
              <w:spacing w:before="0" w:after="0"/>
              <w:ind w:left="0" w:right="0" w:hanging="0"/>
              <w:jc w:val="center"/>
              <w:rPr/>
            </w:pPr>
            <w:r>
              <w:rPr/>
              <w:t>​</w:t>
            </w:r>
          </w:p>
        </w:tc>
        <w:tc>
          <w:tcPr>
            <w:tcW w:w="1228"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shd w:fill="auto" w:val="clear"/>
            <w:vAlign w:val="center"/>
          </w:tcPr>
          <w:p>
            <w:pPr>
              <w:pStyle w:val="TableContents"/>
              <w:spacing w:before="0" w:after="0"/>
              <w:ind w:left="0" w:right="0" w:hanging="0"/>
              <w:jc w:val="center"/>
              <w:rPr/>
            </w:pPr>
            <w:r>
              <w:rPr/>
              <w:t>​</w:t>
            </w:r>
          </w:p>
        </w:tc>
        <w:tc>
          <w:tcPr>
            <w:tcW w:w="1228"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shd w:fill="auto" w:val="clear"/>
            <w:vAlign w:val="center"/>
          </w:tcPr>
          <w:p>
            <w:pPr>
              <w:pStyle w:val="TableContents"/>
              <w:spacing w:before="0" w:after="0"/>
              <w:ind w:left="0" w:right="0" w:hanging="0"/>
              <w:jc w:val="center"/>
              <w:rPr/>
            </w:pPr>
            <w:r>
              <w:rPr/>
              <w:t>​</w:t>
            </w:r>
          </w:p>
        </w:tc>
        <w:tc>
          <w:tcPr>
            <w:tcW w:w="127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8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FASB ASC 815-20</w:t>
            </w:r>
          </w:p>
        </w:tc>
        <w:tc>
          <w:tcPr>
            <w:tcW w:w="326" w:type="dxa"/>
            <w:tcBorders/>
            <w:shd w:fill="auto" w:val="clear"/>
            <w:vAlign w:val="center"/>
          </w:tcPr>
          <w:p>
            <w:pPr>
              <w:pStyle w:val="TableContents"/>
              <w:spacing w:before="0" w:after="0"/>
              <w:ind w:left="0" w:right="0" w:hanging="0"/>
              <w:jc w:val="center"/>
              <w:rPr/>
            </w:pPr>
            <w:r>
              <w:rPr/>
              <w:t>    </w:t>
            </w:r>
          </w:p>
        </w:tc>
        <w:tc>
          <w:tcPr>
            <w:tcW w:w="227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shd w:fill="auto" w:val="clear"/>
            <w:vAlign w:val="center"/>
          </w:tcPr>
          <w:p>
            <w:pPr>
              <w:pStyle w:val="TableContents"/>
              <w:spacing w:before="0" w:after="0"/>
              <w:ind w:left="0" w:right="0" w:hanging="0"/>
              <w:jc w:val="center"/>
              <w:rPr/>
            </w:pPr>
            <w:r>
              <w:rPr/>
              <w:t>    </w:t>
            </w:r>
          </w:p>
        </w:tc>
        <w:tc>
          <w:tcPr>
            <w:tcW w:w="12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center"/>
              <w:rPr/>
            </w:pPr>
            <w:r>
              <w:rPr/>
              <w:t>    </w:t>
            </w:r>
          </w:p>
        </w:tc>
        <w:tc>
          <w:tcPr>
            <w:tcW w:w="12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jc w:val="center"/>
              <w:rPr/>
            </w:pPr>
            <w:r>
              <w:rPr/>
              <w:t>    </w:t>
            </w:r>
          </w:p>
        </w:tc>
        <w:tc>
          <w:tcPr>
            <w:tcW w:w="12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spacing w:before="0" w:after="0"/>
              <w:ind w:left="0" w:right="0" w:hanging="0"/>
              <w:rPr/>
            </w:pPr>
            <w:r>
              <w:rPr/>
              <w:t> </w:t>
            </w:r>
          </w:p>
        </w:tc>
        <w:tc>
          <w:tcPr>
            <w:tcW w:w="2279"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spacing w:before="0" w:after="0"/>
              <w:ind w:left="0" w:right="0" w:hanging="0"/>
              <w:rPr/>
            </w:pPr>
            <w:r>
              <w:rPr/>
              <w:t> </w:t>
            </w:r>
          </w:p>
        </w:tc>
        <w:tc>
          <w:tcPr>
            <w:tcW w:w="3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(5,445)</w:t>
            </w:r>
          </w:p>
        </w:tc>
        <w:tc>
          <w:tcPr>
            <w:tcW w:w="326" w:type="dxa"/>
            <w:tcBorders/>
            <w:shd w:fill="CCEEFF" w:val="clear"/>
            <w:vAlign w:val="center"/>
          </w:tcPr>
          <w:p>
            <w:pPr>
              <w:pStyle w:val="TableContents"/>
              <w:spacing w:before="0" w:after="0"/>
              <w:ind w:left="0" w:right="0" w:hanging="0"/>
              <w:rPr/>
            </w:pPr>
            <w:r>
              <w:rPr/>
              <w:t> </w:t>
            </w:r>
          </w:p>
        </w:tc>
        <w:tc>
          <w:tcPr>
            <w:tcW w:w="3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(3,317)</w:t>
            </w:r>
          </w:p>
        </w:tc>
        <w:tc>
          <w:tcPr>
            <w:tcW w:w="326" w:type="dxa"/>
            <w:tcBorders/>
            <w:shd w:fill="CCEEFF" w:val="clear"/>
            <w:vAlign w:val="center"/>
          </w:tcPr>
          <w:p>
            <w:pPr>
              <w:pStyle w:val="TableContents"/>
              <w:spacing w:before="0" w:after="0"/>
              <w:ind w:left="0" w:right="0" w:hanging="0"/>
              <w:rPr/>
            </w:pPr>
            <w:r>
              <w:rPr/>
              <w:t> </w:t>
            </w:r>
          </w:p>
        </w:tc>
        <w:tc>
          <w:tcPr>
            <w:tcW w:w="30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(2,555)</w:t>
            </w:r>
          </w:p>
        </w:tc>
      </w:tr>
    </w:tbl>
    <w:p>
      <w:pPr>
        <w:pStyle w:val="TextBody"/>
        <w:spacing w:before="0" w:after="0"/>
        <w:ind w:left="0" w:right="0" w:hanging="0"/>
        <w:rPr/>
      </w:pPr>
      <w:r>
        <w:rPr/>
        <w:t>​</w:t>
      </w:r>
    </w:p>
    <w:p>
      <w:pPr>
        <w:pStyle w:val="TextBody"/>
        <w:spacing w:before="0" w:after="0"/>
        <w:ind w:left="0" w:right="0" w:firstLine="720"/>
        <w:jc w:val="both"/>
        <w:rPr/>
      </w:pPr>
      <w:r>
        <w:rPr/>
        <w:t>​</w:t>
      </w:r>
    </w:p>
    <w:p>
      <w:pPr>
        <w:pStyle w:val="TextBody"/>
        <w:spacing w:before="0" w:after="0"/>
        <w:ind w:left="0" w:right="0" w:firstLine="720"/>
        <w:jc w:val="both"/>
        <w:rPr/>
      </w:pPr>
      <w:r>
        <w:rPr/>
        <w:t>​</w:t>
      </w:r>
    </w:p>
    <w:p>
      <w:pPr>
        <w:pStyle w:val="TextBody"/>
        <w:spacing w:before="0" w:after="240"/>
        <w:ind w:left="0" w:right="0" w:hanging="0"/>
        <w:rPr>
          <w:rFonts w:ascii="Times New Roman;Times;serif" w:hAnsi="Times New Roman;Times;serif"/>
          <w:b w:val="false"/>
          <w:sz w:val="22"/>
        </w:rPr>
      </w:pPr>
      <w:bookmarkStart w:id="1356" w:name="Tc_TuFSZ2-Z40ikaHSq-moJOg_4_5"/>
      <w:bookmarkStart w:id="1357" w:name="Tc_X22tdrlmfkKUi6IeXMFbIA_4_2"/>
      <w:bookmarkStart w:id="1358" w:name="Tc_7Ek-ks-PZEKaxIL5Jzl9ig_3_0"/>
      <w:bookmarkStart w:id="1359" w:name="Tc_LqHbHIngUUuAVBjyOa-8XQ_2_5"/>
      <w:bookmarkStart w:id="1360" w:name="Tc_om-Y3pq_D0WzCZxcaH4xCA_2_2"/>
      <w:bookmarkStart w:id="1361" w:name="Tc_xZM-4brCLkGPpTv7beEsRQ_2_0"/>
      <w:bookmarkStart w:id="1362" w:name="Tc_4W2qKG6RKk2LUU285kZIzw_1_5"/>
      <w:bookmarkStart w:id="1363" w:name="Tc_aI710V9I502GO2hdNIiRKw_1_2"/>
      <w:bookmarkStart w:id="1364" w:name="_9237c8c8_0776_4349_b01a_108f600c275f"/>
      <w:bookmarkEnd w:id="1356"/>
      <w:bookmarkEnd w:id="1357"/>
      <w:bookmarkEnd w:id="1358"/>
      <w:bookmarkEnd w:id="1359"/>
      <w:bookmarkEnd w:id="1360"/>
      <w:bookmarkEnd w:id="1361"/>
      <w:bookmarkEnd w:id="1362"/>
      <w:bookmarkEnd w:id="1363"/>
      <w:bookmarkEnd w:id="1364"/>
      <w:r>
        <w:rPr>
          <w:rFonts w:ascii="Times New Roman;Times;serif" w:hAnsi="Times New Roman;Times;serif"/>
          <w:b w:val="false"/>
          <w:sz w:val="22"/>
        </w:rPr>
        <w:t>7.          INVENTORIES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Inventories consist of the following at December 31:</w:t>
      </w:r>
    </w:p>
    <w:p>
      <w:pPr>
        <w:pStyle w:val="TextBody"/>
        <w:spacing w:before="0" w:after="0"/>
        <w:ind w:left="0" w:right="0" w:hanging="0"/>
        <w:jc w:val="both"/>
        <w:rPr/>
      </w:pPr>
      <w:r>
        <w:rPr/>
        <w:t>​</w:t>
      </w:r>
    </w:p>
    <w:tbl>
      <w:tblPr>
        <w:tblW w:w="4107" w:type="dxa"/>
        <w:jc w:val="left"/>
        <w:tblInd w:w="0" w:type="dxa"/>
        <w:tblCellMar>
          <w:top w:w="0" w:type="dxa"/>
          <w:left w:w="0" w:type="dxa"/>
          <w:bottom w:w="0" w:type="dxa"/>
          <w:right w:w="0" w:type="dxa"/>
        </w:tblCellMar>
      </w:tblPr>
      <w:tblGrid>
        <w:gridCol w:w="1366"/>
        <w:gridCol w:w="326"/>
        <w:gridCol w:w="211"/>
        <w:gridCol w:w="781"/>
        <w:gridCol w:w="326"/>
        <w:gridCol w:w="211"/>
        <w:gridCol w:w="886"/>
      </w:tblGrid>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95935" cy="175260"/>
                      <wp:effectExtent l="0" t="0" r="0" b="0"/>
                      <wp:wrapNone/>
                      <wp:docPr id="379" name="Frame37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62610" cy="175260"/>
                      <wp:effectExtent l="0" t="0" r="0" b="0"/>
                      <wp:wrapNone/>
                      <wp:docPr id="382" name="Frame38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13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349,865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155,166</w:t>
            </w:r>
          </w:p>
        </w:tc>
      </w:tr>
      <w:tr>
        <w:trPr/>
        <w:tc>
          <w:tcPr>
            <w:tcW w:w="13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Finished goods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243,492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177,919</w:t>
            </w:r>
          </w:p>
        </w:tc>
      </w:tr>
      <w:tr>
        <w:trPr/>
        <w:tc>
          <w:tcPr>
            <w:tcW w:w="13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593,357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333,085</w:t>
            </w:r>
          </w:p>
        </w:tc>
      </w:tr>
    </w:tbl>
    <w:p>
      <w:pPr>
        <w:pStyle w:val="TextBody"/>
        <w:spacing w:before="0" w:after="0"/>
        <w:ind w:left="0" w:right="0" w:hanging="0"/>
        <w:rPr/>
      </w:pPr>
      <w:r>
        <w:rPr/>
        <w:t>​</w:t>
      </w:r>
    </w:p>
    <w:p>
      <w:pPr>
        <w:pStyle w:val="TextBody"/>
        <w:spacing w:before="0" w:after="0"/>
        <w:ind w:left="720" w:right="0" w:hanging="0"/>
        <w:jc w:val="both"/>
        <w:rPr/>
      </w:pPr>
      <w:r>
        <w:rPr/>
        <w:t>​</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val="false"/>
          <w:sz w:val="22"/>
        </w:rPr>
      </w:pPr>
      <w:bookmarkStart w:id="1365" w:name="Tc_i8_dGdmkMU61BCozofv0dA_12_5"/>
      <w:bookmarkStart w:id="1366" w:name="Tc_1fOu770fskWvAmV0I-HEOA_12_2"/>
      <w:bookmarkStart w:id="1367" w:name="Tc_7zg_38FLn0q1wWT7Ac4R5w_11_0"/>
      <w:bookmarkStart w:id="1368" w:name="Tc_xikYNsbjE0-w4F-jdFs10Q_9_0"/>
      <w:bookmarkStart w:id="1369" w:name="Tc_hX5NiWX9r0-w4-Gl4b8GEw_8_0"/>
      <w:bookmarkStart w:id="1370" w:name="Tc_W677FO4VC0a2v7B_jBvtRA_7_0"/>
      <w:bookmarkStart w:id="1371" w:name="Tc_UaTrgMLbDkGRdDgkSpKEHg_6_0"/>
      <w:bookmarkStart w:id="1372" w:name="Tc_VNto1_opc02hEWjQTAdBNw_5_0"/>
      <w:bookmarkStart w:id="1373" w:name="Tc_mJYtCKPrq0i8f6xGF75SzA_4_0"/>
      <w:bookmarkStart w:id="1374" w:name="Tc__yySM-CipUmFQiOyoqGjvA_3_0"/>
      <w:bookmarkStart w:id="1375" w:name="Tc_iNv93cq-FUe3XwPPLvqbEw_2_5"/>
      <w:bookmarkStart w:id="1376" w:name="Tc_6yRTSvDEcUyVamTFy6iGyQ_2_2"/>
      <w:bookmarkStart w:id="1377" w:name="Tc_muYT8vWYNEWwpsQ23vol_g_2_0"/>
      <w:bookmarkStart w:id="1378" w:name="Tc_T5wJ2mVguUO_nyc5YlvV3w_1_5"/>
      <w:bookmarkStart w:id="1379" w:name="Tc_vYKsDoH4uE-mqTWLW0knJw_1_2"/>
      <w:bookmarkStart w:id="1380" w:name="_14726aa9_089d_4397_adfb_c58fec5c080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r>
        <w:rPr>
          <w:rFonts w:ascii="Times New Roman;Times;serif" w:hAnsi="Times New Roman;Times;serif"/>
          <w:b w:val="false"/>
          <w:sz w:val="22"/>
        </w:rPr>
        <w:t>8.          PROPERTY AND EQUIPMENT, Net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Property and equipment consist of the following at December 31:</w:t>
      </w:r>
    </w:p>
    <w:p>
      <w:pPr>
        <w:pStyle w:val="TextBody"/>
        <w:spacing w:before="0" w:after="0"/>
        <w:ind w:left="720" w:right="0" w:hanging="0"/>
        <w:jc w:val="both"/>
        <w:rPr/>
      </w:pPr>
      <w:r>
        <w:rPr/>
        <w:t>​</w:t>
      </w:r>
    </w:p>
    <w:tbl>
      <w:tblPr>
        <w:tblW w:w="7032" w:type="dxa"/>
        <w:jc w:val="left"/>
        <w:tblInd w:w="0" w:type="dxa"/>
        <w:tblCellMar>
          <w:top w:w="0" w:type="dxa"/>
          <w:left w:w="0" w:type="dxa"/>
          <w:bottom w:w="0" w:type="dxa"/>
          <w:right w:w="0" w:type="dxa"/>
        </w:tblCellMar>
      </w:tblPr>
      <w:tblGrid>
        <w:gridCol w:w="4111"/>
        <w:gridCol w:w="326"/>
        <w:gridCol w:w="211"/>
        <w:gridCol w:w="901"/>
        <w:gridCol w:w="326"/>
        <w:gridCol w:w="211"/>
        <w:gridCol w:w="946"/>
      </w:tblGrid>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72135" cy="175260"/>
                      <wp:effectExtent l="0" t="0" r="0" b="0"/>
                      <wp:wrapNone/>
                      <wp:docPr id="385" name="Frame383"/>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00710" cy="175260"/>
                      <wp:effectExtent l="0" t="0" r="0" b="0"/>
                      <wp:wrapNone/>
                      <wp:docPr id="388" name="Frame386"/>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85,455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85,876</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11,845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11,524</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8,274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8,271</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21,657</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6,945</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190,333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185,348</w:t>
            </w:r>
          </w:p>
        </w:tc>
      </w:tr>
      <w:tr>
        <w:trPr/>
        <w:tc>
          <w:tcPr>
            <w:tcW w:w="4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167,243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156,616</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Vehicles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45,404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43,173</w:t>
            </w:r>
          </w:p>
        </w:tc>
      </w:tr>
      <w:tr>
        <w:trPr/>
        <w:tc>
          <w:tcPr>
            <w:tcW w:w="41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538,538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519,410</w:t>
            </w:r>
          </w:p>
        </w:tc>
      </w:tr>
      <w:tr>
        <w:trPr/>
        <w:tc>
          <w:tcPr>
            <w:tcW w:w="4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(224,785)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(204,754)</w:t>
            </w:r>
          </w:p>
        </w:tc>
      </w:tr>
      <w:tr>
        <w:trPr/>
        <w:tc>
          <w:tcPr>
            <w:tcW w:w="41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313,753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314,656</w:t>
            </w:r>
          </w:p>
        </w:tc>
      </w:tr>
    </w:tbl>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Total depreciation and amortization expense recorded was $45.7 million, $49.3 million and $49.1 million for the years ended December 31, 2021, 2020 and 2019, respectively.</w:t>
      </w:r>
    </w:p>
    <w:p>
      <w:pPr>
        <w:pStyle w:val="TextBody"/>
        <w:spacing w:before="0" w:after="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bookmarkStart w:id="1381" w:name="Tc_1vKAUFo1Lk6Uw9l_XCPScQ_7_5"/>
      <w:bookmarkStart w:id="1382" w:name="Tc_6usX8DKr-U6QCV3gJgv4bw_7_2"/>
      <w:bookmarkStart w:id="1383" w:name="Tc_HWwk9D6e30aGAGWi0GtcJQ_6_0"/>
      <w:bookmarkStart w:id="1384" w:name="Tc_KtLRfImc-06CxdwLNnrVsA_4_0"/>
      <w:bookmarkStart w:id="1385" w:name="Tc_MBYAWTY8pkey_ksgaK5tpA_3_5"/>
      <w:bookmarkStart w:id="1386" w:name="Tc_Ep7vkzXz7EqBIMVFC7dQTw_3_2"/>
      <w:bookmarkStart w:id="1387" w:name="Tc_sIlmISJp4EOFuINBNiVgYw_3_0"/>
      <w:bookmarkStart w:id="1388" w:name="Tc_PRQyIjorZkSuWxWW3_2FvA_2_5"/>
      <w:bookmarkStart w:id="1389" w:name="Tc_XSiY8GJ2yECeibC_G6ySBg_2_2"/>
      <w:bookmarkStart w:id="1390" w:name="Tc_psuzEh3Zs0atedEjhtzkWQ_1_5"/>
      <w:bookmarkStart w:id="1391" w:name="Tc_P4ajNY375EyNplQEVA1sMA_1_2"/>
      <w:bookmarkStart w:id="1392" w:name="_2252e59f_c65a_493d_baae_9ed781e8dde3"/>
      <w:bookmarkStart w:id="1393" w:name="Tc_pdE2Xc-OAkKUfDPG0QJUkQ_6_11"/>
      <w:bookmarkStart w:id="1394" w:name="Tc_3QIHYuxUjUqWn5PrCpR1Aw_6_9"/>
      <w:bookmarkStart w:id="1395" w:name="Tc_g2EQVzq0YUykH_kDFeYCQA_6_8"/>
      <w:bookmarkStart w:id="1396" w:name="Tc_NCOxkLof_EW2swX8qcJrSA_6_5"/>
      <w:bookmarkStart w:id="1397" w:name="Tc_upZoaowEkEGXGCjEIVsI0Q_6_2"/>
      <w:bookmarkStart w:id="1398" w:name="Tc_pWaQm0SjKkaqkFhWgs6Hag_6_0"/>
      <w:bookmarkStart w:id="1399" w:name="Tc_GEtN79gSmUSUxj7BLGlxqA_5_12"/>
      <w:bookmarkStart w:id="1400" w:name="Tc_f48shM83skWGGToab1MXhQ_5_9"/>
      <w:bookmarkStart w:id="1401" w:name="Tc_5OHhOUTBA02J9V-XTic-NA_5_6"/>
      <w:bookmarkStart w:id="1402" w:name="Tc_6J05rlbQBkG1D4q8McwGxQ_5_3"/>
      <w:bookmarkStart w:id="1403" w:name="Tc_gPCVxqvIQ0CBhvRqxu766g_5_0"/>
      <w:bookmarkStart w:id="1404" w:name="Tc_UynubX_M-kebnrO8792hlQ_4_11"/>
      <w:bookmarkStart w:id="1405" w:name="Tc_g5MYcv5ay0yN2Ms46aWp_Q_4_9"/>
      <w:bookmarkStart w:id="1406" w:name="Tc_qhUp8rq9UUSBM4LnrZxBtQ_4_8"/>
      <w:bookmarkStart w:id="1407" w:name="Tc_-KQXmU_O1kWfh08m2eIMLg_4_5"/>
      <w:bookmarkStart w:id="1408" w:name="Tc_khaDrOJhh0S4WISLDcN_sQ_4_2"/>
      <w:bookmarkStart w:id="1409" w:name="Tc_4WQfbZQL502ynW_E69GGcg_4_0"/>
      <w:bookmarkStart w:id="1410" w:name="Tc_2aSKng8Cq0eK43GE4DaIZg_3_11"/>
      <w:bookmarkStart w:id="1411" w:name="Tc_sQdQbsd_Z02mtu3hRJ8izA_3_8"/>
      <w:bookmarkStart w:id="1412" w:name="Tc_0UIrBIA8uEeT45e9owls1w_3_5"/>
      <w:bookmarkStart w:id="1413" w:name="Tc_M-cnCyqP2Umi1YMDcWrjYA_3_2"/>
      <w:bookmarkStart w:id="1414" w:name="Tc_PBzrASYLBUSUjC0ZeU7cRw_2_5"/>
      <w:bookmarkStart w:id="1415" w:name="Tc_wHoCE6VE3kSjUupPONr-Sg_2_2"/>
      <w:bookmarkStart w:id="1416" w:name="Tc_DdQMaeTE6k2HlieDRRIoLA_1_2"/>
      <w:bookmarkStart w:id="1417" w:name="_f19be1d4_e9c3_4fc0_b76c_b50b33a074a7"/>
      <w:bookmarkStart w:id="1418" w:name="Tc_DqkfRGprfEq9Jc_gTPWWmg_6_11"/>
      <w:bookmarkStart w:id="1419" w:name="Tc_O100WRwOc0GHMooDjUWGdQ_6_9"/>
      <w:bookmarkStart w:id="1420" w:name="Tc_y4nUzZezvEyd0Qbajjxc5A_6_8"/>
      <w:bookmarkStart w:id="1421" w:name="Tc_MK-rWlf9g0mC92ORxBsduA_6_5"/>
      <w:bookmarkStart w:id="1422" w:name="Tc_BYTrlnlRtEuyQyF4aeHi-w_6_2"/>
      <w:bookmarkStart w:id="1423" w:name="Tc_9P0eQW9GU0yUBUyHTObTIw_6_0"/>
      <w:bookmarkStart w:id="1424" w:name="Tc_f9SpFbYuGUKLftGRT8Fa9w_5_12"/>
      <w:bookmarkStart w:id="1425" w:name="Tc_snshZFtIxke2Fs0DCg709Q_5_9"/>
      <w:bookmarkStart w:id="1426" w:name="Tc_KXTGTGsqu024UpB4a3vwmQ_5_6"/>
      <w:bookmarkStart w:id="1427" w:name="Tc_fjEv8_IKIEe-fF2l9RRcZw_5_3"/>
      <w:bookmarkStart w:id="1428" w:name="Tc_PO60Bf7NH02INip6NO1sqQ_5_0"/>
      <w:bookmarkStart w:id="1429" w:name="Tc_C3IjKC4BG0-Z7BT4GciI1g_4_11"/>
      <w:bookmarkStart w:id="1430" w:name="Tc_DrA4dnmf3EOl0GTFUJsKIg_4_9"/>
      <w:bookmarkStart w:id="1431" w:name="Tc_ba7STHm6V0aWRWJNHi_K5Q_4_8"/>
      <w:bookmarkStart w:id="1432" w:name="Tc_HrFHMtbk5Uq04NnPNrm9kA_4_5"/>
      <w:bookmarkStart w:id="1433" w:name="Tc_W4J0fjAl_U-cpFvNokT49w_4_2"/>
      <w:bookmarkStart w:id="1434" w:name="Tc_7UNF2CTo0kWno7D7VIY1nQ_4_0"/>
      <w:bookmarkStart w:id="1435" w:name="Tc_ivTftvPSiUSs4R83CNRuww_3_11"/>
      <w:bookmarkStart w:id="1436" w:name="Tc_LTKxYQnpnkmIs5syM9UhAQ_3_8"/>
      <w:bookmarkStart w:id="1437" w:name="Tc_xrCELbETxEewaQBPEd_SNA_3_5"/>
      <w:bookmarkStart w:id="1438" w:name="Tc_sdLsvmXtNUarg31_LBX50A_3_2"/>
      <w:bookmarkStart w:id="1439" w:name="Tc_nRYE2B8JX0iFA1cP5ZQC-g_2_5"/>
      <w:bookmarkStart w:id="1440" w:name="Tc_n6zFDcdEXEO5UjG5h270Kg_2_2"/>
      <w:bookmarkStart w:id="1441" w:name="Tc_tvYo11pZP0KVKZvGnrNDmw_1_2"/>
      <w:bookmarkStart w:id="1442" w:name="_54df8c52_edc3_4a1f_87d0_b05edce19718"/>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r>
        <w:rPr>
          <w:rFonts w:ascii="Times New Roman;Times;serif" w:hAnsi="Times New Roman;Times;serif"/>
          <w:b w:val="false"/>
          <w:sz w:val="22"/>
        </w:rPr>
        <w:t>9.          GOODWILL AND OTHER INTANGIBLE ASSETS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The following is a roll-forward of goodwill for the years ended December 31, 2021 and 2020 by reportable segment: </w:t>
      </w:r>
    </w:p>
    <w:p>
      <w:pPr>
        <w:pStyle w:val="TextBody"/>
        <w:spacing w:before="0" w:after="0"/>
        <w:ind w:left="720" w:right="0" w:hanging="0"/>
        <w:jc w:val="both"/>
        <w:rPr/>
      </w:pPr>
      <w:r>
        <w:rPr/>
        <w:t>​</w:t>
      </w:r>
    </w:p>
    <w:tbl>
      <w:tblPr>
        <w:tblW w:w="7688" w:type="dxa"/>
        <w:jc w:val="left"/>
        <w:tblInd w:w="0" w:type="dxa"/>
        <w:tblCellMar>
          <w:top w:w="0" w:type="dxa"/>
          <w:left w:w="0" w:type="dxa"/>
          <w:bottom w:w="0" w:type="dxa"/>
          <w:right w:w="0" w:type="dxa"/>
        </w:tblCellMar>
      </w:tblPr>
      <w:tblGrid>
        <w:gridCol w:w="2596"/>
        <w:gridCol w:w="326"/>
        <w:gridCol w:w="211"/>
        <w:gridCol w:w="781"/>
        <w:gridCol w:w="326"/>
        <w:gridCol w:w="211"/>
        <w:gridCol w:w="781"/>
        <w:gridCol w:w="326"/>
        <w:gridCol w:w="211"/>
        <w:gridCol w:w="346"/>
        <w:gridCol w:w="326"/>
        <w:gridCol w:w="211"/>
        <w:gridCol w:w="1036"/>
      </w:tblGrid>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95935" cy="175260"/>
                      <wp:effectExtent l="0" t="0" r="0" b="0"/>
                      <wp:wrapNone/>
                      <wp:docPr id="391" name="Frame38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5935" cy="175260"/>
                      <wp:effectExtent l="0" t="0" r="0" b="0"/>
                      <wp:wrapNone/>
                      <wp:docPr id="394" name="Frame39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5"/>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57860" cy="175260"/>
                      <wp:effectExtent l="0" t="0" r="0" b="0"/>
                      <wp:wrapNone/>
                      <wp:docPr id="400" name="Frame39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shd w:fill="auto" w:val="clear"/>
            <w:vAlign w:val="center"/>
          </w:tcPr>
          <w:p>
            <w:pPr>
              <w:pStyle w:val="TableContents"/>
              <w:spacing w:before="0" w:after="0"/>
              <w:ind w:left="0" w:right="0" w:hanging="0"/>
              <w:rPr/>
            </w:pPr>
            <w:r>
              <w:rPr/>
              <w:t>    </w:t>
            </w:r>
          </w:p>
        </w:tc>
        <w:tc>
          <w:tcPr>
            <w:tcW w:w="5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spacing w:before="0" w:after="0"/>
        <w:ind w:left="0" w:right="0" w:hanging="0"/>
        <w:rPr/>
      </w:pPr>
      <w:r>
        <w:rPr/>
        <w:t>​</w:t>
      </w:r>
    </w:p>
    <w:tbl>
      <w:tblPr>
        <w:tblW w:w="7688" w:type="dxa"/>
        <w:jc w:val="left"/>
        <w:tblInd w:w="0" w:type="dxa"/>
        <w:tblCellMar>
          <w:top w:w="0" w:type="dxa"/>
          <w:left w:w="0" w:type="dxa"/>
          <w:bottom w:w="0" w:type="dxa"/>
          <w:right w:w="0" w:type="dxa"/>
        </w:tblCellMar>
      </w:tblPr>
      <w:tblGrid>
        <w:gridCol w:w="2596"/>
        <w:gridCol w:w="326"/>
        <w:gridCol w:w="211"/>
        <w:gridCol w:w="781"/>
        <w:gridCol w:w="326"/>
        <w:gridCol w:w="211"/>
        <w:gridCol w:w="781"/>
        <w:gridCol w:w="326"/>
        <w:gridCol w:w="211"/>
        <w:gridCol w:w="346"/>
        <w:gridCol w:w="326"/>
        <w:gridCol w:w="211"/>
        <w:gridCol w:w="1036"/>
      </w:tblGrid>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3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95935" cy="175260"/>
                      <wp:effectExtent l="0" t="0" r="0" b="0"/>
                      <wp:wrapNone/>
                      <wp:docPr id="403" name="Frame40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95935" cy="175260"/>
                      <wp:effectExtent l="0" t="0" r="0" b="0"/>
                      <wp:wrapNone/>
                      <wp:docPr id="406" name="Frame40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7"/>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57860" cy="175260"/>
                      <wp:effectExtent l="0" t="0" r="0" b="0"/>
                      <wp:wrapNone/>
                      <wp:docPr id="412" name="Frame41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20"/>
              </w:rPr>
              <w:t>Brands</w:t>
            </w:r>
          </w:p>
        </w:tc>
        <w:tc>
          <w:tcPr>
            <w:tcW w:w="326" w:type="dxa"/>
            <w:tcBorders/>
            <w:shd w:fill="auto" w:val="clear"/>
            <w:vAlign w:val="center"/>
          </w:tcPr>
          <w:p>
            <w:pPr>
              <w:pStyle w:val="TableContents"/>
              <w:spacing w:before="0" w:after="0"/>
              <w:ind w:left="0" w:right="0" w:hanging="0"/>
              <w:rPr/>
            </w:pPr>
            <w:r>
              <w:rPr/>
              <w:t>    </w:t>
            </w:r>
          </w:p>
        </w:tc>
        <w:tc>
          <w:tcPr>
            <w:tcW w:w="5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Intangible assets consist of the following at:</w:t>
      </w:r>
    </w:p>
    <w:p>
      <w:pPr>
        <w:pStyle w:val="TextBody"/>
        <w:spacing w:before="0" w:after="0"/>
        <w:ind w:left="0" w:right="0" w:firstLine="720"/>
        <w:jc w:val="both"/>
        <w:rPr/>
      </w:pPr>
      <w:r>
        <w:rPr/>
        <w:t>​</w:t>
      </w:r>
    </w:p>
    <w:tbl>
      <w:tblPr>
        <w:tblW w:w="5588" w:type="dxa"/>
        <w:jc w:val="left"/>
        <w:tblInd w:w="0" w:type="dxa"/>
        <w:tblCellMar>
          <w:top w:w="0" w:type="dxa"/>
          <w:left w:w="0" w:type="dxa"/>
          <w:bottom w:w="0" w:type="dxa"/>
          <w:right w:w="0" w:type="dxa"/>
        </w:tblCellMar>
      </w:tblPr>
      <w:tblGrid>
        <w:gridCol w:w="2371"/>
        <w:gridCol w:w="326"/>
        <w:gridCol w:w="232"/>
        <w:gridCol w:w="1028"/>
        <w:gridCol w:w="326"/>
        <w:gridCol w:w="220"/>
        <w:gridCol w:w="1085"/>
      </w:tblGrid>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7320" cy="175260"/>
                      <wp:effectExtent l="0" t="0" r="0" b="0"/>
                      <wp:wrapNone/>
                      <wp:docPr id="414" name="Frame412"/>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52780" cy="175260"/>
                      <wp:effectExtent l="0" t="0" r="0" b="0"/>
                      <wp:wrapNone/>
                      <wp:docPr id="415" name="Frame413"/>
                      <a:graphic xmlns:a="http://schemas.openxmlformats.org/drawingml/2006/main">
                        <a:graphicData uri="http://schemas.microsoft.com/office/word/2010/wordprocessingShape">
                          <wps:wsp>
                            <wps:cNvSpPr txBox="1"/>
                            <wps:spPr>
                              <a:xfrm>
                                <a:off x="0" y="0"/>
                                <a:ext cx="6527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9700" cy="175260"/>
                      <wp:effectExtent l="0" t="0" r="0" b="0"/>
                      <wp:wrapNone/>
                      <wp:docPr id="417" name="Frame415"/>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88975" cy="175260"/>
                      <wp:effectExtent l="0" t="0" r="0" b="0"/>
                      <wp:wrapNone/>
                      <wp:docPr id="418" name="Frame416"/>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60"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shd w:fill="auto" w:val="clear"/>
            <w:vAlign w:val="center"/>
          </w:tcPr>
          <w:p>
            <w:pPr>
              <w:pStyle w:val="TableContents"/>
              <w:spacing w:before="0" w:after="1"/>
              <w:ind w:left="0" w:right="0" w:hanging="0"/>
              <w:rPr/>
            </w:pPr>
            <w:r>
              <w:rPr/>
              <w:t>    </w:t>
            </w:r>
          </w:p>
        </w:tc>
        <w:tc>
          <w:tcPr>
            <w:tcW w:w="1305"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1"/>
              <w:ind w:left="0" w:right="0" w:hanging="0"/>
              <w:rPr/>
            </w:pPr>
            <w:r>
              <w:rPr/>
              <w:t>​</w:t>
            </w:r>
          </w:p>
        </w:tc>
        <w:tc>
          <w:tcPr>
            <w:tcW w:w="13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spacing w:before="0" w:after="1"/>
              <w:ind w:left="0" w:right="0" w:hanging="0"/>
              <w:rPr/>
            </w:pPr>
            <w:r>
              <w:rPr/>
              <w:t>​</w:t>
            </w:r>
          </w:p>
        </w:tc>
        <w:tc>
          <w:tcPr>
            <w:tcW w:w="2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66,872</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66,875</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auto" w:val="clear"/>
            <w:vAlign w:val="center"/>
          </w:tcPr>
          <w:p>
            <w:pPr>
              <w:pStyle w:val="TableContents"/>
              <w:spacing w:before="0" w:after="1"/>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(61,227)</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(56,801)</w:t>
            </w:r>
          </w:p>
        </w:tc>
      </w:tr>
      <w:tr>
        <w:trPr/>
        <w:tc>
          <w:tcPr>
            <w:tcW w:w="23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2" w:type="dxa"/>
            <w:tcBorders/>
            <w:shd w:fill="CCEEFF" w:val="clear"/>
            <w:vAlign w:val="center"/>
          </w:tcPr>
          <w:p>
            <w:pPr>
              <w:pStyle w:val="TableContents"/>
              <w:spacing w:before="0" w:after="1"/>
              <w:ind w:left="0" w:right="0" w:hanging="0"/>
              <w:rPr/>
            </w:pPr>
            <w:r>
              <w:rPr/>
              <w:t> </w:t>
            </w:r>
          </w:p>
        </w:tc>
        <w:tc>
          <w:tcPr>
            <w:tcW w:w="102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5,645</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10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10,074</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Non-amortizing intangibles</w:t>
            </w:r>
          </w:p>
        </w:tc>
        <w:tc>
          <w:tcPr>
            <w:tcW w:w="326" w:type="dxa"/>
            <w:tcBorders/>
            <w:shd w:fill="auto" w:val="clear"/>
            <w:vAlign w:val="center"/>
          </w:tcPr>
          <w:p>
            <w:pPr>
              <w:pStyle w:val="TableContents"/>
              <w:spacing w:before="0" w:after="1"/>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1,066,741</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1,048,972</w:t>
            </w:r>
          </w:p>
        </w:tc>
      </w:tr>
      <w:tr>
        <w:trPr/>
        <w:tc>
          <w:tcPr>
            <w:tcW w:w="23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1,072,386</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1,059,046</w:t>
            </w:r>
          </w:p>
        </w:tc>
      </w:tr>
    </w:tbl>
    <w:p>
      <w:pPr>
        <w:pStyle w:val="TextBody"/>
        <w:spacing w:before="0" w:after="240"/>
        <w:ind w:left="0" w:right="0" w:firstLine="72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2"/>
        </w:rPr>
        <w:t>five</w:t>
      </w:r>
      <w:r>
        <w:rPr>
          <w:rFonts w:ascii="Times New Roman;Times;serif" w:hAnsi="Times New Roman;Times;serif"/>
          <w:sz w:val="22"/>
        </w:rPr>
        <w:t xml:space="preserve"> to seven years. Total amortization expense recorded was $4.4 million, $7.7 million and $11.6 million for the years ended December 31, 2021, 2020 and 2019, respectively. No impairment was recorded for the years ended December 31, 2021 and 2019. Total impairment recorded was $8.7 million for the year ended December 31,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bookmarkStart w:id="1443" w:name="Tc_ib6dXuEB8kaaIUaggQeWSw_9_2"/>
      <w:bookmarkStart w:id="1444" w:name="Tc_zhBvfWSZSEeQ6kxP_Rf5yQ_8_0"/>
      <w:bookmarkStart w:id="1445" w:name="Tc_-x1jjatA1EOQvx5PjG3n4A_7_0"/>
      <w:bookmarkStart w:id="1446" w:name="Tc_ws9STEODXkGO9MgZJycJfg_6_0"/>
      <w:bookmarkStart w:id="1447" w:name="Tc_fyY3WTN7Uk-XM9gLDlrHlA_5_0"/>
      <w:bookmarkStart w:id="1448" w:name="Tc_xIDU2ALZ3UapzpDqk-_hWQ_4_0"/>
      <w:bookmarkStart w:id="1449" w:name="Tc_kdCsZuBhqEWhVeyUc_Jtfg_3_2"/>
      <w:bookmarkStart w:id="1450" w:name="Tc_NtYrkKrwnU2WknBBm76sZw_3_0"/>
      <w:bookmarkStart w:id="1451" w:name="Tc_fEQb8sx8uE-Wbom4yHlTBw_1_0"/>
      <w:bookmarkStart w:id="1452" w:name="_5efe1533_2251_482f_be05_14125930f3e4"/>
      <w:bookmarkEnd w:id="1443"/>
      <w:bookmarkEnd w:id="1444"/>
      <w:bookmarkEnd w:id="1445"/>
      <w:bookmarkEnd w:id="1446"/>
      <w:bookmarkEnd w:id="1447"/>
      <w:bookmarkEnd w:id="1448"/>
      <w:bookmarkEnd w:id="1449"/>
      <w:bookmarkEnd w:id="1450"/>
      <w:bookmarkEnd w:id="1451"/>
      <w:bookmarkEnd w:id="1452"/>
      <w:r>
        <w:rPr>
          <w:rFonts w:ascii="Times New Roman;Times;serif" w:hAnsi="Times New Roman;Times;serif"/>
          <w:sz w:val="22"/>
        </w:rPr>
        <w:t>The following is the future estimated amortization expense related to amortizing intangibles as of December 31, 2021:</w:t>
      </w:r>
    </w:p>
    <w:p>
      <w:pPr>
        <w:pStyle w:val="TextBody"/>
        <w:spacing w:before="0" w:after="0"/>
        <w:ind w:left="0" w:right="0" w:firstLine="720"/>
        <w:jc w:val="both"/>
        <w:rPr/>
      </w:pPr>
      <w:r>
        <w:rPr/>
        <w:t>​</w:t>
      </w:r>
    </w:p>
    <w:tbl>
      <w:tblPr>
        <w:tblW w:w="3524" w:type="dxa"/>
        <w:jc w:val="left"/>
        <w:tblInd w:w="0" w:type="dxa"/>
        <w:tblCellMar>
          <w:top w:w="0" w:type="dxa"/>
          <w:left w:w="0" w:type="dxa"/>
          <w:bottom w:w="0" w:type="dxa"/>
          <w:right w:w="0" w:type="dxa"/>
        </w:tblCellMar>
      </w:tblPr>
      <w:tblGrid>
        <w:gridCol w:w="2311"/>
        <w:gridCol w:w="326"/>
        <w:gridCol w:w="211"/>
        <w:gridCol w:w="676"/>
      </w:tblGrid>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29260" cy="175260"/>
                      <wp:effectExtent l="0" t="0" r="0" b="0"/>
                      <wp:wrapNone/>
                      <wp:docPr id="421" name="Frame41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 Ending December 31:</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4,405</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 and 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23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5,645</w:t>
            </w:r>
          </w:p>
        </w:tc>
      </w:tr>
    </w:tbl>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At December 31, 2021, non-amortizing intangibles primarily consist of indefinite-lived tradenames, flavors and formulas.</w:t>
      </w:r>
    </w:p>
    <w:p>
      <w:pPr>
        <w:pStyle w:val="TextBody"/>
        <w:spacing w:before="0" w:after="0"/>
        <w:ind w:left="0" w:right="0" w:firstLine="720"/>
        <w:jc w:val="both"/>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10.          DISTRIBUTION AGREEMENTS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accordance with FASB ASC 420 “Exit or Disposal Cost Obligations”, the Company expenses distributor termination costs in the period in which the written notification of termination occurs. As a result, the Company incurred termination costs of $5.3 million, $0.2 million and $11.3 million for the years ended December 31, 2021, 2020 and 2019, respectively. Such termination costs have been expensed in full and are included in operating expenses in the consolidated statements of income for the years ended December 31, 2021, 2020 and 2019.</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$21.5 million, $21.4 million and $25.0 million for the years ended December 31, 2021, 2020 and 2019, respectively.</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11.        DEBT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entered into a credit facility with Comerica Bank (“Comerica”) consisting of a revolving line of credit, which was amended in April 2020, under which the Company may borrow up to $10.0 million of non-collateralized debt. The revolving line of credit is effective through June 1, 2025. Interest on borrowings under the line of credit is based on Comerica’s base (prime) rate minus 1.00% to 1.50%, or London Interbank Offered Rates plus an additional percentage of 1.25% to 1.75%, depending upon certain financial ratios maintained by the Company. The Company had no outstanding borrowings on this line of credit at December 31, 2021.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2021.</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Company has a credit facility with HSBC Bank (China) Company Limited, Shanghai Branch, of $15.0 million. At December 31, 2021, the interest rate on borrowings under the line of credit was 5.5%. As of December 31, 2021, $5.8 million was outstanding on this line of credit.</w:t>
      </w:r>
    </w:p>
    <w:p>
      <w:pPr>
        <w:pStyle w:val="TextBody"/>
        <w:spacing w:before="0" w:after="24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bookmarkStart w:id="1453" w:name="Tc_Ewrc999_R0SM2gA00lQM9w_9_2"/>
      <w:bookmarkStart w:id="1454" w:name="Tc_nxJoKSRLpE-9kLJwDmBGzA_8_3"/>
      <w:bookmarkStart w:id="1455" w:name="Tc_zt29_M8T20GZlYuH4A8Cvw_8_0"/>
      <w:bookmarkStart w:id="1456" w:name="Tc_Xs-ghqmomU2cUTkLaBSjfg_7_3"/>
      <w:bookmarkStart w:id="1457" w:name="Tc_kwZAJVapd0e37icymLmROA_7_0"/>
      <w:bookmarkStart w:id="1458" w:name="Tc_5Nq23LiYRE68sKu_N_VlzA_6_0"/>
      <w:bookmarkStart w:id="1459" w:name="Tc_YR_7SEHWl0ipqeGZ--L8nQ_5_0"/>
      <w:bookmarkStart w:id="1460" w:name="Tc_Lr0JCTdqb0uIjFx9p6lXrg_4_0"/>
      <w:bookmarkStart w:id="1461" w:name="Tc_pLIgSat4aU2Iz989jMoJPA_3_2"/>
      <w:bookmarkStart w:id="1462" w:name="Tc_-cIJKRJwekG1lwA-7mARLQ_3_0"/>
      <w:bookmarkStart w:id="1463" w:name="Tc_OzhB2AgPOUWMBa_41yXh3Q_1_0"/>
      <w:bookmarkStart w:id="1464" w:name="_Hlk506630790"/>
      <w:bookmarkEnd w:id="1453"/>
      <w:bookmarkEnd w:id="1454"/>
      <w:bookmarkEnd w:id="1455"/>
      <w:bookmarkEnd w:id="1456"/>
      <w:bookmarkEnd w:id="1457"/>
      <w:bookmarkEnd w:id="1458"/>
      <w:bookmarkEnd w:id="1459"/>
      <w:bookmarkEnd w:id="1460"/>
      <w:bookmarkEnd w:id="1461"/>
      <w:bookmarkEnd w:id="1462"/>
      <w:bookmarkEnd w:id="1463"/>
      <w:bookmarkEnd w:id="1464"/>
      <w:r>
        <w:rPr>
          <w:rFonts w:ascii="Times New Roman;Times;serif" w:hAnsi="Times New Roman;Times;serif"/>
          <w:b w:val="false"/>
          <w:sz w:val="22"/>
        </w:rPr>
        <w:t>12.        COMMITMENTS AND CONTINGENCIES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i/>
          <w:sz w:val="22"/>
        </w:rPr>
        <w:t>Contractual Obligations</w:t>
      </w:r>
      <w:r>
        <w:rPr>
          <w:rFonts w:ascii="Times New Roman;Times;serif" w:hAnsi="Times New Roman;Times;serif"/>
          <w:sz w:val="22"/>
        </w:rPr>
        <w:t xml:space="preserve"> – The Company had the following contractual obligations related primarily to sponsorships, other marketing activities and AFF new production facility construction costs as of December 31, 2021:</w:t>
      </w:r>
    </w:p>
    <w:p>
      <w:pPr>
        <w:pStyle w:val="TextBody"/>
        <w:spacing w:before="0" w:after="0"/>
        <w:ind w:left="0" w:right="0" w:hanging="0"/>
        <w:rPr/>
      </w:pPr>
      <w:r>
        <w:rPr/>
        <w:t>​</w:t>
      </w:r>
    </w:p>
    <w:tbl>
      <w:tblPr>
        <w:tblW w:w="3734" w:type="dxa"/>
        <w:jc w:val="left"/>
        <w:tblInd w:w="0" w:type="dxa"/>
        <w:tblCellMar>
          <w:top w:w="0" w:type="dxa"/>
          <w:left w:w="0" w:type="dxa"/>
          <w:bottom w:w="0" w:type="dxa"/>
          <w:right w:w="0" w:type="dxa"/>
        </w:tblCellMar>
      </w:tblPr>
      <w:tblGrid>
        <w:gridCol w:w="2311"/>
        <w:gridCol w:w="326"/>
        <w:gridCol w:w="211"/>
        <w:gridCol w:w="88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467485" cy="175260"/>
                      <wp:effectExtent l="0" t="0" r="0" b="0"/>
                      <wp:wrapNone/>
                      <wp:docPr id="422" name="Frame420"/>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62610" cy="175260"/>
                      <wp:effectExtent l="0" t="0" r="0" b="0"/>
                      <wp:wrapNone/>
                      <wp:docPr id="425" name="Frame42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 Ending December 31:</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236,698</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57,848</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10,497</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 and 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3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305,053</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Purchase Commitments</w:t>
      </w:r>
      <w:r>
        <w:rPr>
          <w:rFonts w:ascii="Times New Roman;Times;serif" w:hAnsi="Times New Roman;Times;serif"/>
          <w:sz w:val="22"/>
        </w:rPr>
        <w:t xml:space="preserve"> – The Company had purchase commitments aggregating approximately $273.4 million at December 31, 2021, which represent commitments made by the Company and its subsidiaries to various suppliers of raw materials for the production of its products. These obligations vary in terms, but are generally satisfied within one year.</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 purchases various raw material items, including, but not limited to, flavors, ingredients, supplement ingredients, containers, milk, glucose, sucralose, cream and protein, from a limited number of suppliers.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2021, 2020 and 2019 was $698.0 million, $401.8 million and $335.3 million, respectively.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Guarantees</w:t>
      </w:r>
      <w:r>
        <w:rPr>
          <w:rFonts w:ascii="Times New Roman;Times;serif" w:hAnsi="Times New Roman;Times;serif"/>
          <w:sz w:val="22"/>
        </w:rPr>
        <w:t xml:space="preserve"> – The Company from time to time enters into certain types of contracts that contingently require the Company to 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 xml:space="preserve">Litigation </w:t>
      </w:r>
      <w:r>
        <w:rPr>
          <w:rFonts w:ascii="Times New Roman;Times;serif" w:hAnsi="Times New Roman;Times;serif"/>
          <w:sz w:val="22"/>
        </w:rPr>
        <w:t>– 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The Company evaluates, on a quarterly basis, developments in legal proceedings and other matters that could cause an increase or decrease in the amount of the liability that is accrued, if any, and any related insurance reimbursements. As of December 31, 2021, no loss contingencies were included in the Company’s consolidated balance sheet. </w:t>
      </w:r>
    </w:p>
    <w:p>
      <w:pPr>
        <w:pStyle w:val="TextBody"/>
        <w:spacing w:before="0" w:after="24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bookmarkStart w:id="1465" w:name="Tc_puXnTVVgBEmqDCmxnAbm2w_4_5"/>
      <w:bookmarkStart w:id="1466" w:name="Tc_Cf0pd6DAP0u1dPzWqi9ybw_4_2"/>
      <w:bookmarkStart w:id="1467" w:name="Tc_QGmFQd6lDEWYGOofTTAHKA_4_0"/>
      <w:bookmarkStart w:id="1468" w:name="Tc_9ReISHqM3UmnxJSiNNCLTg_3_0"/>
      <w:bookmarkStart w:id="1469" w:name="Tc_iYe7cc-NeE2Rcu0JzaiVrQ_2_5"/>
      <w:bookmarkStart w:id="1470" w:name="Tc_e4QXAHiUh0O5bfDPLf5vEQ_2_2"/>
      <w:bookmarkStart w:id="1471" w:name="Tc_Us_ztzYuXU2rta03kS6ijg_2_0"/>
      <w:bookmarkStart w:id="1472" w:name="Tc_Ihyj7RE-SUSyXvF8ZotQwQ_1_5"/>
      <w:bookmarkStart w:id="1473" w:name="Tc_O8Q24txO3ky1sxQ1nUL48A_1_2"/>
      <w:bookmarkStart w:id="1474" w:name="_31f870bc_024f_491b_8606_398bb21eee3b"/>
      <w:bookmarkEnd w:id="1465"/>
      <w:bookmarkEnd w:id="1466"/>
      <w:bookmarkEnd w:id="1467"/>
      <w:bookmarkEnd w:id="1468"/>
      <w:bookmarkEnd w:id="1469"/>
      <w:bookmarkEnd w:id="1470"/>
      <w:bookmarkEnd w:id="1471"/>
      <w:bookmarkEnd w:id="1472"/>
      <w:bookmarkEnd w:id="1473"/>
      <w:bookmarkEnd w:id="1474"/>
      <w:r>
        <w:rPr>
          <w:rFonts w:ascii="Times New Roman;Times;serif" w:hAnsi="Times New Roman;Times;serif"/>
          <w:b w:val="false"/>
          <w:sz w:val="22"/>
        </w:rPr>
        <w:t>13.        ACCUMULATED OTHER COMPREHENSIVE INCOME (LOSS)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components of accumulated other comprehensive income (loss) are as follows at December 31:</w:t>
      </w:r>
    </w:p>
    <w:p>
      <w:pPr>
        <w:pStyle w:val="TextBody"/>
        <w:spacing w:before="0" w:after="0"/>
        <w:ind w:left="720" w:right="0" w:hanging="0"/>
        <w:jc w:val="both"/>
        <w:rPr/>
      </w:pPr>
      <w:r>
        <w:rPr/>
        <w:t>​</w:t>
      </w:r>
    </w:p>
    <w:tbl>
      <w:tblPr>
        <w:tblW w:w="8352" w:type="dxa"/>
        <w:jc w:val="left"/>
        <w:tblInd w:w="0" w:type="dxa"/>
        <w:tblCellMar>
          <w:top w:w="0" w:type="dxa"/>
          <w:left w:w="0" w:type="dxa"/>
          <w:bottom w:w="0" w:type="dxa"/>
          <w:right w:w="0" w:type="dxa"/>
        </w:tblCellMar>
      </w:tblPr>
      <w:tblGrid>
        <w:gridCol w:w="5806"/>
        <w:gridCol w:w="326"/>
        <w:gridCol w:w="211"/>
        <w:gridCol w:w="796"/>
        <w:gridCol w:w="326"/>
        <w:gridCol w:w="211"/>
        <w:gridCol w:w="676"/>
      </w:tblGrid>
      <w:tr>
        <w:trPr/>
        <w:tc>
          <w:tcPr>
            <w:tcW w:w="5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686810" cy="175260"/>
                      <wp:effectExtent l="0" t="0" r="0" b="0"/>
                      <wp:wrapNone/>
                      <wp:docPr id="426" name="Frame424"/>
                      <a:graphic xmlns:a="http://schemas.openxmlformats.org/drawingml/2006/main">
                        <a:graphicData uri="http://schemas.microsoft.com/office/word/2010/wordprocessingShape">
                          <wps:wsp>
                            <wps:cNvSpPr txBox="1"/>
                            <wps:spPr>
                              <a:xfrm>
                                <a:off x="0" y="0"/>
                                <a:ext cx="3686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05460" cy="175260"/>
                      <wp:effectExtent l="0" t="0" r="0" b="0"/>
                      <wp:wrapNone/>
                      <wp:docPr id="429" name="Frame42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29260" cy="175260"/>
                      <wp:effectExtent l="0" t="0" r="0" b="0"/>
                      <wp:wrapNone/>
                      <wp:docPr id="432" name="Frame43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5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net unrealized (loss) gain on available-for-sale securities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58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 net of tax</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2,950</w:t>
            </w:r>
          </w:p>
        </w:tc>
      </w:tr>
      <w:tr>
        <w:trPr/>
        <w:tc>
          <w:tcPr>
            <w:tcW w:w="5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accumulated other comprehensive (loss) income</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(69,165)</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3,034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14.        TREASURY STOCK PURCHASE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On March 13, 2020, the Company’s Board of Directors authorized a new share repurchase program for the purchase of up to $500.0 million of the Company’s outstanding common stock (the “March 2020 Repurchase Plan”). During the year ended December 31, 2021, no shares were purchased under the March 2020 Repurchase Plan. As of February 28, 2022, $441.5 million remained available for repurchase under the March 2020 Repurchase Plan.</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During the year ended December 31, 2021, 0.2 million shares of common stock were purchased from employees in lieu of cash payments for options exercised or withholding taxes due for a total amount of $13.8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2021. </w:t>
      </w:r>
    </w:p>
    <w:p>
      <w:pPr>
        <w:pStyle w:val="TextBody"/>
        <w:pBdr/>
        <w:spacing w:before="0" w:after="0"/>
        <w:ind w:left="0" w:right="0" w:hanging="720"/>
        <w:jc w:val="both"/>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15.        STOCK-BASED COMPENSATION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has two stock-based compensation plans under which shares were available for grant at December 31, 2021: (i) the Monster Beverage Corporation 2020 Omnibus Incentive Plan (the “2020 Omnibus Incentive Plan”), which includes the Monster Beverage Corporation Deferred Compensation Plan as a sub plan thereunder, and (ii) the Monster Beverage Corporation 2017 Compensation Plan for Non-Employee Directors, which includes the Monster Beverage Corporation Deferred Compensation Plan for Non-Employee Directors as a sub plan thereunder. The 2020 Omnibus Incentive Plan was approved by the Board of Directors on April 14, 2020 and approved by the stockholders of the Company at the annual meeting of the Company’s stockholders held on June 3, 2020 (the “Effective Date”). The 2020 Omnibus Incentive Plan replaced the Monster Beverage Corporation 2011 Omnibus Incentive Plan (the “2011 Omnibus Incentive Plan”).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2020 Omnibus Incentive Plan provides for the granting of stock options, stock appreciation rights, restricted stock, restricted stock units, performance awards, and other share-based awards up to an aggregate of 46,169,367 shares of the Company’s common stock, comprised of 32,000,000 new shares of common stock reserved under the 2020 Omnibus Incentive Plan, which were authorized on the Effective Date, and 14,169,367 shares of common stock that were available for grant under the 2011 Omnibus Incentive Plan as of December 31, 2019 and prior to the Effective Date. Shares authorized under the 2020 Omnibus Incentive Plan are reduced by one (1) share for options or stock appreciation rights granted under the 2020 Omnibus Incentive Plan and for any grants after December 31, 2019 under the 2011 Omnibus Incentive Plan, and by 2.6 shares for each share granted or issued with respect to a Full Value Award under either the 2020 Omnibus Incentive Plan or for any shares granted after December 31, 2019 under the 2011 Omnibus Incentive Plan. A “Full Value Award” is an award other than an incentive stock option, a non-qualified stock option, or a stock appreciation right, which is settled by the issuance of shares. Options granted under the 2020 Omnibus Incentive Plan may be incentive stock options under Section 422 of the Internal Revenue Code, as amended (the “Code”), or non-qualified stock options.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Shares previously granted under the 2011 Omnibus Incentive Plan after December 31, 2019 and prior to the Effective Date of the 2020 Omnibus Incentive Plan reduced the number of shares available for grant under the 2020 Omnibus Incentive Plan. As of December 31, 2021, 2,755,257 shares of the Company’s common stock have been granted, net of cancellations, and 42,513,457 shares (as adjusted for Full Value Awards) of the Company’s common stock remain available for grant under the 2020 Omnibus Incentive Plan.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Compensation Committee of the Board of Directors (the “Compensation Committee”) has sole and exclusive authority to grant stock awards to all employees who are not new hires and to all new hires who are subject to Section 16 of the Exchange Act (“Section 16”). Each of the Compensation Committee and the Executive Committee of the Board of Directors (the “Executive Committee”) independently has the authority to grant stock awards to (i) new hires and (ii) employees receiving a promotion, in each case, who are not Section 16 employees. Awards granted by the Executive Committee are not subject to approval or ratification by the Board of Directors or the Compensation Committee. Options granted under the 2020 Omnibus Incentive Plan generally vest over a </w:t>
      </w:r>
      <w:r>
        <w:rPr>
          <w:rFonts w:ascii="Times New Roman;Times;serif" w:hAnsi="Times New Roman;Times;serif"/>
          <w:b w:val="false"/>
          <w:i w:val="false"/>
          <w:caps w:val="false"/>
          <w:smallCaps w:val="false"/>
          <w:sz w:val="22"/>
        </w:rPr>
        <w:t>three</w:t>
      </w:r>
      <w:r>
        <w:rPr>
          <w:rFonts w:ascii="Times New Roman;Times;serif" w:hAnsi="Times New Roman;Times;serif"/>
          <w:sz w:val="22"/>
        </w:rPr>
        <w:t xml:space="preserve">- to five-year period from the grant date and are generally exercisable up to 10 years after the grant date. Restricted stock units granted under the 2020 Omnibus Incentive Plan generally vest over a </w:t>
      </w:r>
      <w:r>
        <w:rPr>
          <w:rFonts w:ascii="Times New Roman;Times;serif" w:hAnsi="Times New Roman;Times;serif"/>
          <w:b w:val="false"/>
          <w:i w:val="false"/>
          <w:caps w:val="false"/>
          <w:smallCaps w:val="false"/>
          <w:sz w:val="22"/>
        </w:rPr>
        <w:t>three</w:t>
      </w:r>
      <w:r>
        <w:rPr>
          <w:rFonts w:ascii="Times New Roman;Times;serif" w:hAnsi="Times New Roman;Times;serif"/>
          <w:sz w:val="22"/>
        </w:rPr>
        <w:t>- or five-year period from the grant date. Performance share units will generally vest based on the achievement of performance goals specified for the applicable award.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their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unsecured. As of December 31, 2021 deferrals under the Deferred Compensation Plan are solely comprised of cash compensation and equity compensation and are not material in the aggregate.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In 2017, the Company adopted the 2017 Directors Plan, a successor plan to the 2009 Monster Beverage Corporation Stock Incentive Plan for Non-Employee Directors. The 2017 Directors Plan permits the granting of stock options, stock appreciation rights, restricted shares or restricted stock units, deferred awards, dividend equivalents, and other share based-awards up to an aggregate of 1,250,000 shares of common stock of the Company to non-employee directors of the Company.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Each calendar year, a non-employee director will receive an annual retainer and annual equity award, as provided for in the 2017 Directors Plan, which may be modified from time to time. Currently, with respect to equity awards, each non-employee director receives an award of restricted stock units at each annual meeting of the Company’s stockholders or promptly thereafter. A non-employee director’s annual award of restricted stock units will generally vest on the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non-employee directors stock options, stock appreciation rights, restricted stock and other share-based awards in lieu of or in addition to restricted stock units. The Board of Directors may amend or terminate the 2017 Directors Plan at any time, subject to certain limitations set forth in the 2017 Directors Plan. As of December 31, 2021, 98,901 shares of the Company’s common stock had been granted under the 2017 Directors Plan, and 1,151,099 shares of the Company’s common stock remain available for grant.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2017, the Company adopted the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Section 409A of the Code, as applicable), to receive all or any portion of such non-employee director’s compensation, whether payable in cash or in equity, on a deferred basis. Deferrals under the Deferred Compensation Plan for Non-Employee Directors are unfunded and unsecured. As of December 31, 2021, deferrals under the Deferred Compensation Plan for Non-Employee Directors are solely comprised of cash compensation and equity compensation and are not material in the aggregate.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In February 2022, the Board of Directors amended and restated the 2017 Directors Plan to require each non-employee director to satisfy the share ownership guidelines set forth below, as may be modified by the Board of Directors from time to time. The current share ownership guidelines provide that non-employee directors of the Company must: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Hold shares of Company common stock having a total value of five times the annual retainer payable to a non-employee director (excluding any portion of the annual retainer attributable to a non-employee director’s service as a member of a subcommittee, as a chair of a subcommittee or as the lead independent director, as applicable). For this purpose, deferred shares or deferred restricted stock units will be deemed held, to the extent vested.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minimum stock ownership level must be achieved by each non-employee director by the fifth anniversary of such non-employee director’s initial appointment to the Board of Directors.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Once achieved, ownership of the guideline amount should be maintained for so long as the non-employee director retains his or her seat on the Board of Directors.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tc>
      </w:tr>
    </w:tbl>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recorded $70.5 million, $70.3 million and $63.4 million of compensation expense relating to outstanding options, restricted stock units, performance share units and other share-based awards during the years ended December 31, 2021, 2020 and 2019,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bookmarkStart w:id="1475" w:name="Tc_pKub4jCwW0iaPbc-CpX3vA_6_7"/>
      <w:bookmarkStart w:id="1476" w:name="Tc_OlItmqhAekm72_u3H8cqGA_6_5"/>
      <w:bookmarkStart w:id="1477" w:name="Tc_2g9tc7WZl0GXd5Db2qC3LQ_6_3"/>
      <w:bookmarkStart w:id="1478" w:name="Tc_EHLJL_QniEmPfSSYz85HLQ_6_0"/>
      <w:bookmarkStart w:id="1479" w:name="Tc_b5WOoxcSX0adgVaGbw2sKQ_5_8"/>
      <w:bookmarkStart w:id="1480" w:name="Tc_T5IO4eQg2kSBghtijugwdw_5_6"/>
      <w:bookmarkStart w:id="1481" w:name="Tc_tKhe-1P3Ik-TZPNM_lOhfQ_5_4"/>
      <w:bookmarkStart w:id="1482" w:name="Tc_bSJRxyPU0ki5wO3_Cdum8A_5_0"/>
      <w:bookmarkStart w:id="1483" w:name="Tc_bbFBDpGyxEe6CXd3-lDE4Q_4_8"/>
      <w:bookmarkStart w:id="1484" w:name="Tc_9o4VrnzugUmO2vpof-89NA_4_6"/>
      <w:bookmarkStart w:id="1485" w:name="Tc_vtPEIzdkMk-Xn7539FTriA_4_4"/>
      <w:bookmarkStart w:id="1486" w:name="Tc_f7uSyU36akym0DBa1en2EQ_4_0"/>
      <w:bookmarkStart w:id="1487" w:name="Tc_QTg5x5fIWUip9NlrzWbSJQ_3_8"/>
      <w:bookmarkStart w:id="1488" w:name="Tc_-kadO6PXukav7JjsTv5VDw_3_6"/>
      <w:bookmarkStart w:id="1489" w:name="Tc_vaexJePOt0WaEv-ZSgRbGQ_3_4"/>
      <w:bookmarkStart w:id="1490" w:name="Tc_73aDK8sKsku9ZFq7X0MZdw_3_0"/>
      <w:bookmarkStart w:id="1491" w:name="Tc_vHFLyCSRX0iZ1Xm3hPiQWg_2_7"/>
      <w:bookmarkStart w:id="1492" w:name="Tc_HOp3tIA2KESicBpdJqVO7g_2_5"/>
      <w:bookmarkStart w:id="1493" w:name="Tc_lBQaJdgwSUqGUVSR9eM-Xg_2_3"/>
      <w:bookmarkStart w:id="1494" w:name="_75a03dd2_6a0a_4ea8_b2c5_7453afce4313"/>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r>
        <w:rPr>
          <w:rFonts w:ascii="Times New Roman;Times;serif" w:hAnsi="Times New Roman;Times;serif"/>
          <w:sz w:val="22"/>
        </w:rPr>
        <w:t xml:space="preserve">The tax benefit for tax deductions from non-qualified stock option exercises, disqualifying dispositions of incentive stock options and vesting of restricted stock units and performance share units for the years ended December 31, 2021, 2020 and 2019 was $6.8 million, $10.5 million and $25.9 million, respectively. </w:t>
      </w:r>
    </w:p>
    <w:p>
      <w:pPr>
        <w:pStyle w:val="TextBody"/>
        <w:spacing w:before="0" w:after="240"/>
        <w:ind w:left="0" w:right="0" w:hanging="0"/>
        <w:rPr>
          <w:rFonts w:ascii="Times New Roman;Times;serif" w:hAnsi="Times New Roman;Times;serif"/>
          <w:i/>
          <w:sz w:val="22"/>
        </w:rPr>
      </w:pPr>
      <w:r>
        <w:rPr>
          <w:rFonts w:ascii="Times New Roman;Times;serif" w:hAnsi="Times New Roman;Times;serif"/>
          <w:i/>
          <w:sz w:val="22"/>
        </w:rPr>
        <w:t>Stock Options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Under the Company’s stock-based compensation plans, all stock options granted through December 31, 2021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 </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weighted-average assumptions were used to estimate the fair value of options granted during:</w:t>
      </w:r>
    </w:p>
    <w:p>
      <w:pPr>
        <w:pStyle w:val="TextBody"/>
        <w:spacing w:before="0" w:after="0"/>
        <w:ind w:left="0" w:right="0" w:firstLine="720"/>
        <w:jc w:val="both"/>
        <w:rPr/>
      </w:pPr>
      <w:r>
        <w:rPr/>
        <w:t>​</w:t>
      </w:r>
    </w:p>
    <w:tbl>
      <w:tblPr>
        <w:tblW w:w="6194" w:type="dxa"/>
        <w:jc w:val="left"/>
        <w:tblInd w:w="0" w:type="dxa"/>
        <w:tblCellMar>
          <w:top w:w="0" w:type="dxa"/>
          <w:left w:w="0" w:type="dxa"/>
          <w:bottom w:w="0" w:type="dxa"/>
          <w:right w:w="0" w:type="dxa"/>
        </w:tblCellMar>
      </w:tblPr>
      <w:tblGrid>
        <w:gridCol w:w="1846"/>
        <w:gridCol w:w="326"/>
        <w:gridCol w:w="326"/>
        <w:gridCol w:w="856"/>
        <w:gridCol w:w="361"/>
        <w:gridCol w:w="856"/>
        <w:gridCol w:w="361"/>
        <w:gridCol w:w="856"/>
        <w:gridCol w:w="406"/>
      </w:tblGrid>
      <w:tr>
        <w:trPr/>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172210" cy="175260"/>
                      <wp:effectExtent l="0" t="0" r="0" b="0"/>
                      <wp:wrapNone/>
                      <wp:docPr id="433" name="Frame431"/>
                      <a:graphic xmlns:a="http://schemas.openxmlformats.org/drawingml/2006/main">
                        <a:graphicData uri="http://schemas.microsoft.com/office/word/2010/wordprocessingShape">
                          <wps:wsp>
                            <wps:cNvSpPr txBox="1"/>
                            <wps:spPr>
                              <a:xfrm>
                                <a:off x="0" y="0"/>
                                <a:ext cx="1172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43560" cy="175260"/>
                      <wp:effectExtent l="0" t="0" r="0" b="0"/>
                      <wp:wrapNone/>
                      <wp:docPr id="436" name="Frame434"/>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29235" cy="175260"/>
                      <wp:effectExtent l="0" t="0" r="0" b="0"/>
                      <wp:wrapNone/>
                      <wp:docPr id="437" name="Frame43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43560" cy="175260"/>
                      <wp:effectExtent l="0" t="0" r="0" b="0"/>
                      <wp:wrapNone/>
                      <wp:docPr id="438" name="Frame436"/>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29235" cy="175260"/>
                      <wp:effectExtent l="0" t="0" r="0" b="0"/>
                      <wp:wrapNone/>
                      <wp:docPr id="439" name="Frame43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43560" cy="175260"/>
                      <wp:effectExtent l="0" t="0" r="0" b="0"/>
                      <wp:wrapNone/>
                      <wp:docPr id="440" name="Frame438"/>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57810" cy="175260"/>
                      <wp:effectExtent l="0" t="0" r="0" b="0"/>
                      <wp:wrapNone/>
                      <wp:docPr id="441" name="Frame439"/>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6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6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406" w:type="dxa"/>
            <w:tcBorders/>
            <w:shd w:fill="auto" w:val="clear"/>
            <w:vAlign w:val="center"/>
          </w:tcPr>
          <w:p>
            <w:pPr>
              <w:pStyle w:val="TableContents"/>
              <w:spacing w:before="0" w:after="1"/>
              <w:ind w:left="0" w:right="0" w:hanging="0"/>
              <w:rPr/>
            </w:pPr>
            <w:r>
              <w:rPr/>
              <w:t>​</w:t>
            </w:r>
          </w:p>
        </w:tc>
      </w:tr>
      <w:tr>
        <w:trPr/>
        <w:tc>
          <w:tcPr>
            <w:tcW w:w="18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61"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2020</w:t>
            </w:r>
          </w:p>
        </w:tc>
        <w:tc>
          <w:tcPr>
            <w:tcW w:w="361" w:type="dxa"/>
            <w:tcBorders/>
            <w:shd w:fill="auto" w:val="cle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2019</w:t>
            </w:r>
          </w:p>
        </w:tc>
        <w:tc>
          <w:tcPr>
            <w:tcW w:w="406" w:type="dxa"/>
            <w:tcBorders/>
            <w:shd w:fill="auto" w:val="clear"/>
            <w:vAlign w:val="center"/>
          </w:tcPr>
          <w:p>
            <w:pPr>
              <w:pStyle w:val="TableContents"/>
              <w:spacing w:before="0" w:after="1"/>
              <w:ind w:left="0" w:right="0" w:hanging="0"/>
              <w:rPr/>
            </w:pPr>
            <w:r>
              <w:rPr/>
              <w:t> </w: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18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18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 Years</w:t>
            </w:r>
          </w:p>
        </w:tc>
        <w:tc>
          <w:tcPr>
            <w:tcW w:w="36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 Years</w:t>
            </w:r>
          </w:p>
        </w:tc>
        <w:tc>
          <w:tcPr>
            <w:tcW w:w="36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 Years</w:t>
            </w:r>
          </w:p>
        </w:tc>
        <w:tc>
          <w:tcPr>
            <w:tcW w:w="406"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72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Expected Volatility</w:t>
      </w:r>
      <w:r>
        <w:rPr>
          <w:rFonts w:ascii="Times New Roman;Times;serif" w:hAnsi="Times New Roman;Times;serif"/>
          <w:sz w:val="22"/>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Risk-Free Interest Rate</w:t>
      </w:r>
      <w:r>
        <w:rPr>
          <w:rFonts w:ascii="Times New Roman;Times;serif" w:hAnsi="Times New Roman;Times;serif"/>
          <w:sz w:val="22"/>
        </w:rPr>
        <w:t>: The risk-free interest rate is based on the U.S. treasury zero coupon yield curve in effect at the time of grant for the expected term of the option.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i/>
          <w:sz w:val="22"/>
        </w:rPr>
        <w:t>Expected Term</w:t>
      </w:r>
      <w:r>
        <w:rPr>
          <w:rFonts w:ascii="Times New Roman;Times;serif" w:hAnsi="Times New Roman;Times;serif"/>
          <w:sz w:val="22"/>
        </w:rPr>
        <w:t>: The Company’s expected term represents the weighted-average period that the Company’s stock options are expected 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bookmarkStart w:id="1495" w:name="Tc_nt1NaXKBNU6jFsulj6g6JA_17_15"/>
      <w:bookmarkStart w:id="1496" w:name="Tc_lDB4eL5g-EOG5r6zbiqkMg_17_10"/>
      <w:bookmarkStart w:id="1497" w:name="Tc_EZV42IUs20a7N9hzFET7Dw_16_15"/>
      <w:bookmarkStart w:id="1498" w:name="Tc_jxQeu85q9UigcS4IWTpRvg_16_10"/>
      <w:bookmarkStart w:id="1499" w:name="Tc_taZ4mCqxc0GbhW9y0usN8Q_16_3"/>
      <w:bookmarkStart w:id="1500" w:name="Tc_smybEjpmZkG4vEiMDQLUkA_16_2"/>
      <w:bookmarkStart w:id="1501" w:name="Tc_xoqWQDMGcUyzy-C3mmY6fQ_16_0"/>
      <w:bookmarkStart w:id="1502" w:name="Tc_nLPkAkHeQk-knXsui9D3cQ_15_15"/>
      <w:bookmarkStart w:id="1503" w:name="Tc_4Ij2v2cHm0ySKA7ZbTeE1g_15_10"/>
      <w:bookmarkStart w:id="1504" w:name="Tc_aa-rh9YLQ0SRwfTZ4EaK7g_15_3"/>
      <w:bookmarkStart w:id="1505" w:name="Tc_OT9Zzd7j7E-qcivBqqmxhg_15_2"/>
      <w:bookmarkStart w:id="1506" w:name="Tc_xz0Xy5_sqES-W5iD6QBBSQ_15_0"/>
      <w:bookmarkStart w:id="1507" w:name="Tc_TcB7Iwcy102ZApDPvk__VA_14_15"/>
      <w:bookmarkStart w:id="1508" w:name="Tc_rmsx1lr0q06ca70e6duopg_14_10"/>
      <w:bookmarkStart w:id="1509" w:name="Tc_qznRxk_So0enNaAvUFC8Jw_14_3"/>
      <w:bookmarkStart w:id="1510" w:name="Tc_VEY44j74L060vdkcCQn1sA_14_2"/>
      <w:bookmarkStart w:id="1511" w:name="Tc_4nyyrLmE3UegKjiyWoMVoQ_14_0"/>
      <w:bookmarkStart w:id="1512" w:name="Tc_VVdoHUMiUkebnGTxKNtMdg_13_15"/>
      <w:bookmarkStart w:id="1513" w:name="Tc_AGpTuqQLp0m5IOfCfA94Ww_13_10"/>
      <w:bookmarkStart w:id="1514" w:name="Tc_-6HTkRFhGECyTBSgmBmzEw_13_3"/>
      <w:bookmarkStart w:id="1515" w:name="Tc_kNbkMmgLV02ch7LzDYWEzQ_13_2"/>
      <w:bookmarkStart w:id="1516" w:name="Tc_jd-_8Kc2s0ONXLgAA2XY2Q_13_0"/>
      <w:bookmarkStart w:id="1517" w:name="Tc_lJbs5u3UwESy-P9lE0Asng_12_15"/>
      <w:bookmarkStart w:id="1518" w:name="Tc_ODwuF7ZuuEy9V-HQmAg7iA_12_10"/>
      <w:bookmarkStart w:id="1519" w:name="Tc_zkFQMVTHx0uB51H9D2KATQ_12_3"/>
      <w:bookmarkStart w:id="1520" w:name="Tc_24VAXRm8sEagBsXjcBGZFw_12_2"/>
      <w:bookmarkStart w:id="1521" w:name="Tc_L6tY76MD7US6RretBSkDdQ_12_0"/>
      <w:bookmarkStart w:id="1522" w:name="Tc_u4zdcxJlak6v5HpaiFwpxQ_11_15"/>
      <w:bookmarkStart w:id="1523" w:name="Tc_CXU2Fi0mMEm7VElqUaARbw_11_10"/>
      <w:bookmarkStart w:id="1524" w:name="Tc_bxur06JClEKZJhIdLnC8-g_11_3"/>
      <w:bookmarkStart w:id="1525" w:name="Tc_t4W1ZVhRLE-DhTCbG1xTGQ_11_2"/>
      <w:bookmarkStart w:id="1526" w:name="Tc_mH3XGweqQ0GUbD8m3LdDSA_11_0"/>
      <w:bookmarkStart w:id="1527" w:name="Tc_FC-83sn3AUOSzIlWztoNZg_10_15"/>
      <w:bookmarkStart w:id="1528" w:name="Tc_dFWLqqNxN0itU8s-quZH0g_10_10"/>
      <w:bookmarkStart w:id="1529" w:name="Tc_7AwuDx-6LkiQ24tMX-lbgQ_10_3"/>
      <w:bookmarkStart w:id="1530" w:name="Tc_AViRqw1izk-4Q2sd2HUDwQ_10_2"/>
      <w:bookmarkStart w:id="1531" w:name="Tc_6ISGeIl74EuVIPzuCsyXJg_10_0"/>
      <w:bookmarkStart w:id="1532" w:name="Tc_bcWS-gnUWUqNYqcXXx36ZQ_9_15"/>
      <w:bookmarkStart w:id="1533" w:name="Tc_RysiOmlIDUS5Zv_SevJM5A_9_10"/>
      <w:bookmarkStart w:id="1534" w:name="Tc_sT4IEjjjjE6z1mz4jPUyWg_9_3"/>
      <w:bookmarkStart w:id="1535" w:name="Tc_ThYeaI6QIkaKovZBOZBaBw_9_2"/>
      <w:bookmarkStart w:id="1536" w:name="Tc_0pJbbOROnEyRHOsozwC7xQ_9_0"/>
      <w:bookmarkStart w:id="1537" w:name="Tc_IrM589GOrkuxjcsAFwkMMg_8_15"/>
      <w:bookmarkStart w:id="1538" w:name="Tc_R77WAoYiwkGQ-yUao4cFtw_8_10"/>
      <w:bookmarkStart w:id="1539" w:name="Tc_0JxhBPBLQE-7IfaMSCeIBg_8_3"/>
      <w:bookmarkStart w:id="1540" w:name="Tc_TFS8W49H9U-WwzM0L7NiIw_8_2"/>
      <w:bookmarkStart w:id="1541" w:name="Tc_an42LnDutUmAhxLbvMBqJQ_8_0"/>
      <w:bookmarkStart w:id="1542" w:name="Tc_VYPeDd20lky7LAsh7S7Ffw_7_15"/>
      <w:bookmarkStart w:id="1543" w:name="Tc_T4yqmzJFB0W-bJkCPE8fgA_7_10"/>
      <w:bookmarkStart w:id="1544" w:name="Tc_Sbiw9VChwEK4MRqOcO8dcA_7_3"/>
      <w:bookmarkStart w:id="1545" w:name="Tc_G8azr5vOR0ewF1thHw0RZg_7_2"/>
      <w:bookmarkStart w:id="1546" w:name="Tc_Gkya9FA7UkmvToPhuP9DKA_7_0"/>
      <w:bookmarkStart w:id="1547" w:name="Tc_HHKSyY8fP0KPycLPIMUJRA_6_15"/>
      <w:bookmarkStart w:id="1548" w:name="Tc_I465JwtNbUibPelcRbw4NQ_6_13"/>
      <w:bookmarkStart w:id="1549" w:name="Tc_YyitUHZoE0SyGtntqLAXGA_6_10"/>
      <w:bookmarkStart w:id="1550" w:name="Tc_K7p3gwCnUUqN9NO0gsDXUg_6_8"/>
      <w:bookmarkStart w:id="1551" w:name="Tc_LQbEQHZAZ0iQXiCc2m14AQ_6_6"/>
      <w:bookmarkStart w:id="1552" w:name="Tc_drD-lTOuIUGqxd-KX94Glg_6_0"/>
      <w:bookmarkStart w:id="1553" w:name="Tc_xid6i_WG2k-tWlMg8tgzuQ_5_15"/>
      <w:bookmarkStart w:id="1554" w:name="Tc_BlaE603fVU-4Gn-ZIhkBxQ_5_13"/>
      <w:bookmarkStart w:id="1555" w:name="Tc_vB-8eH33G0O4S1IRjsJ67w_5_10"/>
      <w:bookmarkStart w:id="1556" w:name="Tc_FfZmrILk-EKLuettLD7eAg_5_8"/>
      <w:bookmarkStart w:id="1557" w:name="Tc_PLRypm8YL0qCYtcycgwgtA_5_6"/>
      <w:bookmarkStart w:id="1558" w:name="Tc_1rM1ozr3sE6I0kslUF1mYQ_5_0"/>
      <w:bookmarkStart w:id="1559" w:name="Tc_ann21Yd-LEyCS3-RZM7D7Q_4_15"/>
      <w:bookmarkStart w:id="1560" w:name="Tc_EbS7bce8S0mf6IGF1uZWsg_4_13"/>
      <w:bookmarkStart w:id="1561" w:name="Tc_OofGGoVAzESZZpfIv4jvEg_4_10"/>
      <w:bookmarkStart w:id="1562" w:name="Tc_y84uUK3iZkqa95G2e-LnmA_4_8"/>
      <w:bookmarkStart w:id="1563" w:name="Tc_LU2uggZ81UyJivxUrMsONQ_4_6"/>
      <w:bookmarkStart w:id="1564" w:name="Tc_FvHzk9Otg0qzOqY-F3_lPw_3_15"/>
      <w:bookmarkStart w:id="1565" w:name="Tc_jVM9ybjlpkKZlGtItxdXzw_3_13"/>
      <w:bookmarkStart w:id="1566" w:name="Tc_QBob_Vv6aEyvh5_py4bG0A_3_10"/>
      <w:bookmarkStart w:id="1567" w:name="Tc_W0jWG0zMiU6i5Zq3UO_g6w_3_8"/>
      <w:bookmarkStart w:id="1568" w:name="Tc_JDp8RwZMYEycC_OOVGcpMw_2_8"/>
      <w:bookmarkStart w:id="1569" w:name="Tc_qEZEkOtGUU6nNsKSCrr7uA_1_13"/>
      <w:bookmarkStart w:id="1570" w:name="Tc_m-dezpeGzEWXlsx3NkKl4w_1_6"/>
      <w:bookmarkStart w:id="1571" w:name="_f08b2b02_9d3c_4b66_86ef_bf0dcb558da5"/>
      <w:bookmarkStart w:id="1572" w:name="Tc_jixPBEwMmU65JsWlD7FBgg_16_9"/>
      <w:bookmarkStart w:id="1573" w:name="Tc_ED5yy3zbQ063AM7jLCIdkA_16_4"/>
      <w:bookmarkStart w:id="1574" w:name="Tc_YCxUCFfMwUKASwrpc4_nTQ_16_0"/>
      <w:bookmarkStart w:id="1575" w:name="Tc_duid4fU_w0SVhub-ZP8jnw_15_9"/>
      <w:bookmarkStart w:id="1576" w:name="Tc_C2bER8NMHkiU2nDYETgFXQ_15_4"/>
      <w:bookmarkStart w:id="1577" w:name="Tc_JhOv42nZYU2dzIHALCKzwA_15_0"/>
      <w:bookmarkStart w:id="1578" w:name="Tc_dvK9wU4Md0GOYBaoTjnIaA_14_9"/>
      <w:bookmarkStart w:id="1579" w:name="Tc_HDWFteMUIUKjfST5l7Um8g_14_4"/>
      <w:bookmarkStart w:id="1580" w:name="Tc_xDMgj75exUejLwqSGGFqaA_14_0"/>
      <w:bookmarkStart w:id="1581" w:name="Tc_rdVxWzM6DEeSLh-mXoGP7g_13_4"/>
      <w:bookmarkStart w:id="1582" w:name="Tc_JOyaj_KmoEeJWq2tgRfy8w_13_0"/>
      <w:bookmarkStart w:id="1583" w:name="Tc_CVABaueZOUeS6-KetKyviQ_12_4"/>
      <w:bookmarkStart w:id="1584" w:name="Tc_1BwrnO8pe0yAjxPccJBwlA_12_0"/>
      <w:bookmarkStart w:id="1585" w:name="Tc_WctGtIr66E6zke07hSFhRg_11_4"/>
      <w:bookmarkStart w:id="1586" w:name="Tc_8r2gOmANOkGa3ZNf9oqEDQ_11_0"/>
      <w:bookmarkStart w:id="1587" w:name="Tc_m9DJw3g2fEGXGBZzovGNHw_10_4"/>
      <w:bookmarkStart w:id="1588" w:name="Tc_vpn3oIr9L0CawGY8RHMQzg_10_0"/>
      <w:bookmarkStart w:id="1589" w:name="Tc_HSlyT9XR1kui8rJGXcUwVw_9_4"/>
      <w:bookmarkStart w:id="1590" w:name="Tc_CGpW-GS8M0SuVNOTOD4-8Q_9_0"/>
      <w:bookmarkStart w:id="1591" w:name="Tc_TBSeGFP3WEud0v3BdTE51A_8_4"/>
      <w:bookmarkStart w:id="1592" w:name="Tc_C1E4aJP0kUuoKgmtSsTQlA_8_0"/>
      <w:bookmarkStart w:id="1593" w:name="Tc_mb_eLEFT0UK1QIWx0DpCOQ_7_9"/>
      <w:bookmarkStart w:id="1594" w:name="Tc_v7BmhW4U1k2I4brBEUAM5A_7_4"/>
      <w:bookmarkStart w:id="1595" w:name="Tc_DOsBnR_0JEqRbaAVSyy42g_7_0"/>
      <w:bookmarkStart w:id="1596" w:name="Tc_YPKfbB4mu0S3Xadi_hQVkQ_6_9"/>
      <w:bookmarkStart w:id="1597" w:name="Tc_MorPuziwnEm_nZCg8LI7QQ_6_7"/>
      <w:bookmarkStart w:id="1598" w:name="Tc_ddpErjcp90ysCuWAyrlF0g_6_4"/>
      <w:bookmarkStart w:id="1599" w:name="Tc_99wpHKXYoUmcf6fjwx4now_6_2"/>
      <w:bookmarkStart w:id="1600" w:name="Tc_ts3nbfo8ZEm9VsDz7iRHQA_6_0"/>
      <w:bookmarkStart w:id="1601" w:name="Tc__C3d4AkMLkiQhFH7CtfASg_5_9"/>
      <w:bookmarkStart w:id="1602" w:name="Tc_NYY2zvI_-EWpYMuJj1bfVg_5_7"/>
      <w:bookmarkStart w:id="1603" w:name="Tc_DkzCZkyCuUq72VtTlCCurw_5_4"/>
      <w:bookmarkStart w:id="1604" w:name="Tc_ZdQbidKMQkmqOmoPqFD6bA_5_2"/>
      <w:bookmarkStart w:id="1605" w:name="Tc_kl9XcYZmLEmd7aaMEpqBbw_4_9"/>
      <w:bookmarkStart w:id="1606" w:name="Tc_m7YbQbhUA024fcxR8Jv0Eg_4_7"/>
      <w:bookmarkStart w:id="1607" w:name="Tc_fJ3nv_A0LU6PIrPNYtisuQ_4_4"/>
      <w:bookmarkStart w:id="1608" w:name="Tc_vun5kBSHRUixUrFrTkka7Q_4_2"/>
      <w:bookmarkStart w:id="1609" w:name="Tc_zNI-75TwHEuCZgOrUlqlbA_3_7"/>
      <w:bookmarkStart w:id="1610" w:name="Tc_FFkarYe_X02gGsr43ZGkFQ_3_4"/>
      <w:bookmarkStart w:id="1611" w:name="Tc_PWT7dETgXEWpdEKW6Yp6Vw_2_7"/>
      <w:bookmarkStart w:id="1612" w:name="Tc_QvG2Lgk2fkS_RUBps2xYCA_2_4"/>
      <w:bookmarkStart w:id="1613" w:name="Tc_Am7zIhcNKkOclsQDrufpJg_1_7"/>
      <w:bookmarkStart w:id="1614" w:name="_60484622_a0ee_4972_95a7_7cac3dbe80fa"/>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r>
        <w:rPr>
          <w:rFonts w:ascii="Times New Roman;Times;serif" w:hAnsi="Times New Roman;Times;serif"/>
          <w:sz w:val="22"/>
        </w:rPr>
        <w:t>The following table summarizes the Company’s activities with respect to its stock option plans as follows:</w:t>
      </w:r>
    </w:p>
    <w:p>
      <w:pPr>
        <w:pStyle w:val="TextBody"/>
        <w:spacing w:before="0" w:after="240"/>
        <w:ind w:left="0" w:right="0" w:firstLine="720"/>
        <w:jc w:val="both"/>
        <w:rPr/>
      </w:pPr>
      <w:r>
        <w:rPr/>
        <w:t>​</w:t>
      </w:r>
    </w:p>
    <w:tbl>
      <w:tblPr>
        <w:tblW w:w="10205" w:type="dxa"/>
        <w:jc w:val="left"/>
        <w:tblInd w:w="0" w:type="dxa"/>
        <w:tblCellMar>
          <w:top w:w="0" w:type="dxa"/>
          <w:left w:w="0" w:type="dxa"/>
          <w:bottom w:w="0" w:type="dxa"/>
          <w:right w:w="0" w:type="dxa"/>
        </w:tblCellMar>
      </w:tblPr>
      <w:tblGrid>
        <w:gridCol w:w="4588"/>
        <w:gridCol w:w="326"/>
        <w:gridCol w:w="1200"/>
        <w:gridCol w:w="326"/>
        <w:gridCol w:w="256"/>
        <w:gridCol w:w="693"/>
        <w:gridCol w:w="326"/>
        <w:gridCol w:w="1066"/>
        <w:gridCol w:w="326"/>
        <w:gridCol w:w="211"/>
        <w:gridCol w:w="887"/>
      </w:tblGrid>
      <w:tr>
        <w:trPr/>
        <w:tc>
          <w:tcPr>
            <w:tcW w:w="45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913380" cy="175260"/>
                      <wp:effectExtent l="0" t="0" r="0" b="0"/>
                      <wp:wrapNone/>
                      <wp:docPr id="442" name="Frame440"/>
                      <a:graphic xmlns:a="http://schemas.openxmlformats.org/drawingml/2006/main">
                        <a:graphicData uri="http://schemas.microsoft.com/office/word/2010/wordprocessingShape">
                          <wps:wsp>
                            <wps:cNvSpPr txBox="1"/>
                            <wps:spPr>
                              <a:xfrm>
                                <a:off x="0" y="0"/>
                                <a:ext cx="2913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762000" cy="175260"/>
                      <wp:effectExtent l="0" t="0" r="0" b="0"/>
                      <wp:wrapNone/>
                      <wp:docPr id="444" name="Frame442"/>
                      <a:graphic xmlns:a="http://schemas.openxmlformats.org/drawingml/2006/main">
                        <a:graphicData uri="http://schemas.microsoft.com/office/word/2010/wordprocessingShape">
                          <wps:wsp>
                            <wps:cNvSpPr txBox="1"/>
                            <wps:spPr>
                              <a:xfrm>
                                <a:off x="0" y="0"/>
                                <a:ext cx="7620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62560" cy="175260"/>
                      <wp:effectExtent l="0" t="0" r="0" b="0"/>
                      <wp:wrapNone/>
                      <wp:docPr id="446" name="Frame444"/>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40055" cy="175260"/>
                      <wp:effectExtent l="0" t="0" r="0" b="0"/>
                      <wp:wrapNone/>
                      <wp:docPr id="447" name="Frame445"/>
                      <a:graphic xmlns:a="http://schemas.openxmlformats.org/drawingml/2006/main">
                        <a:graphicData uri="http://schemas.microsoft.com/office/word/2010/wordprocessingShape">
                          <wps:wsp>
                            <wps:cNvSpPr txBox="1"/>
                            <wps:spPr>
                              <a:xfrm>
                                <a:off x="0" y="0"/>
                                <a:ext cx="440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76910" cy="175260"/>
                      <wp:effectExtent l="0" t="0" r="0" b="0"/>
                      <wp:wrapNone/>
                      <wp:docPr id="449" name="Frame447"/>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63245" cy="175260"/>
                      <wp:effectExtent l="0" t="0" r="0" b="0"/>
                      <wp:wrapNone/>
                      <wp:docPr id="452" name="Frame450"/>
                      <a:graphic xmlns:a="http://schemas.openxmlformats.org/drawingml/2006/main">
                        <a:graphicData uri="http://schemas.microsoft.com/office/word/2010/wordprocessingShape">
                          <wps:wsp>
                            <wps:cNvSpPr txBox="1"/>
                            <wps:spPr>
                              <a:xfrm>
                                <a:off x="0" y="0"/>
                                <a:ext cx="563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5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pPr>
            <w:r>
              <w:rPr/>
              <w:t>​</w:t>
            </w:r>
          </w:p>
        </w:tc>
        <w:tc>
          <w:tcPr>
            <w:tcW w:w="69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jc w:val="center"/>
              <w:rPr/>
            </w:pPr>
            <w:r>
              <w:rPr/>
              <w:t>​</w:t>
            </w:r>
          </w:p>
        </w:tc>
      </w:tr>
      <w:tr>
        <w:trPr/>
        <w:tc>
          <w:tcPr>
            <w:tcW w:w="45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49"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jc w:val="center"/>
              <w:rPr/>
            </w:pPr>
            <w:r>
              <w:rPr/>
              <w:t>​</w:t>
            </w:r>
          </w:p>
        </w:tc>
      </w:tr>
      <w:tr>
        <w:trPr/>
        <w:tc>
          <w:tcPr>
            <w:tcW w:w="45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49"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jc w:val="center"/>
              <w:rPr/>
            </w:pPr>
            <w:r>
              <w:rPr/>
              <w:t>​</w:t>
            </w:r>
          </w:p>
        </w:tc>
      </w:tr>
      <w:tr>
        <w:trPr/>
        <w:tc>
          <w:tcPr>
            <w:tcW w:w="45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shd w:fill="auto" w:val="clear"/>
            <w:vAlign w:val="center"/>
          </w:tcPr>
          <w:p>
            <w:pPr>
              <w:pStyle w:val="TableContents"/>
              <w:spacing w:before="0" w:after="0"/>
              <w:ind w:left="0" w:right="0" w:hanging="0"/>
              <w:rPr/>
            </w:pPr>
            <w:r>
              <w:rPr/>
              <w:t>​</w:t>
            </w:r>
          </w:p>
        </w:tc>
        <w:tc>
          <w:tcPr>
            <w:tcW w:w="949"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shd w:fill="auto" w:val="clear"/>
            <w:vAlign w:val="center"/>
          </w:tcPr>
          <w:p>
            <w:pPr>
              <w:pStyle w:val="TableContents"/>
              <w:spacing w:before="0" w:after="0"/>
              <w:ind w:left="0" w:right="0" w:hanging="0"/>
              <w:rPr/>
            </w:pPr>
            <w:r>
              <w:rPr/>
              <w:t>​</w:t>
            </w:r>
          </w:p>
        </w:tc>
        <w:tc>
          <w:tcPr>
            <w:tcW w:w="1098"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Aggregate </w:t>
            </w:r>
          </w:p>
        </w:tc>
      </w:tr>
      <w:tr>
        <w:trPr/>
        <w:tc>
          <w:tcPr>
            <w:tcW w:w="45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Shares</w:t>
            </w:r>
          </w:p>
        </w:tc>
        <w:tc>
          <w:tcPr>
            <w:tcW w:w="326" w:type="dxa"/>
            <w:tcBorders/>
            <w:shd w:fill="auto" w:val="clear"/>
            <w:vAlign w:val="center"/>
          </w:tcPr>
          <w:p>
            <w:pPr>
              <w:pStyle w:val="TableContents"/>
              <w:spacing w:before="0" w:after="0"/>
              <w:ind w:left="0" w:right="0" w:hanging="0"/>
              <w:rPr/>
            </w:pPr>
            <w:r>
              <w:rPr/>
              <w:t>​</w:t>
            </w:r>
          </w:p>
        </w:tc>
        <w:tc>
          <w:tcPr>
            <w:tcW w:w="949"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Price Per</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Term (in</w:t>
            </w:r>
          </w:p>
        </w:tc>
        <w:tc>
          <w:tcPr>
            <w:tcW w:w="326" w:type="dxa"/>
            <w:tcBorders/>
            <w:shd w:fill="auto" w:val="clear"/>
            <w:vAlign w:val="center"/>
          </w:tcPr>
          <w:p>
            <w:pPr>
              <w:pStyle w:val="TableContents"/>
              <w:spacing w:before="0" w:after="0"/>
              <w:ind w:left="0" w:right="0" w:hanging="0"/>
              <w:rPr/>
            </w:pPr>
            <w:r>
              <w:rPr/>
              <w:t>​</w:t>
            </w:r>
          </w:p>
        </w:tc>
        <w:tc>
          <w:tcPr>
            <w:tcW w:w="1098"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Intrinsic</w:t>
            </w:r>
          </w:p>
        </w:tc>
      </w:tr>
      <w:tr>
        <w:trPr/>
        <w:tc>
          <w:tcPr>
            <w:tcW w:w="458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shd w:fill="auto" w:val="clear"/>
            <w:vAlign w:val="center"/>
          </w:tcPr>
          <w:p>
            <w:pPr>
              <w:pStyle w:val="TableContents"/>
              <w:spacing w:before="0" w:after="0"/>
              <w:ind w:left="0" w:right="0" w:hanging="0"/>
              <w:rPr/>
            </w:pPr>
            <w:r>
              <w:rPr/>
              <w:t>    </w:t>
            </w:r>
          </w:p>
        </w:tc>
        <w:tc>
          <w:tcPr>
            <w:tcW w:w="120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326" w:type="dxa"/>
            <w:tcBorders/>
            <w:shd w:fill="auto" w:val="clear"/>
            <w:vAlign w:val="center"/>
          </w:tcPr>
          <w:p>
            <w:pPr>
              <w:pStyle w:val="TableContents"/>
              <w:spacing w:before="0" w:after="0"/>
              <w:ind w:left="0" w:right="0" w:hanging="0"/>
              <w:rPr/>
            </w:pPr>
            <w:r>
              <w:rPr/>
              <w:t>    </w:t>
            </w:r>
          </w:p>
        </w:tc>
        <w:tc>
          <w:tcPr>
            <w:tcW w:w="94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Share</w:t>
            </w:r>
          </w:p>
        </w:tc>
        <w:tc>
          <w:tcPr>
            <w:tcW w:w="326" w:type="dxa"/>
            <w:tcBorders/>
            <w:shd w:fill="auto" w:val="clear"/>
            <w:vAlign w:val="center"/>
          </w:tcPr>
          <w:p>
            <w:pPr>
              <w:pStyle w:val="TableContents"/>
              <w:spacing w:before="0" w:after="0"/>
              <w:ind w:left="0" w:right="0" w:hanging="0"/>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0"/>
              <w:ind w:left="0" w:right="0" w:hanging="0"/>
              <w:rPr/>
            </w:pPr>
            <w:r>
              <w:rPr/>
              <w:t>    </w:t>
            </w:r>
          </w:p>
        </w:tc>
        <w:tc>
          <w:tcPr>
            <w:tcW w:w="10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45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2021</w:t>
            </w:r>
          </w:p>
        </w:tc>
        <w:tc>
          <w:tcPr>
            <w:tcW w:w="326" w:type="dxa"/>
            <w:tcBorders/>
            <w:shd w:fill="CCEEFF" w:val="clear"/>
            <w:vAlign w:val="center"/>
          </w:tcPr>
          <w:p>
            <w:pPr>
              <w:pStyle w:val="TableContents"/>
              <w:spacing w:before="0" w:after="0"/>
              <w:ind w:left="0" w:right="0" w:hanging="0"/>
              <w:rPr/>
            </w:pPr>
            <w:r>
              <w:rPr/>
              <w:t> </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13,973</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44.93</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664,432</w:t>
            </w:r>
          </w:p>
        </w:tc>
      </w:tr>
      <w:tr>
        <w:trPr/>
        <w:tc>
          <w:tcPr>
            <w:tcW w:w="45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 01/01/21 - 03/31/21</w:t>
            </w:r>
          </w:p>
        </w:tc>
        <w:tc>
          <w:tcPr>
            <w:tcW w:w="326" w:type="dxa"/>
            <w:tcBorders/>
            <w:shd w:fill="auto" w:val="clear"/>
            <w:vAlign w:val="center"/>
          </w:tcPr>
          <w:p>
            <w:pPr>
              <w:pStyle w:val="TableContents"/>
              <w:spacing w:before="0" w:after="0"/>
              <w:ind w:left="0" w:right="0" w:hanging="0"/>
              <w:rPr/>
            </w:pPr>
            <w:r>
              <w:rPr/>
              <w:t> </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88.95</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rPr/>
            </w:pPr>
            <w:r>
              <w:rPr/>
              <w:t>​</w:t>
            </w:r>
          </w:p>
        </w:tc>
      </w:tr>
      <w:tr>
        <w:trPr/>
        <w:tc>
          <w:tcPr>
            <w:tcW w:w="45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 04/01/21 - 06/30/21</w:t>
            </w:r>
          </w:p>
        </w:tc>
        <w:tc>
          <w:tcPr>
            <w:tcW w:w="326" w:type="dxa"/>
            <w:tcBorders/>
            <w:shd w:fill="CCEEFF" w:val="clear"/>
            <w:vAlign w:val="center"/>
          </w:tcPr>
          <w:p>
            <w:pPr>
              <w:pStyle w:val="TableContents"/>
              <w:spacing w:before="0" w:after="0"/>
              <w:ind w:left="0" w:right="0" w:hanging="0"/>
              <w:rPr/>
            </w:pPr>
            <w:r>
              <w:rPr/>
              <w:t> </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91.36</w:t>
            </w:r>
          </w:p>
        </w:tc>
        <w:tc>
          <w:tcPr>
            <w:tcW w:w="32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7" w:type="dxa"/>
            <w:tcBorders/>
            <w:shd w:fill="CCEEFF" w:val="clear"/>
            <w:vAlign w:val="center"/>
          </w:tcPr>
          <w:p>
            <w:pPr>
              <w:pStyle w:val="TableContents"/>
              <w:spacing w:before="0" w:after="0"/>
              <w:ind w:left="0" w:right="0" w:hanging="0"/>
              <w:rPr/>
            </w:pPr>
            <w:r>
              <w:rPr/>
              <w:t>​</w:t>
            </w:r>
          </w:p>
        </w:tc>
      </w:tr>
      <w:tr>
        <w:trPr/>
        <w:tc>
          <w:tcPr>
            <w:tcW w:w="45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 07/01/21 - 09/30/21</w:t>
            </w:r>
          </w:p>
        </w:tc>
        <w:tc>
          <w:tcPr>
            <w:tcW w:w="326" w:type="dxa"/>
            <w:tcBorders/>
            <w:shd w:fill="auto" w:val="clear"/>
            <w:vAlign w:val="center"/>
          </w:tcPr>
          <w:p>
            <w:pPr>
              <w:pStyle w:val="TableContents"/>
              <w:spacing w:before="0" w:after="0"/>
              <w:ind w:left="0" w:right="0" w:hanging="0"/>
              <w:rPr/>
            </w:pPr>
            <w:r>
              <w:rPr/>
              <w:t> </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95.33</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rPr/>
            </w:pPr>
            <w:r>
              <w:rPr/>
              <w:t>​</w:t>
            </w:r>
          </w:p>
        </w:tc>
      </w:tr>
      <w:tr>
        <w:trPr/>
        <w:tc>
          <w:tcPr>
            <w:tcW w:w="45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 10/01/21 - 12/31/21</w:t>
            </w:r>
          </w:p>
        </w:tc>
        <w:tc>
          <w:tcPr>
            <w:tcW w:w="326" w:type="dxa"/>
            <w:tcBorders/>
            <w:shd w:fill="CCEEFF" w:val="clear"/>
            <w:vAlign w:val="center"/>
          </w:tcPr>
          <w:p>
            <w:pPr>
              <w:pStyle w:val="TableContents"/>
              <w:spacing w:before="0" w:after="0"/>
              <w:ind w:left="0" w:right="0" w:hanging="0"/>
              <w:rPr/>
            </w:pPr>
            <w:r>
              <w:rPr/>
              <w:t> </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c>
          <w:tcPr>
            <w:tcW w:w="32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7" w:type="dxa"/>
            <w:tcBorders/>
            <w:shd w:fill="CCEEFF" w:val="clear"/>
            <w:vAlign w:val="center"/>
          </w:tcPr>
          <w:p>
            <w:pPr>
              <w:pStyle w:val="TableContents"/>
              <w:spacing w:before="0" w:after="0"/>
              <w:ind w:left="0" w:right="0" w:hanging="0"/>
              <w:rPr/>
            </w:pPr>
            <w:r>
              <w:rPr/>
              <w:t>​</w:t>
            </w:r>
          </w:p>
        </w:tc>
      </w:tr>
      <w:tr>
        <w:trPr/>
        <w:tc>
          <w:tcPr>
            <w:tcW w:w="45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auto" w:val="clear"/>
            <w:vAlign w:val="center"/>
          </w:tcPr>
          <w:p>
            <w:pPr>
              <w:pStyle w:val="TableContents"/>
              <w:spacing w:before="0" w:after="0"/>
              <w:ind w:left="0" w:right="0" w:hanging="0"/>
              <w:rPr/>
            </w:pPr>
            <w:r>
              <w:rPr/>
              <w:t> </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rPr/>
            </w:pPr>
            <w:r>
              <w:rPr/>
              <w:t>​</w:t>
            </w:r>
          </w:p>
        </w:tc>
      </w:tr>
      <w:tr>
        <w:trPr/>
        <w:tc>
          <w:tcPr>
            <w:tcW w:w="45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Cancelled or forfeited</w:t>
            </w:r>
          </w:p>
        </w:tc>
        <w:tc>
          <w:tcPr>
            <w:tcW w:w="326" w:type="dxa"/>
            <w:tcBorders/>
            <w:shd w:fill="CCEEFF" w:val="clear"/>
            <w:vAlign w:val="center"/>
          </w:tcPr>
          <w:p>
            <w:pPr>
              <w:pStyle w:val="TableContents"/>
              <w:spacing w:before="0" w:after="0"/>
              <w:ind w:left="0" w:right="0" w:hanging="0"/>
              <w:rPr/>
            </w:pPr>
            <w:r>
              <w:rPr/>
              <w:t> </w:t>
            </w:r>
          </w:p>
        </w:tc>
        <w:tc>
          <w:tcPr>
            <w:tcW w:w="120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63.05</w:t>
            </w:r>
          </w:p>
        </w:tc>
        <w:tc>
          <w:tcPr>
            <w:tcW w:w="32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7" w:type="dxa"/>
            <w:tcBorders/>
            <w:shd w:fill="CCEEFF" w:val="clear"/>
            <w:vAlign w:val="center"/>
          </w:tcPr>
          <w:p>
            <w:pPr>
              <w:pStyle w:val="TableContents"/>
              <w:spacing w:before="0" w:after="0"/>
              <w:ind w:left="0" w:right="0" w:hanging="0"/>
              <w:rPr/>
            </w:pPr>
            <w:r>
              <w:rPr/>
              <w:t>​</w:t>
            </w:r>
          </w:p>
        </w:tc>
      </w:tr>
      <w:tr>
        <w:trPr/>
        <w:tc>
          <w:tcPr>
            <w:tcW w:w="45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December 31, 2021</w:t>
            </w:r>
          </w:p>
        </w:tc>
        <w:tc>
          <w:tcPr>
            <w:tcW w:w="326" w:type="dxa"/>
            <w:tcBorders/>
            <w:shd w:fill="auto" w:val="clear"/>
            <w:vAlign w:val="center"/>
          </w:tcPr>
          <w:p>
            <w:pPr>
              <w:pStyle w:val="TableContents"/>
              <w:spacing w:before="0" w:after="0"/>
              <w:ind w:left="0" w:right="0" w:hanging="0"/>
              <w:rPr/>
            </w:pPr>
            <w:r>
              <w:rPr/>
              <w:t> </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13,860</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48.19</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663,148</w:t>
            </w:r>
          </w:p>
        </w:tc>
      </w:tr>
      <w:tr>
        <w:trPr/>
        <w:tc>
          <w:tcPr>
            <w:tcW w:w="45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 and expected to vest in the future at December 31, 2021</w:t>
            </w:r>
          </w:p>
        </w:tc>
        <w:tc>
          <w:tcPr>
            <w:tcW w:w="326" w:type="dxa"/>
            <w:tcBorders/>
            <w:shd w:fill="CCEEFF" w:val="clear"/>
            <w:vAlign w:val="center"/>
          </w:tcPr>
          <w:p>
            <w:pPr>
              <w:pStyle w:val="TableContents"/>
              <w:spacing w:before="0" w:after="0"/>
              <w:ind w:left="0" w:right="0" w:hanging="0"/>
              <w:rPr/>
            </w:pPr>
            <w:r>
              <w:rPr/>
              <w:t>​</w:t>
            </w:r>
          </w:p>
        </w:tc>
        <w:tc>
          <w:tcPr>
            <w:tcW w:w="12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13,633</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47.80</w:t>
            </w:r>
          </w:p>
        </w:tc>
        <w:tc>
          <w:tcPr>
            <w:tcW w:w="32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657,633</w:t>
            </w:r>
          </w:p>
        </w:tc>
      </w:tr>
      <w:tr>
        <w:trPr/>
        <w:tc>
          <w:tcPr>
            <w:tcW w:w="458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Exercisable at December 31, 2021</w:t>
            </w:r>
          </w:p>
        </w:tc>
        <w:tc>
          <w:tcPr>
            <w:tcW w:w="326" w:type="dxa"/>
            <w:tcBorders/>
            <w:shd w:fill="auto" w:val="clear"/>
            <w:vAlign w:val="center"/>
          </w:tcPr>
          <w:p>
            <w:pPr>
              <w:pStyle w:val="TableContents"/>
              <w:spacing w:before="0" w:after="0"/>
              <w:ind w:left="0" w:right="0" w:hanging="0"/>
              <w:rPr/>
            </w:pPr>
            <w:r>
              <w:rPr/>
              <w:t> </w:t>
            </w:r>
          </w:p>
        </w:tc>
        <w:tc>
          <w:tcPr>
            <w:tcW w:w="12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9,644</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40.33</w:t>
            </w:r>
          </w:p>
        </w:tc>
        <w:tc>
          <w:tcPr>
            <w:tcW w:w="326" w:type="dxa"/>
            <w:tcBorders/>
            <w:shd w:fill="auto" w:val="clear"/>
            <w:vAlign w:val="center"/>
          </w:tcPr>
          <w:p>
            <w:pPr>
              <w:pStyle w:val="TableContents"/>
              <w:spacing w:before="0" w:after="0"/>
              <w:ind w:left="0" w:right="0" w:hanging="0"/>
              <w:rPr/>
            </w:pPr>
            <w:r>
              <w:rPr/>
              <w:t> </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7"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537,261</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table summarizes information about stock options outstanding and exercisable at December 31, 2021:</w:t>
      </w:r>
    </w:p>
    <w:p>
      <w:pPr>
        <w:pStyle w:val="TextBody"/>
        <w:spacing w:before="0" w:after="0"/>
        <w:ind w:left="0" w:right="0" w:hanging="0"/>
        <w:jc w:val="both"/>
        <w:rPr/>
      </w:pPr>
      <w:r>
        <w:rPr/>
        <w:t>​</w:t>
      </w:r>
    </w:p>
    <w:tbl>
      <w:tblPr>
        <w:tblW w:w="9454" w:type="dxa"/>
        <w:jc w:val="left"/>
        <w:tblInd w:w="0" w:type="dxa"/>
        <w:tblCellMar>
          <w:top w:w="0" w:type="dxa"/>
          <w:left w:w="0" w:type="dxa"/>
          <w:bottom w:w="0" w:type="dxa"/>
          <w:right w:w="0" w:type="dxa"/>
        </w:tblCellMar>
      </w:tblPr>
      <w:tblGrid>
        <w:gridCol w:w="226"/>
        <w:gridCol w:w="571"/>
        <w:gridCol w:w="166"/>
        <w:gridCol w:w="211"/>
        <w:gridCol w:w="571"/>
        <w:gridCol w:w="386"/>
        <w:gridCol w:w="1366"/>
        <w:gridCol w:w="326"/>
        <w:gridCol w:w="1666"/>
        <w:gridCol w:w="326"/>
        <w:gridCol w:w="255"/>
        <w:gridCol w:w="690"/>
        <w:gridCol w:w="326"/>
        <w:gridCol w:w="1096"/>
        <w:gridCol w:w="326"/>
        <w:gridCol w:w="225"/>
        <w:gridCol w:w="721"/>
      </w:tblGrid>
      <w:tr>
        <w:trPr/>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43510" cy="175260"/>
                      <wp:effectExtent l="0" t="0" r="0" b="0"/>
                      <wp:wrapNone/>
                      <wp:docPr id="453" name="Frame451"/>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62585" cy="175260"/>
                      <wp:effectExtent l="0" t="0" r="0" b="0"/>
                      <wp:wrapNone/>
                      <wp:docPr id="454" name="Frame45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05410" cy="175260"/>
                      <wp:effectExtent l="0" t="0" r="0" b="0"/>
                      <wp:wrapNone/>
                      <wp:docPr id="455" name="Frame453"/>
                      <a:graphic xmlns:a="http://schemas.openxmlformats.org/drawingml/2006/main">
                        <a:graphicData uri="http://schemas.microsoft.com/office/word/2010/wordprocessingShape">
                          <wps:wsp>
                            <wps:cNvSpPr txBox="1"/>
                            <wps:spPr>
                              <a:xfrm>
                                <a:off x="0" y="0"/>
                                <a:ext cx="105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62585" cy="175260"/>
                      <wp:effectExtent l="0" t="0" r="0" b="0"/>
                      <wp:wrapNone/>
                      <wp:docPr id="457" name="Frame45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45110" cy="175260"/>
                      <wp:effectExtent l="0" t="0" r="0" b="0"/>
                      <wp:wrapNone/>
                      <wp:docPr id="458" name="Frame456"/>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867410" cy="175260"/>
                      <wp:effectExtent l="0" t="0" r="0" b="0"/>
                      <wp:wrapNone/>
                      <wp:docPr id="459" name="Frame457"/>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057910" cy="175260"/>
                      <wp:effectExtent l="0" t="0" r="0" b="0"/>
                      <wp:wrapNone/>
                      <wp:docPr id="461" name="Frame459"/>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61925" cy="175260"/>
                      <wp:effectExtent l="0" t="0" r="0" b="0"/>
                      <wp:wrapNone/>
                      <wp:docPr id="463" name="Frame461"/>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38150" cy="175260"/>
                      <wp:effectExtent l="0" t="0" r="0" b="0"/>
                      <wp:wrapNone/>
                      <wp:docPr id="464" name="Frame462"/>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95960" cy="175260"/>
                      <wp:effectExtent l="0" t="0" r="0" b="0"/>
                      <wp:wrapNone/>
                      <wp:docPr id="466" name="Frame464"/>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42875" cy="175260"/>
                      <wp:effectExtent l="0" t="0" r="0" b="0"/>
                      <wp:wrapNone/>
                      <wp:docPr id="468" name="Frame466"/>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57835" cy="175260"/>
                      <wp:effectExtent l="0" t="0" r="0" b="0"/>
                      <wp:wrapNone/>
                      <wp:docPr id="469" name="Frame467"/>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16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386" w:type="dxa"/>
            <w:tcBorders/>
            <w:shd w:fill="auto" w:val="clear"/>
            <w:vAlign w:val="center"/>
          </w:tcPr>
          <w:p>
            <w:pPr>
              <w:pStyle w:val="TableContents"/>
              <w:spacing w:before="0" w:after="1"/>
              <w:ind w:left="0" w:right="0" w:hanging="0"/>
              <w:jc w:val="center"/>
              <w:rPr/>
            </w:pPr>
            <w:r>
              <w:rPr/>
              <w:t>​</w:t>
            </w:r>
          </w:p>
        </w:tc>
        <w:tc>
          <w:tcPr>
            <w:tcW w:w="4629" w:type="dxa"/>
            <w:gridSpan w:val="6"/>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Options Outstanding</w:t>
            </w:r>
          </w:p>
        </w:tc>
        <w:tc>
          <w:tcPr>
            <w:tcW w:w="326" w:type="dxa"/>
            <w:tcBorders/>
            <w:shd w:fill="auto" w:val="clear"/>
            <w:vAlign w:val="center"/>
          </w:tcPr>
          <w:p>
            <w:pPr>
              <w:pStyle w:val="TableContents"/>
              <w:spacing w:before="0" w:after="1"/>
              <w:ind w:left="0" w:right="0" w:hanging="0"/>
              <w:jc w:val="center"/>
              <w:rPr/>
            </w:pPr>
            <w:r>
              <w:rPr/>
              <w:t>​</w:t>
            </w:r>
          </w:p>
        </w:tc>
        <w:tc>
          <w:tcPr>
            <w:tcW w:w="236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Options Exercisable</w:t>
            </w:r>
          </w:p>
        </w:tc>
      </w:tr>
      <w:tr>
        <w:trPr/>
        <w:tc>
          <w:tcPr>
            <w:tcW w:w="2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16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38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Weighted Average </w:t>
            </w:r>
          </w:p>
        </w:tc>
        <w:tc>
          <w:tcPr>
            <w:tcW w:w="326" w:type="dxa"/>
            <w:tcBorders/>
            <w:shd w:fill="auto" w:val="clear"/>
            <w:vAlign w:val="center"/>
          </w:tcPr>
          <w:p>
            <w:pPr>
              <w:pStyle w:val="TableContents"/>
              <w:spacing w:before="0" w:after="1"/>
              <w:ind w:left="0" w:right="0" w:hanging="0"/>
              <w:jc w:val="center"/>
              <w:rPr/>
            </w:pPr>
            <w:r>
              <w:rPr/>
              <w:t>​</w:t>
            </w:r>
          </w:p>
        </w:tc>
        <w:tc>
          <w:tcPr>
            <w:tcW w:w="255" w:type="dxa"/>
            <w:tcBorders/>
            <w:shd w:fill="auto" w:val="clear"/>
            <w:vAlign w:val="center"/>
          </w:tcPr>
          <w:p>
            <w:pPr>
              <w:pStyle w:val="TableContents"/>
              <w:spacing w:before="0" w:after="1"/>
              <w:ind w:left="0" w:right="0" w:hanging="0"/>
              <w:jc w:val="center"/>
              <w:rPr/>
            </w:pPr>
            <w:r>
              <w:rPr/>
              <w:t>​</w:t>
            </w:r>
          </w:p>
        </w:tc>
        <w:tc>
          <w:tcPr>
            <w:tcW w:w="69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5" w:type="dxa"/>
            <w:tcBorders/>
            <w:shd w:fill="auto" w:val="clear"/>
            <w:vAlign w:val="center"/>
          </w:tcPr>
          <w:p>
            <w:pPr>
              <w:pStyle w:val="TableContents"/>
              <w:spacing w:before="0" w:after="1"/>
              <w:ind w:left="0" w:right="0" w:hanging="0"/>
              <w:jc w:val="center"/>
              <w:rPr/>
            </w:pPr>
            <w:r>
              <w:rPr/>
              <w:t>​</w:t>
            </w:r>
          </w:p>
        </w:tc>
        <w:tc>
          <w:tcPr>
            <w:tcW w:w="721" w:type="dxa"/>
            <w:tcBorders/>
            <w:shd w:fill="auto" w:val="clear"/>
            <w:vAlign w:val="center"/>
          </w:tcPr>
          <w:p>
            <w:pPr>
              <w:pStyle w:val="TableContents"/>
              <w:spacing w:before="0" w:after="1"/>
              <w:ind w:left="0" w:right="0" w:hanging="0"/>
              <w:jc w:val="center"/>
              <w:rPr/>
            </w:pPr>
            <w:r>
              <w:rPr/>
              <w:t> </w:t>
            </w:r>
          </w:p>
        </w:tc>
      </w:tr>
      <w:tr>
        <w:trPr/>
        <w:tc>
          <w:tcPr>
            <w:tcW w:w="2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16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38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Remaining </w:t>
            </w:r>
          </w:p>
        </w:tc>
        <w:tc>
          <w:tcPr>
            <w:tcW w:w="326" w:type="dxa"/>
            <w:tcBorders/>
            <w:shd w:fill="auto" w:val="clear"/>
            <w:vAlign w:val="center"/>
          </w:tcPr>
          <w:p>
            <w:pPr>
              <w:pStyle w:val="TableContents"/>
              <w:spacing w:before="0" w:after="1"/>
              <w:ind w:left="0" w:right="0" w:hanging="0"/>
              <w:jc w:val="center"/>
              <w:rPr/>
            </w:pPr>
            <w:r>
              <w:rPr/>
              <w:t>​</w:t>
            </w:r>
          </w:p>
        </w:tc>
        <w:tc>
          <w:tcPr>
            <w:tcW w:w="945"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Weighted </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Number</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Weighted</w:t>
            </w:r>
          </w:p>
        </w:tc>
      </w:tr>
      <w:tr>
        <w:trPr/>
        <w:tc>
          <w:tcPr>
            <w:tcW w:w="2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16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571" w:type="dxa"/>
            <w:tcBorders/>
            <w:shd w:fill="auto" w:val="clear"/>
            <w:vAlign w:val="center"/>
          </w:tcPr>
          <w:p>
            <w:pPr>
              <w:pStyle w:val="TableContents"/>
              <w:spacing w:before="0" w:after="1"/>
              <w:ind w:left="0" w:right="0" w:hanging="0"/>
              <w:jc w:val="center"/>
              <w:rPr/>
            </w:pPr>
            <w:r>
              <w:rPr/>
              <w:t>​</w:t>
            </w:r>
          </w:p>
        </w:tc>
        <w:tc>
          <w:tcPr>
            <w:tcW w:w="38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Number</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Contractual </w:t>
            </w:r>
          </w:p>
        </w:tc>
        <w:tc>
          <w:tcPr>
            <w:tcW w:w="326" w:type="dxa"/>
            <w:tcBorders/>
            <w:shd w:fill="auto" w:val="clear"/>
            <w:vAlign w:val="center"/>
          </w:tcPr>
          <w:p>
            <w:pPr>
              <w:pStyle w:val="TableContents"/>
              <w:spacing w:before="0" w:after="1"/>
              <w:ind w:left="0" w:right="0" w:hanging="0"/>
              <w:jc w:val="center"/>
              <w:rPr/>
            </w:pPr>
            <w:r>
              <w:rPr/>
              <w:t>​</w:t>
            </w:r>
          </w:p>
        </w:tc>
        <w:tc>
          <w:tcPr>
            <w:tcW w:w="945"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Exercisable </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1745" w:type="dxa"/>
            <w:gridSpan w:val="5"/>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Range of Exercise</w:t>
            </w:r>
          </w:p>
        </w:tc>
        <w:tc>
          <w:tcPr>
            <w:tcW w:w="38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shd w:fill="auto" w:val="clear"/>
            <w:vAlign w:val="center"/>
          </w:tcPr>
          <w:p>
            <w:pPr>
              <w:pStyle w:val="TableContents"/>
              <w:spacing w:before="0" w:after="1"/>
              <w:ind w:left="0" w:right="0" w:hanging="0"/>
              <w:jc w:val="center"/>
              <w:rPr/>
            </w:pPr>
            <w:r>
              <w:rPr/>
              <w:t>​</w:t>
            </w:r>
          </w:p>
        </w:tc>
        <w:tc>
          <w:tcPr>
            <w:tcW w:w="16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Term</w:t>
            </w:r>
          </w:p>
        </w:tc>
        <w:tc>
          <w:tcPr>
            <w:tcW w:w="326" w:type="dxa"/>
            <w:tcBorders/>
            <w:shd w:fill="auto" w:val="clear"/>
            <w:vAlign w:val="center"/>
          </w:tcPr>
          <w:p>
            <w:pPr>
              <w:pStyle w:val="TableContents"/>
              <w:spacing w:before="0" w:after="1"/>
              <w:ind w:left="0" w:right="0" w:hanging="0"/>
              <w:jc w:val="center"/>
              <w:rPr/>
            </w:pPr>
            <w:r>
              <w:rPr/>
              <w:t>​</w:t>
            </w:r>
          </w:p>
        </w:tc>
        <w:tc>
          <w:tcPr>
            <w:tcW w:w="945"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26" w:type="dxa"/>
            <w:tcBorders/>
            <w:shd w:fill="auto" w:val="clear"/>
            <w:vAlign w:val="center"/>
          </w:tcPr>
          <w:p>
            <w:pPr>
              <w:pStyle w:val="TableContents"/>
              <w:spacing w:before="0" w:after="1"/>
              <w:ind w:left="0" w:right="0" w:hanging="0"/>
              <w:jc w:val="center"/>
              <w:rPr/>
            </w:pPr>
            <w:r>
              <w:rPr/>
              <w:t>​</w:t>
            </w:r>
          </w:p>
        </w:tc>
        <w:tc>
          <w:tcPr>
            <w:tcW w:w="109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(In</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Exercise</w:t>
            </w:r>
          </w:p>
        </w:tc>
      </w:tr>
      <w:tr>
        <w:trPr/>
        <w:tc>
          <w:tcPr>
            <w:tcW w:w="174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Prices ($)</w:t>
            </w:r>
          </w:p>
        </w:tc>
        <w:tc>
          <w:tcPr>
            <w:tcW w:w="386" w:type="dxa"/>
            <w:tcBorders/>
            <w:shd w:fill="auto" w:val="clear"/>
            <w:vAlign w:val="center"/>
          </w:tcPr>
          <w:p>
            <w:pPr>
              <w:pStyle w:val="TableContents"/>
              <w:spacing w:before="0" w:after="1"/>
              <w:ind w:left="0" w:right="0" w:hanging="0"/>
              <w:jc w:val="center"/>
              <w:rPr/>
            </w:pPr>
            <w:r>
              <w:rPr/>
              <w:t>     </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(In Thousands) </w:t>
            </w:r>
          </w:p>
        </w:tc>
        <w:tc>
          <w:tcPr>
            <w:tcW w:w="326" w:type="dxa"/>
            <w:tcBorders/>
            <w:shd w:fill="auto" w:val="clear"/>
            <w:vAlign w:val="center"/>
          </w:tcPr>
          <w:p>
            <w:pPr>
              <w:pStyle w:val="TableContents"/>
              <w:spacing w:before="0" w:after="1"/>
              <w:ind w:left="0" w:right="0" w:hanging="0"/>
              <w:jc w:val="center"/>
              <w:rPr/>
            </w:pPr>
            <w:r>
              <w:rPr/>
              <w:t>    </w:t>
            </w:r>
          </w:p>
        </w:tc>
        <w:tc>
          <w:tcPr>
            <w:tcW w:w="16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1"/>
              <w:ind w:left="0" w:right="0" w:hanging="0"/>
              <w:jc w:val="center"/>
              <w:rPr/>
            </w:pPr>
            <w:r>
              <w:rPr/>
              <w:t>    </w:t>
            </w:r>
          </w:p>
        </w:tc>
        <w:tc>
          <w:tcPr>
            <w:tcW w:w="9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Price ($)</w:t>
            </w:r>
          </w:p>
        </w:tc>
        <w:tc>
          <w:tcPr>
            <w:tcW w:w="326" w:type="dxa"/>
            <w:tcBorders/>
            <w:shd w:fill="auto" w:val="clear"/>
            <w:vAlign w:val="center"/>
          </w:tcPr>
          <w:p>
            <w:pPr>
              <w:pStyle w:val="TableContents"/>
              <w:spacing w:before="0" w:after="1"/>
              <w:ind w:left="0" w:right="0" w:hanging="0"/>
              <w:jc w:val="center"/>
              <w:rPr/>
            </w:pPr>
            <w:r>
              <w:rPr/>
              <w:t>    </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shd w:fill="auto" w:val="clear"/>
            <w:vAlign w:val="center"/>
          </w:tcPr>
          <w:p>
            <w:pPr>
              <w:pStyle w:val="TableContents"/>
              <w:spacing w:before="0" w:after="1"/>
              <w:ind w:left="0" w:right="0" w:hanging="0"/>
              <w:jc w:val="center"/>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Price ($)</w:t>
            </w:r>
          </w:p>
        </w:tc>
      </w:tr>
      <w:tr>
        <w:trPr/>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15.71</w:t>
            </w:r>
          </w:p>
        </w:tc>
        <w:tc>
          <w:tcPr>
            <w:tcW w:w="1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17.99</w:t>
            </w:r>
          </w:p>
        </w:tc>
        <w:tc>
          <w:tcPr>
            <w:tcW w:w="38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1"/>
              <w:ind w:left="0" w:right="0" w:hanging="0"/>
              <w:rPr/>
            </w:pPr>
            <w:r>
              <w:rPr/>
              <w:t> </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17.77</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shd w:fill="CCEEFF" w:val="clear"/>
            <w:vAlign w:val="center"/>
          </w:tcPr>
          <w:p>
            <w:pPr>
              <w:pStyle w:val="TableContents"/>
              <w:spacing w:before="0" w:after="1"/>
              <w:ind w:left="0" w:right="0" w:hanging="0"/>
              <w:rPr/>
            </w:pPr>
            <w:r>
              <w:rPr/>
              <w:t> </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17.77</w:t>
            </w:r>
          </w:p>
        </w:tc>
      </w:tr>
      <w:tr>
        <w:trPr/>
        <w:tc>
          <w:tcPr>
            <w:tcW w:w="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18.64</w:t>
            </w:r>
          </w:p>
        </w:tc>
        <w:tc>
          <w:tcPr>
            <w:tcW w:w="1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23.35</w:t>
            </w:r>
          </w:p>
        </w:tc>
        <w:tc>
          <w:tcPr>
            <w:tcW w:w="38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c>
          <w:tcPr>
            <w:tcW w:w="32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 </w:t>
            </w:r>
          </w:p>
        </w:tc>
        <w:tc>
          <w:tcPr>
            <w:tcW w:w="25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23.08</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c>
          <w:tcPr>
            <w:tcW w:w="326" w:type="dxa"/>
            <w:tcBorders/>
            <w:shd w:fill="auto" w:val="clear"/>
            <w:vAlign w:val="center"/>
          </w:tcPr>
          <w:p>
            <w:pPr>
              <w:pStyle w:val="TableContents"/>
              <w:spacing w:before="0" w:after="1"/>
              <w:ind w:left="0" w:right="0" w:hanging="0"/>
              <w:rPr/>
            </w:pPr>
            <w:r>
              <w:rPr/>
              <w:t> </w:t>
            </w:r>
          </w:p>
        </w:tc>
        <w:tc>
          <w:tcPr>
            <w:tcW w:w="2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23.08</w:t>
            </w:r>
          </w:p>
        </w:tc>
      </w:tr>
      <w:tr>
        <w:trPr/>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36.05</w:t>
            </w:r>
          </w:p>
        </w:tc>
        <w:tc>
          <w:tcPr>
            <w:tcW w:w="1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36.05</w:t>
            </w:r>
          </w:p>
        </w:tc>
        <w:tc>
          <w:tcPr>
            <w:tcW w:w="38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spacing w:before="0" w:after="1"/>
              <w:ind w:left="0" w:right="0" w:hanging="0"/>
              <w:rPr/>
            </w:pPr>
            <w:r>
              <w:rPr/>
              <w:t> </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36.05</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1"/>
              <w:ind w:left="0" w:right="0" w:hanging="0"/>
              <w:rPr/>
            </w:pPr>
            <w:r>
              <w:rPr/>
              <w:t> </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36.05</w:t>
            </w:r>
          </w:p>
        </w:tc>
      </w:tr>
      <w:tr>
        <w:trPr/>
        <w:tc>
          <w:tcPr>
            <w:tcW w:w="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37.10</w:t>
            </w:r>
          </w:p>
        </w:tc>
        <w:tc>
          <w:tcPr>
            <w:tcW w:w="1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43.99</w:t>
            </w:r>
          </w:p>
        </w:tc>
        <w:tc>
          <w:tcPr>
            <w:tcW w:w="38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2,280</w:t>
            </w:r>
          </w:p>
        </w:tc>
        <w:tc>
          <w:tcPr>
            <w:tcW w:w="32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1"/>
              <w:ind w:left="0" w:right="0" w:hanging="0"/>
              <w:rPr/>
            </w:pPr>
            <w:r>
              <w:rPr/>
              <w:t> </w:t>
            </w:r>
          </w:p>
        </w:tc>
        <w:tc>
          <w:tcPr>
            <w:tcW w:w="25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43.47</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2,272</w:t>
            </w:r>
          </w:p>
        </w:tc>
        <w:tc>
          <w:tcPr>
            <w:tcW w:w="326" w:type="dxa"/>
            <w:tcBorders/>
            <w:shd w:fill="auto" w:val="clear"/>
            <w:vAlign w:val="center"/>
          </w:tcPr>
          <w:p>
            <w:pPr>
              <w:pStyle w:val="TableContents"/>
              <w:spacing w:before="0" w:after="1"/>
              <w:ind w:left="0" w:right="0" w:hanging="0"/>
              <w:rPr/>
            </w:pPr>
            <w:r>
              <w:rPr/>
              <w:t> </w:t>
            </w:r>
          </w:p>
        </w:tc>
        <w:tc>
          <w:tcPr>
            <w:tcW w:w="2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43.47</w:t>
            </w:r>
          </w:p>
        </w:tc>
      </w:tr>
      <w:tr>
        <w:trPr/>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44.73</w:t>
            </w:r>
          </w:p>
        </w:tc>
        <w:tc>
          <w:tcPr>
            <w:tcW w:w="1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45.16</w:t>
            </w:r>
          </w:p>
        </w:tc>
        <w:tc>
          <w:tcPr>
            <w:tcW w:w="38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1,410</w:t>
            </w:r>
          </w:p>
        </w:tc>
        <w:tc>
          <w:tcPr>
            <w:tcW w:w="32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spacing w:before="0" w:after="1"/>
              <w:ind w:left="0" w:right="0" w:hanging="0"/>
              <w:rPr/>
            </w:pPr>
            <w:r>
              <w:rPr/>
              <w:t> </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45.10</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1,410</w:t>
            </w:r>
          </w:p>
        </w:tc>
        <w:tc>
          <w:tcPr>
            <w:tcW w:w="326" w:type="dxa"/>
            <w:tcBorders/>
            <w:shd w:fill="CCEEFF" w:val="clear"/>
            <w:vAlign w:val="center"/>
          </w:tcPr>
          <w:p>
            <w:pPr>
              <w:pStyle w:val="TableContents"/>
              <w:spacing w:before="0" w:after="1"/>
              <w:ind w:left="0" w:right="0" w:hanging="0"/>
              <w:rPr/>
            </w:pPr>
            <w:r>
              <w:rPr/>
              <w:t> </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45.10</w:t>
            </w:r>
          </w:p>
        </w:tc>
      </w:tr>
      <w:tr>
        <w:trPr/>
        <w:tc>
          <w:tcPr>
            <w:tcW w:w="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45.55</w:t>
            </w:r>
          </w:p>
        </w:tc>
        <w:tc>
          <w:tcPr>
            <w:tcW w:w="1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54.45</w:t>
            </w:r>
          </w:p>
        </w:tc>
        <w:tc>
          <w:tcPr>
            <w:tcW w:w="38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1,491</w:t>
            </w:r>
          </w:p>
        </w:tc>
        <w:tc>
          <w:tcPr>
            <w:tcW w:w="32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1"/>
              <w:ind w:left="0" w:right="0" w:hanging="0"/>
              <w:rPr/>
            </w:pPr>
            <w:r>
              <w:rPr/>
              <w:t> </w:t>
            </w:r>
          </w:p>
        </w:tc>
        <w:tc>
          <w:tcPr>
            <w:tcW w:w="25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48.21</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shd w:fill="auto" w:val="clear"/>
            <w:vAlign w:val="center"/>
          </w:tcPr>
          <w:p>
            <w:pPr>
              <w:pStyle w:val="TableContents"/>
              <w:spacing w:before="0" w:after="1"/>
              <w:ind w:left="0" w:right="0" w:hanging="0"/>
              <w:rPr/>
            </w:pPr>
            <w:r>
              <w:rPr/>
              <w:t> </w:t>
            </w:r>
          </w:p>
        </w:tc>
        <w:tc>
          <w:tcPr>
            <w:tcW w:w="2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47.43</w:t>
            </w:r>
          </w:p>
        </w:tc>
      </w:tr>
      <w:tr>
        <w:trPr/>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55.14</w:t>
            </w:r>
          </w:p>
        </w:tc>
        <w:tc>
          <w:tcPr>
            <w:tcW w:w="1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57.95</w:t>
            </w:r>
          </w:p>
        </w:tc>
        <w:tc>
          <w:tcPr>
            <w:tcW w:w="38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spacing w:before="0" w:after="1"/>
              <w:ind w:left="0" w:right="0" w:hanging="0"/>
              <w:rPr/>
            </w:pPr>
            <w:r>
              <w:rPr/>
              <w:t> </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56.90</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spacing w:before="0" w:after="1"/>
              <w:ind w:left="0" w:right="0" w:hanging="0"/>
              <w:rPr/>
            </w:pPr>
            <w:r>
              <w:rPr/>
              <w:t> </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56.57</w:t>
            </w:r>
          </w:p>
        </w:tc>
      </w:tr>
      <w:tr>
        <w:trPr/>
        <w:tc>
          <w:tcPr>
            <w:tcW w:w="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58.73</w:t>
            </w:r>
          </w:p>
        </w:tc>
        <w:tc>
          <w:tcPr>
            <w:tcW w:w="1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58.73</w:t>
            </w:r>
          </w:p>
        </w:tc>
        <w:tc>
          <w:tcPr>
            <w:tcW w:w="38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2,054</w:t>
            </w:r>
          </w:p>
        </w:tc>
        <w:tc>
          <w:tcPr>
            <w:tcW w:w="32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auto" w:val="clear"/>
            <w:vAlign w:val="center"/>
          </w:tcPr>
          <w:p>
            <w:pPr>
              <w:pStyle w:val="TableContents"/>
              <w:spacing w:before="0" w:after="1"/>
              <w:ind w:left="0" w:right="0" w:hanging="0"/>
              <w:rPr/>
            </w:pPr>
            <w:r>
              <w:rPr/>
              <w:t> </w:t>
            </w:r>
          </w:p>
        </w:tc>
        <w:tc>
          <w:tcPr>
            <w:tcW w:w="25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58.73</w:t>
            </w:r>
          </w:p>
        </w:tc>
        <w:tc>
          <w:tcPr>
            <w:tcW w:w="32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auto" w:val="clear"/>
            <w:vAlign w:val="center"/>
          </w:tcPr>
          <w:p>
            <w:pPr>
              <w:pStyle w:val="TableContents"/>
              <w:spacing w:before="0" w:after="1"/>
              <w:ind w:left="0" w:right="0" w:hanging="0"/>
              <w:rPr/>
            </w:pPr>
            <w:r>
              <w:rPr/>
              <w:t> </w:t>
            </w:r>
          </w:p>
        </w:tc>
        <w:tc>
          <w:tcPr>
            <w:tcW w:w="2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58.73</w:t>
            </w:r>
          </w:p>
        </w:tc>
      </w:tr>
      <w:tr>
        <w:trPr/>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58.77</w:t>
            </w:r>
          </w:p>
        </w:tc>
        <w:tc>
          <w:tcPr>
            <w:tcW w:w="1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58.77</w:t>
            </w:r>
          </w:p>
        </w:tc>
        <w:tc>
          <w:tcPr>
            <w:tcW w:w="38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spacing w:before="0" w:after="1"/>
              <w:ind w:left="0" w:right="0" w:hanging="0"/>
              <w:rPr/>
            </w:pPr>
            <w:r>
              <w:rPr/>
              <w:t> </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58.77</w:t>
            </w:r>
          </w:p>
        </w:tc>
        <w:tc>
          <w:tcPr>
            <w:tcW w:w="326" w:type="dxa"/>
            <w:tcBorders/>
            <w:shd w:fill="CCEEFF" w:val="clear"/>
            <w:vAlign w:val="center"/>
          </w:tcPr>
          <w:p>
            <w:pPr>
              <w:pStyle w:val="TableContents"/>
              <w:spacing w:before="0" w:after="1"/>
              <w:ind w:left="0" w:right="0" w:hanging="0"/>
              <w:rPr/>
            </w:pPr>
            <w:r>
              <w:rPr/>
              <w:t> </w:t>
            </w:r>
          </w:p>
        </w:tc>
        <w:tc>
          <w:tcPr>
            <w:tcW w:w="10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 </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58.77</w:t>
            </w:r>
          </w:p>
        </w:tc>
      </w:tr>
      <w:tr>
        <w:trPr/>
        <w:tc>
          <w:tcPr>
            <w:tcW w:w="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59.67</w:t>
            </w:r>
          </w:p>
        </w:tc>
        <w:tc>
          <w:tcPr>
            <w:tcW w:w="16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97.80</w:t>
            </w:r>
          </w:p>
        </w:tc>
        <w:tc>
          <w:tcPr>
            <w:tcW w:w="386" w:type="dxa"/>
            <w:tcBorders/>
            <w:shd w:fill="auto" w:val="clear"/>
            <w:vAlign w:val="center"/>
          </w:tcPr>
          <w:p>
            <w:pPr>
              <w:pStyle w:val="TableContents"/>
              <w:spacing w:before="0" w:after="1"/>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3,502</w:t>
            </w:r>
          </w:p>
        </w:tc>
        <w:tc>
          <w:tcPr>
            <w:tcW w:w="326" w:type="dxa"/>
            <w:tcBorders/>
            <w:shd w:fill="auto" w:val="clear"/>
            <w:vAlign w:val="center"/>
          </w:tcPr>
          <w:p>
            <w:pPr>
              <w:pStyle w:val="TableContents"/>
              <w:spacing w:before="0" w:after="1"/>
              <w:ind w:left="0" w:right="0" w:hanging="0"/>
              <w:rPr/>
            </w:pPr>
            <w:r>
              <w:rPr/>
              <w:t> </w:t>
            </w:r>
          </w:p>
        </w:tc>
        <w:tc>
          <w:tcPr>
            <w:tcW w:w="16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1"/>
              <w:ind w:left="0" w:right="0" w:hanging="0"/>
              <w:rPr/>
            </w:pPr>
            <w:r>
              <w:rPr/>
              <w:t> </w:t>
            </w:r>
          </w:p>
        </w:tc>
        <w:tc>
          <w:tcPr>
            <w:tcW w:w="25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69.29</w:t>
            </w:r>
          </w:p>
        </w:tc>
        <w:tc>
          <w:tcPr>
            <w:tcW w:w="326" w:type="dxa"/>
            <w:tcBorders/>
            <w:shd w:fill="auto" w:val="clear"/>
            <w:vAlign w:val="center"/>
          </w:tcPr>
          <w:p>
            <w:pPr>
              <w:pStyle w:val="TableContents"/>
              <w:spacing w:before="0" w:after="1"/>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auto" w:val="clear"/>
            <w:vAlign w:val="center"/>
          </w:tcPr>
          <w:p>
            <w:pPr>
              <w:pStyle w:val="TableContents"/>
              <w:spacing w:before="0" w:after="1"/>
              <w:ind w:left="0" w:right="0" w:hanging="0"/>
              <w:rPr/>
            </w:pPr>
            <w:r>
              <w:rPr/>
              <w:t> </w:t>
            </w:r>
          </w:p>
        </w:tc>
        <w:tc>
          <w:tcPr>
            <w:tcW w:w="2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60.56</w:t>
            </w:r>
          </w:p>
        </w:tc>
      </w:tr>
      <w:tr>
        <w:trPr/>
        <w:tc>
          <w:tcPr>
            <w:tcW w:w="2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pPr>
            <w:r>
              <w:rPr/>
              <w:t>​</w:t>
            </w:r>
          </w:p>
        </w:tc>
        <w:tc>
          <w:tcPr>
            <w:tcW w:w="1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86" w:type="dxa"/>
            <w:tcBorders/>
            <w:shd w:fill="CCEEFF" w:val="clear"/>
            <w:vAlign w:val="center"/>
          </w:tcPr>
          <w:p>
            <w:pPr>
              <w:pStyle w:val="TableContents"/>
              <w:spacing w:before="0" w:after="1"/>
              <w:ind w:left="0" w:right="0" w:hanging="0"/>
              <w:rPr/>
            </w:pPr>
            <w:r>
              <w:rPr/>
              <w:t> </w:t>
            </w:r>
          </w:p>
        </w:tc>
        <w:tc>
          <w:tcPr>
            <w:tcW w:w="13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13,860</w:t>
            </w:r>
          </w:p>
        </w:tc>
        <w:tc>
          <w:tcPr>
            <w:tcW w:w="326" w:type="dxa"/>
            <w:tcBorders/>
            <w:shd w:fill="CCEEFF" w:val="clear"/>
            <w:vAlign w:val="center"/>
          </w:tcPr>
          <w:p>
            <w:pPr>
              <w:pStyle w:val="TableContents"/>
              <w:spacing w:before="0" w:after="1"/>
              <w:ind w:left="0" w:right="0" w:hanging="0"/>
              <w:rPr/>
            </w:pPr>
            <w:r>
              <w:rPr/>
              <w:t> </w:t>
            </w:r>
          </w:p>
        </w:tc>
        <w:tc>
          <w:tcPr>
            <w:tcW w:w="16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1"/>
              <w:ind w:left="0" w:right="0" w:hanging="0"/>
              <w:rPr/>
            </w:pPr>
            <w:r>
              <w:rPr/>
              <w:t> </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48.19</w:t>
            </w:r>
          </w:p>
        </w:tc>
        <w:tc>
          <w:tcPr>
            <w:tcW w:w="326" w:type="dxa"/>
            <w:tcBorders/>
            <w:shd w:fill="CCEEFF" w:val="clear"/>
            <w:vAlign w:val="center"/>
          </w:tcPr>
          <w:p>
            <w:pPr>
              <w:pStyle w:val="TableContents"/>
              <w:spacing w:before="0" w:after="1"/>
              <w:ind w:left="0" w:right="0" w:hanging="0"/>
              <w:rPr/>
            </w:pPr>
            <w:r>
              <w:rPr/>
              <w:t> </w:t>
            </w:r>
          </w:p>
        </w:tc>
        <w:tc>
          <w:tcPr>
            <w:tcW w:w="10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9,644</w:t>
            </w:r>
          </w:p>
        </w:tc>
        <w:tc>
          <w:tcPr>
            <w:tcW w:w="326" w:type="dxa"/>
            <w:tcBorders/>
            <w:shd w:fill="CCEEFF" w:val="clear"/>
            <w:vAlign w:val="center"/>
          </w:tcPr>
          <w:p>
            <w:pPr>
              <w:pStyle w:val="TableContents"/>
              <w:spacing w:before="0" w:after="1"/>
              <w:ind w:left="0" w:right="0" w:hanging="0"/>
              <w:rPr/>
            </w:pPr>
            <w:r>
              <w:rPr/>
              <w:t> </w:t>
            </w:r>
          </w:p>
        </w:tc>
        <w:tc>
          <w:tcPr>
            <w:tcW w:w="2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40.33</w:t>
            </w:r>
          </w:p>
        </w:tc>
      </w:tr>
    </w:tbl>
    <w:p>
      <w:pPr>
        <w:pStyle w:val="TextBody"/>
        <w:spacing w:before="0" w:after="240"/>
        <w:ind w:left="0" w:right="0" w:hanging="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weighted-average grant-date fair value of options granted during the years ended December 31, 2021, 2020 and 2019 was $25.80 per share, $18.82 per share and $20.17 per share, respectively. The total intrinsic value of options exercised during the years ended December 31, 2021, 2020 and 2019 was $51.2 million, $68.8 million and $220.2 million,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Cash received from option exercises under all plans for the years ended December 31, 2021, 2020 and 2019 was $45.7 million, $72.9 million and $92.4 million,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bookmarkStart w:id="1615" w:name="Tc_6m6Zv1OrD0apXWFcZs5K5g_12_4"/>
      <w:bookmarkStart w:id="1616" w:name="Tc_21nUnfXxh0SZeyvoV5JiWQ_12_0"/>
      <w:bookmarkStart w:id="1617" w:name="Tc_VkQrWZd6DUq43b-gLSgQdw_11_4"/>
      <w:bookmarkStart w:id="1618" w:name="Tc_K7y0Thhim0CsphDj8yXEXA_11_0"/>
      <w:bookmarkStart w:id="1619" w:name="Tc_Rhh-kXk8Q0iV8OF6cJ86hA_10_4"/>
      <w:bookmarkStart w:id="1620" w:name="Tc_czBh_D5JYUG_Lr992TtvPg_10_0"/>
      <w:bookmarkStart w:id="1621" w:name="Tc_-qkmopC42UuihYHnyL2LIQ_9_4"/>
      <w:bookmarkStart w:id="1622" w:name="Tc_rch0UPf7NU--oO3_SHXYXQ_9_0"/>
      <w:bookmarkStart w:id="1623" w:name="Tc_bF9PdDa_FUmbxpUvNKR0Jg_8_4"/>
      <w:bookmarkStart w:id="1624" w:name="Tc_TEJgDH3K-0izt1d4qHtloQ_8_0"/>
      <w:bookmarkStart w:id="1625" w:name="Tc_0UqRPfO96EaONEaULc0JEQ_7_4"/>
      <w:bookmarkStart w:id="1626" w:name="Tc_Sb-Omt7lKkmvOXfKJ0yWFQ_7_0"/>
      <w:bookmarkStart w:id="1627" w:name="Tc_fgg0nsaM-EOUbQAPNaW4GQ_6_4"/>
      <w:bookmarkStart w:id="1628" w:name="Tc_-q8AQUnefUChdDWZ92HZQA_6_0"/>
      <w:bookmarkStart w:id="1629" w:name="Tc_cC1cLY9pIUOQAIyhs30ZfQ_5_4"/>
      <w:bookmarkStart w:id="1630" w:name="Tc_i9_CuISNIE21ICZ8t7cltQ_5_0"/>
      <w:bookmarkStart w:id="1631" w:name="Tc_R0lyzXvk5U-LX7BlddaWmQ_4_4"/>
      <w:bookmarkStart w:id="1632" w:name="Tc_LeEWsgNiPEur0ba0wK2_hA_4_2"/>
      <w:bookmarkStart w:id="1633" w:name="Tc_jqedKukFjU-RUuAc2Q-6Wg_3_4"/>
      <w:bookmarkStart w:id="1634" w:name="Tc_TWph1f9OekKAGeX9CJiqjA_3_2"/>
      <w:bookmarkStart w:id="1635" w:name="Tc_TfCUC747Ck-Ym4CzJ2AneA_2_4"/>
      <w:bookmarkStart w:id="1636" w:name="Tc_oNEMtFxLFEaL2LMzm6Abuw_2_2"/>
      <w:bookmarkStart w:id="1637" w:name="Tc_sHdFaKK1v0ubV0kS76u2kA_1_4"/>
      <w:bookmarkStart w:id="1638" w:name="_662c6296_cd69_49b6_aea9_badb04cc93be"/>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r>
        <w:rPr>
          <w:rFonts w:ascii="Times New Roman;Times;serif" w:hAnsi="Times New Roman;Times;serif"/>
          <w:sz w:val="22"/>
        </w:rPr>
        <w:t>At December 31, 2021, there was $51.3 million of total unrecognized compensation expense related to non-vested options granted to employees under the Company’s share-based payment plans. That cost is expected to be recognized over a weighted-average period of 2.1 years.</w:t>
      </w:r>
    </w:p>
    <w:p>
      <w:pPr>
        <w:pStyle w:val="TextBody"/>
        <w:spacing w:before="0" w:after="240"/>
        <w:ind w:left="0" w:right="0" w:hanging="0"/>
        <w:rPr>
          <w:rFonts w:ascii="Times New Roman;Times;serif" w:hAnsi="Times New Roman;Times;serif"/>
          <w:sz w:val="22"/>
        </w:rPr>
      </w:pPr>
      <w:r>
        <w:rPr>
          <w:rFonts w:ascii="Times New Roman;Times;serif" w:hAnsi="Times New Roman;Times;serif"/>
          <w:i/>
          <w:sz w:val="22"/>
        </w:rPr>
        <w:t>Restricted Stock Units</w:t>
      </w:r>
      <w:r>
        <w:rPr>
          <w:rFonts w:ascii="Times New Roman;Times;serif" w:hAnsi="Times New Roman;Times;serif"/>
          <w:sz w:val="22"/>
        </w:rPr>
        <w:t xml:space="preserve"> </w:t>
      </w:r>
      <w:r>
        <w:rPr>
          <w:rFonts w:ascii="Times New Roman;Times;serif" w:hAnsi="Times New Roman;Times;serif"/>
          <w:i/>
          <w:sz w:val="22"/>
        </w:rPr>
        <w:t>and Performance Share Units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table summarizes the Company’s activities with respect to non-vested restricted stock units and performance share units as follows:</w:t>
      </w:r>
    </w:p>
    <w:p>
      <w:pPr>
        <w:pStyle w:val="TextBody"/>
        <w:spacing w:before="0" w:after="0"/>
        <w:ind w:left="0" w:right="0" w:firstLine="720"/>
        <w:jc w:val="both"/>
        <w:rPr/>
      </w:pPr>
      <w:r>
        <w:rPr/>
        <w:t>​</w:t>
      </w:r>
    </w:p>
    <w:tbl>
      <w:tblPr>
        <w:tblW w:w="5545" w:type="dxa"/>
        <w:jc w:val="left"/>
        <w:tblInd w:w="0" w:type="dxa"/>
        <w:tblCellMar>
          <w:top w:w="0" w:type="dxa"/>
          <w:left w:w="0" w:type="dxa"/>
          <w:bottom w:w="0" w:type="dxa"/>
          <w:right w:w="0" w:type="dxa"/>
        </w:tblCellMar>
      </w:tblPr>
      <w:tblGrid>
        <w:gridCol w:w="2866"/>
        <w:gridCol w:w="326"/>
        <w:gridCol w:w="991"/>
        <w:gridCol w:w="326"/>
        <w:gridCol w:w="246"/>
        <w:gridCol w:w="790"/>
      </w:tblGrid>
      <w:tr>
        <w:trPr/>
        <w:tc>
          <w:tcPr>
            <w:tcW w:w="2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819910" cy="175260"/>
                      <wp:effectExtent l="0" t="0" r="0" b="0"/>
                      <wp:wrapNone/>
                      <wp:docPr id="470" name="Frame468"/>
                      <a:graphic xmlns:a="http://schemas.openxmlformats.org/drawingml/2006/main">
                        <a:graphicData uri="http://schemas.microsoft.com/office/word/2010/wordprocessingShape">
                          <wps:wsp>
                            <wps:cNvSpPr txBox="1"/>
                            <wps:spPr>
                              <a:xfrm>
                                <a:off x="0" y="0"/>
                                <a:ext cx="1819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29285" cy="175260"/>
                      <wp:effectExtent l="0" t="0" r="0" b="0"/>
                      <wp:wrapNone/>
                      <wp:docPr id="472" name="Frame470"/>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56210" cy="175260"/>
                      <wp:effectExtent l="0" t="0" r="0" b="0"/>
                      <wp:wrapNone/>
                      <wp:docPr id="474" name="Frame472"/>
                      <a:graphic xmlns:a="http://schemas.openxmlformats.org/drawingml/2006/main">
                        <a:graphicData uri="http://schemas.microsoft.com/office/word/2010/wordprocessingShape">
                          <wps:wsp>
                            <wps:cNvSpPr txBox="1"/>
                            <wps:spPr>
                              <a:xfrm>
                                <a:off x="0" y="0"/>
                                <a:ext cx="156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01650" cy="175260"/>
                      <wp:effectExtent l="0" t="0" r="0" b="0"/>
                      <wp:wrapNone/>
                      <wp:docPr id="475" name="Frame473"/>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Weighted </w:t>
            </w:r>
          </w:p>
        </w:tc>
      </w:tr>
      <w:tr>
        <w:trPr/>
        <w:tc>
          <w:tcPr>
            <w:tcW w:w="2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2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Grant-Date</w:t>
            </w:r>
          </w:p>
        </w:tc>
      </w:tr>
      <w:tr>
        <w:trPr/>
        <w:tc>
          <w:tcPr>
            <w:tcW w:w="2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January 1, 2021</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60.52</w:t>
            </w:r>
          </w:p>
        </w:tc>
      </w:tr>
      <w:tr>
        <w:trPr/>
        <w:tc>
          <w:tcPr>
            <w:tcW w:w="286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Granted 01/01/21 - 03/31/21</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86.28</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 04/01/21 - 06/30/21</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92.14</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 07/01/21 - 09/30/21</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89.84</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 10/01/21 - 12/31/21</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89.95</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62.29</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Forfeited/cancelled</w:t>
            </w:r>
          </w:p>
        </w:tc>
        <w:tc>
          <w:tcPr>
            <w:tcW w:w="326" w:type="dxa"/>
            <w:tcBorders/>
            <w:shd w:fill="CCEEFF" w:val="clear"/>
            <w:vAlign w:val="center"/>
          </w:tcPr>
          <w:p>
            <w:pPr>
              <w:pStyle w:val="TableContents"/>
              <w:spacing w:before="0" w:after="0"/>
              <w:ind w:left="0" w:right="0" w:hanging="0"/>
              <w:rPr/>
            </w:pPr>
            <w:r>
              <w:rPr/>
              <w:t>​</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60.41</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December 31, 2021</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69.02</w:t>
            </w:r>
          </w:p>
        </w:tc>
      </w:tr>
    </w:tbl>
    <w:p>
      <w:pPr>
        <w:pStyle w:val="TextBody"/>
        <w:spacing w:before="0" w:after="0"/>
        <w:ind w:left="0" w:right="0" w:hanging="0"/>
        <w:jc w:val="both"/>
        <w:rPr/>
      </w:pPr>
      <w:r>
        <w:rPr/>
        <w:t>​</w:t>
      </w:r>
    </w:p>
    <w:p>
      <w:pPr>
        <w:pStyle w:val="TextBody"/>
        <w:spacing w:lineRule="auto" w:line="240" w:before="0" w:after="240"/>
        <w:ind w:left="0" w:right="0" w:firstLine="72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The grant activity for performance share units is recorded based on the target performance level earning 100%</w:t>
      </w:r>
      <w:r>
        <w:rPr>
          <w:rFonts w:ascii="Times New Roman;Times;serif" w:hAnsi="Times New Roman;Times;serif"/>
          <w:sz w:val="18"/>
        </w:rPr>
        <w:t xml:space="preserve"> </w:t>
      </w:r>
      <w:r>
        <w:rPr>
          <w:rFonts w:ascii="Times New Roman;Times;serif" w:hAnsi="Times New Roman;Times;serif"/>
          <w:i/>
          <w:sz w:val="18"/>
        </w:rPr>
        <w:t>of target performance share units. The actual number of performance share units earned could range from 0%</w:t>
      </w:r>
      <w:r>
        <w:rPr>
          <w:rFonts w:ascii="Times New Roman;Times;serif" w:hAnsi="Times New Roman;Times;serif"/>
          <w:sz w:val="18"/>
        </w:rPr>
        <w:t xml:space="preserve"> </w:t>
      </w:r>
      <w:r>
        <w:rPr>
          <w:rFonts w:ascii="Times New Roman;Times;serif" w:hAnsi="Times New Roman;Times;serif"/>
          <w:i/>
          <w:sz w:val="18"/>
        </w:rPr>
        <w:t>to 200%</w:t>
      </w:r>
      <w:r>
        <w:rPr>
          <w:rFonts w:ascii="Times New Roman;Times;serif" w:hAnsi="Times New Roman;Times;serif"/>
          <w:sz w:val="18"/>
        </w:rPr>
        <w:t xml:space="preserve"> </w:t>
      </w:r>
      <w:r>
        <w:rPr>
          <w:rFonts w:ascii="Times New Roman;Times;serif" w:hAnsi="Times New Roman;Times;serif"/>
          <w:i/>
          <w:sz w:val="18"/>
        </w:rPr>
        <w:t xml:space="preserve">of target dependent on the pre-established performance goals.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weighted-average grant-date fair value of restricted stock units and/or performance share units granted during the years ended December 31, 2021, 2020 and 2019 was $89.12, $62.97 and $59.79 per share, respectively. As of December 31, 2021, 0.8 million of restricted stock units and performance share units are expected to vest.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At December 31, 2021, total unrecognized compensation expense relating to non-vested restricted stock units and performance share units was $34.8 million, which is expected to be recognized over a weighted-average period of 1.9 years.</w:t>
      </w:r>
    </w:p>
    <w:p>
      <w:pPr>
        <w:pStyle w:val="TextBody"/>
        <w:spacing w:before="0" w:after="240"/>
        <w:ind w:left="0" w:right="0" w:hanging="0"/>
        <w:jc w:val="both"/>
        <w:rPr>
          <w:rFonts w:ascii="Times New Roman;Times;serif" w:hAnsi="Times New Roman;Times;serif"/>
          <w:i/>
          <w:sz w:val="22"/>
        </w:rPr>
      </w:pPr>
      <w:r>
        <w:rPr>
          <w:rFonts w:ascii="Times New Roman;Times;serif" w:hAnsi="Times New Roman;Times;serif"/>
          <w:i/>
          <w:sz w:val="22"/>
        </w:rPr>
        <w:t>Other Share-Based Awards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December 31, 2021, other share-based awards outstanding included grants that vest over three years payable in the first quarters of 2022, 2023 and 2024.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bookmarkStart w:id="1639" w:name="Tc_HSjWUgMmb0SP8WMPs92_vw_5_8"/>
      <w:bookmarkStart w:id="1640" w:name="Tc_91JjL4FiZEG7d0IVZWX2eQ_5_5"/>
      <w:bookmarkStart w:id="1641" w:name="Tc_bAedS7qIqUulqQfS1-A_VQ_5_2"/>
      <w:bookmarkStart w:id="1642" w:name="Tc_rqwyzxTB8k6fleXIruuabA_5_0"/>
      <w:bookmarkStart w:id="1643" w:name="Tc_shUVBbmhHEiWA8ECc-Tl9A_4_0"/>
      <w:bookmarkStart w:id="1644" w:name="Tc_O68OijpuGEeKk9mX6o5SRQ_3_0"/>
      <w:bookmarkStart w:id="1645" w:name="Tc_Gdwu11VpBECTpOjySvaKrA_2_8"/>
      <w:bookmarkStart w:id="1646" w:name="Tc_x1Z6-qpwDkGu4_Uz6y5dMA_2_5"/>
      <w:bookmarkStart w:id="1647" w:name="Tc_EGwf9PZGjkWHRluDUaCpHQ_2_2"/>
      <w:bookmarkStart w:id="1648" w:name="Tc_h0RqrJ4djUmpta4FPyFKFg_2_0"/>
      <w:bookmarkStart w:id="1649" w:name="Tc_s-JXSrfyeEO544WXihPFZQ_1_8"/>
      <w:bookmarkStart w:id="1650" w:name="Tc_MR8GEum3bk6mfN8mqtQ-5Q_1_5"/>
      <w:bookmarkStart w:id="1651" w:name="Tc_K-bUgKSBWkKHSYKrwsZ4_g_1_2"/>
      <w:bookmarkStart w:id="1652" w:name="_32f2f6e2_60c4_4339_bddb_93a01a805185"/>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r>
        <w:rPr>
          <w:rFonts w:ascii="Times New Roman;Times;serif" w:hAnsi="Times New Roman;Times;serif"/>
          <w:sz w:val="22"/>
        </w:rPr>
        <w:t>At December 31, 2021, there was $0.7 million of total unrecognized compensation expense related to nonvested other share-based awards granted to employees under the Company’s stock-based compensation plans. That cost is expected to be recognized over a weighted-average period of 1.0 years.</w:t>
      </w:r>
    </w:p>
    <w:p>
      <w:pPr>
        <w:pStyle w:val="TextBody"/>
        <w:spacing w:before="0" w:after="240"/>
        <w:ind w:left="0" w:right="0" w:hanging="0"/>
        <w:rPr>
          <w:rFonts w:ascii="Times New Roman;Times;serif" w:hAnsi="Times New Roman;Times;serif"/>
          <w:i/>
          <w:sz w:val="22"/>
        </w:rPr>
      </w:pPr>
      <w:r>
        <w:rPr>
          <w:rFonts w:ascii="Times New Roman;Times;serif" w:hAnsi="Times New Roman;Times;serif"/>
          <w:i/>
          <w:sz w:val="22"/>
        </w:rPr>
        <w:t>Employee and Non-Employee Share-Based Compensation Expense</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table below shows the amounts recognized in the consolidated financial statements for the years ended December 31, 2021, 2020 and 2019 for share-based compensation related to employees and non-employees. Employee and non-employee share-based compensation expense of $70.5 million for the year ended December 31, 2021 is comprised of $8.3 million relating to incentive stock options, $1.6 million relating to other share-based awards and $60.6 million relating to non-qualified stock options, restricted units and performance units. Employee and non-employee share-based compensation expense of $70.3 million for the year ended December 31, 2020 is comprised of $9.4 million relating to incentive stock options, $2.7 million relating to other share-based awards and $58.2 million relating to non-qualified stock options, restricted units and performance units. Employee and non-employee share-based compensation expense of $63.4 million for the year ended December 31, 2019 is comprised of $10.0 million relating to incentive stock options and $53.4 million relating to non-qualified stock options and restricted units.</w:t>
      </w:r>
    </w:p>
    <w:p>
      <w:pPr>
        <w:pStyle w:val="TextBody"/>
        <w:spacing w:before="0" w:after="0"/>
        <w:ind w:left="0" w:right="0" w:hanging="0"/>
        <w:jc w:val="both"/>
        <w:rPr>
          <w:highlight w:val="green"/>
        </w:rPr>
      </w:pPr>
      <w:r>
        <w:rPr>
          <w:highlight w:val="green"/>
        </w:rPr>
        <w:t>​</w:t>
      </w:r>
    </w:p>
    <w:tbl>
      <w:tblPr>
        <w:tblW w:w="10205" w:type="dxa"/>
        <w:jc w:val="left"/>
        <w:tblInd w:w="0" w:type="dxa"/>
        <w:tblCellMar>
          <w:top w:w="0" w:type="dxa"/>
          <w:left w:w="0" w:type="dxa"/>
          <w:bottom w:w="0" w:type="dxa"/>
          <w:right w:w="0" w:type="dxa"/>
        </w:tblCellMar>
      </w:tblPr>
      <w:tblGrid>
        <w:gridCol w:w="6225"/>
        <w:gridCol w:w="326"/>
        <w:gridCol w:w="211"/>
        <w:gridCol w:w="774"/>
        <w:gridCol w:w="326"/>
        <w:gridCol w:w="211"/>
        <w:gridCol w:w="774"/>
        <w:gridCol w:w="326"/>
        <w:gridCol w:w="211"/>
        <w:gridCol w:w="821"/>
      </w:tblGrid>
      <w:tr>
        <w:trPr/>
        <w:tc>
          <w:tcPr>
            <w:tcW w:w="6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952875" cy="175260"/>
                      <wp:effectExtent l="0" t="0" r="0" b="0"/>
                      <wp:wrapNone/>
                      <wp:docPr id="476" name="Frame474"/>
                      <a:graphic xmlns:a="http://schemas.openxmlformats.org/drawingml/2006/main">
                        <a:graphicData uri="http://schemas.microsoft.com/office/word/2010/wordprocessingShape">
                          <wps:wsp>
                            <wps:cNvSpPr txBox="1"/>
                            <wps:spPr>
                              <a:xfrm>
                                <a:off x="0" y="0"/>
                                <a:ext cx="3952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91490" cy="175260"/>
                      <wp:effectExtent l="0" t="0" r="0" b="0"/>
                      <wp:wrapNone/>
                      <wp:docPr id="479" name="Frame477"/>
                      <a:graphic xmlns:a="http://schemas.openxmlformats.org/drawingml/2006/main">
                        <a:graphicData uri="http://schemas.microsoft.com/office/word/2010/wordprocessingShape">
                          <wps:wsp>
                            <wps:cNvSpPr txBox="1"/>
                            <wps:spPr>
                              <a:xfrm>
                                <a:off x="0" y="0"/>
                                <a:ext cx="491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91490" cy="175260"/>
                      <wp:effectExtent l="0" t="0" r="0" b="0"/>
                      <wp:wrapNone/>
                      <wp:docPr id="482" name="Frame480"/>
                      <a:graphic xmlns:a="http://schemas.openxmlformats.org/drawingml/2006/main">
                        <a:graphicData uri="http://schemas.microsoft.com/office/word/2010/wordprocessingShape">
                          <wps:wsp>
                            <wps:cNvSpPr txBox="1"/>
                            <wps:spPr>
                              <a:xfrm>
                                <a:off x="0" y="0"/>
                                <a:ext cx="491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21335" cy="175260"/>
                      <wp:effectExtent l="0" t="0" r="0" b="0"/>
                      <wp:wrapNone/>
                      <wp:docPr id="485" name="Frame483"/>
                      <a:graphic xmlns:a="http://schemas.openxmlformats.org/drawingml/2006/main">
                        <a:graphicData uri="http://schemas.microsoft.com/office/word/2010/wordprocessingShape">
                          <wps:wsp>
                            <wps:cNvSpPr txBox="1"/>
                            <wps:spPr>
                              <a:xfrm>
                                <a:off x="0" y="0"/>
                                <a:ext cx="521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2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center"/>
              <w:rPr/>
            </w:pPr>
            <w:r>
              <w:rPr/>
              <w:t>    </w:t>
            </w:r>
          </w:p>
        </w:tc>
        <w:tc>
          <w:tcPr>
            <w:tcW w:w="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jc w:val="center"/>
              <w:rPr/>
            </w:pPr>
            <w:r>
              <w:rPr/>
              <w:t>    </w:t>
            </w:r>
          </w:p>
        </w:tc>
        <w:tc>
          <w:tcPr>
            <w:tcW w:w="10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622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70,483</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70,289</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63,356</w:t>
            </w:r>
          </w:p>
        </w:tc>
      </w:tr>
      <w:tr>
        <w:trPr/>
        <w:tc>
          <w:tcPr>
            <w:tcW w:w="622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employee and non-employee share-based compensation expense included in income, before income tax</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70,483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7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70,289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63,356</w:t>
            </w:r>
          </w:p>
        </w:tc>
      </w:tr>
      <w:tr>
        <w:trPr/>
        <w:tc>
          <w:tcPr>
            <w:tcW w:w="622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Amount of income tax benefit recognized in earnings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(14,228)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7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(15,499)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(36,326)</w:t>
            </w:r>
          </w:p>
        </w:tc>
      </w:tr>
      <w:tr>
        <w:trPr/>
        <w:tc>
          <w:tcPr>
            <w:tcW w:w="622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 charged against net income</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56,255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54,790</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27,030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bookmarkStart w:id="1653" w:name="Tc_e00Fff6LD0ikCE69EcPRng_5_8"/>
      <w:bookmarkStart w:id="1654" w:name="Tc_wrEmSUXQqEiXOdLzoSbe4w_5_5"/>
      <w:bookmarkStart w:id="1655" w:name="Tc_QYIp7TR07Uepv0_vJvaeMQ_5_2"/>
      <w:bookmarkStart w:id="1656" w:name="Tc_elMfPpy_70y-ccwK3c2xww_5_0"/>
      <w:bookmarkStart w:id="1657" w:name="Tc_Rz0oXooTV0mx-HR8dYyVAQ_4_0"/>
      <w:bookmarkStart w:id="1658" w:name="Tc_V-9sBhj8hUGLDhX1Nvflog_3_8"/>
      <w:bookmarkStart w:id="1659" w:name="Tc_LGPvL0kSfE6gRN9HgMpU9g_3_5"/>
      <w:bookmarkStart w:id="1660" w:name="Tc_YXdJZl2Ih0iHaHOs3eOpQg_3_2"/>
      <w:bookmarkStart w:id="1661" w:name="Tc_ZwUQ_H-zM02ypTuAm-hqYQ_3_0"/>
      <w:bookmarkStart w:id="1662" w:name="Tc_dv79qbkjRkydyih-cw_Vtw_2_8"/>
      <w:bookmarkStart w:id="1663" w:name="Tc_UqiEeJwm9Eilh8lwZD5qqg_2_5"/>
      <w:bookmarkStart w:id="1664" w:name="Tc_uXLGA41Zzk-B9YS9WkRV8Q_2_2"/>
      <w:bookmarkStart w:id="1665" w:name="Tc_jrKqCRGS106OmIVu_hnWog_1_2"/>
      <w:bookmarkStart w:id="1666" w:name="_0fecea4c_9c71_4aa5_875f_8bf5d7ce4a5d"/>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r>
        <w:rPr>
          <w:rFonts w:ascii="Times New Roman;Times;serif" w:hAnsi="Times New Roman;Times;serif"/>
          <w:b w:val="false"/>
          <w:sz w:val="22"/>
        </w:rPr>
        <w:t>16.        INCOME TAXES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evaluated the various provisions of the Tax Reform Act, including, the global intangible low-taxed income (“GILTI”) and the foreign derived intangible income provisions. The Company will treat any U.S. tax on foreign earnings under GILTI as a current period expense when incurred.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currently considers the earnings of its foreign entities (excluding Japan) to be permanently reinvested outside the United States based on estimates that future domestic cash generation will be sufficient to meet future domestic cash needs. Accordingly, deferred income taxes have not been recorded for the undistributed earnings of the Company’s foreign subsidiaries excluding Japan. Deferred income taxes have not been recorded for Japan, as any federal, state, or foreign withholding taxes associated with the repatriation of those earnings would be immaterial.</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domestic and foreign components of the Company’s income before provision for income taxes are as follows:</w:t>
      </w:r>
    </w:p>
    <w:p>
      <w:pPr>
        <w:pStyle w:val="TextBody"/>
        <w:spacing w:before="0" w:after="0"/>
        <w:ind w:left="0" w:right="0" w:firstLine="720"/>
        <w:jc w:val="both"/>
        <w:rPr/>
      </w:pPr>
      <w:r>
        <w:rPr/>
        <w:t>​</w:t>
      </w:r>
    </w:p>
    <w:tbl>
      <w:tblPr>
        <w:tblW w:w="7990" w:type="dxa"/>
        <w:jc w:val="left"/>
        <w:tblInd w:w="0" w:type="dxa"/>
        <w:tblCellMar>
          <w:top w:w="0" w:type="dxa"/>
          <w:left w:w="0" w:type="dxa"/>
          <w:bottom w:w="0" w:type="dxa"/>
          <w:right w:w="0" w:type="dxa"/>
        </w:tblCellMar>
      </w:tblPr>
      <w:tblGrid>
        <w:gridCol w:w="3481"/>
        <w:gridCol w:w="326"/>
        <w:gridCol w:w="211"/>
        <w:gridCol w:w="931"/>
        <w:gridCol w:w="326"/>
        <w:gridCol w:w="211"/>
        <w:gridCol w:w="931"/>
        <w:gridCol w:w="326"/>
        <w:gridCol w:w="211"/>
        <w:gridCol w:w="1036"/>
      </w:tblGrid>
      <w:tr>
        <w:trPr/>
        <w:tc>
          <w:tcPr>
            <w:tcW w:w="3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210435" cy="175260"/>
                      <wp:effectExtent l="0" t="0" r="0" b="0"/>
                      <wp:wrapNone/>
                      <wp:docPr id="486" name="Frame484"/>
                      <a:graphic xmlns:a="http://schemas.openxmlformats.org/drawingml/2006/main">
                        <a:graphicData uri="http://schemas.microsoft.com/office/word/2010/wordprocessingShape">
                          <wps:wsp>
                            <wps:cNvSpPr txBox="1"/>
                            <wps:spPr>
                              <a:xfrm>
                                <a:off x="0" y="0"/>
                                <a:ext cx="2210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91185" cy="175260"/>
                      <wp:effectExtent l="0" t="0" r="0" b="0"/>
                      <wp:wrapNone/>
                      <wp:docPr id="489" name="Frame48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91" name="Frame4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91185" cy="175260"/>
                      <wp:effectExtent l="0" t="0" r="0" b="0"/>
                      <wp:wrapNone/>
                      <wp:docPr id="492" name="Frame49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4" name="Frame4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57860" cy="175260"/>
                      <wp:effectExtent l="0" t="0" r="0" b="0"/>
                      <wp:wrapNone/>
                      <wp:docPr id="495" name="Frame49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18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w:t>
            </w:r>
          </w:p>
        </w:tc>
      </w:tr>
      <w:tr>
        <w:trPr/>
        <w:tc>
          <w:tcPr>
            <w:tcW w:w="34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1,431,797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1,374,402</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1,196,883</w:t>
            </w:r>
          </w:p>
        </w:tc>
      </w:tr>
      <w:tr>
        <w:trPr/>
        <w:tc>
          <w:tcPr>
            <w:tcW w:w="34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369,622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251,755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219,079</w:t>
            </w:r>
          </w:p>
        </w:tc>
      </w:tr>
      <w:tr>
        <w:trPr/>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1,801,419</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1,626,157</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1,415,962</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16"/>
        </w:rPr>
      </w:pPr>
      <w:r>
        <w:rPr>
          <w:rFonts w:ascii="Times New Roman;Times;serif" w:hAnsi="Times New Roman;Times;serif"/>
          <w:i/>
          <w:sz w:val="16"/>
        </w:rPr>
        <w:t>*After intercompany royalties, management fees and interest charges from the Company’s domestic to foreign entities of $61.1</w:t>
      </w:r>
      <w:r>
        <w:rPr>
          <w:rFonts w:ascii="Times New Roman;Times;serif" w:hAnsi="Times New Roman;Times;serif"/>
          <w:sz w:val="16"/>
        </w:rPr>
        <w:t xml:space="preserve"> </w:t>
      </w:r>
      <w:r>
        <w:rPr>
          <w:rFonts w:ascii="Times New Roman;Times;serif" w:hAnsi="Times New Roman;Times;serif"/>
          <w:i/>
          <w:sz w:val="16"/>
        </w:rPr>
        <w:t>million, $54.2</w:t>
      </w:r>
      <w:r>
        <w:rPr>
          <w:rFonts w:ascii="Times New Roman;Times;serif" w:hAnsi="Times New Roman;Times;serif"/>
          <w:sz w:val="16"/>
        </w:rPr>
        <w:t xml:space="preserve"> </w:t>
      </w:r>
      <w:r>
        <w:rPr>
          <w:rFonts w:ascii="Times New Roman;Times;serif" w:hAnsi="Times New Roman;Times;serif"/>
          <w:i/>
          <w:sz w:val="16"/>
        </w:rPr>
        <w:t>million and $51.2</w:t>
      </w:r>
      <w:r>
        <w:rPr>
          <w:rFonts w:ascii="Times New Roman;Times;serif" w:hAnsi="Times New Roman;Times;serif"/>
          <w:sz w:val="16"/>
        </w:rPr>
        <w:t xml:space="preserve"> </w:t>
      </w:r>
      <w:r>
        <w:rPr>
          <w:rFonts w:ascii="Times New Roman;Times;serif" w:hAnsi="Times New Roman;Times;serif"/>
          <w:i/>
          <w:sz w:val="16"/>
        </w:rPr>
        <w:t>million for the years ended December 31, 2021, 2020 and 2019,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bookmarkStart w:id="1667" w:name="Tc_UpI0v4qWk0qMLvxXCSF0jg_11_8"/>
      <w:bookmarkStart w:id="1668" w:name="Tc_knMY4TuXXkulKQmfpAtWBw_11_5"/>
      <w:bookmarkStart w:id="1669" w:name="Tc_l5IuBnH-P0qsg58Ihg3hCQ_11_2"/>
      <w:bookmarkStart w:id="1670" w:name="Tc_Kvo_yb41s0ixwvkUw87vfw_10_0"/>
      <w:bookmarkStart w:id="1671" w:name="Tc_UVWrohkP2UOpGYIK0kbCAA_9_0"/>
      <w:bookmarkStart w:id="1672" w:name="Tc_NQvmnVLJcE2P2svpFQPVNw_8_0"/>
      <w:bookmarkStart w:id="1673" w:name="Tc_FSPhttNrFEaIhs57xnCUrw_7_9"/>
      <w:bookmarkStart w:id="1674" w:name="Tc_7N34niCABEin4WM9lQpjqw_7_3"/>
      <w:bookmarkStart w:id="1675" w:name="Tc_8ZviaQQJX0KDx7De3Oq6jQ_7_0"/>
      <w:bookmarkStart w:id="1676" w:name="Tc_l4axr_lPBUarQCDdUNxccw_6_0"/>
      <w:bookmarkStart w:id="1677" w:name="Tc_T-35hwodz0ioC0xMi4A5XA_5_0"/>
      <w:bookmarkStart w:id="1678" w:name="Tc_uJ48-kOSm0anZiZ_obmwMw_4_0"/>
      <w:bookmarkStart w:id="1679" w:name="Tc_rU04OGN9hka1VYWTVvqu7Q_3_8"/>
      <w:bookmarkStart w:id="1680" w:name="Tc_iJ3S3t9R_025Tv5EgX-l8A_3_5"/>
      <w:bookmarkStart w:id="1681" w:name="Tc_cuGJUoFhVka1P7gu8h4TjA_3_2"/>
      <w:bookmarkStart w:id="1682" w:name="Tc_iEa8kgYWc0Kpx-8kqhiDcg_3_0"/>
      <w:bookmarkStart w:id="1683" w:name="Tc_TxlWnEK2GUagzbhV2FQ_2Q_2_8"/>
      <w:bookmarkStart w:id="1684" w:name="Tc_iD0s16ltckeCmuvaQryHIA_2_5"/>
      <w:bookmarkStart w:id="1685" w:name="Tc_XPDJYrLhTEymdjUfVLbkiQ_2_2"/>
      <w:bookmarkStart w:id="1686" w:name="Tc_aXeBRuyK5UujV_honhdaAg_1_2"/>
      <w:bookmarkStart w:id="1687" w:name="_46191d9d_aec9_4212_b7ab_a90e8e590a43"/>
      <w:bookmarkStart w:id="1688" w:name="Tc_mNOVuQPKJEWUvDN_ROnfRQ_16_8"/>
      <w:bookmarkStart w:id="1689" w:name="Tc_1FqaIxa-IkCp0ilHIXwHTA_16_5"/>
      <w:bookmarkStart w:id="1690" w:name="Tc_jtI5i3cxLUOVAL8sgYOkaQ_16_2"/>
      <w:bookmarkStart w:id="1691" w:name="Tc_5z_Um7YKV0GbNHbEOXKqfQ_15_0"/>
      <w:bookmarkStart w:id="1692" w:name="Tc_nBRcJLc_-UqWiSOpYe1A0A_12_0"/>
      <w:bookmarkStart w:id="1693" w:name="Tc_zH4xIvhJg0mq0JZNcge24w_11_0"/>
      <w:bookmarkStart w:id="1694" w:name="Tc_ph-cjFxnr06VfoKmmmqZ_g_10_0"/>
      <w:bookmarkStart w:id="1695" w:name="Tc_UDPXjku04kaPvQIb5HIHSw_9_0"/>
      <w:bookmarkStart w:id="1696" w:name="Tc_dgIkBV6bMUSyutmH_SiZBQ_6_0"/>
      <w:bookmarkStart w:id="1697" w:name="Tc_jXMOe9UqhEqCckcxv9ORfA_5_0"/>
      <w:bookmarkStart w:id="1698" w:name="Tc_4BrbNj7Nq0u58cpgmH5WLg_4_8"/>
      <w:bookmarkStart w:id="1699" w:name="Tc_svmDY1a0Aka4XxE7JlNTTA_4_5"/>
      <w:bookmarkStart w:id="1700" w:name="Tc_lCnIGipnHU-E8U1IkGkFZQ_4_2"/>
      <w:bookmarkStart w:id="1701" w:name="Tc_H5RQt_0V_kuyzwrhEcGLiw_4_0"/>
      <w:bookmarkStart w:id="1702" w:name="Tc_mBV8AEW_wEGHNVyh3GsFig_3_0"/>
      <w:bookmarkStart w:id="1703" w:name="Tc_Ad1QGzjj1U2H5grQWwjhfg_2_8"/>
      <w:bookmarkStart w:id="1704" w:name="Tc_RJDUDDMGdkK9Zw6wvK0hiA_2_5"/>
      <w:bookmarkStart w:id="1705" w:name="Tc_dnHuYPLBIE-2yKt90MU_VA_2_2"/>
      <w:bookmarkStart w:id="1706" w:name="Tc_K3OqjZfXHkC_GR4FeWTNGQ_1_2"/>
      <w:bookmarkStart w:id="1707" w:name="_9c1d35a1_fa0f_429a_ad0c_988973925be3"/>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r>
        <w:rPr>
          <w:rFonts w:ascii="Times New Roman;Times;serif" w:hAnsi="Times New Roman;Times;serif"/>
          <w:sz w:val="22"/>
        </w:rPr>
        <w:t>Components of the provision for income taxes are as follows:</w:t>
      </w:r>
    </w:p>
    <w:p>
      <w:pPr>
        <w:pStyle w:val="TextBody"/>
        <w:spacing w:before="0" w:after="0"/>
        <w:ind w:left="720" w:right="0" w:firstLine="720"/>
        <w:jc w:val="both"/>
        <w:rPr/>
      </w:pPr>
      <w:r>
        <w:rPr/>
        <w:t>​</w:t>
      </w:r>
    </w:p>
    <w:tbl>
      <w:tblPr>
        <w:tblW w:w="5980" w:type="dxa"/>
        <w:jc w:val="left"/>
        <w:tblInd w:w="0" w:type="dxa"/>
        <w:tblCellMar>
          <w:top w:w="0" w:type="dxa"/>
          <w:left w:w="0" w:type="dxa"/>
          <w:bottom w:w="0" w:type="dxa"/>
          <w:right w:w="0" w:type="dxa"/>
        </w:tblCellMar>
      </w:tblPr>
      <w:tblGrid>
        <w:gridCol w:w="1801"/>
        <w:gridCol w:w="326"/>
        <w:gridCol w:w="211"/>
        <w:gridCol w:w="781"/>
        <w:gridCol w:w="326"/>
        <w:gridCol w:w="211"/>
        <w:gridCol w:w="901"/>
        <w:gridCol w:w="326"/>
        <w:gridCol w:w="211"/>
        <w:gridCol w:w="886"/>
      </w:tblGrid>
      <w:tr>
        <w:trPr/>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143635" cy="175260"/>
                      <wp:effectExtent l="0" t="0" r="0" b="0"/>
                      <wp:wrapNone/>
                      <wp:docPr id="496" name="Frame494"/>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95935" cy="175260"/>
                      <wp:effectExtent l="0" t="0" r="0" b="0"/>
                      <wp:wrapNone/>
                      <wp:docPr id="499" name="Frame49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4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501" name="Frame4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572135" cy="175260"/>
                      <wp:effectExtent l="0" t="0" r="0" b="0"/>
                      <wp:wrapNone/>
                      <wp:docPr id="502" name="Frame50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3" name="Frame5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33985" cy="175260"/>
                      <wp:effectExtent l="0" t="0" r="0" b="0"/>
                      <wp:wrapNone/>
                      <wp:docPr id="504" name="Frame5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62610" cy="175260"/>
                      <wp:effectExtent l="0" t="0" r="0" b="0"/>
                      <wp:wrapNone/>
                      <wp:docPr id="505" name="Frame50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85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273,115</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259,073</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212,068</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44,990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43,704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39,982</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89,410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70,658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55,167</w:t>
            </w:r>
          </w:p>
        </w:tc>
      </w:tr>
      <w:tr>
        <w:trPr/>
        <w:tc>
          <w:tcPr>
            <w:tcW w:w="18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407,515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373,435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307,217</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14,750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8,320</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(6,878)</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5,092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(167,595)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(4,219)</w:t>
            </w:r>
          </w:p>
        </w:tc>
      </w:tr>
      <w:tr>
        <w:trPr/>
        <w:tc>
          <w:tcPr>
            <w:tcW w:w="18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(151,485)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(2,777)</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423,944</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216,563</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308,127</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A reconciliation of the total provision for income taxes after applying the U.S. federal statutory rate of 21% to income before provision for income taxes to the reported provision for income taxes are as follows for the years ended:</w:t>
      </w:r>
    </w:p>
    <w:p>
      <w:pPr>
        <w:pStyle w:val="TextBody"/>
        <w:spacing w:before="0" w:after="0"/>
        <w:ind w:left="0" w:right="0" w:hanging="0"/>
        <w:jc w:val="both"/>
        <w:rPr/>
      </w:pPr>
      <w:r>
        <w:rPr/>
        <w:t>​</w:t>
      </w:r>
    </w:p>
    <w:tbl>
      <w:tblPr>
        <w:tblW w:w="7885" w:type="dxa"/>
        <w:jc w:val="left"/>
        <w:tblInd w:w="0" w:type="dxa"/>
        <w:tblCellMar>
          <w:top w:w="0" w:type="dxa"/>
          <w:left w:w="0" w:type="dxa"/>
          <w:bottom w:w="0" w:type="dxa"/>
          <w:right w:w="0" w:type="dxa"/>
        </w:tblCellMar>
      </w:tblPr>
      <w:tblGrid>
        <w:gridCol w:w="3706"/>
        <w:gridCol w:w="326"/>
        <w:gridCol w:w="211"/>
        <w:gridCol w:w="781"/>
        <w:gridCol w:w="326"/>
        <w:gridCol w:w="211"/>
        <w:gridCol w:w="901"/>
        <w:gridCol w:w="326"/>
        <w:gridCol w:w="211"/>
        <w:gridCol w:w="886"/>
      </w:tblGrid>
      <w:tr>
        <w:trPr/>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353310" cy="175260"/>
                      <wp:effectExtent l="0" t="0" r="0" b="0"/>
                      <wp:wrapNone/>
                      <wp:docPr id="506" name="Frame504"/>
                      <a:graphic xmlns:a="http://schemas.openxmlformats.org/drawingml/2006/main">
                        <a:graphicData uri="http://schemas.microsoft.com/office/word/2010/wordprocessingShape">
                          <wps:wsp>
                            <wps:cNvSpPr txBox="1"/>
                            <wps:spPr>
                              <a:xfrm>
                                <a:off x="0" y="0"/>
                                <a:ext cx="2353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508" name="Frame5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95935" cy="175260"/>
                      <wp:effectExtent l="0" t="0" r="0" b="0"/>
                      <wp:wrapNone/>
                      <wp:docPr id="509" name="Frame50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7010" cy="175260"/>
                      <wp:effectExtent l="0" t="0" r="0" b="0"/>
                      <wp:wrapNone/>
                      <wp:docPr id="510" name="Frame5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3985" cy="175260"/>
                      <wp:effectExtent l="0" t="0" r="0" b="0"/>
                      <wp:wrapNone/>
                      <wp:docPr id="511" name="Frame5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572135" cy="175260"/>
                      <wp:effectExtent l="0" t="0" r="0" b="0"/>
                      <wp:wrapNone/>
                      <wp:docPr id="512" name="Frame51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985" cy="175260"/>
                      <wp:effectExtent l="0" t="0" r="0" b="0"/>
                      <wp:wrapNone/>
                      <wp:docPr id="514" name="Frame5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562610" cy="175260"/>
                      <wp:effectExtent l="0" t="0" r="0" b="0"/>
                      <wp:wrapNone/>
                      <wp:docPr id="515" name="Frame51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85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w:t>
            </w:r>
          </w:p>
        </w:tc>
      </w:tr>
      <w:tr>
        <w:trPr/>
        <w:tc>
          <w:tcPr>
            <w:tcW w:w="3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Federal tax expense at statutory rates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378,298</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341,493</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297,352</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income taxes, net of federal tax benefit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37,478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30,098</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Permanent differences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(2,128)</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(13,473)</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Intra-company transfer benefit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(165,075)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(7,388)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(12,423)</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rate differential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15,409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5,014</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r>
      <w:tr>
        <w:trPr/>
        <w:tc>
          <w:tcPr>
            <w:tcW w:w="37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423,944</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216,563</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308,127</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bookmarkStart w:id="1708" w:name="Tc_rHy0j_rTZUGjHaRBCO0kaA_31_5"/>
      <w:bookmarkStart w:id="1709" w:name="Tc_RwHcB4etAkmVy02W8E4l_A_31_2"/>
      <w:bookmarkStart w:id="1710" w:name="Tc_-ZIPtyKI_ECARNjp13R8oA_31_0"/>
      <w:bookmarkStart w:id="1711" w:name="Tc_FYiNfGd87UuPZh4aaIgVkw_29_0"/>
      <w:bookmarkStart w:id="1712" w:name="Tc_FXkhHoNfg0yhk_3a0CZQJg_27_0"/>
      <w:bookmarkStart w:id="1713" w:name="Tc_MNUj-zNo9UOUgYcIlbtWeA_26_0"/>
      <w:bookmarkStart w:id="1714" w:name="Tc_677xfS6W9kOJWHTL-Lqjtg_25_0"/>
      <w:bookmarkStart w:id="1715" w:name="Tc_HE2AGUokH0WAGtTWriwDvg_24_0"/>
      <w:bookmarkStart w:id="1716" w:name="Tc_y1uah42KV0-_S9PtwlAMKQ_23_0"/>
      <w:bookmarkStart w:id="1717" w:name="Tc_g6QBgiqjWUWSZd2R1vnbzw_22_5"/>
      <w:bookmarkStart w:id="1718" w:name="Tc_pSqqH8SYV0STAQEHuCC2Rw_22_2"/>
      <w:bookmarkStart w:id="1719" w:name="Tc_ABoaReBmx0G0thy4cGOlkA_22_0"/>
      <w:bookmarkStart w:id="1720" w:name="Tc_U8Sz5CxHjkeE4yzFSouwQQ_21_0"/>
      <w:bookmarkStart w:id="1721" w:name="Tc_V3fp2Gj4cEuDOk7xwcxcrg_19_5"/>
      <w:bookmarkStart w:id="1722" w:name="Tc_RuaV8Uq9nUuQ4GzQVCnEWg_19_2"/>
      <w:bookmarkStart w:id="1723" w:name="Tc_TIqLIrsaAUeJGSYte8bYeQ_19_0"/>
      <w:bookmarkStart w:id="1724" w:name="Tc_G1ZFOaw9L0OAq8GVPD-1Tg_18_0"/>
      <w:bookmarkStart w:id="1725" w:name="Tc_kwgJCLu9VE2jLRIiTvomCA_17_0"/>
      <w:bookmarkStart w:id="1726" w:name="Tc_Ey6itLqLZ0mdaR18QEifFQ_16_0"/>
      <w:bookmarkStart w:id="1727" w:name="Tc_3D8r4Et6HkOLpSLvym-Xdw_15_0"/>
      <w:bookmarkStart w:id="1728" w:name="Tc_QbXDd3t9dUGeZH0gXbe6CQ_14_0"/>
      <w:bookmarkStart w:id="1729" w:name="Tc_bAWDuIQyy0ace7CROycGFw_13_0"/>
      <w:bookmarkStart w:id="1730" w:name="Tc_5-ZGwTHRMU6-2QVGQyj_Tg_12_0"/>
      <w:bookmarkStart w:id="1731" w:name="Tc_GLTmtF5KiUmQmhsHdDGMQg_11_0"/>
      <w:bookmarkStart w:id="1732" w:name="Tc_cRNib3BzZUKi1bX23pXi_w_10_0"/>
      <w:bookmarkStart w:id="1733" w:name="Tc_XQ4q8O-jVECRDiSSG2hIdg_9_0"/>
      <w:bookmarkStart w:id="1734" w:name="Tc_BolOV6arOE6_IjLuySLxDQ_8_0"/>
      <w:bookmarkStart w:id="1735" w:name="Tc_BjYXTge5jkaUU78K2KcYug_7_0"/>
      <w:bookmarkStart w:id="1736" w:name="Tc_cVtWOIkLDU6DojEx66-Myw_6_0"/>
      <w:bookmarkStart w:id="1737" w:name="Tc_4BGxgOZ8Q0Kgf7SNTFZBEQ_5_0"/>
      <w:bookmarkStart w:id="1738" w:name="Tc_CDPmoKdQTUyshSlNw_t1TQ_4_0"/>
      <w:bookmarkStart w:id="1739" w:name="Tc_KghPqjcgCkKUD35yqtajvw_3_5"/>
      <w:bookmarkStart w:id="1740" w:name="Tc_jt-W14XmEkyNK_1gG10R4Q_3_2"/>
      <w:bookmarkStart w:id="1741" w:name="Tc_NhpkAQL8TUybxPUhIi_hYA_3_0"/>
      <w:bookmarkStart w:id="1742" w:name="Tc_bHicUVmfCEGxJluRvsDs6A_2_0"/>
      <w:bookmarkStart w:id="1743" w:name="Tc_SDzlgaO6P02IePKnCSCVyw_1_5"/>
      <w:bookmarkStart w:id="1744" w:name="Tc_9ZUAoH8PU0KNt71XhfPYRg_1_2"/>
      <w:bookmarkStart w:id="1745" w:name="_1f40793a_27d2_410e_80db_04ffca2f7865"/>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r>
        <w:rPr>
          <w:rFonts w:ascii="Times New Roman;Times;serif" w:hAnsi="Times New Roman;Times;serif"/>
          <w:sz w:val="22"/>
        </w:rPr>
        <w:t>Major components of the Company’s deferred tax assets (liabilities) at December 31, 2021 and 2020 are as follows:</w:t>
      </w:r>
    </w:p>
    <w:p>
      <w:pPr>
        <w:pStyle w:val="TextBody"/>
        <w:spacing w:before="0" w:after="0"/>
        <w:ind w:left="0" w:right="0" w:hanging="0"/>
        <w:jc w:val="both"/>
        <w:rPr/>
      </w:pPr>
      <w:r>
        <w:rPr/>
        <w:t>​</w:t>
      </w:r>
    </w:p>
    <w:tbl>
      <w:tblPr>
        <w:tblW w:w="6192" w:type="dxa"/>
        <w:jc w:val="left"/>
        <w:tblInd w:w="0" w:type="dxa"/>
        <w:tblCellMar>
          <w:top w:w="0" w:type="dxa"/>
          <w:left w:w="0" w:type="dxa"/>
          <w:bottom w:w="0" w:type="dxa"/>
          <w:right w:w="0" w:type="dxa"/>
        </w:tblCellMar>
      </w:tblPr>
      <w:tblGrid>
        <w:gridCol w:w="3436"/>
        <w:gridCol w:w="326"/>
        <w:gridCol w:w="211"/>
        <w:gridCol w:w="796"/>
        <w:gridCol w:w="326"/>
        <w:gridCol w:w="211"/>
        <w:gridCol w:w="886"/>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81860" cy="175260"/>
                      <wp:effectExtent l="0" t="0" r="0" b="0"/>
                      <wp:wrapNone/>
                      <wp:docPr id="516" name="Frame514"/>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33985" cy="175260"/>
                      <wp:effectExtent l="0" t="0" r="0" b="0"/>
                      <wp:wrapNone/>
                      <wp:docPr id="518" name="Frame5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05460" cy="175260"/>
                      <wp:effectExtent l="0" t="0" r="0" b="0"/>
                      <wp:wrapNone/>
                      <wp:docPr id="519" name="Frame51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33985" cy="175260"/>
                      <wp:effectExtent l="0" t="0" r="0" b="0"/>
                      <wp:wrapNone/>
                      <wp:docPr id="521" name="Frame5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562610" cy="175260"/>
                      <wp:effectExtent l="0" t="0" r="0" b="0"/>
                      <wp:wrapNone/>
                      <wp:docPr id="522" name="Frame52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 for sales returns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 for inventory obsolescence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2,366</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 for marketing development fund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9,629</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Capitalization of inventory costs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3,365</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franchise tax - current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4,229</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1,284</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other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75,592</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23,370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net operating loss carryforward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21,626</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supplies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5,551</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Termination payments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58,042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63,009</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4,434</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87,687</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Impairment-trademarks and others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2,055</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deferred tax assets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27,164</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gross deferred tax assets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310,492</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339,100</w:t>
            </w:r>
          </w:p>
        </w:tc>
      </w:tr>
      <w:tr>
        <w:trPr/>
        <w:tc>
          <w:tcPr>
            <w:tcW w:w="3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trademarks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(41,517)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(42,161)</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franchise tax - deferred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(6,318)</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ROU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(4,434)</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deferred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(9,363)</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gross deferred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(58,258)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(62,334)</w:t>
            </w:r>
          </w:p>
        </w:tc>
      </w:tr>
      <w:tr>
        <w:trPr/>
        <w:tc>
          <w:tcPr>
            <w:tcW w:w="3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(35,116)</w:t>
            </w:r>
          </w:p>
        </w:tc>
      </w:tr>
      <w:tr>
        <w:trPr/>
        <w:tc>
          <w:tcPr>
            <w:tcW w:w="3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225,221</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241,650</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During the years ended December 31, 2021, 2020 and 2019,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decrease the Company’s provision for income taxes by $8.1 million and $5.4 million for the years ended December 31, 2021 and 2020, respectively, and increase the Company’s provision for income taxes $3.7 million for the year ended December 31, 2019. At December 31, 2021, the Company had net operating loss carryforwards of approximately $60.5 million. Of this amount, $35.2 million may be carried forward indefinitely. The remaining $25.3 million of net operating loss carryforwards will begin to expire in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bookmarkStart w:id="1746" w:name="Tc_BrwQxMtN8Uazdi5LOofVfg_15_3"/>
      <w:bookmarkStart w:id="1747" w:name="Tc_kQynscT2-06noE-qrzIE6w_15_2"/>
      <w:bookmarkStart w:id="1748" w:name="Tc_qIXPpQge9U66aNodxkTjgQ_15_0"/>
      <w:bookmarkStart w:id="1749" w:name="Tc_kAbSm2d8Z0W2uh1QsjTp7w_14_0"/>
      <w:bookmarkStart w:id="1750" w:name="Tc_NIoU-F_lJUWHdvXfWcoqIA_13_3"/>
      <w:bookmarkStart w:id="1751" w:name="Tc_lY7scuHMjkGR5_KLf8z0XQ_13_0"/>
      <w:bookmarkStart w:id="1752" w:name="Tc_pEcljKVv6kO2cioGBgVAPg_12_3"/>
      <w:bookmarkStart w:id="1753" w:name="Tc_C_jQH22R_k2g7fM20XvW0g_12_0"/>
      <w:bookmarkStart w:id="1754" w:name="Tc_DPi7wVVVoEW5qPIbNpcZEA_11_2"/>
      <w:bookmarkStart w:id="1755" w:name="Tc_5R0mGYQZq0e4NvLXhCMS0w_11_0"/>
      <w:bookmarkStart w:id="1756" w:name="Tc_qGxWKQsiRE67VCNJYJzljg_10_0"/>
      <w:bookmarkStart w:id="1757" w:name="Tc_AtOnw5dJ-EqydKfEtCYVMw_9_3"/>
      <w:bookmarkStart w:id="1758" w:name="Tc_1dD9c00OH0WZYVltUKD5IA_9_0"/>
      <w:bookmarkStart w:id="1759" w:name="Tc_NOYxnNYOZkytCiQGXYH7NA_8_3"/>
      <w:bookmarkStart w:id="1760" w:name="Tc_BVFkkx9rQUelld2Yxd80EQ_8_0"/>
      <w:bookmarkStart w:id="1761" w:name="Tc_FPG3W8Az5EeztSrmH2p9Tw_7_2"/>
      <w:bookmarkStart w:id="1762" w:name="Tc_EfoCXUXycky4VQEgXGA8Tw_7_0"/>
      <w:bookmarkStart w:id="1763" w:name="Tc_IKj0czCQRkiw8dlfEciDdA_6_0"/>
      <w:bookmarkStart w:id="1764" w:name="Tc_LHKhklTg3UyKpqkYVokl8A_5_0"/>
      <w:bookmarkStart w:id="1765" w:name="Tc_6gSHDxKzKEORpx6UVNpT5Q_4_3"/>
      <w:bookmarkStart w:id="1766" w:name="Tc_AxiXQAE2_U-rdNKb7AitYw_4_0"/>
      <w:bookmarkStart w:id="1767" w:name="Tc_8mLrM_B0aEKcjqySwvYOdQ_3_2"/>
      <w:bookmarkStart w:id="1768" w:name="Tc_bDpsWEpyb0CwkZK0PD8TjQ_3_0"/>
      <w:bookmarkStart w:id="1769" w:name="Tc_hJwy-Yvqw0uMn2qHPcDwxg_2_2"/>
      <w:bookmarkStart w:id="1770" w:name="Tc_eNUCmniN1UGnVac4wsxvsg_1_2"/>
      <w:bookmarkStart w:id="1771" w:name="_469c7a42_bfac_4233_8dd3_93d2275093ae"/>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r>
        <w:rPr>
          <w:rFonts w:ascii="Times New Roman;Times;serif" w:hAnsi="Times New Roman;Times;serif"/>
          <w:sz w:val="22"/>
        </w:rPr>
        <w:t>In October 2020, the Company completed an intra-entity transfer of intangible assets between certain of the Company’s foreign subsidiaries to better align its international structure with its expanding operations. The transfer resulted in a step-up of the tax-deductible basis in the transferred assets in a foreign jurisdiction, and created a temporary difference between the tax basis and book basis for such intangible assets. The Company recognized deferred tax assets of approximately $165.1 million, with a corresponding reduction to the provision for income taxes during the fourth quarter of 2020 in its consolidated financial statements. The tax deductions for the amortization of the deferred tax assets will be recognized in the future and any amortization not deducted for tax purposes will be carried forward indefinitely. The tax impact on the foreign subsidiary transferor was not material.</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following is a roll-forward of the Company’s total gross unrecognized tax benefits, not including interest and penalties, for the years ended December 31, 2021, 2020 and 2019:</w:t>
      </w:r>
    </w:p>
    <w:p>
      <w:pPr>
        <w:pStyle w:val="TextBody"/>
        <w:spacing w:before="0" w:after="0"/>
        <w:ind w:left="0" w:right="0" w:hanging="0"/>
        <w:jc w:val="both"/>
        <w:rPr/>
      </w:pPr>
      <w:r>
        <w:rPr/>
        <w:t>​</w:t>
      </w:r>
    </w:p>
    <w:tbl>
      <w:tblPr>
        <w:tblW w:w="6988" w:type="dxa"/>
        <w:jc w:val="left"/>
        <w:tblInd w:w="0" w:type="dxa"/>
        <w:tblCellMar>
          <w:top w:w="0" w:type="dxa"/>
          <w:left w:w="0" w:type="dxa"/>
          <w:bottom w:w="0" w:type="dxa"/>
          <w:right w:w="0" w:type="dxa"/>
        </w:tblCellMar>
      </w:tblPr>
      <w:tblGrid>
        <w:gridCol w:w="4411"/>
        <w:gridCol w:w="326"/>
        <w:gridCol w:w="535"/>
        <w:gridCol w:w="1716"/>
      </w:tblGrid>
      <w:tr>
        <w:trPr/>
        <w:tc>
          <w:tcPr>
            <w:tcW w:w="4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3" name="Frame5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39725" cy="175260"/>
                      <wp:effectExtent l="0" t="0" r="0" b="0"/>
                      <wp:wrapNone/>
                      <wp:docPr id="524" name="Frame522"/>
                      <a:graphic xmlns:a="http://schemas.openxmlformats.org/drawingml/2006/main">
                        <a:graphicData uri="http://schemas.microsoft.com/office/word/2010/wordprocessingShape">
                          <wps:wsp>
                            <wps:cNvSpPr txBox="1"/>
                            <wps:spPr>
                              <a:xfrm>
                                <a:off x="0" y="0"/>
                                <a:ext cx="339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089660" cy="175260"/>
                      <wp:effectExtent l="0" t="0" r="0" b="0"/>
                      <wp:wrapNone/>
                      <wp:docPr id="525" name="Frame523"/>
                      <a:graphic xmlns:a="http://schemas.openxmlformats.org/drawingml/2006/main">
                        <a:graphicData uri="http://schemas.microsoft.com/office/word/2010/wordprocessingShape">
                          <wps:wsp>
                            <wps:cNvSpPr txBox="1"/>
                            <wps:spPr>
                              <a:xfrm>
                                <a:off x="0" y="0"/>
                                <a:ext cx="1089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2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Gross Unrecognized Tax</w:t>
            </w:r>
          </w:p>
        </w:tc>
      </w:tr>
      <w:tr>
        <w:trPr/>
        <w:tc>
          <w:tcPr>
            <w:tcW w:w="4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Benefits</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December 31, 2018</w:t>
            </w:r>
          </w:p>
        </w:tc>
        <w:tc>
          <w:tcPr>
            <w:tcW w:w="326" w:type="dxa"/>
            <w:tcBorders/>
            <w:shd w:fill="CCEEFF" w:val="clear"/>
            <w:vAlign w:val="center"/>
          </w:tcPr>
          <w:p>
            <w:pPr>
              <w:pStyle w:val="TableContents"/>
              <w:spacing w:before="0" w:after="0"/>
              <w:ind w:left="0" w:right="0" w:hanging="0"/>
              <w:rPr/>
            </w:pPr>
            <w:r>
              <w:rPr/>
              <w:t>​</w:t>
            </w:r>
          </w:p>
        </w:tc>
        <w:tc>
          <w:tcPr>
            <w:tcW w:w="5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5,035</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shd w:fill="auto" w:val="clear"/>
            <w:vAlign w:val="center"/>
          </w:tcPr>
          <w:p>
            <w:pPr>
              <w:pStyle w:val="TableContents"/>
              <w:spacing w:before="0" w:after="0"/>
              <w:ind w:left="0" w:right="0" w:hanging="0"/>
              <w:rPr/>
            </w:pPr>
            <w:r>
              <w:rPr/>
              <w:t>​</w:t>
            </w:r>
          </w:p>
        </w:tc>
        <w:tc>
          <w:tcPr>
            <w:tcW w:w="535" w:type="dxa"/>
            <w:tcBorders/>
            <w:shd w:fill="auto" w:val="clear"/>
            <w:vAlign w:val="center"/>
          </w:tcPr>
          <w:p>
            <w:pPr>
              <w:pStyle w:val="TableContents"/>
              <w:spacing w:before="0" w:after="0"/>
              <w:ind w:left="0" w:right="0" w:hanging="0"/>
              <w:rPr/>
            </w:pPr>
            <w:r>
              <w:rPr/>
              <w:t> </w:t>
            </w:r>
          </w:p>
        </w:tc>
        <w:tc>
          <w:tcPr>
            <w:tcW w:w="1716" w:type="dxa"/>
            <w:tcBorders/>
            <w:shd w:fill="auto" w:val="clear"/>
            <w:vAlign w:val="center"/>
          </w:tcPr>
          <w:p>
            <w:pPr>
              <w:pStyle w:val="TableContents"/>
              <w:spacing w:before="0" w:after="0"/>
              <w:ind w:left="0" w:right="0" w:hanging="0"/>
              <w:jc w:val="right"/>
              <w:rPr/>
            </w:pPr>
            <w:r>
              <w:rPr/>
              <w:t>—</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26" w:type="dxa"/>
            <w:tcBorders/>
            <w:shd w:fill="CCEEFF" w:val="clear"/>
            <w:vAlign w:val="center"/>
          </w:tcPr>
          <w:p>
            <w:pPr>
              <w:pStyle w:val="TableContents"/>
              <w:spacing w:before="0" w:after="0"/>
              <w:ind w:left="0" w:right="0" w:hanging="0"/>
              <w:rPr/>
            </w:pPr>
            <w:r>
              <w:rPr/>
              <w:t>​</w:t>
            </w:r>
          </w:p>
        </w:tc>
        <w:tc>
          <w:tcPr>
            <w:tcW w:w="535" w:type="dxa"/>
            <w:tcBorders/>
            <w:shd w:fill="CCEEFF" w:val="clear"/>
            <w:vAlign w:val="center"/>
          </w:tcPr>
          <w:p>
            <w:pPr>
              <w:pStyle w:val="TableContents"/>
              <w:spacing w:before="0" w:after="0"/>
              <w:ind w:left="0" w:right="0" w:hanging="0"/>
              <w:rPr/>
            </w:pPr>
            <w:r>
              <w:rPr/>
              <w:t> </w:t>
            </w:r>
          </w:p>
        </w:tc>
        <w:tc>
          <w:tcPr>
            <w:tcW w:w="17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1,833</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Decreases for tax positions related to prior years</w:t>
            </w:r>
          </w:p>
        </w:tc>
        <w:tc>
          <w:tcPr>
            <w:tcW w:w="326" w:type="dxa"/>
            <w:tcBorders/>
            <w:shd w:fill="auto" w:val="clear"/>
            <w:vAlign w:val="center"/>
          </w:tcPr>
          <w:p>
            <w:pPr>
              <w:pStyle w:val="TableContents"/>
              <w:spacing w:before="0" w:after="0"/>
              <w:ind w:left="0" w:right="0" w:hanging="0"/>
              <w:rPr/>
            </w:pPr>
            <w:r>
              <w:rPr/>
              <w:t>​</w:t>
            </w:r>
          </w:p>
        </w:tc>
        <w:tc>
          <w:tcPr>
            <w:tcW w:w="53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7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(3,875)</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December 31, 2019</w:t>
            </w:r>
          </w:p>
        </w:tc>
        <w:tc>
          <w:tcPr>
            <w:tcW w:w="326" w:type="dxa"/>
            <w:tcBorders/>
            <w:shd w:fill="CCEEFF" w:val="clear"/>
            <w:vAlign w:val="center"/>
          </w:tcPr>
          <w:p>
            <w:pPr>
              <w:pStyle w:val="TableContents"/>
              <w:spacing w:before="0" w:after="0"/>
              <w:ind w:left="0" w:right="0" w:hanging="0"/>
              <w:rPr/>
            </w:pPr>
            <w:r>
              <w:rPr/>
              <w:t>​</w:t>
            </w:r>
          </w:p>
        </w:tc>
        <w:tc>
          <w:tcPr>
            <w:tcW w:w="53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2,993</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shd w:fill="auto" w:val="clear"/>
            <w:vAlign w:val="center"/>
          </w:tcPr>
          <w:p>
            <w:pPr>
              <w:pStyle w:val="TableContents"/>
              <w:spacing w:before="0" w:after="0"/>
              <w:ind w:left="0" w:right="0" w:hanging="0"/>
              <w:rPr/>
            </w:pPr>
            <w:r>
              <w:rPr/>
              <w:t>​</w:t>
            </w:r>
          </w:p>
        </w:tc>
        <w:tc>
          <w:tcPr>
            <w:tcW w:w="535" w:type="dxa"/>
            <w:tcBorders/>
            <w:shd w:fill="auto" w:val="clear"/>
            <w:vAlign w:val="center"/>
          </w:tcPr>
          <w:p>
            <w:pPr>
              <w:pStyle w:val="TableContents"/>
              <w:spacing w:before="0" w:after="0"/>
              <w:ind w:left="0" w:right="0" w:hanging="0"/>
              <w:rPr/>
            </w:pPr>
            <w:r>
              <w:rPr/>
              <w:t>​</w:t>
            </w:r>
          </w:p>
        </w:tc>
        <w:tc>
          <w:tcPr>
            <w:tcW w:w="1716" w:type="dxa"/>
            <w:tcBorders/>
            <w:shd w:fill="auto" w:val="clear"/>
            <w:vAlign w:val="center"/>
          </w:tcPr>
          <w:p>
            <w:pPr>
              <w:pStyle w:val="TableContents"/>
              <w:spacing w:before="0" w:after="0"/>
              <w:ind w:left="0" w:right="0" w:hanging="0"/>
              <w:jc w:val="right"/>
              <w:rPr/>
            </w:pPr>
            <w:r>
              <w:rPr/>
              <w:t>—</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26" w:type="dxa"/>
            <w:tcBorders/>
            <w:shd w:fill="CCEEFF" w:val="clear"/>
            <w:vAlign w:val="center"/>
          </w:tcPr>
          <w:p>
            <w:pPr>
              <w:pStyle w:val="TableContents"/>
              <w:spacing w:before="0" w:after="0"/>
              <w:ind w:left="0" w:right="0" w:hanging="0"/>
              <w:rPr/>
            </w:pPr>
            <w:r>
              <w:rPr/>
              <w:t>​</w:t>
            </w:r>
          </w:p>
        </w:tc>
        <w:tc>
          <w:tcPr>
            <w:tcW w:w="535" w:type="dxa"/>
            <w:tcBorders/>
            <w:shd w:fill="CCEEFF" w:val="clear"/>
            <w:vAlign w:val="center"/>
          </w:tcPr>
          <w:p>
            <w:pPr>
              <w:pStyle w:val="TableContents"/>
              <w:spacing w:before="0" w:after="0"/>
              <w:ind w:left="0" w:right="0" w:hanging="0"/>
              <w:rPr/>
            </w:pPr>
            <w:r>
              <w:rPr/>
              <w:t>​</w:t>
            </w:r>
          </w:p>
        </w:tc>
        <w:tc>
          <w:tcPr>
            <w:tcW w:w="1716" w:type="dxa"/>
            <w:tcBorders/>
            <w:shd w:fill="CCEEFF" w:val="clear"/>
            <w:vAlign w:val="center"/>
          </w:tcPr>
          <w:p>
            <w:pPr>
              <w:pStyle w:val="TableContents"/>
              <w:spacing w:before="0" w:after="0"/>
              <w:ind w:left="0" w:right="0" w:hanging="0"/>
              <w:jc w:val="right"/>
              <w:rPr/>
            </w:pPr>
            <w:r>
              <w:rPr/>
              <w:t>—</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Decreases for tax positions related to prior years</w:t>
            </w:r>
          </w:p>
        </w:tc>
        <w:tc>
          <w:tcPr>
            <w:tcW w:w="326" w:type="dxa"/>
            <w:tcBorders/>
            <w:shd w:fill="auto" w:val="clear"/>
            <w:vAlign w:val="center"/>
          </w:tcPr>
          <w:p>
            <w:pPr>
              <w:pStyle w:val="TableContents"/>
              <w:spacing w:before="0" w:after="0"/>
              <w:ind w:left="0" w:right="0" w:hanging="0"/>
              <w:rPr/>
            </w:pPr>
            <w:r>
              <w:rPr/>
              <w:t>​</w:t>
            </w:r>
          </w:p>
        </w:tc>
        <w:tc>
          <w:tcPr>
            <w:tcW w:w="5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7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December 31, 2020</w:t>
            </w:r>
          </w:p>
        </w:tc>
        <w:tc>
          <w:tcPr>
            <w:tcW w:w="326" w:type="dxa"/>
            <w:tcBorders/>
            <w:shd w:fill="CCEEFF" w:val="clear"/>
            <w:vAlign w:val="center"/>
          </w:tcPr>
          <w:p>
            <w:pPr>
              <w:pStyle w:val="TableContents"/>
              <w:spacing w:before="0" w:after="0"/>
              <w:ind w:left="0" w:right="0" w:hanging="0"/>
              <w:rPr/>
            </w:pPr>
            <w:r>
              <w:rPr/>
              <w:t>​</w:t>
            </w:r>
          </w:p>
        </w:tc>
        <w:tc>
          <w:tcPr>
            <w:tcW w:w="5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shd w:fill="auto" w:val="clear"/>
            <w:vAlign w:val="center"/>
          </w:tcPr>
          <w:p>
            <w:pPr>
              <w:pStyle w:val="TableContents"/>
              <w:spacing w:before="0" w:after="0"/>
              <w:ind w:left="0" w:right="0" w:hanging="0"/>
              <w:rPr/>
            </w:pPr>
            <w:r>
              <w:rPr/>
              <w:t>​</w:t>
            </w:r>
          </w:p>
        </w:tc>
        <w:tc>
          <w:tcPr>
            <w:tcW w:w="535" w:type="dxa"/>
            <w:tcBorders/>
            <w:shd w:fill="auto" w:val="clear"/>
            <w:vAlign w:val="center"/>
          </w:tcPr>
          <w:p>
            <w:pPr>
              <w:pStyle w:val="TableContents"/>
              <w:spacing w:before="0" w:after="0"/>
              <w:ind w:left="0" w:right="0" w:hanging="0"/>
              <w:rPr/>
            </w:pPr>
            <w:r>
              <w:rPr/>
              <w:t>​</w:t>
            </w:r>
          </w:p>
        </w:tc>
        <w:tc>
          <w:tcPr>
            <w:tcW w:w="1716" w:type="dxa"/>
            <w:tcBorders/>
            <w:shd w:fill="auto" w:val="clear"/>
            <w:vAlign w:val="center"/>
          </w:tcPr>
          <w:p>
            <w:pPr>
              <w:pStyle w:val="TableContents"/>
              <w:spacing w:before="0" w:after="0"/>
              <w:ind w:left="0" w:right="0" w:hanging="0"/>
              <w:jc w:val="right"/>
              <w:rPr/>
            </w:pPr>
            <w:r>
              <w:rPr/>
              <w:t>—</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26" w:type="dxa"/>
            <w:tcBorders/>
            <w:shd w:fill="CCEEFF" w:val="clear"/>
            <w:vAlign w:val="center"/>
          </w:tcPr>
          <w:p>
            <w:pPr>
              <w:pStyle w:val="TableContents"/>
              <w:spacing w:before="0" w:after="0"/>
              <w:ind w:left="0" w:right="0" w:hanging="0"/>
              <w:rPr/>
            </w:pPr>
            <w:r>
              <w:rPr/>
              <w:t>​</w:t>
            </w:r>
          </w:p>
        </w:tc>
        <w:tc>
          <w:tcPr>
            <w:tcW w:w="535" w:type="dxa"/>
            <w:tcBorders/>
            <w:shd w:fill="CCEEFF" w:val="clear"/>
            <w:vAlign w:val="center"/>
          </w:tcPr>
          <w:p>
            <w:pPr>
              <w:pStyle w:val="TableContents"/>
              <w:spacing w:before="0" w:after="0"/>
              <w:ind w:left="0" w:right="0" w:hanging="0"/>
              <w:rPr/>
            </w:pPr>
            <w:r>
              <w:rPr/>
              <w:t>​</w:t>
            </w:r>
          </w:p>
        </w:tc>
        <w:tc>
          <w:tcPr>
            <w:tcW w:w="1716" w:type="dxa"/>
            <w:tcBorders/>
            <w:shd w:fill="CCEEFF" w:val="clear"/>
            <w:vAlign w:val="center"/>
          </w:tcPr>
          <w:p>
            <w:pPr>
              <w:pStyle w:val="TableContents"/>
              <w:spacing w:before="0" w:after="0"/>
              <w:ind w:left="0" w:right="0" w:hanging="0"/>
              <w:jc w:val="right"/>
              <w:rPr/>
            </w:pPr>
            <w:r>
              <w:rPr/>
              <w:t>—</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Decreases for tax positions related to prior years</w:t>
            </w:r>
          </w:p>
        </w:tc>
        <w:tc>
          <w:tcPr>
            <w:tcW w:w="326" w:type="dxa"/>
            <w:tcBorders/>
            <w:shd w:fill="auto" w:val="clear"/>
            <w:vAlign w:val="center"/>
          </w:tcPr>
          <w:p>
            <w:pPr>
              <w:pStyle w:val="TableContents"/>
              <w:spacing w:before="0" w:after="0"/>
              <w:ind w:left="0" w:right="0" w:hanging="0"/>
              <w:rPr/>
            </w:pPr>
            <w:r>
              <w:rPr/>
              <w:t>​</w:t>
            </w:r>
          </w:p>
        </w:tc>
        <w:tc>
          <w:tcPr>
            <w:tcW w:w="53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7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44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at December 31, 2021</w:t>
            </w:r>
          </w:p>
        </w:tc>
        <w:tc>
          <w:tcPr>
            <w:tcW w:w="326" w:type="dxa"/>
            <w:tcBorders/>
            <w:shd w:fill="CCEEFF" w:val="clear"/>
            <w:vAlign w:val="center"/>
          </w:tcPr>
          <w:p>
            <w:pPr>
              <w:pStyle w:val="TableContents"/>
              <w:spacing w:before="0" w:after="0"/>
              <w:ind w:left="0" w:right="0" w:hanging="0"/>
              <w:rPr/>
            </w:pPr>
            <w:r>
              <w:rPr/>
              <w:t>​</w:t>
            </w:r>
          </w:p>
        </w:tc>
        <w:tc>
          <w:tcPr>
            <w:tcW w:w="5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16"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jc w:val="both"/>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 recognizes accrued interest and penalties related to unrecognized tax benefits in the provision for income taxes in the Company’s consolidated financial statements. As of December 31, 2021, the Company had no unrecognized tax benefits.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It is expected that any change in the amount of unrecognized tax benefit change within the next 12 months will not be significant.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 is subject to U.S. federal income tax as well as to income tax in multiple state and foreign jurisdictions.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is in various stages of examination with certain states and certain foreign jurisdictions, including the United Kingdom and Ireland. The Company’s 2018 through 2020 U.S. federal income tax returns are subject to examination by the IRS. The Company’s state income tax returns are subject to examination for the 2017 through 2020 tax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bookmarkStart w:id="1772" w:name="Tc_fsT5byblOkuead3nFn6WQQ_7_0"/>
      <w:bookmarkStart w:id="1773" w:name="Tc_4QY4RwWs4ky7lgLJKVRzSg_6_0"/>
      <w:bookmarkStart w:id="1774" w:name="Tc_qA4Y8kbRJ0SUoXJJRzCPig_5_0"/>
      <w:bookmarkStart w:id="1775" w:name="Tc_f_B8Q56MY0uIEJPpSaFQdA_4_0"/>
      <w:bookmarkStart w:id="1776" w:name="Tc_PHHLZY3Klka4LGedJzVSJw_3_6"/>
      <w:bookmarkStart w:id="1777" w:name="Tc_dNe1OTTgYEWeSvkJxSeI0Q_3_4"/>
      <w:bookmarkStart w:id="1778" w:name="Tc_DDoYv9gK9EuhUrFZ7dKizQ_3_2"/>
      <w:bookmarkStart w:id="1779" w:name="_36dd8c8b_43e3_4f69_a6cc_d9a0294d04fd"/>
      <w:bookmarkEnd w:id="1772"/>
      <w:bookmarkEnd w:id="1773"/>
      <w:bookmarkEnd w:id="1774"/>
      <w:bookmarkEnd w:id="1775"/>
      <w:bookmarkEnd w:id="1776"/>
      <w:bookmarkEnd w:id="1777"/>
      <w:bookmarkEnd w:id="1778"/>
      <w:bookmarkEnd w:id="1779"/>
      <w:r>
        <w:rPr>
          <w:rFonts w:ascii="Times New Roman;Times;serif" w:hAnsi="Times New Roman;Times;serif"/>
          <w:b w:val="false"/>
          <w:sz w:val="22"/>
        </w:rPr>
        <w:t>17.        EARNINGS PER SHARE</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A reconciliation of the weighted average shares used in the basic and diluted earnings per common share computations for the years ended December 31, 2021, 2020 and 2019 is presented below (in thousands):</w:t>
      </w:r>
    </w:p>
    <w:p>
      <w:pPr>
        <w:pStyle w:val="TextBody"/>
        <w:spacing w:before="0" w:after="0"/>
        <w:ind w:left="0" w:right="0" w:firstLine="720"/>
        <w:jc w:val="both"/>
        <w:rPr/>
      </w:pPr>
      <w:r>
        <w:rPr/>
        <w:t>​</w:t>
      </w:r>
    </w:p>
    <w:tbl>
      <w:tblPr>
        <w:tblW w:w="6652" w:type="dxa"/>
        <w:jc w:val="left"/>
        <w:tblInd w:w="0" w:type="dxa"/>
        <w:tblCellMar>
          <w:top w:w="0" w:type="dxa"/>
          <w:left w:w="0" w:type="dxa"/>
          <w:bottom w:w="0" w:type="dxa"/>
          <w:right w:w="0" w:type="dxa"/>
        </w:tblCellMar>
      </w:tblPr>
      <w:tblGrid>
        <w:gridCol w:w="3226"/>
        <w:gridCol w:w="326"/>
        <w:gridCol w:w="781"/>
        <w:gridCol w:w="326"/>
        <w:gridCol w:w="781"/>
        <w:gridCol w:w="326"/>
        <w:gridCol w:w="886"/>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48510" cy="175260"/>
                      <wp:effectExtent l="0" t="0" r="0" b="0"/>
                      <wp:wrapNone/>
                      <wp:docPr id="526" name="Frame524"/>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95935" cy="175260"/>
                      <wp:effectExtent l="0" t="0" r="0" b="0"/>
                      <wp:wrapNone/>
                      <wp:docPr id="528" name="Frame52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95935" cy="175260"/>
                      <wp:effectExtent l="0" t="0" r="0" b="0"/>
                      <wp:wrapNone/>
                      <wp:docPr id="530" name="Frame52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62610" cy="175260"/>
                      <wp:effectExtent l="0" t="0" r="0" b="0"/>
                      <wp:wrapNone/>
                      <wp:docPr id="532" name="Frame53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528,763</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529,639</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542,191</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securities</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6,876</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5,168</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4,417</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535,639</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534,807</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546,608</w:t>
            </w:r>
          </w:p>
        </w:tc>
      </w:tr>
    </w:tbl>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For the years ended December 31, 2021, 2020 and 2019, options and awards outstanding totaling 0.8 million shares, 1.8 million shares and 4.4 million shares, respectively, were excluded from the calculations as their effect would have been antidilutive.</w:t>
      </w:r>
    </w:p>
    <w:p>
      <w:pPr>
        <w:pStyle w:val="TextBody"/>
        <w:spacing w:before="0" w:after="0"/>
        <w:ind w:left="0" w:right="0" w:firstLine="720"/>
        <w:jc w:val="both"/>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18.        EMPLOYEE BENEFIT PLAN</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Employees of the Company may participate in the Monster Beverage Corporation 401(k) Plan, a defined contribution plan, which qualifies under Section 401(k) of the Internal Revenue Code. Participating employees may contribute into a traditional plan with pretax salary or into a Roth plan with after tax salary up to statutory limits. The Company contributes 50% of the employee contribution, up to 8% of each employee’s earnings, which vest over four years (2 years of service = 50%, 3 years of service = 75%, 4 years of service = 100%). Matching contributions were $5.5 million, $4.7 million and $3.4 million for the years ended December 31, 2021, 2020 and 2019, respectively.</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19.        SEGMENT INFORMATION</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Company has three operating and </w:t>
      </w:r>
      <w:r>
        <w:rPr>
          <w:rFonts w:ascii="Times New Roman;Times;serif" w:hAnsi="Times New Roman;Times;serif"/>
          <w:b w:val="false"/>
          <w:i w:val="false"/>
          <w:caps w:val="false"/>
          <w:smallCaps w:val="false"/>
          <w:sz w:val="22"/>
        </w:rPr>
        <w:t>reportable</w:t>
      </w:r>
      <w:r>
        <w:rPr>
          <w:rFonts w:ascii="Times New Roman;Times;serif" w:hAnsi="Times New Roman;Times;serif"/>
          <w:sz w:val="22"/>
        </w:rPr>
        <w:t xml:space="preserve"> segments: (i) Monster Energy® Drinks segment, which is primarily comprised of the Company’s Monster Energy® drinks, Reign Total Body Fuel® high performance energy drinks and True North® Pure Energy Seltzers, (ii) Strategic Brands segment, which is primarily comprised of the various energy drink brands acquired from TCCC in 2015 as well as the Company’s affordable energy brands, and (iii) Other segment, which is comprised of the AFF Third-Party Products.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chains, drug stores, foodservice customers, value stores, e-commerce retailers and the military.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bookmarkStart w:id="1780" w:name="Tc_IxeY2UjPIE-SDBrzGBnAJA_9_8"/>
      <w:bookmarkStart w:id="1781" w:name="Tc_hC5HTtjZQU2nST8dNRjhdw_9_5"/>
      <w:bookmarkStart w:id="1782" w:name="Tc_gs8r16U6m0C3FTqgxB6ZnQ_9_2"/>
      <w:bookmarkStart w:id="1783" w:name="Tc_8mtlTAm0w0G-lyWrM4joPw_8_0"/>
      <w:bookmarkStart w:id="1784" w:name="Tc_ivX52Q8KfkWSlT9EEyDaiA_7_0"/>
      <w:bookmarkStart w:id="1785" w:name="Tc_uzahUNqvkUKU2MpvCGaszQ_6_0"/>
      <w:bookmarkStart w:id="1786" w:name="Tc_B0ewiry5-USEKGxChkfA6g_5_8"/>
      <w:bookmarkStart w:id="1787" w:name="Tc_FGN8NwKYpUWoSNjnxxo2Fg_5_5"/>
      <w:bookmarkStart w:id="1788" w:name="Tc_aoaKcO7Z-kmYQ4z4h1iCYw_5_2"/>
      <w:bookmarkStart w:id="1789" w:name="Tc_NolSdOLkhESI61iEPCQatQ_5_0"/>
      <w:bookmarkStart w:id="1790" w:name="Tc_DCt0yhhkJUyS3n8ohDP43A_4_0"/>
      <w:bookmarkStart w:id="1791" w:name="Tc_BKy-qoe5Vk2w4zwtZAJUMA_3_8"/>
      <w:bookmarkStart w:id="1792" w:name="Tc_dDAgrHKbC0WQaTj0Ck030g_3_5"/>
      <w:bookmarkStart w:id="1793" w:name="Tc_pAi6bBu7O0eYxaDCJZ2g6Q_3_2"/>
      <w:bookmarkStart w:id="1794" w:name="_b63bdc65_54fb_4c22_b6f6_8fd76b2f8dc9"/>
      <w:bookmarkStart w:id="1795" w:name="Tc_w1qGHy0CSUa5cjbz8EMjJg_9_8"/>
      <w:bookmarkStart w:id="1796" w:name="Tc_WyU6CQAjBEmQsGJNxr1H2Q_9_5"/>
      <w:bookmarkStart w:id="1797" w:name="Tc_ifSIquFcB02Woa1UJTJuuQ_9_2"/>
      <w:bookmarkStart w:id="1798" w:name="Tc_7Hu23c5ETEeoqpOglElHbg_8_0"/>
      <w:bookmarkStart w:id="1799" w:name="Tc_Smt_f5fLvkm0iyUcYT9gcw_7_0"/>
      <w:bookmarkStart w:id="1800" w:name="Tc_2PECDGrBsEqnm5j9Q5kMbQ_6_0"/>
      <w:bookmarkStart w:id="1801" w:name="Tc_EcnNMUIppUKDaIVe-Kutpg_5_8"/>
      <w:bookmarkStart w:id="1802" w:name="Tc_Cd8NmrlPHUaGVd2M9afiPQ_5_5"/>
      <w:bookmarkStart w:id="1803" w:name="Tc_MPR4vAlju0CFa9PqmoPDyg_5_2"/>
      <w:bookmarkStart w:id="1804" w:name="Tc_UTaZAcyclku-wRiYfzdkAQ_5_0"/>
      <w:bookmarkStart w:id="1805" w:name="Tc_tXjldFzjUEaUTEYr78zCQw_4_0"/>
      <w:bookmarkStart w:id="1806" w:name="Tc_SeIo9933N0KuXYtXNquN_g_3_8"/>
      <w:bookmarkStart w:id="1807" w:name="Tc_Mil8fdE6c0Wy0w9oX5CvUg_3_5"/>
      <w:bookmarkStart w:id="1808" w:name="Tc_Jr0aUjFP0E-eBRGePNWz1A_3_2"/>
      <w:bookmarkStart w:id="1809" w:name="_a93bc354_7351_47ff_9327_ee4dff271aa0"/>
      <w:bookmarkStart w:id="1810" w:name="Tc_coYt3vokG0G3B6k57iojSw_9_8"/>
      <w:bookmarkStart w:id="1811" w:name="Tc_o9wayyW24kOfhVZmYyrrDw_9_5"/>
      <w:bookmarkStart w:id="1812" w:name="Tc_6DX1cD_46UCo3CRzgXs06Q_9_2"/>
      <w:bookmarkStart w:id="1813" w:name="Tc_85Ha7S76tEGl0ZrSGxrkCg_8_0"/>
      <w:bookmarkStart w:id="1814" w:name="Tc_B3RdQNM6RkOf-2HWcRb_1g_7_0"/>
      <w:bookmarkStart w:id="1815" w:name="Tc_K1l2054kUUOF-ymJyKT7jA_6_0"/>
      <w:bookmarkStart w:id="1816" w:name="Tc_wpsJbcGwAUOhDnrVntzOFw_5_8"/>
      <w:bookmarkStart w:id="1817" w:name="Tc_hAT0bL6BqkigT3xiKsR3Sg_5_5"/>
      <w:bookmarkStart w:id="1818" w:name="Tc_230xD2YeRE-649009mhl3A_5_2"/>
      <w:bookmarkStart w:id="1819" w:name="Tc_lVy9kPE41E23KTICLj105A_5_0"/>
      <w:bookmarkStart w:id="1820" w:name="Tc__g0APQBZS0KlIWZ66373zg_4_0"/>
      <w:bookmarkStart w:id="1821" w:name="Tc_Lgj1-N-t0k2IcQ8ubclEqw_3_8"/>
      <w:bookmarkStart w:id="1822" w:name="Tc_KQUbXsyyB0-XvxraKfjt9Q_3_5"/>
      <w:bookmarkStart w:id="1823" w:name="Tc_PqRZg1WnwkK7J-4P60Rw-w_3_2"/>
      <w:bookmarkStart w:id="1824" w:name="_02a61f36_0697_4177_b8ca_10736326084a"/>
      <w:bookmarkStart w:id="1825" w:name="Tc_c-cpb_d9BUiXD5CimXZJOQ_9_8"/>
      <w:bookmarkStart w:id="1826" w:name="Tc__j8q0JaczU65hC-KTZtlXQ_9_5"/>
      <w:bookmarkStart w:id="1827" w:name="Tc_Lj4rSj7lVU-F_rRmjA3tuA_9_2"/>
      <w:bookmarkStart w:id="1828" w:name="Tc_V9CWgFhYAkqrEkvI4ZAGuQ_8_9"/>
      <w:bookmarkStart w:id="1829" w:name="Tc_dGCrBTZOfkG6DtBjXIql-g_8_6"/>
      <w:bookmarkStart w:id="1830" w:name="Tc_peWJfvqxc0ufEV_NTHXQig_8_3"/>
      <w:bookmarkStart w:id="1831" w:name="Tc_si-vmwyzf0Wj5IW4QvIaZQ_8_0"/>
      <w:bookmarkStart w:id="1832" w:name="Tc_yoR3QWGZQ0OcFc9PTZVW-w_7_0"/>
      <w:bookmarkStart w:id="1833" w:name="Tc_skDe8tqbF0-fTMIjZ2Q-Gw_6_0"/>
      <w:bookmarkStart w:id="1834" w:name="Tc_saYZG8JmUE-8Co9tDEi18g_5_8"/>
      <w:bookmarkStart w:id="1835" w:name="Tc_KAYE8sX46k-lvN3NbXSTuw_5_5"/>
      <w:bookmarkStart w:id="1836" w:name="Tc_dXodOzgusUG9wb07DztFtQ_5_2"/>
      <w:bookmarkStart w:id="1837" w:name="Tc_nB5Uu0os4EGjI1Vo7cTmlA_5_0"/>
      <w:bookmarkStart w:id="1838" w:name="Tc_CPR1tY_BJEydTSJuHxA7Rw_4_0"/>
      <w:bookmarkStart w:id="1839" w:name="Tc_c4MsPJ8_nUSXYcCgIcCpSQ_3_8"/>
      <w:bookmarkStart w:id="1840" w:name="Tc_maW1RvVkvkmVGyY8a0qJFw_3_5"/>
      <w:bookmarkStart w:id="1841" w:name="Tc_C3eCZXB2QEKz3QVPJoKm9Q_3_2"/>
      <w:bookmarkStart w:id="1842" w:name="_250d1523_c58d_445c_b4cc_1d8fc742fd2f"/>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Pr>
          <w:rFonts w:ascii="Times New Roman;Times;serif" w:hAnsi="Times New Roman;Times;serif"/>
          <w:sz w:val="22"/>
        </w:rPr>
        <w:t>Generally, the Monster Energy® Drinks segment generates higher per case net operating revenues, but lower per case gross profit margin percentages than the Strategic Brands segment.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The net revenues derived from the Company’s reportable segments and other financial information related thereto for the years ended December 31 are as follows:</w:t>
      </w:r>
    </w:p>
    <w:p>
      <w:pPr>
        <w:pStyle w:val="TextBody"/>
        <w:spacing w:before="0" w:after="0"/>
        <w:ind w:left="0" w:right="0" w:hanging="0"/>
        <w:rPr/>
      </w:pPr>
      <w:r>
        <w:rPr/>
        <w:t>​</w:t>
      </w:r>
    </w:p>
    <w:tbl>
      <w:tblPr>
        <w:tblW w:w="6865" w:type="dxa"/>
        <w:jc w:val="left"/>
        <w:tblInd w:w="0" w:type="dxa"/>
        <w:tblCellMar>
          <w:top w:w="0" w:type="dxa"/>
          <w:left w:w="0" w:type="dxa"/>
          <w:bottom w:w="0" w:type="dxa"/>
          <w:right w:w="0" w:type="dxa"/>
        </w:tblCellMar>
      </w:tblPr>
      <w:tblGrid>
        <w:gridCol w:w="2356"/>
        <w:gridCol w:w="326"/>
        <w:gridCol w:w="211"/>
        <w:gridCol w:w="931"/>
        <w:gridCol w:w="326"/>
        <w:gridCol w:w="211"/>
        <w:gridCol w:w="931"/>
        <w:gridCol w:w="326"/>
        <w:gridCol w:w="211"/>
        <w:gridCol w:w="1036"/>
      </w:tblGrid>
      <w:tr>
        <w:trPr/>
        <w:tc>
          <w:tcPr>
            <w:tcW w:w="2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496060" cy="175260"/>
                      <wp:effectExtent l="0" t="0" r="0" b="0"/>
                      <wp:wrapNone/>
                      <wp:docPr id="533" name="Frame531"/>
                      <a:graphic xmlns:a="http://schemas.openxmlformats.org/drawingml/2006/main">
                        <a:graphicData uri="http://schemas.microsoft.com/office/word/2010/wordprocessingShape">
                          <wps:wsp>
                            <wps:cNvSpPr txBox="1"/>
                            <wps:spPr>
                              <a:xfrm>
                                <a:off x="0" y="0"/>
                                <a:ext cx="149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34" name="Frame5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3985" cy="175260"/>
                      <wp:effectExtent l="0" t="0" r="0" b="0"/>
                      <wp:wrapNone/>
                      <wp:docPr id="535" name="Frame5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91185" cy="175260"/>
                      <wp:effectExtent l="0" t="0" r="0" b="0"/>
                      <wp:wrapNone/>
                      <wp:docPr id="536" name="Frame53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7" name="Frame5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33985" cy="175260"/>
                      <wp:effectExtent l="0" t="0" r="0" b="0"/>
                      <wp:wrapNone/>
                      <wp:docPr id="538" name="Frame5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91185" cy="175260"/>
                      <wp:effectExtent l="0" t="0" r="0" b="0"/>
                      <wp:wrapNone/>
                      <wp:docPr id="539" name="Frame53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3985" cy="175260"/>
                      <wp:effectExtent l="0" t="0" r="0" b="0"/>
                      <wp:wrapNone/>
                      <wp:docPr id="541" name="Frame5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57860" cy="175260"/>
                      <wp:effectExtent l="0" t="0" r="0" b="0"/>
                      <wp:wrapNone/>
                      <wp:docPr id="542" name="Frame54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Monster Energy® Drinks⁽¹⁾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5,220,673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4,305,246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3,904,029</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294,762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266,354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274,925</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25,917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21,865</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5,541,352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4,598,638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4,200,819</w:t>
            </w:r>
          </w:p>
        </w:tc>
      </w:tr>
    </w:tbl>
    <w:p>
      <w:pPr>
        <w:pStyle w:val="TextBody"/>
        <w:spacing w:before="0" w:after="0"/>
        <w:ind w:left="0" w:right="0" w:hanging="0"/>
        <w:rPr/>
      </w:pPr>
      <w:r>
        <w:rPr/>
        <w:t>​</w:t>
      </w:r>
    </w:p>
    <w:tbl>
      <w:tblPr>
        <w:tblW w:w="6820" w:type="dxa"/>
        <w:jc w:val="left"/>
        <w:tblInd w:w="0" w:type="dxa"/>
        <w:tblCellMar>
          <w:top w:w="0" w:type="dxa"/>
          <w:left w:w="0" w:type="dxa"/>
          <w:bottom w:w="0" w:type="dxa"/>
          <w:right w:w="0" w:type="dxa"/>
        </w:tblCellMar>
      </w:tblPr>
      <w:tblGrid>
        <w:gridCol w:w="2311"/>
        <w:gridCol w:w="326"/>
        <w:gridCol w:w="211"/>
        <w:gridCol w:w="931"/>
        <w:gridCol w:w="326"/>
        <w:gridCol w:w="211"/>
        <w:gridCol w:w="931"/>
        <w:gridCol w:w="326"/>
        <w:gridCol w:w="211"/>
        <w:gridCol w:w="103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467485" cy="175260"/>
                      <wp:effectExtent l="0" t="0" r="0" b="0"/>
                      <wp:wrapNone/>
                      <wp:docPr id="543" name="Frame541"/>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33985" cy="175260"/>
                      <wp:effectExtent l="0" t="0" r="0" b="0"/>
                      <wp:wrapNone/>
                      <wp:docPr id="545" name="Frame5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591185" cy="175260"/>
                      <wp:effectExtent l="0" t="0" r="0" b="0"/>
                      <wp:wrapNone/>
                      <wp:docPr id="546" name="Frame54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7" name="Frame5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3985" cy="175260"/>
                      <wp:effectExtent l="0" t="0" r="0" b="0"/>
                      <wp:wrapNone/>
                      <wp:docPr id="548" name="Frame5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91185" cy="175260"/>
                      <wp:effectExtent l="0" t="0" r="0" b="0"/>
                      <wp:wrapNone/>
                      <wp:docPr id="549" name="Frame54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50" name="Frame5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33985" cy="175260"/>
                      <wp:effectExtent l="0" t="0" r="0" b="0"/>
                      <wp:wrapNone/>
                      <wp:docPr id="551" name="Frame5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57860" cy="175260"/>
                      <wp:effectExtent l="0" t="0" r="0" b="0"/>
                      <wp:wrapNone/>
                      <wp:docPr id="552" name="Frame55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Energy® Drinks⁽¹⁾</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1,990,785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1,820,346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1,565,977</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173,660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155,047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164,053</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3,650</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(373,913)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(348,170)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(330,741)</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1,797,467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1,633,153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1,402,939</w:t>
            </w:r>
          </w:p>
        </w:tc>
      </w:tr>
    </w:tbl>
    <w:p>
      <w:pPr>
        <w:pStyle w:val="TextBody"/>
        <w:spacing w:before="0" w:after="0"/>
        <w:ind w:left="0" w:right="0" w:hanging="0"/>
        <w:rPr/>
      </w:pPr>
      <w:r>
        <w:rPr/>
        <w:t>​</w:t>
      </w:r>
    </w:p>
    <w:tbl>
      <w:tblPr>
        <w:tblW w:w="6820" w:type="dxa"/>
        <w:jc w:val="left"/>
        <w:tblInd w:w="0" w:type="dxa"/>
        <w:tblCellMar>
          <w:top w:w="0" w:type="dxa"/>
          <w:left w:w="0" w:type="dxa"/>
          <w:bottom w:w="0" w:type="dxa"/>
          <w:right w:w="0" w:type="dxa"/>
        </w:tblCellMar>
      </w:tblPr>
      <w:tblGrid>
        <w:gridCol w:w="2311"/>
        <w:gridCol w:w="326"/>
        <w:gridCol w:w="211"/>
        <w:gridCol w:w="931"/>
        <w:gridCol w:w="326"/>
        <w:gridCol w:w="211"/>
        <w:gridCol w:w="931"/>
        <w:gridCol w:w="326"/>
        <w:gridCol w:w="211"/>
        <w:gridCol w:w="103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467485" cy="175260"/>
                      <wp:effectExtent l="0" t="0" r="0" b="0"/>
                      <wp:wrapNone/>
                      <wp:docPr id="553" name="Frame551"/>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4" name="Frame5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3985" cy="175260"/>
                      <wp:effectExtent l="0" t="0" r="0" b="0"/>
                      <wp:wrapNone/>
                      <wp:docPr id="555" name="Frame5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91185" cy="175260"/>
                      <wp:effectExtent l="0" t="0" r="0" b="0"/>
                      <wp:wrapNone/>
                      <wp:docPr id="556" name="Frame55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7" name="Frame5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33985" cy="175260"/>
                      <wp:effectExtent l="0" t="0" r="0" b="0"/>
                      <wp:wrapNone/>
                      <wp:docPr id="558" name="Frame5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91185" cy="175260"/>
                      <wp:effectExtent l="0" t="0" r="0" b="0"/>
                      <wp:wrapNone/>
                      <wp:docPr id="559" name="Frame55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60" name="Frame5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33985" cy="175260"/>
                      <wp:effectExtent l="0" t="0" r="0" b="0"/>
                      <wp:wrapNone/>
                      <wp:docPr id="561" name="Frame5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57860" cy="175260"/>
                      <wp:effectExtent l="0" t="0" r="0" b="0"/>
                      <wp:wrapNone/>
                      <wp:docPr id="562" name="Frame56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tax:</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Energy® Drinks⁽¹⁾</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1,992,185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1,820,625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1,567,022</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173,739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155,047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164,049</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5,933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3,655</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(371,440)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(355,448)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(318,764)</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1,801,419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1,626,157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1,415,962</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302"/>
        <w:gridCol w:w="9779"/>
      </w:tblGrid>
      <w:tr>
        <w:trPr/>
        <w:tc>
          <w:tcPr>
            <w:tcW w:w="12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18"/>
              </w:rPr>
            </w:pPr>
            <w:r>
              <w:rPr>
                <w:rFonts w:ascii="Times New Roman;Times;serif" w:hAnsi="Times New Roman;Times;serif"/>
                <w:i/>
                <w:sz w:val="18"/>
              </w:rPr>
              <w:t>(1)</w:t>
            </w:r>
          </w:p>
        </w:tc>
        <w:tc>
          <w:tcPr>
            <w:tcW w:w="977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18"/>
              </w:rPr>
              <w:t>Includes $41.5</w:t>
            </w:r>
            <w:r>
              <w:rPr/>
              <w:t xml:space="preserve"> </w:t>
            </w:r>
            <w:r>
              <w:rPr>
                <w:rFonts w:ascii="Times New Roman;Times;serif" w:hAnsi="Times New Roman;Times;serif"/>
                <w:b w:val="false"/>
                <w:i/>
                <w:sz w:val="18"/>
              </w:rPr>
              <w:t>million, $42.1</w:t>
            </w:r>
            <w:r>
              <w:rPr/>
              <w:t xml:space="preserve"> </w:t>
            </w:r>
            <w:r>
              <w:rPr>
                <w:rFonts w:ascii="Times New Roman;Times;serif" w:hAnsi="Times New Roman;Times;serif"/>
                <w:b w:val="false"/>
                <w:i/>
                <w:sz w:val="18"/>
              </w:rPr>
              <w:t>million and $46.3</w:t>
            </w:r>
            <w:r>
              <w:rPr/>
              <w:t xml:space="preserve"> </w:t>
            </w:r>
            <w:r>
              <w:rPr>
                <w:rFonts w:ascii="Times New Roman;Times;serif" w:hAnsi="Times New Roman;Times;serif"/>
                <w:b w:val="false"/>
                <w:i/>
                <w:sz w:val="18"/>
              </w:rPr>
              <w:t>million for the years ended December 31, 2021, 2020 and 2019, respectively, related to the recognition of deferred revenue.</w:t>
            </w:r>
          </w:p>
        </w:tc>
      </w:tr>
    </w:tbl>
    <w:p>
      <w:pPr>
        <w:pStyle w:val="TextBody"/>
        <w:spacing w:before="0" w:after="0"/>
        <w:ind w:left="0" w:right="0" w:hanging="0"/>
        <w:rPr/>
      </w:pPr>
      <w:r>
        <w:rPr/>
        <w:t>​</w:t>
      </w:r>
    </w:p>
    <w:tbl>
      <w:tblPr>
        <w:tblW w:w="6400" w:type="dxa"/>
        <w:jc w:val="left"/>
        <w:tblInd w:w="0" w:type="dxa"/>
        <w:tblCellMar>
          <w:top w:w="0" w:type="dxa"/>
          <w:left w:w="0" w:type="dxa"/>
          <w:bottom w:w="0" w:type="dxa"/>
          <w:right w:w="0" w:type="dxa"/>
        </w:tblCellMar>
      </w:tblPr>
      <w:tblGrid>
        <w:gridCol w:w="2656"/>
        <w:gridCol w:w="326"/>
        <w:gridCol w:w="211"/>
        <w:gridCol w:w="676"/>
        <w:gridCol w:w="326"/>
        <w:gridCol w:w="211"/>
        <w:gridCol w:w="676"/>
        <w:gridCol w:w="326"/>
        <w:gridCol w:w="211"/>
        <w:gridCol w:w="781"/>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686560" cy="175260"/>
                      <wp:effectExtent l="0" t="0" r="0" b="0"/>
                      <wp:wrapNone/>
                      <wp:docPr id="563" name="Frame561"/>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5" name="Frame5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29260" cy="175260"/>
                      <wp:effectExtent l="0" t="0" r="0" b="0"/>
                      <wp:wrapNone/>
                      <wp:docPr id="566" name="Frame56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68" name="Frame5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29260" cy="175260"/>
                      <wp:effectExtent l="0" t="0" r="0" b="0"/>
                      <wp:wrapNone/>
                      <wp:docPr id="569" name="Frame56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70" name="Frame5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71" name="Frame5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95935" cy="175260"/>
                      <wp:effectExtent l="0" t="0" r="0" b="0"/>
                      <wp:wrapNone/>
                      <wp:docPr id="572" name="Frame57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38,277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39,397</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7,935</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4,637</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10,053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50,155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57,030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60,727</w:t>
            </w:r>
          </w:p>
        </w:tc>
      </w:tr>
    </w:tbl>
    <w:p>
      <w:pPr>
        <w:pStyle w:val="TextBody"/>
        <w:spacing w:before="0" w:after="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bookmarkStart w:id="1843" w:name="Tc_Gov6xEholUinzDhedn3_VQ_7_5"/>
      <w:bookmarkStart w:id="1844" w:name="Tc_p-XXlI5_gE6pc4b9mLY7NQ_7_2"/>
      <w:bookmarkStart w:id="1845" w:name="Tc_zsQk70RC6Em40w9fTdMeuw_6_6"/>
      <w:bookmarkStart w:id="1846" w:name="Tc_5dpmjoSJQEWpT4J0PknJjg_6_3"/>
      <w:bookmarkStart w:id="1847" w:name="Tc_emKp2HYd4EajGgMoKEMdKg_6_0"/>
      <w:bookmarkStart w:id="1848" w:name="Tc_q5HCKKF3P0SS6xHxxohXvw_5_0"/>
      <w:bookmarkStart w:id="1849" w:name="Tc_cjASGifFQk23uXDn4TaL5A_4_0"/>
      <w:bookmarkStart w:id="1850" w:name="Tc_GPMw5GXqXEmhy2WbBVjoBg_3_5"/>
      <w:bookmarkStart w:id="1851" w:name="Tc_Hv6rnetZDk25wHo1OpUxJA_3_2"/>
      <w:bookmarkStart w:id="1852" w:name="Tc_XUwYOozDb0CkVbT_Wodk4Q_3_0"/>
      <w:bookmarkStart w:id="1853" w:name="Tc_6ssBGNt8VEa9Stz9cdkcaA_2_0"/>
      <w:bookmarkStart w:id="1854" w:name="Tc_XmDW1p2ar0KPxLMDnirKaw_1_5"/>
      <w:bookmarkStart w:id="1855" w:name="Tc_IfJGlB6XjEynH9jNaPnNng_1_2"/>
      <w:bookmarkStart w:id="1856" w:name="_ae5c8bbf_b440_4ee9_ab71_8e771214c851"/>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r>
        <w:rPr>
          <w:rFonts w:ascii="Times New Roman;Times;serif" w:hAnsi="Times New Roman;Times;serif"/>
          <w:sz w:val="22"/>
        </w:rPr>
        <w:t>Corporate and unallocated expenses were $373.9</w:t>
      </w:r>
      <w:r>
        <w:rPr>
          <w:rFonts w:ascii="Times New Roman;Times;serif" w:hAnsi="Times New Roman;Times;serif"/>
          <w:sz w:val="20"/>
        </w:rPr>
        <w:t xml:space="preserve"> </w:t>
      </w:r>
      <w:r>
        <w:rPr>
          <w:rFonts w:ascii="Times New Roman;Times;serif" w:hAnsi="Times New Roman;Times;serif"/>
          <w:sz w:val="22"/>
        </w:rPr>
        <w:t>million for the year ended December 31, 2021 and included $258.6</w:t>
      </w:r>
      <w:r>
        <w:rPr>
          <w:rFonts w:ascii="Times New Roman;Times;serif" w:hAnsi="Times New Roman;Times;serif"/>
          <w:sz w:val="20"/>
        </w:rPr>
        <w:t xml:space="preserve"> </w:t>
      </w:r>
      <w:r>
        <w:rPr>
          <w:rFonts w:ascii="Times New Roman;Times;serif" w:hAnsi="Times New Roman;Times;serif"/>
          <w:sz w:val="22"/>
        </w:rPr>
        <w:t>million of payroll costs, of which $70.3</w:t>
      </w:r>
      <w:r>
        <w:rPr>
          <w:rFonts w:ascii="Times New Roman;Times;serif" w:hAnsi="Times New Roman;Times;serif"/>
          <w:sz w:val="20"/>
        </w:rPr>
        <w:t xml:space="preserve"> </w:t>
      </w:r>
      <w:r>
        <w:rPr>
          <w:rFonts w:ascii="Times New Roman;Times;serif" w:hAnsi="Times New Roman;Times;serif"/>
          <w:sz w:val="22"/>
        </w:rPr>
        <w:t>million was attributable to stock-based compensation expense (See Note 15, “Stock-Based Compensation”), $77.9</w:t>
      </w:r>
      <w:r>
        <w:rPr>
          <w:rFonts w:ascii="Times New Roman;Times;serif" w:hAnsi="Times New Roman;Times;serif"/>
          <w:sz w:val="20"/>
        </w:rPr>
        <w:t xml:space="preserve"> </w:t>
      </w:r>
      <w:r>
        <w:rPr>
          <w:rFonts w:ascii="Times New Roman;Times;serif" w:hAnsi="Times New Roman;Times;serif"/>
          <w:sz w:val="22"/>
        </w:rPr>
        <w:t>million of professional service expenses, including accounting and legal costs, $9.3</w:t>
      </w:r>
      <w:r>
        <w:rPr>
          <w:rFonts w:ascii="Times New Roman;Times;serif" w:hAnsi="Times New Roman;Times;serif"/>
          <w:sz w:val="20"/>
        </w:rPr>
        <w:t xml:space="preserve"> </w:t>
      </w:r>
      <w:r>
        <w:rPr>
          <w:rFonts w:ascii="Times New Roman;Times;serif" w:hAnsi="Times New Roman;Times;serif"/>
          <w:sz w:val="22"/>
        </w:rPr>
        <w:t>million of insurance costs and $28.1</w:t>
      </w:r>
      <w:r>
        <w:rPr>
          <w:rFonts w:ascii="Times New Roman;Times;serif" w:hAnsi="Times New Roman;Times;serif"/>
          <w:sz w:val="20"/>
        </w:rPr>
        <w:t xml:space="preserve"> </w:t>
      </w:r>
      <w:r>
        <w:rPr>
          <w:rFonts w:ascii="Times New Roman;Times;serif" w:hAnsi="Times New Roman;Times;serif"/>
          <w:sz w:val="22"/>
        </w:rPr>
        <w:t>million of other operating expenses.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Corporate and unallocated expenses were $348.2 million for the year ended December 31, 2020 and included $234.1 million of payroll costs, of which $69.9 million was attributable to stock-based compensation expense (See Note 15, “Stock-Based Compensation”), $67.6 million of professional service expenses, including accounting and legal costs, $7.5 million of insurance costs and $39.0 million of other operating expenses.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Corporate and unallocated expenses were $330.7 million for the year ended December 31, 2019 and included $203.3 million of payroll costs, of which $63.4 million was attributable to stock-based compensation expense (See Note 15, “Stock-Based Compensation”), $78.5 million of professional service expenses, including accounting and legal costs, $6.1 million of insurance costs and $42.8 million of other operating expenses.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Coca-Cola Consolidated, Inc. accounted for approximately 12%, 12% and 13% of the Company’s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Reyes Coca-Cola Bottling, LLC accounted for approximately 10%, 11% and 11% of the Company’s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Coca-Cola Europacific Partners accounted for approximately 12%, 10% and 10% of the Company’s net sales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Net sales to customers outside the United States amounted to $2.04 billion, $1.51 billion and $1.33 billion for the years ended December 31, 2021, 2020 and 2019, respectively. Such sales were approximately 37%, 33% and 32% of net sales for the years ended December 31, 2021, 2020 and 2019, respectively.</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Goodwill and other intangible assets for the Company’s reportable segments as of December 31, 2021 and 2020 are as follows:</w:t>
      </w:r>
    </w:p>
    <w:p>
      <w:pPr>
        <w:pStyle w:val="TextBody"/>
        <w:spacing w:before="0" w:after="0"/>
        <w:ind w:left="0" w:right="0" w:firstLine="720"/>
        <w:jc w:val="both"/>
        <w:rPr/>
      </w:pPr>
      <w:r>
        <w:rPr/>
        <w:t>​</w:t>
      </w:r>
    </w:p>
    <w:tbl>
      <w:tblPr>
        <w:tblW w:w="6192" w:type="dxa"/>
        <w:jc w:val="left"/>
        <w:tblInd w:w="0" w:type="dxa"/>
        <w:tblCellMar>
          <w:top w:w="0" w:type="dxa"/>
          <w:left w:w="0" w:type="dxa"/>
          <w:bottom w:w="0" w:type="dxa"/>
          <w:right w:w="0" w:type="dxa"/>
        </w:tblCellMar>
      </w:tblPr>
      <w:tblGrid>
        <w:gridCol w:w="3151"/>
        <w:gridCol w:w="326"/>
        <w:gridCol w:w="211"/>
        <w:gridCol w:w="931"/>
        <w:gridCol w:w="326"/>
        <w:gridCol w:w="211"/>
        <w:gridCol w:w="1036"/>
      </w:tblGrid>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3" name="Frame5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4" name="Frame5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591185" cy="175260"/>
                      <wp:effectExtent l="0" t="0" r="0" b="0"/>
                      <wp:wrapNone/>
                      <wp:docPr id="575" name="Frame57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6" name="Frame5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57860" cy="175260"/>
                      <wp:effectExtent l="0" t="0" r="0" b="0"/>
                      <wp:wrapNone/>
                      <wp:docPr id="578" name="Frame57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1,420,503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1,406,646</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978,032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974,132</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9,911</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2,404,029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2,390,689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val="false"/>
          <w:sz w:val="22"/>
        </w:rPr>
      </w:pPr>
      <w:r>
        <w:rPr>
          <w:rFonts w:ascii="Times New Roman;Times;serif" w:hAnsi="Times New Roman;Times;serif"/>
          <w:b w:val="false"/>
          <w:sz w:val="22"/>
        </w:rPr>
        <w:t>20.        RELATED PARTY TRANSACTIONS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TCCC controls approximately 19.3%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bookmarkStart w:id="1857" w:name="Tc_AxuO3c4zrUedkgL7jdln3g_6_5"/>
      <w:bookmarkStart w:id="1858" w:name="Tc_9RRFkRaq2kOBJNOecTz8oQ_6_2"/>
      <w:bookmarkStart w:id="1859" w:name="Tc_ws30sKB-jkSbkqLj5kGhtw_6_0"/>
      <w:bookmarkStart w:id="1860" w:name="Tc_iXXS4YNoREmEc1JGH_2VOQ_5_5"/>
      <w:bookmarkStart w:id="1861" w:name="Tc_FlZDf5tEckO6KeEouBvzAA_5_2"/>
      <w:bookmarkStart w:id="1862" w:name="Tc__a_-kq6WOEO-Hqmhc42Fjg_5_0"/>
      <w:bookmarkStart w:id="1863" w:name="Tc_Anv5CDVAQk2qdSmVexDk5w_4_5"/>
      <w:bookmarkStart w:id="1864" w:name="Tc_FwA1YVN94EqNuDamfud9vw_4_2"/>
      <w:bookmarkStart w:id="1865" w:name="Tc_ItaMmx4rwUyym7K3pxS2_Q_4_0"/>
      <w:bookmarkStart w:id="1866" w:name="Tc_WzOdCWVgu0aEa4-zhwEcjg_3_5"/>
      <w:bookmarkStart w:id="1867" w:name="Tc_Xtm2XymxtkiOej2QVtfK8Q_3_2"/>
      <w:bookmarkStart w:id="1868" w:name="Tc_P6L7TASCWUugnXZ2Kdf7pg_3_0"/>
      <w:bookmarkStart w:id="1869" w:name="Tc_QhGVCal_60SNHySLPYJbqA_2_5"/>
      <w:bookmarkStart w:id="1870" w:name="Tc_ymrU8vztOkGRwrSux_UoVA_2_2"/>
      <w:bookmarkStart w:id="1871" w:name="Tc_NBIN6dsUoUGeDVOAohGeGQ_1_5"/>
      <w:bookmarkStart w:id="1872" w:name="Tc_jIZBt0nGSkGiMZIXwweIVQ_1_2"/>
      <w:bookmarkStart w:id="1873" w:name="_9ff7fa02_8578_40fe_b735_31f624e70c60"/>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r>
        <w:rPr>
          <w:rFonts w:ascii="Times New Roman;Times;serif" w:hAnsi="Times New Roman;Times;serif"/>
          <w:sz w:val="22"/>
        </w:rPr>
        <w:t xml:space="preserve">TCCC commissions, based on sales to the TCCC Subsidiaries and the TCCC Related Parties, for the year ended December 31, 2021 were $77.5 million, and are included as a reduction to net sales. TCCC commissions, based on sales to the TCCC Independent Bottlers for the year ended December 31, 2021 were $28.7 million, and are included in operating expenses in the consolidated statements of income.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TCCC commissions, based on sales to the TCCC Subsidiaries and the TCCC Related Parties, for the year ended December 31, 2020 were $56.5 million, and are included as a reduction to net sales. TCCC commissions, based on sales to the TCCC Independent Bottlers for the year ended December 31, 2020 were $21.4 million, and are included in operating expenses in the consolidated statements of income.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TCCC commissions, based on sales to the TCCC Subsidiaries and the TCCC Related Parties, for the year ended December 31, 2019 were $50.1 million, and are included as a reduction to net sales. TCCC commissions, based on sales to the TCCC Independent Bottlers for the year ended December 31, 2019 were $17.7 million, and are included in operating expenses in the consolidated statements of income.</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Net sales to the TCCC Subsidiaries for the years ended December 31, 2021, 2020 and 2019 were $120.4 million, $83.3 million and $79.5 million,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also purchases concentrates from TCCC which are then sold to certain of the Company’s bottlers/distributors. Concentrate purchases from TCCC were $27.2 million, $23.9 million and $25.4 million for the years ended December 31, 2021, 2020 and 2019, respectively.</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Certain TCCC Subsidiaries also contract manufacture certain of the Company’s energy drinks. Such contract manufacturing expenses were $31.5 million, $17.2 million and $17.1 million for the years ended December 31, 2021, 2020 and 2019, respectively.</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Accounts receivable, accounts payable and accrued promotional allowances related to the TCCC Subsidiaries are as follows at:</w:t>
      </w:r>
    </w:p>
    <w:p>
      <w:pPr>
        <w:pStyle w:val="TextBody"/>
        <w:spacing w:before="0" w:after="0"/>
        <w:ind w:left="0" w:right="0" w:hanging="0"/>
        <w:rPr/>
      </w:pPr>
      <w:r>
        <w:rPr/>
        <w:t>​</w:t>
      </w:r>
    </w:p>
    <w:tbl>
      <w:tblPr>
        <w:tblW w:w="6008" w:type="dxa"/>
        <w:jc w:val="left"/>
        <w:tblInd w:w="0" w:type="dxa"/>
        <w:tblCellMar>
          <w:top w:w="0" w:type="dxa"/>
          <w:left w:w="0" w:type="dxa"/>
          <w:bottom w:w="0" w:type="dxa"/>
          <w:right w:w="0" w:type="dxa"/>
        </w:tblCellMar>
      </w:tblPr>
      <w:tblGrid>
        <w:gridCol w:w="2791"/>
        <w:gridCol w:w="326"/>
        <w:gridCol w:w="279"/>
        <w:gridCol w:w="981"/>
        <w:gridCol w:w="326"/>
        <w:gridCol w:w="277"/>
        <w:gridCol w:w="1028"/>
      </w:tblGrid>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7010" cy="175260"/>
                      <wp:effectExtent l="0" t="0" r="0" b="0"/>
                      <wp:wrapNone/>
                      <wp:docPr id="579" name="Frame5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77165" cy="175260"/>
                      <wp:effectExtent l="0" t="0" r="0" b="0"/>
                      <wp:wrapNone/>
                      <wp:docPr id="580" name="Frame578"/>
                      <a:graphic xmlns:a="http://schemas.openxmlformats.org/drawingml/2006/main">
                        <a:graphicData uri="http://schemas.microsoft.com/office/word/2010/wordprocessingShape">
                          <wps:wsp>
                            <wps:cNvSpPr txBox="1"/>
                            <wps:spPr>
                              <a:xfrm>
                                <a:off x="0" y="0"/>
                                <a:ext cx="177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22935" cy="175260"/>
                      <wp:effectExtent l="0" t="0" r="0" b="0"/>
                      <wp:wrapNone/>
                      <wp:docPr id="581" name="Frame579"/>
                      <a:graphic xmlns:a="http://schemas.openxmlformats.org/drawingml/2006/main">
                        <a:graphicData uri="http://schemas.microsoft.com/office/word/2010/wordprocessingShape">
                          <wps:wsp>
                            <wps:cNvSpPr txBox="1"/>
                            <wps:spPr>
                              <a:xfrm>
                                <a:off x="0" y="0"/>
                                <a:ext cx="622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82" name="Frame5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75895" cy="175260"/>
                      <wp:effectExtent l="0" t="0" r="0" b="0"/>
                      <wp:wrapNone/>
                      <wp:docPr id="583" name="Frame581"/>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52780" cy="175260"/>
                      <wp:effectExtent l="0" t="0" r="0" b="0"/>
                      <wp:wrapNone/>
                      <wp:docPr id="584" name="Frame582"/>
                      <a:graphic xmlns:a="http://schemas.openxmlformats.org/drawingml/2006/main">
                        <a:graphicData uri="http://schemas.microsoft.com/office/word/2010/wordprocessingShape">
                          <wps:wsp>
                            <wps:cNvSpPr txBox="1"/>
                            <wps:spPr>
                              <a:xfrm>
                                <a:off x="0" y="0"/>
                                <a:ext cx="652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0"/>
              <w:ind w:left="0" w:right="0" w:hanging="0"/>
              <w:rPr/>
            </w:pPr>
            <w:r>
              <w:rPr/>
              <w:t>​</w:t>
            </w:r>
          </w:p>
        </w:tc>
        <w:tc>
          <w:tcPr>
            <w:tcW w:w="2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94,647</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44,925</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2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(35,248)</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(30,792)</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spacing w:before="0" w:after="0"/>
              <w:ind w:left="0" w:right="0" w:hanging="0"/>
              <w:rPr/>
            </w:pPr>
            <w:r>
              <w:rPr/>
              <w:t>​</w:t>
            </w:r>
          </w:p>
        </w:tc>
        <w:tc>
          <w:tcPr>
            <w:tcW w:w="2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(4,536)</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(5,834)</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auto" w:val="clear"/>
            <w:vAlign w:val="center"/>
          </w:tcPr>
          <w:p>
            <w:pPr>
              <w:pStyle w:val="TableContents"/>
              <w:spacing w:before="0" w:after="0"/>
              <w:ind w:left="0" w:right="0" w:hanging="0"/>
              <w:rPr/>
            </w:pPr>
            <w:r>
              <w:rPr/>
              <w:t>​</w:t>
            </w:r>
          </w:p>
        </w:tc>
        <w:tc>
          <w:tcPr>
            <w:tcW w:w="2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(26,616)</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(15,446)</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2"/>
        </w:rPr>
      </w:pPr>
      <w:r>
        <w:rPr>
          <w:rFonts w:ascii="Times New Roman;Times;serif" w:hAnsi="Times New Roman;Times;serif"/>
          <w:sz w:val="22"/>
        </w:rPr>
        <w:t xml:space="preserve">In 2021, TCCC exercised its contract rights and began an examination in accordance with those rights for the years ended December 31, 2015 through December 31,2020. </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One director of the Company through certain trusts, and a family member of one director are principal owners of a company that provides promotional materials to the Company. Expenses incurred with such company in connection with promotional materials purchased during the years ended December 31, 2021, 2020 and 2019 were $3.6 million, $2.1 million and $1.5 million,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During the year ended December 31, 2021, the Company recorded an equity loss of $0.2 million. As of December 31, 2021, the Company’s equity investment is $1.4 million and is included in other assets (non-current) in the accompanying consolidated balance sheet at December 31, 2021.</w:t>
      </w:r>
    </w:p>
    <w:p>
      <w:pPr>
        <w:pStyle w:val="TextBody"/>
        <w:spacing w:before="0" w:after="240"/>
        <w:ind w:left="0" w:right="0" w:firstLine="720"/>
        <w:jc w:val="both"/>
        <w:rPr/>
      </w:pPr>
      <w:r>
        <w:rPr/>
        <w:t>​</w:t>
      </w:r>
    </w:p>
    <w:p>
      <w:pPr>
        <w:pStyle w:val="TextBody"/>
        <w:spacing w:before="0" w:after="0"/>
        <w:ind w:left="0" w:right="0" w:hanging="0"/>
        <w:rPr>
          <w:rFonts w:ascii="Times New Roman;Times;serif" w:hAnsi="Times New Roman;Times;serif"/>
          <w:b w:val="false"/>
          <w:sz w:val="22"/>
        </w:rPr>
      </w:pPr>
      <w:r>
        <w:rPr>
          <w:rFonts w:ascii="Times New Roman;Times;serif" w:hAnsi="Times New Roman;Times;serif"/>
          <w:b w:val="false"/>
          <w:sz w:val="22"/>
        </w:rPr>
        <w:t>21.        SUBSEQUENT EVENTS</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2"/>
        </w:rPr>
      </w:pPr>
      <w:r>
        <w:rPr>
          <w:rFonts w:ascii="Times New Roman;Times;serif" w:hAnsi="Times New Roman;Times;serif"/>
          <w:sz w:val="22"/>
        </w:rPr>
        <w:t>On February 17, 2022, the Company completed its acquisition of CANarchy Craft Brewery Collective LLC (“CANarchy”), a craft beer and hard seltzer company, for $330.0 million in cash, subject to adjustments. The transaction allows us to enter the alcohol beverage sector and brings the Cigar City family of brands including Jai Alai IPA and Florida Man IPA, the Oskar Blues family of brands including Dale’s Pale Ale and Wild Basin Hard Seltzers, the Deep Ellum family of brands including Dallas Blonde and Deep Ellum IPA, the Perrin Brewing family of brands including Black Ale, the Squatters family of brands including Hop Rising Double IPA and Juicy IPA and the Wasatch family of brands including Apricot Hefeweizen to our beverage portfolio. The transaction does not include CANarchy’s stand-alone restaurants. The Company’s organizational structure for its existing energy beverage business will remain unchanged. CANarchy will function independently, retaining its own organizational structure and team.</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SCHEDULE II – VALUATION AND QUALIFYING ACCOUNTS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FOR THE YEARS ENDED DECEMBER 31, 2021, 2020 AND 2019 (Dollars in Thousands)</w:t>
      </w:r>
    </w:p>
    <w:p>
      <w:pPr>
        <w:pStyle w:val="TextBody"/>
        <w:spacing w:before="0" w:after="0"/>
        <w:ind w:left="0" w:right="0" w:hanging="0"/>
        <w:rPr/>
      </w:pPr>
      <w:bookmarkStart w:id="1874" w:name="Tc_eMlTxa6Y_kaIitxwKAs9mw_14_11"/>
      <w:bookmarkStart w:id="1875" w:name="Tc_i-EbfyXoQU2NG2C6FLqMQA_14_9"/>
      <w:bookmarkStart w:id="1876" w:name="Tc_WQn9mfBqn0qvLYqKeCZGMQ_14_8"/>
      <w:bookmarkStart w:id="1877" w:name="Tc_4hxd0hUI-UmN_bWRca2dkA_14_5"/>
      <w:bookmarkStart w:id="1878" w:name="Tc_z4kpLgBPZEmdU3qV5bAiBA_14_2"/>
      <w:bookmarkStart w:id="1879" w:name="Tc_VZX7SYhIx0Sw7c4dFwhQ7g_14_0"/>
      <w:bookmarkStart w:id="1880" w:name="Tc_hExHCayZdUi05OWBrl1mog_13_11"/>
      <w:bookmarkStart w:id="1881" w:name="Tc_XlEo8fTjzkimrPv_ZfgBjw_13_9"/>
      <w:bookmarkStart w:id="1882" w:name="Tc_e1GYdUCxXkepL4G1B6poEw_13_8"/>
      <w:bookmarkStart w:id="1883" w:name="Tc_bciTxolvu0q5E0VMCfd2nw_13_5"/>
      <w:bookmarkStart w:id="1884" w:name="Tc_jKboBzE9X0CRLTrett0Eiw_13_2"/>
      <w:bookmarkStart w:id="1885" w:name="Tc_x3o_5uFAvkeL7v6w7x7S6A_13_0"/>
      <w:bookmarkStart w:id="1886" w:name="Tc_BEcc64xQDUe_nlTKBo3l4Q_12_11"/>
      <w:bookmarkStart w:id="1887" w:name="Tc_EBaj4zkqN0iVtVGdT5XRuw_12_9"/>
      <w:bookmarkStart w:id="1888" w:name="Tc_1mg6Y07WDUCKli-zDcfOKQ_12_8"/>
      <w:bookmarkStart w:id="1889" w:name="Tc_KWSgNu6wUkiG7FUn_8kcpQ_12_5"/>
      <w:bookmarkStart w:id="1890" w:name="Tc_e5NWfuqTr02fZblIj6cJZA_12_2"/>
      <w:bookmarkStart w:id="1891" w:name="Tc_gXBoDarQf0OqPg073qHbRw_12_0"/>
      <w:bookmarkStart w:id="1892" w:name="Tc_o4kx8zD9K0WkOpj2fm8jUw_10_0"/>
      <w:bookmarkStart w:id="1893" w:name="Tc_URIr2IkPeEK8pZy2qt22Mw_8_11"/>
      <w:bookmarkStart w:id="1894" w:name="Tc_U2pBWPWrdkKdvVLf6HBqnQ_8_8"/>
      <w:bookmarkStart w:id="1895" w:name="Tc_qT-2r0PfcEifYiyRJZaNGg_8_5"/>
      <w:bookmarkStart w:id="1896" w:name="Tc_sWkoHvpZfEuKyCIPEeQcew_8_2"/>
      <w:bookmarkStart w:id="1897" w:name="Tc_uT7kz7e_Hke5j1GvLttIww_8_0"/>
      <w:bookmarkStart w:id="1898" w:name="Tc_7fFafH-nm0qixDBr8_ceaA_7_11"/>
      <w:bookmarkStart w:id="1899" w:name="Tc_4wztwV7CvEO27bmY1Lqx4Q_7_8"/>
      <w:bookmarkStart w:id="1900" w:name="Tc_AK3PFyb7TEq4rvm0cn0uww_7_5"/>
      <w:bookmarkStart w:id="1901" w:name="Tc_BxqUKGgeekK3r4bta7Y92Q_7_2"/>
      <w:bookmarkStart w:id="1902" w:name="Tc_rsjyM5NyN0qSNBMHGqusug_7_0"/>
      <w:bookmarkStart w:id="1903" w:name="Tc_HR1MQD7e6U60PUa4m7k4DA_6_11"/>
      <w:bookmarkStart w:id="1904" w:name="Tc_hav7TkPlL02Wuvr5CNrApA_6_8"/>
      <w:bookmarkStart w:id="1905" w:name="Tc_C4Wakw8FTE2mcwjL53Bufg_6_5"/>
      <w:bookmarkStart w:id="1906" w:name="Tc_u6xbw_3oEEOGh9znOXJTHw_6_2"/>
      <w:bookmarkStart w:id="1907" w:name="Tc_baoM_UYCSUWIudw31BL8mA_6_0"/>
      <w:bookmarkStart w:id="1908" w:name="Tc_b9xpZDAcQ0OJ25S0Yw8snw_4_0"/>
      <w:bookmarkStart w:id="1909" w:name="Tc_2CStV4VUzkums7BdrB74Dw_3_11"/>
      <w:bookmarkStart w:id="1910" w:name="Tc_aVSxSwFSUUSEabsR65_5gw_3_8"/>
      <w:bookmarkStart w:id="1911" w:name="Tc_Hi09OZYjikiul25Suo2sZQ_3_5"/>
      <w:bookmarkStart w:id="1912" w:name="Tc__oa0kzUYk0Wo0pydt2sdGw_3_2"/>
      <w:bookmarkStart w:id="1913" w:name="Tc_bVNwcRUbw0mrYLaUYkDGyQ_3_0"/>
      <w:bookmarkStart w:id="1914" w:name="Tc_6nV09QHxjkuKdc269_G0Rg_2_11"/>
      <w:bookmarkStart w:id="1915" w:name="Tc_RFYem_c280m7KZysXKskJA_2_5"/>
      <w:bookmarkStart w:id="1916" w:name="Tc_M0lbYteXJE6g66So58lECA_2_2"/>
      <w:bookmarkStart w:id="1917" w:name="Tc_NrpScbpcnEiN2No3OEgMnw_1_11"/>
      <w:bookmarkStart w:id="1918" w:name="Tc_3MhrnoEFdUG7_eyIwN50_w_1_5"/>
      <w:bookmarkStart w:id="1919" w:name="Tc_hJUTN7ItfESW-dZlGYKytg_1_2"/>
      <w:bookmarkStart w:id="1920" w:name="_18f80f72_3e25_4c00_8fa4_5ddd4dac5976"/>
      <w:bookmarkStart w:id="1921" w:name="SCH"/>
      <w:bookmarkStart w:id="1922" w:name="_851752"/>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r>
        <w:rPr/>
        <w:t>​</w:t>
      </w:r>
    </w:p>
    <w:tbl>
      <w:tblPr>
        <w:tblW w:w="10205" w:type="dxa"/>
        <w:jc w:val="left"/>
        <w:tblInd w:w="0" w:type="dxa"/>
        <w:tblCellMar>
          <w:top w:w="0" w:type="dxa"/>
          <w:left w:w="0" w:type="dxa"/>
          <w:bottom w:w="0" w:type="dxa"/>
          <w:right w:w="0" w:type="dxa"/>
        </w:tblCellMar>
      </w:tblPr>
      <w:tblGrid>
        <w:gridCol w:w="5120"/>
        <w:gridCol w:w="326"/>
        <w:gridCol w:w="211"/>
        <w:gridCol w:w="676"/>
        <w:gridCol w:w="326"/>
        <w:gridCol w:w="211"/>
        <w:gridCol w:w="689"/>
        <w:gridCol w:w="326"/>
        <w:gridCol w:w="211"/>
        <w:gridCol w:w="789"/>
        <w:gridCol w:w="326"/>
        <w:gridCol w:w="211"/>
        <w:gridCol w:w="783"/>
      </w:tblGrid>
      <w:tr>
        <w:trPr/>
        <w:tc>
          <w:tcPr>
            <w:tcW w:w="5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5" name="Frame5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3985" cy="175260"/>
                      <wp:effectExtent l="0" t="0" r="0" b="0"/>
                      <wp:wrapNone/>
                      <wp:docPr id="586" name="Frame5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429260" cy="175260"/>
                      <wp:effectExtent l="0" t="0" r="0" b="0"/>
                      <wp:wrapNone/>
                      <wp:docPr id="587" name="Frame5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07010" cy="175260"/>
                      <wp:effectExtent l="0" t="0" r="0" b="0"/>
                      <wp:wrapNone/>
                      <wp:docPr id="588" name="Frame5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33985" cy="175260"/>
                      <wp:effectExtent l="0" t="0" r="0" b="0"/>
                      <wp:wrapNone/>
                      <wp:docPr id="589" name="Frame5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37515" cy="175260"/>
                      <wp:effectExtent l="0" t="0" r="0" b="0"/>
                      <wp:wrapNone/>
                      <wp:docPr id="590" name="Frame588"/>
                      <a:graphic xmlns:a="http://schemas.openxmlformats.org/drawingml/2006/main">
                        <a:graphicData uri="http://schemas.microsoft.com/office/word/2010/wordprocessingShape">
                          <wps:wsp>
                            <wps:cNvSpPr txBox="1"/>
                            <wps:spPr>
                              <a:xfrm>
                                <a:off x="0" y="0"/>
                                <a:ext cx="437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1" name="Frame5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33985" cy="175260"/>
                      <wp:effectExtent l="0" t="0" r="0" b="0"/>
                      <wp:wrapNone/>
                      <wp:docPr id="592" name="Frame5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501015" cy="175260"/>
                      <wp:effectExtent l="0" t="0" r="0" b="0"/>
                      <wp:wrapNone/>
                      <wp:docPr id="593" name="Frame591"/>
                      <a:graphic xmlns:a="http://schemas.openxmlformats.org/drawingml/2006/main">
                        <a:graphicData uri="http://schemas.microsoft.com/office/word/2010/wordprocessingShape">
                          <wps:wsp>
                            <wps:cNvSpPr txBox="1"/>
                            <wps:spPr>
                              <a:xfrm>
                                <a:off x="0" y="0"/>
                                <a:ext cx="501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07010" cy="175260"/>
                      <wp:effectExtent l="0" t="0" r="0" b="0"/>
                      <wp:wrapNone/>
                      <wp:docPr id="594" name="Frame5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33985" cy="175260"/>
                      <wp:effectExtent l="0" t="0" r="0" b="0"/>
                      <wp:wrapNone/>
                      <wp:docPr id="595" name="Frame5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497205" cy="175260"/>
                      <wp:effectExtent l="0" t="0" r="0" b="0"/>
                      <wp:wrapNone/>
                      <wp:docPr id="596" name="Frame594"/>
                      <a:graphic xmlns:a="http://schemas.openxmlformats.org/drawingml/2006/main">
                        <a:graphicData uri="http://schemas.microsoft.com/office/word/2010/wordprocessingShape">
                          <wps:wsp>
                            <wps:cNvSpPr txBox="1"/>
                            <wps:spPr>
                              <a:xfrm>
                                <a:off x="0" y="0"/>
                                <a:ext cx="497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Balance at</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Charged to</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4"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Balance at</w:t>
            </w:r>
          </w:p>
        </w:tc>
      </w:tr>
      <w:tr>
        <w:trPr/>
        <w:tc>
          <w:tcPr>
            <w:tcW w:w="5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beginning</w:t>
            </w:r>
          </w:p>
        </w:tc>
        <w:tc>
          <w:tcPr>
            <w:tcW w:w="326"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cost and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4"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end of</w:t>
            </w:r>
          </w:p>
        </w:tc>
      </w:tr>
      <w:tr>
        <w:trPr/>
        <w:tc>
          <w:tcPr>
            <w:tcW w:w="512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of period</w:t>
            </w:r>
          </w:p>
        </w:tc>
        <w:tc>
          <w:tcPr>
            <w:tcW w:w="326" w:type="dxa"/>
            <w:tcBorders/>
            <w:shd w:fill="auto" w:val="clear"/>
            <w:vAlign w:val="center"/>
          </w:tcPr>
          <w:p>
            <w:pPr>
              <w:pStyle w:val="TableContents"/>
              <w:spacing w:before="0" w:after="0"/>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expenses</w:t>
            </w:r>
          </w:p>
        </w:tc>
        <w:tc>
          <w:tcPr>
            <w:tcW w:w="326"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Deductions</w:t>
            </w:r>
          </w:p>
        </w:tc>
        <w:tc>
          <w:tcPr>
            <w:tcW w:w="326" w:type="dxa"/>
            <w:tcBorders/>
            <w:shd w:fill="auto" w:val="clear"/>
            <w:vAlign w:val="center"/>
          </w:tcPr>
          <w:p>
            <w:pPr>
              <w:pStyle w:val="TableContents"/>
              <w:spacing w:before="0" w:after="0"/>
              <w:ind w:left="0" w:right="0" w:hanging="0"/>
              <w:rPr/>
            </w:pPr>
            <w:r>
              <w:rPr/>
              <w:t>    </w:t>
            </w:r>
          </w:p>
        </w:tc>
        <w:tc>
          <w:tcPr>
            <w:tcW w:w="9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period</w:t>
            </w:r>
          </w:p>
        </w:tc>
      </w:tr>
      <w:tr>
        <w:trPr/>
        <w:tc>
          <w:tcPr>
            <w:tcW w:w="5120"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doubtful accounts, sales returns and cash discounts: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3" w:type="dxa"/>
            <w:tcBorders/>
            <w:shd w:fill="CCEEFF" w:val="clear"/>
            <w:vAlign w:val="center"/>
          </w:tcPr>
          <w:p>
            <w:pPr>
              <w:pStyle w:val="TableContents"/>
              <w:spacing w:before="0" w:after="0"/>
              <w:ind w:left="0" w:right="0" w:hanging="0"/>
              <w:jc w:val="right"/>
              <w:rPr/>
            </w:pPr>
            <w:r>
              <w:rPr/>
              <w:t>​</w:t>
            </w:r>
          </w:p>
        </w:tc>
      </w:tr>
      <w:tr>
        <w:trPr/>
        <w:tc>
          <w:tcPr>
            <w:tcW w:w="5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3" w:type="dxa"/>
            <w:tcBorders/>
            <w:shd w:fill="auto" w:val="clear"/>
            <w:vAlign w:val="center"/>
          </w:tcPr>
          <w:p>
            <w:pPr>
              <w:pStyle w:val="TableContents"/>
              <w:spacing w:before="0" w:after="0"/>
              <w:ind w:left="0" w:right="0" w:hanging="0"/>
              <w:jc w:val="right"/>
              <w:rPr/>
            </w:pPr>
            <w:r>
              <w:rPr/>
              <w:t>​</w:t>
            </w:r>
          </w:p>
        </w:tc>
      </w:tr>
      <w:tr>
        <w:trPr/>
        <w:tc>
          <w:tcPr>
            <w:tcW w:w="51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r>
      <w:tr>
        <w:trPr/>
        <w:tc>
          <w:tcPr>
            <w:tcW w:w="51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r>
      <w:tr>
        <w:trPr/>
        <w:tc>
          <w:tcPr>
            <w:tcW w:w="51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9,583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r>
      <w:tr>
        <w:trPr/>
        <w:tc>
          <w:tcPr>
            <w:tcW w:w="5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3" w:type="dxa"/>
            <w:tcBorders/>
            <w:shd w:fill="auto" w:val="clear"/>
            <w:vAlign w:val="center"/>
          </w:tcPr>
          <w:p>
            <w:pPr>
              <w:pStyle w:val="TableContents"/>
              <w:spacing w:before="0" w:after="0"/>
              <w:ind w:left="0" w:right="0" w:hanging="0"/>
              <w:jc w:val="right"/>
              <w:rPr/>
            </w:pPr>
            <w:r>
              <w:rPr/>
              <w:t>​</w:t>
            </w:r>
          </w:p>
        </w:tc>
      </w:tr>
      <w:tr>
        <w:trPr/>
        <w:tc>
          <w:tcPr>
            <w:tcW w:w="51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on Deferred Tax Assets and Unrecognized Tax Benefits: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3" w:type="dxa"/>
            <w:tcBorders/>
            <w:shd w:fill="CCEEFF" w:val="clear"/>
            <w:vAlign w:val="center"/>
          </w:tcPr>
          <w:p>
            <w:pPr>
              <w:pStyle w:val="TableContents"/>
              <w:spacing w:before="0" w:after="0"/>
              <w:ind w:left="0" w:right="0" w:hanging="0"/>
              <w:jc w:val="right"/>
              <w:rPr/>
            </w:pPr>
            <w:r>
              <w:rPr/>
              <w:t>​</w:t>
            </w:r>
          </w:p>
        </w:tc>
      </w:tr>
      <w:tr>
        <w:trPr/>
        <w:tc>
          <w:tcPr>
            <w:tcW w:w="512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3" w:type="dxa"/>
            <w:tcBorders/>
            <w:shd w:fill="auto" w:val="clear"/>
            <w:vAlign w:val="center"/>
          </w:tcPr>
          <w:p>
            <w:pPr>
              <w:pStyle w:val="TableContents"/>
              <w:spacing w:before="0" w:after="0"/>
              <w:ind w:left="0" w:right="0" w:hanging="0"/>
              <w:jc w:val="right"/>
              <w:rPr/>
            </w:pPr>
            <w:r>
              <w:rPr/>
              <w:t>​</w:t>
            </w:r>
          </w:p>
        </w:tc>
      </w:tr>
      <w:tr>
        <w:trPr/>
        <w:tc>
          <w:tcPr>
            <w:tcW w:w="51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35,993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27,013</w:t>
            </w:r>
          </w:p>
        </w:tc>
      </w:tr>
      <w:tr>
        <w:trPr/>
        <w:tc>
          <w:tcPr>
            <w:tcW w:w="51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35,993</w:t>
            </w:r>
          </w:p>
        </w:tc>
      </w:tr>
      <w:tr>
        <w:trPr/>
        <w:tc>
          <w:tcPr>
            <w:tcW w:w="51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42,748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43,853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r>
        <w:br w:type="page"/>
      </w:r>
    </w:p>
    <w:p>
      <w:pPr>
        <w:pStyle w:val="TextBody"/>
        <w:spacing w:before="0" w:after="0"/>
        <w:ind w:left="0" w:right="0" w:hanging="0"/>
        <w:jc w:val="right"/>
        <w:rPr>
          <w:rFonts w:ascii="Times New Roman;Times;serif" w:hAnsi="Times New Roman;Times;serif"/>
          <w:b/>
          <w:sz w:val="24"/>
        </w:rPr>
      </w:pPr>
      <w:bookmarkStart w:id="1923" w:name="mnst-20211231xex21.htm"/>
      <w:bookmarkStart w:id="1924" w:name="ksmnst20211231xex21"/>
      <w:bookmarkEnd w:id="1923"/>
      <w:bookmarkEnd w:id="1924"/>
      <w:r>
        <w:rPr>
          <w:rFonts w:ascii="Times New Roman;Times;serif" w:hAnsi="Times New Roman;Times;serif"/>
          <w:b/>
          <w:sz w:val="24"/>
        </w:rPr>
        <w:t>EXHIBIT 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SUBSIDIARIES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OF</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MONSTER BEVERAGE CORPORATION</w:t>
      </w:r>
    </w:p>
    <w:p>
      <w:pPr>
        <w:pStyle w:val="TextBody"/>
        <w:spacing w:before="0" w:after="0"/>
        <w:ind w:left="0" w:right="0" w:hanging="0"/>
        <w:jc w:val="center"/>
        <w:rPr/>
      </w:pPr>
      <w:r>
        <w:rPr/>
        <w:t>​</w:t>
      </w:r>
    </w:p>
    <w:tbl>
      <w:tblPr>
        <w:tblW w:w="9152" w:type="dxa"/>
        <w:jc w:val="left"/>
        <w:tblInd w:w="0" w:type="dxa"/>
        <w:tblCellMar>
          <w:top w:w="0" w:type="dxa"/>
          <w:left w:w="0" w:type="dxa"/>
          <w:bottom w:w="0" w:type="dxa"/>
          <w:right w:w="0" w:type="dxa"/>
        </w:tblCellMar>
      </w:tblPr>
      <w:tblGrid>
        <w:gridCol w:w="7186"/>
        <w:gridCol w:w="1966"/>
      </w:tblGrid>
      <w:tr>
        <w:trPr/>
        <w:tc>
          <w:tcPr>
            <w:tcW w:w="718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563110" cy="29210"/>
                      <wp:effectExtent l="0" t="0" r="0" b="0"/>
                      <wp:wrapNone/>
                      <wp:docPr id="597" name="Frame595"/>
                      <a:graphic xmlns:a="http://schemas.openxmlformats.org/drawingml/2006/main">
                        <a:graphicData uri="http://schemas.microsoft.com/office/word/2010/wordprocessingShape">
                          <wps:wsp>
                            <wps:cNvSpPr txBox="1"/>
                            <wps:spPr>
                              <a:xfrm>
                                <a:off x="0" y="0"/>
                                <a:ext cx="45631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3pt;height:2.3pt;mso-wrap-distance-left:0pt;mso-wrap-distance-right:0pt;mso-wrap-distance-top:0pt;mso-wrap-distance-bottom:0pt;margin-top:0pt;mso-position-vertical:top;mso-position-vertical-relative:text;margin-left:-179.6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6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248410" cy="29210"/>
                      <wp:effectExtent l="0" t="0" r="0" b="0"/>
                      <wp:wrapNone/>
                      <wp:docPr id="598" name="Frame596"/>
                      <a:graphic xmlns:a="http://schemas.openxmlformats.org/drawingml/2006/main">
                        <a:graphicData uri="http://schemas.microsoft.com/office/word/2010/wordprocessingShape">
                          <wps:wsp>
                            <wps:cNvSpPr txBox="1"/>
                            <wps:spPr>
                              <a:xfrm>
                                <a:off x="0" y="0"/>
                                <a:ext cx="12484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2.3pt;mso-wrap-distance-left:0pt;mso-wrap-distance-right:0pt;mso-wrap-distance-top:0pt;mso-wrap-distance-bottom:0pt;margin-top:0pt;mso-position-vertical:top;mso-position-vertical-relative:text;margin-left:-49.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7186" w:type="dxa"/>
            <w:tcBorders/>
            <w:shd w:fill="000000" w:val="clear"/>
            <w:vAlign w:val="center"/>
          </w:tcPr>
          <w:p>
            <w:pPr>
              <w:pStyle w:val="TableHeading"/>
              <w:spacing w:before="0" w:after="0"/>
              <w:ind w:left="0" w:right="0" w:hanging="0"/>
              <w:jc w:val="left"/>
              <w:rPr>
                <w:rFonts w:ascii="Times New Roman;Times;serif" w:hAnsi="Times New Roman;Times;serif"/>
                <w:b/>
                <w:color w:val="FFFFFF"/>
                <w:sz w:val="24"/>
              </w:rPr>
            </w:pPr>
            <w:r>
              <w:rPr>
                <w:rFonts w:ascii="Times New Roman;Times;serif" w:hAnsi="Times New Roman;Times;serif"/>
                <w:b/>
                <w:color w:val="FFFFFF"/>
                <w:sz w:val="24"/>
              </w:rPr>
              <w:t>Entity Name</w:t>
            </w:r>
          </w:p>
        </w:tc>
        <w:tc>
          <w:tcPr>
            <w:tcW w:w="1966" w:type="dxa"/>
            <w:tcBorders/>
            <w:shd w:fill="000000" w:val="clear"/>
            <w:vAlign w:val="center"/>
          </w:tcPr>
          <w:p>
            <w:pPr>
              <w:pStyle w:val="TableHeading"/>
              <w:spacing w:before="0" w:after="0"/>
              <w:ind w:left="0" w:right="0" w:hanging="0"/>
              <w:jc w:val="left"/>
              <w:rPr>
                <w:rFonts w:ascii="Times New Roman;Times;serif" w:hAnsi="Times New Roman;Times;serif"/>
                <w:b/>
                <w:color w:val="FFFFFF"/>
                <w:sz w:val="24"/>
              </w:rPr>
            </w:pPr>
            <w:r>
              <w:rPr>
                <w:rFonts w:ascii="Times New Roman;Times;serif" w:hAnsi="Times New Roman;Times;serif"/>
                <w:b/>
                <w:color w:val="FFFFFF"/>
                <w:sz w:val="24"/>
              </w:rPr>
              <w:t>Jurisdiction</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75-6099 Kuakini Highway,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Hawaii</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American Fruits and Flavors Ireland Limited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Ireland</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American Fruits and Flavors San Fernando,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American Fruits and Flavors,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Energy Beverages Australia Pty Ltd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Australia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Energy Beverages Chile SpA doing business as Reign SpA</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Chile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Energy Beverages Europe Limited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Ireland</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Energy Beverages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Energy Beverages Rus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Russian Federation</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Energy Beverages UK Limited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United Kingdom</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Fastest,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Flame Acquisition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Full Throttle Energy Company</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 Management Services, S. de R.L. de C.V.</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Mexico</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MEC Corona Summit II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MEC Corona Summit III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MEC Corona Summit IV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MEC Corona Summit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MEC Kona I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MECEB Productions II,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MECEB Productions,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2535 Anselmo LLC</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Beverage Company</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Connecticut</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Beverage Company Peru S.R.L.</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Peru</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Argentina S.A.</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Argentina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AU Pty Ltd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Australia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Austria GmbH</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Austria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Bebidas Ecuador Cia. Ltda.</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Ecuador</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Beverage (Shanghai) Co., Ltd.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China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Beverage Company of South Africa (Proprietary) Limited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South Africa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Brasil Comércio de Bebidas Ltda.</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Brazil</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Canada Ltd.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Canada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Cayman Limited</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Cayman Islands</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Colombia SAS</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Colombia</w:t>
            </w:r>
          </w:p>
        </w:tc>
      </w:tr>
      <w:tr>
        <w:trPr/>
        <w:tc>
          <w:tcPr>
            <w:tcW w:w="7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Company</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0"/>
        <w:ind w:left="0" w:right="0" w:hanging="0"/>
        <w:rPr/>
      </w:pPr>
      <w:r>
        <w:rPr/>
        <w:t>​</w:t>
      </w:r>
    </w:p>
    <w:tbl>
      <w:tblPr>
        <w:tblW w:w="8117" w:type="dxa"/>
        <w:jc w:val="left"/>
        <w:tblInd w:w="0" w:type="dxa"/>
        <w:tblCellMar>
          <w:top w:w="0" w:type="dxa"/>
          <w:left w:w="0" w:type="dxa"/>
          <w:bottom w:w="0" w:type="dxa"/>
          <w:right w:w="0" w:type="dxa"/>
        </w:tblCellMar>
      </w:tblPr>
      <w:tblGrid>
        <w:gridCol w:w="5896"/>
        <w:gridCol w:w="2221"/>
      </w:tblGrid>
      <w:tr>
        <w:trPr/>
        <w:tc>
          <w:tcPr>
            <w:tcW w:w="5896" w:type="dxa"/>
            <w:tcBorders/>
            <w:shd w:fill="000000" w:val="clear"/>
            <w:vAlign w:val="center"/>
          </w:tcPr>
          <w:p>
            <w:pPr>
              <w:pStyle w:val="TableContents"/>
              <w:spacing w:before="0" w:after="0"/>
              <w:ind w:left="0" w:right="0" w:hanging="0"/>
              <w:rPr>
                <w:rFonts w:ascii="Times New Roman;Times;serif" w:hAnsi="Times New Roman;Times;serif"/>
                <w:b/>
                <w:color w:val="FFFFFF"/>
                <w:sz w:val="24"/>
              </w:rPr>
            </w:pPr>
            <w:r>
              <w:rPr>
                <w:rFonts w:ascii="Times New Roman;Times;serif" w:hAnsi="Times New Roman;Times;serif"/>
                <w:b/>
                <w:color w:val="FFFFFF"/>
                <w:sz w:val="24"/>
              </w:rPr>
              <w:t>Entity Name</w:t>
            </w:r>
          </w:p>
        </w:tc>
        <w:tc>
          <w:tcPr>
            <w:tcW w:w="2221" w:type="dxa"/>
            <w:tcBorders/>
            <w:shd w:fill="000000" w:val="clear"/>
            <w:vAlign w:val="center"/>
          </w:tcPr>
          <w:p>
            <w:pPr>
              <w:pStyle w:val="TableContents"/>
              <w:spacing w:before="0" w:after="0"/>
              <w:ind w:left="0" w:right="0" w:hanging="0"/>
              <w:rPr>
                <w:rFonts w:ascii="Times New Roman;Times;serif" w:hAnsi="Times New Roman;Times;serif"/>
                <w:b/>
                <w:color w:val="FFFFFF"/>
                <w:sz w:val="24"/>
              </w:rPr>
            </w:pPr>
            <w:r>
              <w:rPr>
                <w:rFonts w:ascii="Times New Roman;Times;serif" w:hAnsi="Times New Roman;Times;serif"/>
                <w:b/>
                <w:color w:val="FFFFFF"/>
                <w:sz w:val="24"/>
              </w:rPr>
              <w:t>Jurisdiction</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Company (Swaziland) (Proprietary)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Eswatini</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Company (Taiwan)</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Taiwan</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Company -Chile- Limitada</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Chile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Costa Rica, Limitada</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Costa Rica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Dominican Republic, S.R.L.</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Dominican Republic</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Egypt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Egypt</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Europe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United Kingdom</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France S.A.S.</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France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Hong Kong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Hong Kong</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India Private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India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International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Ireland</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International Company</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Israel Ltd.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Israel</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Japan Godo Kaisha</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Japan</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Kazakhstan LLP</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Kazakhstan</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Korea, Ltd.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South Korea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Ireland</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México, S. de R.L. de C.V.</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Mexico</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Nigeria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Nigeria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Pakistan (Private)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Pakistan</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PRC Holdings (HK)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Hong Kong</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Rus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Russian Federation</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SER doo Beograd-Vracar</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Serbia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Singapore Pte. Ltd.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Singapore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Southeast Asia Sdn. Bhd.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Malaysia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Trading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United Arab Emirates</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Trinidad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Trinidad and Tobago</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UK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United Kingdom</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Ukraine, Limited Liability Company</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Ukraine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US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Energy Vietnam Company Ltd.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Vietnam</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House Limited</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United Kingdom</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Içecek Ticaret Limited Şirketi</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Turkey</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Monster LDA Company</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NOS Energy Company</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Reign Beverage Company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Rialto Renaissance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Rule Beverage Company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Seltzer Brands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California</w:t>
            </w:r>
          </w:p>
        </w:tc>
      </w:tr>
      <w:tr>
        <w:trPr/>
        <w:tc>
          <w:tcPr>
            <w:tcW w:w="58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True North Beverage LLC</w:t>
            </w:r>
          </w:p>
        </w:tc>
        <w:tc>
          <w:tcPr>
            <w:tcW w:w="2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Delaware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925" w:name="mnst-20211231xex23.htm"/>
      <w:bookmarkStart w:id="1926" w:name="ksmnst20211231xex23"/>
      <w:bookmarkEnd w:id="1925"/>
      <w:bookmarkEnd w:id="1926"/>
      <w:r>
        <w:rPr>
          <w:rFonts w:ascii="Times New Roman;Times;serif" w:hAnsi="Times New Roman;Times;serif"/>
          <w:b/>
          <w:sz w:val="22"/>
        </w:rPr>
        <w:t>EXHIBIT 23</w:t>
      </w:r>
    </w:p>
    <w:p>
      <w:pPr>
        <w:pStyle w:val="TextBody"/>
        <w:spacing w:before="0" w:after="120"/>
        <w:ind w:left="0" w:right="0" w:hanging="0"/>
        <w:jc w:val="both"/>
        <w:rPr/>
      </w:pPr>
      <w:r>
        <w:rPr/>
        <w:t>​</w:t>
      </w:r>
    </w:p>
    <w:p>
      <w:pPr>
        <w:pStyle w:val="TextBody"/>
        <w:spacing w:before="0" w:after="100"/>
        <w:ind w:left="0" w:right="0" w:hanging="0"/>
        <w:rPr>
          <w:rFonts w:ascii="Times New Roman;Times;serif" w:hAnsi="Times New Roman;Times;serif"/>
          <w:sz w:val="22"/>
        </w:rPr>
      </w:pPr>
      <w:r>
        <w:rPr>
          <w:rFonts w:ascii="Times New Roman;Times;serif" w:hAnsi="Times New Roman;Times;serif"/>
          <w:sz w:val="22"/>
        </w:rPr>
        <w:t>CONSENT OF INDEPENDENT REGISTERED PUBLIC ACCOUNTING FIRM</w:t>
      </w:r>
    </w:p>
    <w:p>
      <w:pPr>
        <w:pStyle w:val="TextBody"/>
        <w:spacing w:before="0" w:after="100"/>
        <w:ind w:left="0" w:right="0" w:hanging="0"/>
        <w:jc w:val="both"/>
        <w:rPr>
          <w:rFonts w:ascii="Times New Roman;Times;serif" w:hAnsi="Times New Roman;Times;serif"/>
          <w:sz w:val="22"/>
        </w:rPr>
      </w:pPr>
      <w:r>
        <w:rPr>
          <w:rFonts w:ascii="Times New Roman;Times;serif" w:hAnsi="Times New Roman;Times;serif"/>
          <w:sz w:val="22"/>
        </w:rPr>
        <w:t>We consent to the incorporation by reference in Registration Statement No. 333-218883, No. 333-215326, No. 333-238943, No. 333-41333, No. 333-89123, No. 333-112482, No. 333-131467, No. 333-170713, No. 333-174614 and No. 033-92526 on Form S-8 of our reports dated February 28, 2022, relating to the financial statements of Monster Beverage Corporation and the effectiveness of Monster Beverage Corporation’s internal control over financial reporting appearing in this Annual Report on Form 10-K for the year ended December 31, 2021.</w:t>
      </w:r>
    </w:p>
    <w:p>
      <w:pPr>
        <w:pStyle w:val="TextBody"/>
        <w:spacing w:before="0" w:after="100"/>
        <w:ind w:left="0" w:right="0" w:hanging="0"/>
        <w:jc w:val="both"/>
        <w:rPr/>
      </w:pPr>
      <w:r>
        <w:rPr/>
        <w:t>​</w:t>
      </w:r>
    </w:p>
    <w:p>
      <w:pPr>
        <w:pStyle w:val="TextBody"/>
        <w:spacing w:before="0" w:after="100"/>
        <w:ind w:left="0" w:right="0" w:hanging="0"/>
        <w:rPr>
          <w:rFonts w:ascii="Times New Roman;Times;serif" w:hAnsi="Times New Roman;Times;serif"/>
          <w:sz w:val="22"/>
        </w:rPr>
      </w:pPr>
      <w:r>
        <w:rPr>
          <w:rFonts w:ascii="Times New Roman;Times;serif" w:hAnsi="Times New Roman;Times;serif"/>
          <w:sz w:val="22"/>
        </w:rPr>
        <w:t>/s/ DELOITTE &amp; TOUCHE LLP</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2"/>
        </w:rPr>
        <w:t>Costa Mesa</w:t>
      </w:r>
      <w:r>
        <w:rPr>
          <w:rFonts w:ascii="Times New Roman;Times;serif" w:hAnsi="Times New Roman;Times;serif"/>
          <w:i/>
          <w:sz w:val="22"/>
        </w:rPr>
        <w:t xml:space="preserve">, </w:t>
      </w:r>
      <w:r>
        <w:rPr>
          <w:rFonts w:ascii="Times New Roman;Times;serif" w:hAnsi="Times New Roman;Times;serif"/>
          <w:sz w:val="22"/>
        </w:rPr>
        <w:t xml:space="preserve">California </w:t>
        <w:br/>
        <w:t>February 28, 2022</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927" w:name="mnst-20211231xex31d1.htm"/>
      <w:bookmarkStart w:id="1928" w:name="ksmnst20211231xex31d1"/>
      <w:bookmarkEnd w:id="1927"/>
      <w:bookmarkEnd w:id="1928"/>
      <w:r>
        <w:rPr>
          <w:rFonts w:ascii="Times New Roman;Times;serif" w:hAnsi="Times New Roman;Times;serif"/>
          <w:b/>
          <w:sz w:val="22"/>
        </w:rPr>
        <w:t>EXHIBIT 31.1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 RULE 13A-14(a) OR 15D-14(a) OF THE SECURITIES</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EXCHANGE ACT OF 1934, AS ADOPTED PURSUANT TO SECTION 302 OF THE</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I, Rodney Sacks, certify that:</w:t>
      </w:r>
    </w:p>
    <w:p>
      <w:pPr>
        <w:pStyle w:val="TextBody"/>
        <w:spacing w:before="0" w:after="0"/>
        <w:ind w:left="0" w:right="0" w:hanging="0"/>
        <w:rPr/>
      </w:pPr>
      <w:r>
        <w:rPr/>
        <w:t>​</w:t>
      </w:r>
    </w:p>
    <w:tbl>
      <w:tblPr>
        <w:tblW w:w="8080" w:type="dxa"/>
        <w:jc w:val="left"/>
        <w:tblInd w:w="0" w:type="dxa"/>
        <w:tblCellMar>
          <w:top w:w="0" w:type="dxa"/>
          <w:left w:w="0" w:type="dxa"/>
          <w:bottom w:w="0" w:type="dxa"/>
          <w:right w:w="0" w:type="dxa"/>
        </w:tblCellMar>
      </w:tblPr>
      <w:tblGrid>
        <w:gridCol w:w="200"/>
        <w:gridCol w:w="7880"/>
      </w:tblGrid>
      <w:tr>
        <w:trPr/>
        <w:tc>
          <w:tcPr>
            <w:tcW w:w="2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788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I have reviewed this annual report on Form 10-K of Monster Beverage Corporation;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2.</w:t>
            </w:r>
          </w:p>
        </w:tc>
        <w:tc>
          <w:tcPr>
            <w:tcW w:w="10046"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360" w:right="0" w:hanging="0"/>
        <w:jc w:val="both"/>
        <w:rPr/>
      </w:pPr>
      <w:r>
        <w:rPr/>
        <w:t>​</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3.</w:t>
            </w:r>
          </w:p>
        </w:tc>
        <w:tc>
          <w:tcPr>
            <w:tcW w:w="10043"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4.</w:t>
            </w:r>
          </w:p>
        </w:tc>
        <w:tc>
          <w:tcPr>
            <w:tcW w:w="1004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c.</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5.  </w:t>
            </w:r>
          </w:p>
        </w:tc>
        <w:tc>
          <w:tcPr>
            <w:tcW w:w="10001"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5928" w:type="dxa"/>
        <w:jc w:val="center"/>
        <w:tblInd w:w="0" w:type="dxa"/>
        <w:tblCellMar>
          <w:top w:w="0" w:type="dxa"/>
          <w:left w:w="0" w:type="dxa"/>
          <w:bottom w:w="0" w:type="dxa"/>
          <w:right w:w="0" w:type="dxa"/>
        </w:tblCellMar>
      </w:tblPr>
      <w:tblGrid>
        <w:gridCol w:w="616"/>
        <w:gridCol w:w="1846"/>
        <w:gridCol w:w="3466"/>
      </w:tblGrid>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February 28, 2022</w:t>
            </w:r>
          </w:p>
        </w:tc>
        <w:tc>
          <w:tcPr>
            <w:tcW w:w="34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Rodney C. Sacks</w:t>
            </w:r>
          </w:p>
        </w:tc>
      </w:tr>
      <w:tr>
        <w:trPr/>
        <w:tc>
          <w:tcPr>
            <w:tcW w:w="616"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pPr>
            <w:r>
              <w:rPr/>
              <w:t>​</w:t>
            </w:r>
          </w:p>
        </w:tc>
        <w:tc>
          <w:tcPr>
            <w:tcW w:w="346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Rodney C. Sacks</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Chairman of the Board of Directors</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and Co-Chief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929" w:name="mnst-20211231xex31d2.htm"/>
      <w:bookmarkStart w:id="1930" w:name="ksmnst20211231xex31d2"/>
      <w:bookmarkEnd w:id="1929"/>
      <w:bookmarkEnd w:id="1930"/>
      <w:r>
        <w:rPr>
          <w:rFonts w:ascii="Times New Roman;Times;serif" w:hAnsi="Times New Roman;Times;serif"/>
          <w:b/>
          <w:sz w:val="22"/>
        </w:rPr>
        <w:t>EXHIBIT 31.2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 RULE 13A-14(a) OR 15D-14(a) OF THE SECURITIES</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EXCHANGE ACT OF 1934, AS ADOPTED PURSUANT TO SECTION 302 OF THE</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I, Hilton Schlosberg, certify that:</w:t>
      </w:r>
    </w:p>
    <w:p>
      <w:pPr>
        <w:pStyle w:val="TextBody"/>
        <w:spacing w:before="0" w:after="0"/>
        <w:ind w:left="0" w:right="0" w:hanging="0"/>
        <w:rPr/>
      </w:pPr>
      <w:r>
        <w:rPr/>
        <w:t>​</w:t>
      </w:r>
    </w:p>
    <w:tbl>
      <w:tblPr>
        <w:tblW w:w="8080" w:type="dxa"/>
        <w:jc w:val="left"/>
        <w:tblInd w:w="0" w:type="dxa"/>
        <w:tblCellMar>
          <w:top w:w="0" w:type="dxa"/>
          <w:left w:w="0" w:type="dxa"/>
          <w:bottom w:w="0" w:type="dxa"/>
          <w:right w:w="0" w:type="dxa"/>
        </w:tblCellMar>
      </w:tblPr>
      <w:tblGrid>
        <w:gridCol w:w="200"/>
        <w:gridCol w:w="7880"/>
      </w:tblGrid>
      <w:tr>
        <w:trPr/>
        <w:tc>
          <w:tcPr>
            <w:tcW w:w="2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788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I have reviewed this annual report on Form 10-K of Monster Beverage Corporation;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2.</w:t>
            </w:r>
          </w:p>
        </w:tc>
        <w:tc>
          <w:tcPr>
            <w:tcW w:w="10046"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3.</w:t>
            </w:r>
          </w:p>
        </w:tc>
        <w:tc>
          <w:tcPr>
            <w:tcW w:w="10043"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4.</w:t>
            </w:r>
          </w:p>
        </w:tc>
        <w:tc>
          <w:tcPr>
            <w:tcW w:w="1004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c.</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5.</w:t>
            </w:r>
          </w:p>
        </w:tc>
        <w:tc>
          <w:tcPr>
            <w:tcW w:w="10044"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9453" w:type="dxa"/>
        <w:jc w:val="center"/>
        <w:tblInd w:w="0" w:type="dxa"/>
        <w:tblCellMar>
          <w:top w:w="0" w:type="dxa"/>
          <w:left w:w="0" w:type="dxa"/>
          <w:bottom w:w="0" w:type="dxa"/>
          <w:right w:w="0" w:type="dxa"/>
        </w:tblCellMar>
      </w:tblPr>
      <w:tblGrid>
        <w:gridCol w:w="616"/>
        <w:gridCol w:w="1846"/>
        <w:gridCol w:w="6991"/>
      </w:tblGrid>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February 28, 2022</w:t>
            </w:r>
          </w:p>
        </w:tc>
        <w:tc>
          <w:tcPr>
            <w:tcW w:w="69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Hilton H. Schlosberg</w:t>
            </w:r>
          </w:p>
        </w:tc>
      </w:tr>
      <w:tr>
        <w:trPr/>
        <w:tc>
          <w:tcPr>
            <w:tcW w:w="616"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pPr>
            <w:r>
              <w:rPr/>
              <w:t>​</w:t>
            </w:r>
          </w:p>
        </w:tc>
        <w:tc>
          <w:tcPr>
            <w:tcW w:w="6991"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Hilton H. Schlosberg</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Vice Chairman of the Board of Directors and Co-Chief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931" w:name="mnst-20211231xex31d3.htm"/>
      <w:bookmarkStart w:id="1932" w:name="ksmnst20211231xex31d3"/>
      <w:bookmarkEnd w:id="1931"/>
      <w:bookmarkEnd w:id="1932"/>
      <w:r>
        <w:rPr>
          <w:rFonts w:ascii="Times New Roman;Times;serif" w:hAnsi="Times New Roman;Times;serif"/>
          <w:b/>
          <w:sz w:val="22"/>
        </w:rPr>
        <w:t>EXHIBIT 31.3</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 RULE 13A-14(a) OR 15D-14(a) OF THE SECURITIES</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EXCHANGE ACT OF 1934, AS ADOPTED PURSUANT TO SECTION 302 OF THE</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I, Thomas Kelly, certify that:</w:t>
      </w:r>
    </w:p>
    <w:p>
      <w:pPr>
        <w:pStyle w:val="TextBody"/>
        <w:spacing w:before="0" w:after="0"/>
        <w:ind w:left="0" w:right="0" w:hanging="0"/>
        <w:rPr/>
      </w:pPr>
      <w:r>
        <w:rPr/>
        <w:t>​</w:t>
      </w:r>
    </w:p>
    <w:tbl>
      <w:tblPr>
        <w:tblW w:w="8080" w:type="dxa"/>
        <w:jc w:val="left"/>
        <w:tblInd w:w="0" w:type="dxa"/>
        <w:tblCellMar>
          <w:top w:w="0" w:type="dxa"/>
          <w:left w:w="0" w:type="dxa"/>
          <w:bottom w:w="0" w:type="dxa"/>
          <w:right w:w="0" w:type="dxa"/>
        </w:tblCellMar>
      </w:tblPr>
      <w:tblGrid>
        <w:gridCol w:w="200"/>
        <w:gridCol w:w="7880"/>
      </w:tblGrid>
      <w:tr>
        <w:trPr/>
        <w:tc>
          <w:tcPr>
            <w:tcW w:w="2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788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I have reviewed this annual report on Form 10-K of Monster Beverage Corporation;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2.</w:t>
            </w:r>
          </w:p>
        </w:tc>
        <w:tc>
          <w:tcPr>
            <w:tcW w:w="10046"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3.</w:t>
            </w:r>
          </w:p>
        </w:tc>
        <w:tc>
          <w:tcPr>
            <w:tcW w:w="10043"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4.</w:t>
            </w:r>
          </w:p>
        </w:tc>
        <w:tc>
          <w:tcPr>
            <w:tcW w:w="1004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c.</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5.</w:t>
            </w:r>
          </w:p>
        </w:tc>
        <w:tc>
          <w:tcPr>
            <w:tcW w:w="10044"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758" w:type="dxa"/>
        <w:jc w:val="center"/>
        <w:tblInd w:w="0" w:type="dxa"/>
        <w:tblCellMar>
          <w:top w:w="0" w:type="dxa"/>
          <w:left w:w="0" w:type="dxa"/>
          <w:bottom w:w="0" w:type="dxa"/>
          <w:right w:w="0" w:type="dxa"/>
        </w:tblCellMar>
      </w:tblPr>
      <w:tblGrid>
        <w:gridCol w:w="616"/>
        <w:gridCol w:w="1846"/>
        <w:gridCol w:w="2296"/>
      </w:tblGrid>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February 28, 2022</w:t>
            </w:r>
          </w:p>
        </w:tc>
        <w:tc>
          <w:tcPr>
            <w:tcW w:w="2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Thomas J. Kelly</w:t>
            </w:r>
          </w:p>
        </w:tc>
      </w:tr>
      <w:tr>
        <w:trPr/>
        <w:tc>
          <w:tcPr>
            <w:tcW w:w="616"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Thomas J. Kelly</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933" w:name="mnst-20211231xex32d1.htm"/>
      <w:bookmarkStart w:id="1934" w:name="ksmnst20211231xex32d1"/>
      <w:bookmarkEnd w:id="1933"/>
      <w:bookmarkEnd w:id="1934"/>
      <w:r>
        <w:rPr>
          <w:rFonts w:ascii="Times New Roman;Times;serif" w:hAnsi="Times New Roman;Times;serif"/>
          <w:b/>
          <w:sz w:val="22"/>
        </w:rPr>
        <w:t>EXHIBIT 32.1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18 U.S.C. SECTION 1350,</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AS ADOPTED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In connection with the annual report of Monster Beverage Corporation (the “Company”) on Form 10-K for the year ended December 31, 2021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1.</w:t>
            </w:r>
          </w:p>
        </w:tc>
        <w:tc>
          <w:tcPr>
            <w:tcW w:w="9989"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Report fully complies with the requirements of Section 13(a) or 15(d) of the Securities Exchange Act of 1934;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82"/>
        <w:gridCol w:w="10000"/>
      </w:tblGrid>
      <w:tr>
        <w:trPr/>
        <w:tc>
          <w:tcPr>
            <w:tcW w:w="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2.</w:t>
            </w:r>
          </w:p>
        </w:tc>
        <w:tc>
          <w:tcPr>
            <w:tcW w:w="100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5928" w:type="dxa"/>
        <w:jc w:val="center"/>
        <w:tblInd w:w="0" w:type="dxa"/>
        <w:tblCellMar>
          <w:top w:w="0" w:type="dxa"/>
          <w:left w:w="0" w:type="dxa"/>
          <w:bottom w:w="0" w:type="dxa"/>
          <w:right w:w="0" w:type="dxa"/>
        </w:tblCellMar>
      </w:tblPr>
      <w:tblGrid>
        <w:gridCol w:w="616"/>
        <w:gridCol w:w="1846"/>
        <w:gridCol w:w="3466"/>
      </w:tblGrid>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February 28, 2022</w:t>
            </w:r>
          </w:p>
        </w:tc>
        <w:tc>
          <w:tcPr>
            <w:tcW w:w="34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Rodney C. Sacks</w:t>
            </w:r>
          </w:p>
        </w:tc>
      </w:tr>
      <w:tr>
        <w:trPr/>
        <w:tc>
          <w:tcPr>
            <w:tcW w:w="616"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pPr>
            <w:r>
              <w:rPr/>
              <w:t>​</w:t>
            </w:r>
          </w:p>
        </w:tc>
        <w:tc>
          <w:tcPr>
            <w:tcW w:w="346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Rodney C. Sacks</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Chairman of the Board of Directors</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and Co-Chief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935" w:name="mnst-20211231xex32d2.htm"/>
      <w:bookmarkStart w:id="1936" w:name="ksmnst20211231xex32d2"/>
      <w:bookmarkEnd w:id="1935"/>
      <w:bookmarkEnd w:id="1936"/>
      <w:r>
        <w:rPr>
          <w:rFonts w:ascii="Times New Roman;Times;serif" w:hAnsi="Times New Roman;Times;serif"/>
          <w:b/>
          <w:sz w:val="22"/>
        </w:rPr>
        <w:t>EXHIBIT 32.2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18 U.S.C. SECTION 1350,</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AS ADOPTED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In connection with the annual report of Monster Beverage Corporation (the “Company”) on Form 10-K for the year ended December 31, 2021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1.</w:t>
            </w:r>
          </w:p>
        </w:tc>
        <w:tc>
          <w:tcPr>
            <w:tcW w:w="9989"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Report fully complies with the requirements of Section 13(a) or 15(d) of the Securities Exchange Act of 1934;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2"/>
        <w:gridCol w:w="10000"/>
      </w:tblGrid>
      <w:tr>
        <w:trPr/>
        <w:tc>
          <w:tcPr>
            <w:tcW w:w="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2.</w:t>
            </w:r>
          </w:p>
        </w:tc>
        <w:tc>
          <w:tcPr>
            <w:tcW w:w="100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9453" w:type="dxa"/>
        <w:jc w:val="center"/>
        <w:tblInd w:w="0" w:type="dxa"/>
        <w:tblCellMar>
          <w:top w:w="0" w:type="dxa"/>
          <w:left w:w="0" w:type="dxa"/>
          <w:bottom w:w="0" w:type="dxa"/>
          <w:right w:w="0" w:type="dxa"/>
        </w:tblCellMar>
      </w:tblPr>
      <w:tblGrid>
        <w:gridCol w:w="616"/>
        <w:gridCol w:w="1846"/>
        <w:gridCol w:w="6991"/>
      </w:tblGrid>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February 28, 2022</w:t>
            </w:r>
          </w:p>
        </w:tc>
        <w:tc>
          <w:tcPr>
            <w:tcW w:w="69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Hilton H. Schlosberg</w:t>
            </w:r>
          </w:p>
        </w:tc>
      </w:tr>
      <w:tr>
        <w:trPr/>
        <w:tc>
          <w:tcPr>
            <w:tcW w:w="616"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pPr>
            <w:r>
              <w:rPr/>
              <w:t>​</w:t>
            </w:r>
          </w:p>
        </w:tc>
        <w:tc>
          <w:tcPr>
            <w:tcW w:w="6991"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Hilton H. Schlosberg</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Vice Chairman of the Board of Directors and Co-Chief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937" w:name="mnst-20211231xex32d3.htm"/>
      <w:bookmarkStart w:id="1938" w:name="ksmnst20211231xex32d3"/>
      <w:bookmarkEnd w:id="1937"/>
      <w:bookmarkEnd w:id="1938"/>
      <w:r>
        <w:rPr>
          <w:rFonts w:ascii="Times New Roman;Times;serif" w:hAnsi="Times New Roman;Times;serif"/>
          <w:b/>
          <w:sz w:val="22"/>
        </w:rPr>
        <w:t>EXHIBIT 32.3</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18 U.S.C. SECTION 1350,</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AS ADOPTED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In connection with the annual report of Monster Beverage Corporation (the “Company”) on Form 10-K for the year ended December 31, 2021 as filed with the Securities and Exchange Commission (the “Report”), the undersigned, Thomas J. Kelly, Chief Financial Officer of the Company, certifies, pursuant to 18 U.S.C. 1350, as adopted pursuant to Section 906 of the Sarbanes-Oxley Act of 2002, that: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9989"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The Report fully complies with the requirements of Section 13(a) or 15(d) of the Securities Exchange Act of 1934;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2"/>
        <w:gridCol w:w="10000"/>
      </w:tblGrid>
      <w:tr>
        <w:trPr/>
        <w:tc>
          <w:tcPr>
            <w:tcW w:w="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2.</w:t>
            </w:r>
          </w:p>
        </w:tc>
        <w:tc>
          <w:tcPr>
            <w:tcW w:w="100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4758" w:type="dxa"/>
        <w:jc w:val="center"/>
        <w:tblInd w:w="0" w:type="dxa"/>
        <w:tblCellMar>
          <w:top w:w="0" w:type="dxa"/>
          <w:left w:w="0" w:type="dxa"/>
          <w:bottom w:w="0" w:type="dxa"/>
          <w:right w:w="0" w:type="dxa"/>
        </w:tblCellMar>
      </w:tblPr>
      <w:tblGrid>
        <w:gridCol w:w="616"/>
        <w:gridCol w:w="1846"/>
        <w:gridCol w:w="2296"/>
      </w:tblGrid>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February 28, 2022</w:t>
            </w:r>
          </w:p>
        </w:tc>
        <w:tc>
          <w:tcPr>
            <w:tcW w:w="2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Thomas J. Kelly</w:t>
            </w:r>
          </w:p>
        </w:tc>
      </w:tr>
      <w:tr>
        <w:trPr/>
        <w:tc>
          <w:tcPr>
            <w:tcW w:w="616"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Thomas J. Kelly</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Chief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65752/000110465914061722/a14-19122_2ex2d1.htm" TargetMode="External"/><Relationship Id="rId4" Type="http://schemas.openxmlformats.org/officeDocument/2006/relationships/hyperlink" Target="https://www.sec.gov/Archives/edgar/data/865752/000110465918018960/a18-8560_1ex2d1.htm" TargetMode="External"/><Relationship Id="rId5" Type="http://schemas.openxmlformats.org/officeDocument/2006/relationships/hyperlink" Target="https://www.sec.gov/Archives/edgar/data/865752/000110465914061722/a14-19122_2ex2d2.htm" TargetMode="External"/><Relationship Id="rId6" Type="http://schemas.openxmlformats.org/officeDocument/2006/relationships/hyperlink" Target="https://www.sec.gov/Archives/edgar/data/865752/000110465916155163/a16-20895_1ex3d1.htm" TargetMode="External"/><Relationship Id="rId7" Type="http://schemas.openxmlformats.org/officeDocument/2006/relationships/hyperlink" Target="https://www.sec.gov/Archives/edgar/data/865752/000110465918024237/a18-10038_1ex3d2.htm" TargetMode="External"/><Relationship Id="rId8" Type="http://schemas.openxmlformats.org/officeDocument/2006/relationships/hyperlink" Target="https://www.sec.gov/Archives/edgar/data/865752/000110465920027209/ex-4d1.htm" TargetMode="External"/><Relationship Id="rId9" Type="http://schemas.openxmlformats.org/officeDocument/2006/relationships/hyperlink" Target="https://www.sec.gov/Archives/edgar/data/865752/000110465915058216/a15-11963_1ex10d1.htm" TargetMode="External"/><Relationship Id="rId10" Type="http://schemas.openxmlformats.org/officeDocument/2006/relationships/hyperlink" Target="https://www.sec.gov/Archives/edgar/data/865752/000110465915058216/a15-11963_1ex10d2.htm" TargetMode="External"/><Relationship Id="rId11" Type="http://schemas.openxmlformats.org/officeDocument/2006/relationships/hyperlink" Target="https://www.sec.gov/Archives/edgar/data/865752/000110465919034816/a19-11405_1ex10d1.htm" TargetMode="External"/><Relationship Id="rId12" Type="http://schemas.openxmlformats.org/officeDocument/2006/relationships/hyperlink" Target="https://www.sec.gov/Archives/edgar/data/865752/000110465921029943/mnst-20201231xex10d4.htm" TargetMode="External"/><Relationship Id="rId13" Type="http://schemas.openxmlformats.org/officeDocument/2006/relationships/hyperlink" Target="https://www.sec.gov/Archives/edgar/data/865752/000110465911045251/a11-12791_1ex10d1.htm" TargetMode="External"/><Relationship Id="rId14" Type="http://schemas.openxmlformats.org/officeDocument/2006/relationships/hyperlink" Target="https://www.sec.gov/Archives/edgar/data/865752/000086575211000006/e101.htm" TargetMode="External"/><Relationship Id="rId15" Type="http://schemas.openxmlformats.org/officeDocument/2006/relationships/hyperlink" Target="https://www.sec.gov/Archives/edgar/data/865752/000086575214000005/e101.htm" TargetMode="External"/><Relationship Id="rId16" Type="http://schemas.openxmlformats.org/officeDocument/2006/relationships/hyperlink" Target="https://www.sec.gov/Archives/edgar/data/865752/000086575214000005/e102.htm" TargetMode="External"/><Relationship Id="rId17" Type="http://schemas.openxmlformats.org/officeDocument/2006/relationships/hyperlink" Target="https://www.sec.gov/Archives/edgar/data/865752/000110465918014057/a18-1123_1ex10d10.htm" TargetMode="External"/><Relationship Id="rId18" Type="http://schemas.openxmlformats.org/officeDocument/2006/relationships/hyperlink" Target="https://www.sec.gov/Archives/edgar/data/865752/000110465918014057/a18-1123_1ex10d11.htm" TargetMode="External"/><Relationship Id="rId19" Type="http://schemas.openxmlformats.org/officeDocument/2006/relationships/hyperlink" Target="https://www.sec.gov/Archives/edgar/data/865752/000110465920058939/mnst-20200331xex10d1.htm" TargetMode="External"/><Relationship Id="rId20" Type="http://schemas.openxmlformats.org/officeDocument/2006/relationships/hyperlink" Target="https://www.sec.gov/Archives/edgar/data/865752/000110465920058939/mnst-20200331xex10d2.htm" TargetMode="External"/><Relationship Id="rId21" Type="http://schemas.openxmlformats.org/officeDocument/2006/relationships/hyperlink" Target="https://www.sec.gov/Archives/edgar/data/865752/000110465921029943/mnst-20201231xex10d13.htm" TargetMode="External"/><Relationship Id="rId22" Type="http://schemas.openxmlformats.org/officeDocument/2006/relationships/hyperlink" Target="https://www.sec.gov/Archives/edgar/data/865752/000110465921029943/mnst-20201231xex10d14.htm" TargetMode="External"/><Relationship Id="rId23" Type="http://schemas.openxmlformats.org/officeDocument/2006/relationships/hyperlink" Target="https://www.sec.gov/Archives/edgar/data/865752/000110465920049271/tm202064-1_def14a.htm" TargetMode="External"/><Relationship Id="rId24" Type="http://schemas.openxmlformats.org/officeDocument/2006/relationships/hyperlink" Target="https://www.sec.gov/Archives/edgar/data/865752/000110465917040692/a17-15453_1ex4d1.htm" TargetMode="External"/><Relationship Id="rId25" Type="http://schemas.openxmlformats.org/officeDocument/2006/relationships/hyperlink" Target="https://www.sec.gov/Archives/edgar/data/865752/000110465917040692/a17-15453_1ex4d2.htm" TargetMode="External"/><Relationship Id="rId26" Type="http://schemas.openxmlformats.org/officeDocument/2006/relationships/hyperlink" Target="https://www.sec.gov/Archives/edgar/data/865752/000110465918014057/a18-1123_1ex10d14.htm" TargetMode="External"/><Relationship Id="rId27" Type="http://schemas.openxmlformats.org/officeDocument/2006/relationships/hyperlink" Target="https://www.sec.gov/Archives/edgar/data/865752/000110465921063189/mnst-20210331xex10d1.htm" TargetMode="External"/><Relationship Id="rId28" Type="http://schemas.openxmlformats.org/officeDocument/2006/relationships/hyperlink" Target="https://www.sec.gov/Archives/edgar/data/865752/000110465921063189/mnst-20210331xex10d2.htm" TargetMode="External"/><Relationship Id="rId29" Type="http://schemas.openxmlformats.org/officeDocument/2006/relationships/hyperlink" Target="https://www.sec.gov/Archives/edgar/data/865752/000110465921063189/mnst-20210331xex10d3.htm" TargetMode="External"/><Relationship Id="rId30" Type="http://schemas.openxmlformats.org/officeDocument/2006/relationships/hyperlink" Target="https://www.sec.gov/Archives/edgar/data/865752/000110465921063189/mnst-20210331xex10d4.htm" TargetMode="External"/><Relationship Id="rId31" Type="http://schemas.openxmlformats.org/officeDocument/2006/relationships/image" Target="media/image2.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60076</Words>
  <CharactersWithSpaces>406598</CharactersWithSpaces>
  <Paragraphs>11130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