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0" w:lineRule="exact"/>
        <w:rPr>
          <w:sz w:val="24"/>
          <w:szCs w:val="24"/>
          <w:color w:val="auto"/>
        </w:rPr>
      </w:pPr>
    </w:p>
    <w:p>
      <w:pPr>
        <w:spacing w:after="0" w:line="263" w:lineRule="exact"/>
        <w:rPr>
          <w:sz w:val="24"/>
          <w:szCs w:val="24"/>
          <w:color w:val="auto"/>
        </w:rPr>
      </w:pPr>
    </w:p>
    <w:p>
      <w:pPr>
        <w:spacing w:after="0"/>
        <w:tabs>
          <w:tab w:leader="none" w:pos="6820" w:val="left"/>
        </w:tabs>
        <w:rPr>
          <w:sz w:val="20"/>
          <w:szCs w:val="20"/>
          <w:color w:val="auto"/>
        </w:rPr>
      </w:pPr>
      <w:r>
        <w:rPr>
          <w:rFonts w:ascii="Arial" w:cs="Arial" w:eastAsia="Arial" w:hAnsi="Arial"/>
          <w:sz w:val="20"/>
          <w:szCs w:val="20"/>
          <w:color w:val="auto"/>
        </w:rPr>
        <w:t>For the quarterly period ended March 31, 2015</w:t>
      </w:r>
      <w:r>
        <w:rPr>
          <w:sz w:val="20"/>
          <w:szCs w:val="20"/>
          <w:color w:val="auto"/>
        </w:rPr>
        <w:tab/>
      </w:r>
      <w:r>
        <w:rPr>
          <w:rFonts w:ascii="Arial" w:cs="Arial" w:eastAsia="Arial" w:hAnsi="Arial"/>
          <w:sz w:val="18"/>
          <w:szCs w:val="18"/>
          <w:color w:val="auto"/>
        </w:rPr>
        <w:t>Commission File Number 0-18761</w:t>
      </w:r>
    </w:p>
    <w:p>
      <w:pPr>
        <w:spacing w:after="0" w:line="200" w:lineRule="exact"/>
        <w:rPr>
          <w:sz w:val="24"/>
          <w:szCs w:val="24"/>
          <w:color w:val="auto"/>
        </w:rPr>
      </w:pPr>
    </w:p>
    <w:p>
      <w:pPr>
        <w:spacing w:after="0" w:line="28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MONSTER BEVERAGE CORPORATION</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420"/>
          </w:cols>
          <w:pgMar w:left="240" w:top="231" w:right="239" w:bottom="0" w:gutter="0" w:footer="0" w:header="0"/>
        </w:sectPr>
      </w:pPr>
    </w:p>
    <w:p>
      <w:pPr>
        <w:spacing w:after="0" w:line="200" w:lineRule="exact"/>
        <w:rPr>
          <w:sz w:val="24"/>
          <w:szCs w:val="24"/>
          <w:color w:val="auto"/>
        </w:rPr>
      </w:pPr>
    </w:p>
    <w:p>
      <w:pPr>
        <w:spacing w:after="0" w:line="210" w:lineRule="exact"/>
        <w:rPr>
          <w:sz w:val="24"/>
          <w:szCs w:val="24"/>
          <w:color w:val="auto"/>
        </w:rPr>
      </w:pPr>
    </w:p>
    <w:p>
      <w:pPr>
        <w:ind w:left="2840"/>
        <w:spacing w:after="0"/>
        <w:rPr>
          <w:sz w:val="20"/>
          <w:szCs w:val="20"/>
          <w:color w:val="auto"/>
        </w:rPr>
      </w:pPr>
      <w:r>
        <w:rPr>
          <w:rFonts w:ascii="Arial" w:cs="Arial" w:eastAsia="Arial" w:hAnsi="Arial"/>
          <w:sz w:val="16"/>
          <w:szCs w:val="16"/>
          <w:color w:val="auto"/>
        </w:rPr>
        <w:t>Delaware</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spacing w:after="0"/>
        <w:rPr>
          <w:sz w:val="20"/>
          <w:szCs w:val="20"/>
          <w:color w:val="auto"/>
        </w:rPr>
      </w:pPr>
      <w:r>
        <w:rPr>
          <w:rFonts w:ascii="Arial" w:cs="Arial" w:eastAsia="Arial" w:hAnsi="Arial"/>
          <w:sz w:val="16"/>
          <w:szCs w:val="16"/>
          <w:color w:val="auto"/>
        </w:rPr>
        <w:t>39-1679918</w:t>
      </w:r>
    </w:p>
    <w:p>
      <w:pPr>
        <w:spacing w:after="0" w:line="43" w:lineRule="exact"/>
        <w:rPr>
          <w:sz w:val="24"/>
          <w:szCs w:val="24"/>
          <w:color w:val="auto"/>
        </w:rPr>
      </w:pPr>
    </w:p>
    <w:p>
      <w:pPr>
        <w:sectPr>
          <w:pgSz w:w="11900" w:h="16838" w:orient="portrait"/>
          <w:cols w:equalWidth="0" w:num="2">
            <w:col w:w="6600" w:space="720"/>
            <w:col w:w="4100"/>
          </w:cols>
          <w:pgMar w:left="240" w:top="231" w:right="239" w:bottom="0" w:gutter="0" w:footer="0" w:header="0"/>
          <w:type w:val="continuous"/>
        </w:sectPr>
      </w:pPr>
    </w:p>
    <w:p>
      <w:pPr>
        <w:spacing w:after="0" w:line="12" w:lineRule="exact"/>
        <w:rPr>
          <w:sz w:val="24"/>
          <w:szCs w:val="24"/>
          <w:color w:val="auto"/>
        </w:rPr>
      </w:pPr>
    </w:p>
    <w:p>
      <w:pPr>
        <w:ind w:left="2840"/>
        <w:spacing w:after="0"/>
        <w:rPr>
          <w:sz w:val="20"/>
          <w:szCs w:val="20"/>
          <w:color w:val="auto"/>
        </w:rPr>
      </w:pPr>
      <w:r>
        <w:rPr>
          <w:rFonts w:ascii="Arial" w:cs="Arial" w:eastAsia="Arial" w:hAnsi="Arial"/>
          <w:sz w:val="13"/>
          <w:szCs w:val="13"/>
          <w:color w:val="auto"/>
        </w:rPr>
        <w:t>(State or other jurisdiction of</w:t>
      </w:r>
    </w:p>
    <w:p>
      <w:pPr>
        <w:ind w:left="2840"/>
        <w:spacing w:after="0"/>
        <w:rPr>
          <w:sz w:val="20"/>
          <w:szCs w:val="20"/>
          <w:color w:val="auto"/>
        </w:rPr>
      </w:pPr>
      <w:r>
        <w:rPr>
          <w:rFonts w:ascii="Arial" w:cs="Arial" w:eastAsia="Arial" w:hAnsi="Arial"/>
          <w:sz w:val="13"/>
          <w:szCs w:val="13"/>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w:t>
      </w:r>
    </w:p>
    <w:p>
      <w:pPr>
        <w:spacing w:after="0"/>
        <w:rPr>
          <w:sz w:val="20"/>
          <w:szCs w:val="20"/>
          <w:color w:val="auto"/>
        </w:rPr>
      </w:pPr>
      <w:r>
        <w:rPr>
          <w:rFonts w:ascii="Arial" w:cs="Arial" w:eastAsia="Arial" w:hAnsi="Arial"/>
          <w:sz w:val="13"/>
          <w:szCs w:val="13"/>
          <w:color w:val="auto"/>
        </w:rPr>
        <w:t>Identification No.)</w:t>
      </w:r>
    </w:p>
    <w:p>
      <w:pPr>
        <w:spacing w:after="0" w:line="200" w:lineRule="exact"/>
        <w:rPr>
          <w:sz w:val="24"/>
          <w:szCs w:val="24"/>
          <w:color w:val="auto"/>
        </w:rPr>
      </w:pPr>
    </w:p>
    <w:p>
      <w:pPr>
        <w:sectPr>
          <w:pgSz w:w="11900" w:h="16838" w:orient="portrait"/>
          <w:cols w:equalWidth="0" w:num="2">
            <w:col w:w="6600" w:space="720"/>
            <w:col w:w="4100"/>
          </w:cols>
          <w:pgMar w:left="240" w:top="231" w:right="239" w:bottom="0" w:gutter="0" w:footer="0" w:header="0"/>
          <w:type w:val="continuous"/>
        </w:sectPr>
      </w:pPr>
    </w:p>
    <w:p>
      <w:pPr>
        <w:spacing w:after="0" w:line="100"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1 Monster Way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Corona, California 92879</w:t>
      </w:r>
    </w:p>
    <w:p>
      <w:pPr>
        <w:jc w:val="center"/>
        <w:spacing w:after="0"/>
        <w:rPr>
          <w:sz w:val="20"/>
          <w:szCs w:val="20"/>
          <w:color w:val="auto"/>
        </w:rPr>
      </w:pPr>
      <w:r>
        <w:rPr>
          <w:rFonts w:ascii="Arial" w:cs="Arial" w:eastAsia="Arial" w:hAnsi="Arial"/>
          <w:sz w:val="14"/>
          <w:szCs w:val="14"/>
          <w:color w:val="auto"/>
        </w:rPr>
        <w:t>(Address of principal executive offices) (Zip code)</w:t>
      </w:r>
    </w:p>
    <w:p>
      <w:pPr>
        <w:spacing w:after="0" w:line="200" w:lineRule="exact"/>
        <w:rPr>
          <w:sz w:val="24"/>
          <w:szCs w:val="24"/>
          <w:color w:val="auto"/>
        </w:rPr>
      </w:pPr>
    </w:p>
    <w:p>
      <w:pPr>
        <w:spacing w:after="0" w:line="264"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(951) 739 – 6200</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200" w:lineRule="exact"/>
        <w:rPr>
          <w:sz w:val="24"/>
          <w:szCs w:val="24"/>
          <w:color w:val="auto"/>
        </w:rPr>
      </w:pPr>
    </w:p>
    <w:p>
      <w:pPr>
        <w:spacing w:after="0" w:line="210"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92" w:lineRule="exact"/>
        <w:rPr>
          <w:sz w:val="24"/>
          <w:szCs w:val="24"/>
          <w:color w:val="auto"/>
        </w:rPr>
      </w:pPr>
    </w:p>
    <w:p>
      <w:pPr>
        <w:ind w:left="5100"/>
        <w:spacing w:after="0"/>
        <w:tabs>
          <w:tab w:leader="none" w:pos="5820" w:val="left"/>
        </w:tabs>
        <w:rPr>
          <w:sz w:val="20"/>
          <w:szCs w:val="20"/>
          <w:color w:val="auto"/>
        </w:rPr>
      </w:pPr>
      <w:r>
        <w:rPr>
          <w:rFonts w:ascii="Arial" w:cs="Arial" w:eastAsia="Arial" w:hAnsi="Arial"/>
          <w:sz w:val="20"/>
          <w:szCs w:val="20"/>
          <w:color w:val="auto"/>
        </w:rPr>
        <w:t xml:space="preserve">Yes </w:t>
      </w:r>
      <w:r>
        <w:rPr>
          <w:rFonts w:ascii="Arial" w:cs="Arial" w:eastAsia="Arial" w:hAnsi="Arial"/>
          <w:sz w:val="20"/>
          <w:szCs w:val="20"/>
          <w:u w:val="single" w:color="auto"/>
          <w:color w:val="auto"/>
        </w:rPr>
        <w:t>X</w:t>
      </w:r>
      <w:r>
        <w:rPr>
          <w:sz w:val="20"/>
          <w:szCs w:val="20"/>
          <w:color w:val="auto"/>
        </w:rPr>
        <w:tab/>
      </w:r>
      <w:r>
        <w:rPr>
          <w:rFonts w:ascii="Arial" w:cs="Arial" w:eastAsia="Arial" w:hAnsi="Arial"/>
          <w:sz w:val="16"/>
          <w:szCs w:val="16"/>
          <w:color w:val="auto"/>
        </w:rPr>
        <w:t>No __</w:t>
      </w:r>
    </w:p>
    <w:p>
      <w:pPr>
        <w:spacing w:after="0" w:line="216"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05" w:lineRule="exact"/>
        <w:rPr>
          <w:sz w:val="24"/>
          <w:szCs w:val="24"/>
          <w:color w:val="auto"/>
        </w:rPr>
      </w:pPr>
    </w:p>
    <w:p>
      <w:pPr>
        <w:jc w:val="center"/>
        <w:spacing w:after="0"/>
        <w:tabs>
          <w:tab w:leader="none" w:pos="240" w:val="left"/>
        </w:tabs>
        <w:rPr>
          <w:sz w:val="20"/>
          <w:szCs w:val="20"/>
          <w:color w:val="auto"/>
        </w:rPr>
      </w:pPr>
      <w:r>
        <w:rPr>
          <w:rFonts w:ascii="Arial" w:cs="Arial" w:eastAsia="Arial" w:hAnsi="Arial"/>
          <w:sz w:val="20"/>
          <w:szCs w:val="20"/>
          <w:color w:val="auto"/>
        </w:rPr>
        <w:t xml:space="preserve">Yes </w:t>
      </w:r>
      <w:r>
        <w:rPr>
          <w:rFonts w:ascii="Arial" w:cs="Arial" w:eastAsia="Arial" w:hAnsi="Arial"/>
          <w:sz w:val="20"/>
          <w:szCs w:val="20"/>
          <w:u w:val="single" w:color="auto"/>
          <w:color w:val="auto"/>
        </w:rPr>
        <w:t>X</w:t>
      </w:r>
      <w:r>
        <w:rPr>
          <w:sz w:val="20"/>
          <w:szCs w:val="20"/>
          <w:color w:val="auto"/>
        </w:rPr>
        <w:tab/>
      </w:r>
      <w:r>
        <w:rPr>
          <w:rFonts w:ascii="Arial" w:cs="Arial" w:eastAsia="Arial" w:hAnsi="Arial"/>
          <w:sz w:val="16"/>
          <w:szCs w:val="16"/>
          <w:color w:val="auto"/>
        </w:rPr>
        <w:t>No __</w:t>
      </w:r>
    </w:p>
    <w:p>
      <w:pPr>
        <w:spacing w:after="0" w:line="200" w:lineRule="exact"/>
        <w:rPr>
          <w:sz w:val="24"/>
          <w:szCs w:val="24"/>
          <w:color w:val="auto"/>
        </w:rPr>
      </w:pPr>
    </w:p>
    <w:p>
      <w:pPr>
        <w:spacing w:after="0" w:line="232"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ectPr>
          <w:pgSz w:w="11900" w:h="16838" w:orient="portrait"/>
          <w:cols w:equalWidth="0" w:num="1">
            <w:col w:w="11420"/>
          </w:cols>
          <w:pgMar w:left="240" w:top="231" w:right="239" w:bottom="0" w:gutter="0" w:footer="0" w:header="0"/>
          <w:type w:val="continuous"/>
        </w:sectPr>
      </w:pPr>
    </w:p>
    <w:p>
      <w:pPr>
        <w:spacing w:after="0" w:line="263"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Large Accelerated Filer </w:t>
      </w:r>
      <w:r>
        <w:rPr>
          <w:rFonts w:ascii="Arial" w:cs="Arial" w:eastAsia="Arial" w:hAnsi="Arial"/>
          <w:sz w:val="19"/>
          <w:szCs w:val="19"/>
          <w:color w:val="auto"/>
        </w:rPr>
        <w:t>x</w:t>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Accelerated filer </w:t>
      </w:r>
      <w:r>
        <w:rPr>
          <w:rFonts w:ascii="Arial" w:cs="Arial" w:eastAsia="Arial" w:hAnsi="Arial"/>
          <w:sz w:val="19"/>
          <w:szCs w:val="19"/>
          <w:color w:val="auto"/>
        </w:rPr>
        <w:t>o</w:t>
      </w:r>
    </w:p>
    <w:p>
      <w:pPr>
        <w:spacing w:after="0" w:line="146" w:lineRule="exact"/>
        <w:rPr>
          <w:sz w:val="24"/>
          <w:szCs w:val="24"/>
          <w:color w:val="auto"/>
        </w:rPr>
      </w:pPr>
    </w:p>
    <w:p>
      <w:pPr>
        <w:sectPr>
          <w:pgSz w:w="11900" w:h="16838" w:orient="portrait"/>
          <w:cols w:equalWidth="0" w:num="2">
            <w:col w:w="6880" w:space="720"/>
            <w:col w:w="3820"/>
          </w:cols>
          <w:pgMar w:left="240" w:top="231" w:right="239" w:bottom="0" w:gutter="0" w:footer="0" w:header="0"/>
          <w:type w:val="continuous"/>
        </w:sectPr>
      </w:pPr>
    </w:p>
    <w:p>
      <w:pPr>
        <w:spacing w:after="0"/>
        <w:rPr>
          <w:sz w:val="20"/>
          <w:szCs w:val="20"/>
          <w:color w:val="auto"/>
        </w:rPr>
      </w:pPr>
      <w:r>
        <w:rPr>
          <w:rFonts w:ascii="Arial" w:cs="Arial" w:eastAsia="Arial" w:hAnsi="Arial"/>
          <w:sz w:val="18"/>
          <w:szCs w:val="18"/>
          <w:color w:val="auto"/>
        </w:rPr>
        <w:t xml:space="preserve">Non-accelerated filer </w:t>
      </w:r>
      <w:r>
        <w:rPr>
          <w:rFonts w:ascii="Arial" w:cs="Arial" w:eastAsia="Arial" w:hAnsi="Arial"/>
          <w:sz w:val="19"/>
          <w:szCs w:val="19"/>
          <w:color w:val="auto"/>
        </w:rPr>
        <w:t>o</w:t>
      </w:r>
      <w:r>
        <w:rPr>
          <w:rFonts w:ascii="Arial" w:cs="Arial" w:eastAsia="Arial" w:hAnsi="Arial"/>
          <w:sz w:val="18"/>
          <w:szCs w:val="18"/>
          <w:color w:val="auto"/>
        </w:rPr>
        <w:t xml:space="preserve"> (Do not check if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 xml:space="preserve">Smaller reporting company </w:t>
      </w:r>
      <w:r>
        <w:rPr>
          <w:rFonts w:ascii="Arial" w:cs="Arial" w:eastAsia="Arial" w:hAnsi="Arial"/>
          <w:sz w:val="19"/>
          <w:szCs w:val="19"/>
          <w:color w:val="auto"/>
        </w:rPr>
        <w:t>o</w:t>
      </w:r>
    </w:p>
    <w:p>
      <w:pPr>
        <w:spacing w:after="0" w:line="200" w:lineRule="exact"/>
        <w:rPr>
          <w:sz w:val="24"/>
          <w:szCs w:val="24"/>
          <w:color w:val="auto"/>
        </w:rPr>
      </w:pPr>
    </w:p>
    <w:p>
      <w:pPr>
        <w:sectPr>
          <w:pgSz w:w="11900" w:h="16838" w:orient="portrait"/>
          <w:cols w:equalWidth="0" w:num="2">
            <w:col w:w="6880" w:space="720"/>
            <w:col w:w="3820"/>
          </w:cols>
          <w:pgMar w:left="240" w:top="231" w:right="239" w:bottom="0" w:gutter="0" w:footer="0" w:header="0"/>
          <w:type w:val="continuous"/>
        </w:sectPr>
      </w:pPr>
    </w:p>
    <w:p>
      <w:pPr>
        <w:spacing w:after="0" w:line="59" w:lineRule="exact"/>
        <w:rPr>
          <w:sz w:val="24"/>
          <w:szCs w:val="24"/>
          <w:color w:val="auto"/>
        </w:rPr>
      </w:pPr>
    </w:p>
    <w:p>
      <w:pPr>
        <w:ind w:left="660"/>
        <w:spacing w:after="0"/>
        <w:rPr>
          <w:sz w:val="20"/>
          <w:szCs w:val="20"/>
          <w:color w:val="auto"/>
        </w:rPr>
      </w:pPr>
      <w:r>
        <w:rPr>
          <w:rFonts w:ascii="Arial" w:cs="Arial" w:eastAsia="Arial" w:hAnsi="Arial"/>
          <w:sz w:val="20"/>
          <w:szCs w:val="20"/>
          <w:color w:val="auto"/>
        </w:rPr>
        <w:t>Indicate by check mark whether the Registrant is a shell company (as defined by Rule 12b-2 of the Exchange Act).</w:t>
      </w:r>
    </w:p>
    <w:p>
      <w:pPr>
        <w:spacing w:after="0" w:line="216" w:lineRule="exact"/>
        <w:rPr>
          <w:sz w:val="24"/>
          <w:szCs w:val="24"/>
          <w:color w:val="auto"/>
        </w:rPr>
      </w:pPr>
    </w:p>
    <w:p>
      <w:pPr>
        <w:jc w:val="center"/>
        <w:ind w:right="-19"/>
        <w:spacing w:after="0"/>
        <w:tabs>
          <w:tab w:leader="none" w:pos="160" w:val="left"/>
        </w:tabs>
        <w:rPr>
          <w:sz w:val="20"/>
          <w:szCs w:val="20"/>
          <w:color w:val="auto"/>
        </w:rPr>
      </w:pPr>
      <w:r>
        <w:rPr>
          <w:rFonts w:ascii="Arial" w:cs="Arial" w:eastAsia="Arial" w:hAnsi="Arial"/>
          <w:sz w:val="20"/>
          <w:szCs w:val="20"/>
          <w:color w:val="auto"/>
        </w:rPr>
        <w:t>Yes ___</w:t>
        <w:tab/>
        <w:t xml:space="preserve">No </w:t>
      </w:r>
      <w:r>
        <w:rPr>
          <w:rFonts w:ascii="Arial" w:cs="Arial" w:eastAsia="Arial" w:hAnsi="Arial"/>
          <w:sz w:val="20"/>
          <w:szCs w:val="20"/>
          <w:u w:val="single" w:color="auto"/>
          <w:color w:val="auto"/>
        </w:rPr>
        <w:t>X</w:t>
      </w:r>
    </w:p>
    <w:p>
      <w:pPr>
        <w:spacing w:after="0" w:line="216" w:lineRule="exact"/>
        <w:rPr>
          <w:sz w:val="24"/>
          <w:szCs w:val="24"/>
          <w:color w:val="auto"/>
        </w:rPr>
      </w:pPr>
    </w:p>
    <w:p>
      <w:pPr>
        <w:ind w:left="660"/>
        <w:spacing w:after="0"/>
        <w:rPr>
          <w:sz w:val="20"/>
          <w:szCs w:val="20"/>
          <w:color w:val="auto"/>
        </w:rPr>
      </w:pPr>
      <w:r>
        <w:rPr>
          <w:rFonts w:ascii="Arial" w:cs="Arial" w:eastAsia="Arial" w:hAnsi="Arial"/>
          <w:sz w:val="19"/>
          <w:szCs w:val="19"/>
          <w:color w:val="auto"/>
        </w:rPr>
        <w:t>The Registrant had 170,171,054 shares of common stock, par value $0.005 per share, outstanding as of April 28,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221615</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23" w:lineRule="exact"/>
        <w:rPr>
          <w:sz w:val="24"/>
          <w:szCs w:val="24"/>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MONSTER BEVERAGE CORPORATION AND SUBSIDIARIES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MARCH 31, 2015</w:t>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INDEX</w:t>
      </w:r>
    </w:p>
    <w:p>
      <w:pPr>
        <w:spacing w:after="0" w:line="229" w:lineRule="exact"/>
        <w:rPr>
          <w:sz w:val="24"/>
          <w:szCs w:val="24"/>
          <w:color w:val="auto"/>
        </w:rPr>
      </w:pPr>
    </w:p>
    <w:p>
      <w:pPr>
        <w:spacing w:after="0"/>
        <w:tabs>
          <w:tab w:leader="none" w:pos="1320" w:val="left"/>
          <w:tab w:leader="none" w:pos="10460" w:val="left"/>
        </w:tabs>
        <w:rPr>
          <w:rFonts w:ascii="Arial" w:cs="Arial" w:eastAsia="Arial" w:hAnsi="Arial"/>
          <w:sz w:val="20"/>
          <w:szCs w:val="20"/>
          <w:b w:val="1"/>
          <w:bCs w:val="1"/>
          <w:u w:val="single" w:color="auto"/>
          <w:color w:val="0000EE"/>
        </w:rPr>
      </w:pPr>
      <w:hyperlink w:anchor="page2">
        <w:r>
          <w:rPr>
            <w:rFonts w:ascii="Arial" w:cs="Arial" w:eastAsia="Arial" w:hAnsi="Arial"/>
            <w:sz w:val="20"/>
            <w:szCs w:val="20"/>
            <w:b w:val="1"/>
            <w:bCs w:val="1"/>
            <w:u w:val="single" w:color="auto"/>
            <w:color w:val="0000EE"/>
          </w:rPr>
          <w:t>Part I.</w:t>
        </w:r>
      </w:hyperlink>
      <w:r>
        <w:rPr>
          <w:rFonts w:ascii="Arial" w:cs="Arial" w:eastAsia="Arial" w:hAnsi="Arial"/>
          <w:sz w:val="20"/>
          <w:szCs w:val="20"/>
          <w:b w:val="1"/>
          <w:bCs w:val="1"/>
          <w:u w:val="single" w:color="auto"/>
          <w:color w:val="0000EE"/>
        </w:rPr>
        <w:tab/>
      </w:r>
      <w:hyperlink w:anchor="page2">
        <w:r>
          <w:rPr>
            <w:rFonts w:ascii="Arial" w:cs="Arial" w:eastAsia="Arial" w:hAnsi="Arial"/>
            <w:sz w:val="20"/>
            <w:szCs w:val="20"/>
            <w:b w:val="1"/>
            <w:bCs w:val="1"/>
            <w:u w:val="single" w:color="auto"/>
            <w:color w:val="0000EE"/>
          </w:rPr>
          <w:t>FINANCIAL INFORMATION</w:t>
        </w:r>
      </w:hyperlink>
      <w:r>
        <w:rPr>
          <w:rFonts w:ascii="Arial" w:cs="Arial" w:eastAsia="Arial" w:hAnsi="Arial"/>
          <w:sz w:val="20"/>
          <w:szCs w:val="20"/>
          <w:b w:val="1"/>
          <w:bCs w:val="1"/>
          <w:u w:val="single" w:color="auto"/>
          <w:color w:val="0000EE"/>
        </w:rPr>
        <w:tab/>
      </w:r>
      <w:r>
        <w:rPr>
          <w:rFonts w:ascii="Arial" w:cs="Arial" w:eastAsia="Arial" w:hAnsi="Arial"/>
          <w:sz w:val="16"/>
          <w:szCs w:val="16"/>
          <w:b w:val="1"/>
          <w:bCs w:val="1"/>
          <w:u w:val="single" w:color="auto"/>
          <w:color w:val="0000EE"/>
        </w:rPr>
        <w:t>Page No.</w:t>
      </w:r>
    </w:p>
    <w:p>
      <w:pPr>
        <w:spacing w:after="0" w:line="235" w:lineRule="exact"/>
        <w:rPr>
          <w:sz w:val="20"/>
          <w:szCs w:val="20"/>
          <w:color w:val="auto"/>
        </w:rPr>
      </w:pPr>
    </w:p>
    <w:p>
      <w:pPr>
        <w:spacing w:after="0"/>
        <w:tabs>
          <w:tab w:leader="none" w:pos="1320" w:val="left"/>
        </w:tabs>
        <w:rPr>
          <w:rFonts w:ascii="Arial" w:cs="Arial" w:eastAsia="Arial" w:hAnsi="Arial"/>
          <w:sz w:val="16"/>
          <w:szCs w:val="16"/>
          <w:u w:val="single" w:color="auto"/>
          <w:color w:val="0000EE"/>
        </w:rPr>
      </w:pPr>
      <w:hyperlink w:anchor="page2">
        <w:r>
          <w:rPr>
            <w:rFonts w:ascii="Arial" w:cs="Arial" w:eastAsia="Arial" w:hAnsi="Arial"/>
            <w:sz w:val="20"/>
            <w:szCs w:val="20"/>
            <w:u w:val="single" w:color="auto"/>
            <w:color w:val="0000EE"/>
          </w:rPr>
          <w:t>Item 1.</w:t>
        </w:r>
      </w:hyperlink>
      <w:r>
        <w:rPr>
          <w:rFonts w:ascii="Arial" w:cs="Arial" w:eastAsia="Arial" w:hAnsi="Arial"/>
          <w:sz w:val="20"/>
          <w:szCs w:val="20"/>
          <w:u w:val="single" w:color="auto"/>
          <w:color w:val="0000EE"/>
        </w:rPr>
        <w:tab/>
      </w:r>
      <w:hyperlink w:anchor="page2">
        <w:r>
          <w:rPr>
            <w:rFonts w:ascii="Arial" w:cs="Arial" w:eastAsia="Arial" w:hAnsi="Arial"/>
            <w:sz w:val="16"/>
            <w:szCs w:val="16"/>
            <w:u w:val="single" w:color="auto"/>
            <w:color w:val="0000EE"/>
          </w:rPr>
          <w:t>Condensed Consolidated Financial Statements (Unaudited)</w:t>
        </w:r>
      </w:hyperlink>
    </w:p>
    <w:p>
      <w:pPr>
        <w:sectPr>
          <w:pgSz w:w="11900" w:h="16838" w:orient="portrait"/>
          <w:cols w:equalWidth="0" w:num="1">
            <w:col w:w="11420"/>
          </w:cols>
          <w:pgMar w:left="240" w:top="231" w:right="239" w:bottom="0" w:gutter="0" w:footer="0" w:header="0"/>
          <w:type w:val="continuous"/>
        </w:sectPr>
      </w:pPr>
    </w:p>
    <w:bookmarkStart w:id="1" w:name="page2"/>
    <w:bookmarkEnd w:id="1"/>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Borders>
              <w:bottom w:val="single" w:sz="8" w:color="0000EE"/>
            </w:tcBorders>
          </w:tcPr>
          <w:p>
            <w:pPr>
              <w:spacing w:after="0"/>
              <w:rPr>
                <w:sz w:val="19"/>
                <w:szCs w:val="19"/>
                <w:color w:val="auto"/>
              </w:rPr>
            </w:pPr>
          </w:p>
        </w:tc>
        <w:tc>
          <w:tcPr>
            <w:tcW w:w="6820" w:type="dxa"/>
            <w:vAlign w:val="bottom"/>
            <w:tcBorders>
              <w:bottom w:val="single" w:sz="8" w:color="0000EE"/>
            </w:tcBorders>
            <w:gridSpan w:val="14"/>
          </w:tcPr>
          <w:p>
            <w:pPr>
              <w:spacing w:after="0"/>
              <w:rPr>
                <w:rFonts w:ascii="Arial" w:cs="Arial" w:eastAsia="Arial" w:hAnsi="Arial"/>
                <w:sz w:val="20"/>
                <w:szCs w:val="20"/>
                <w:color w:val="0000EE"/>
                <w:w w:val="86"/>
              </w:rPr>
            </w:pPr>
            <w:hyperlink w:anchor="page2">
              <w:r>
                <w:rPr>
                  <w:rFonts w:ascii="Arial" w:cs="Arial" w:eastAsia="Arial" w:hAnsi="Arial"/>
                  <w:sz w:val="20"/>
                  <w:szCs w:val="20"/>
                  <w:color w:val="0000EE"/>
                  <w:w w:val="86"/>
                </w:rPr>
                <w:t>Condensed Consolidated Balance Sheets as of March 31, 2015 and December 31, 2014</w:t>
              </w:r>
            </w:hyperlink>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439"/>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Borders>
              <w:bottom w:val="single" w:sz="8" w:color="0000EE"/>
            </w:tcBorders>
          </w:tcPr>
          <w:p>
            <w:pPr>
              <w:spacing w:after="0"/>
              <w:rPr>
                <w:sz w:val="24"/>
                <w:szCs w:val="24"/>
                <w:color w:val="auto"/>
              </w:rPr>
            </w:pPr>
          </w:p>
        </w:tc>
        <w:tc>
          <w:tcPr>
            <w:tcW w:w="8080" w:type="dxa"/>
            <w:vAlign w:val="bottom"/>
            <w:tcBorders>
              <w:bottom w:val="single" w:sz="8" w:color="0000EE"/>
            </w:tcBorders>
            <w:gridSpan w:val="16"/>
          </w:tcPr>
          <w:p>
            <w:pPr>
              <w:spacing w:after="0"/>
              <w:rPr>
                <w:rFonts w:ascii="Arial" w:cs="Arial" w:eastAsia="Arial" w:hAnsi="Arial"/>
                <w:sz w:val="20"/>
                <w:szCs w:val="20"/>
                <w:color w:val="0000EE"/>
                <w:w w:val="88"/>
              </w:rPr>
            </w:pPr>
            <w:hyperlink w:anchor="page3">
              <w:r>
                <w:rPr>
                  <w:rFonts w:ascii="Arial" w:cs="Arial" w:eastAsia="Arial" w:hAnsi="Arial"/>
                  <w:sz w:val="20"/>
                  <w:szCs w:val="20"/>
                  <w:color w:val="0000EE"/>
                  <w:w w:val="88"/>
                </w:rPr>
                <w:t>Condensed Consolidated Statements of Income for the Three-Months Ended March 31, 2015 and 2014</w:t>
              </w:r>
            </w:hyperlink>
          </w:p>
        </w:tc>
        <w:tc>
          <w:tcPr>
            <w:tcW w:w="340" w:type="dxa"/>
            <w:vAlign w:val="bottom"/>
            <w:gridSpan w:val="4"/>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439"/>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40" w:type="dxa"/>
            <w:vAlign w:val="bottom"/>
            <w:gridSpan w:val="22"/>
          </w:tcPr>
          <w:p>
            <w:pPr>
              <w:spacing w:after="0"/>
              <w:rPr>
                <w:rFonts w:ascii="Arial" w:cs="Arial" w:eastAsia="Arial" w:hAnsi="Arial"/>
                <w:sz w:val="20"/>
                <w:szCs w:val="20"/>
                <w:color w:val="0000EE"/>
                <w:w w:val="88"/>
              </w:rPr>
            </w:pPr>
            <w:hyperlink w:anchor="page4">
              <w:r>
                <w:rPr>
                  <w:rFonts w:ascii="Arial" w:cs="Arial" w:eastAsia="Arial" w:hAnsi="Arial"/>
                  <w:sz w:val="20"/>
                  <w:szCs w:val="20"/>
                  <w:color w:val="0000EE"/>
                  <w:w w:val="88"/>
                </w:rPr>
                <w:t>Condensed Consolidated Statements of Comprehensive Income for the Three-Months Ended March 31, 2015</w:t>
              </w:r>
            </w:hyperlink>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Borders>
              <w:top w:val="single" w:sz="8" w:color="0000EE"/>
              <w:bottom w:val="single" w:sz="8" w:color="0000EE"/>
            </w:tcBorders>
          </w:tcPr>
          <w:p>
            <w:pPr>
              <w:spacing w:after="0"/>
              <w:rPr>
                <w:sz w:val="18"/>
                <w:szCs w:val="18"/>
                <w:color w:val="auto"/>
              </w:rPr>
            </w:pPr>
          </w:p>
        </w:tc>
        <w:tc>
          <w:tcPr>
            <w:tcW w:w="660" w:type="dxa"/>
            <w:vAlign w:val="bottom"/>
            <w:tcBorders>
              <w:top w:val="single" w:sz="8" w:color="0000EE"/>
              <w:bottom w:val="single" w:sz="8" w:color="0000EE"/>
            </w:tcBorders>
            <w:gridSpan w:val="2"/>
          </w:tcPr>
          <w:p>
            <w:pPr>
              <w:spacing w:after="0" w:line="209" w:lineRule="exact"/>
              <w:rPr>
                <w:rFonts w:ascii="Arial" w:cs="Arial" w:eastAsia="Arial" w:hAnsi="Arial"/>
                <w:sz w:val="20"/>
                <w:szCs w:val="20"/>
                <w:color w:val="0000EE"/>
                <w:w w:val="76"/>
              </w:rPr>
            </w:pPr>
            <w:hyperlink w:anchor="page4">
              <w:r>
                <w:rPr>
                  <w:rFonts w:ascii="Arial" w:cs="Arial" w:eastAsia="Arial" w:hAnsi="Arial"/>
                  <w:sz w:val="20"/>
                  <w:szCs w:val="20"/>
                  <w:color w:val="0000EE"/>
                  <w:w w:val="76"/>
                </w:rPr>
                <w:t>and 2014</w:t>
              </w:r>
            </w:hyperlink>
          </w:p>
        </w:tc>
        <w:tc>
          <w:tcPr>
            <w:tcW w:w="5840" w:type="dxa"/>
            <w:vAlign w:val="bottom"/>
            <w:tcBorders>
              <w:top w:val="single" w:sz="8" w:color="0000EE"/>
            </w:tcBorders>
            <w:gridSpan w:val="11"/>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gridSpan w:val="2"/>
          </w:tcPr>
          <w:p>
            <w:pPr>
              <w:jc w:val="right"/>
              <w:ind w:right="40"/>
              <w:spacing w:after="0" w:line="209" w:lineRule="exact"/>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439"/>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20" w:type="dxa"/>
            <w:vAlign w:val="bottom"/>
            <w:gridSpan w:val="20"/>
          </w:tcPr>
          <w:p>
            <w:pPr>
              <w:spacing w:after="0"/>
              <w:rPr>
                <w:rFonts w:ascii="Arial" w:cs="Arial" w:eastAsia="Arial" w:hAnsi="Arial"/>
                <w:sz w:val="20"/>
                <w:szCs w:val="20"/>
                <w:color w:val="0000EE"/>
                <w:w w:val="88"/>
              </w:rPr>
            </w:pPr>
            <w:hyperlink w:anchor="page4">
              <w:r>
                <w:rPr>
                  <w:rFonts w:ascii="Arial" w:cs="Arial" w:eastAsia="Arial" w:hAnsi="Arial"/>
                  <w:sz w:val="20"/>
                  <w:szCs w:val="20"/>
                  <w:color w:val="0000EE"/>
                  <w:w w:val="88"/>
                </w:rPr>
                <w:t>Condensed Consolidated Statements of Cash Flows for the Three-Months Ended March 31, 2015 and 2014</w:t>
              </w:r>
            </w:hyperlink>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439"/>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Borders>
              <w:top w:val="single" w:sz="8" w:color="0000EE"/>
              <w:bottom w:val="single" w:sz="8" w:color="0000EE"/>
            </w:tcBorders>
          </w:tcPr>
          <w:p>
            <w:pPr>
              <w:spacing w:after="0"/>
              <w:rPr>
                <w:sz w:val="24"/>
                <w:szCs w:val="24"/>
                <w:color w:val="auto"/>
              </w:rPr>
            </w:pPr>
          </w:p>
        </w:tc>
        <w:tc>
          <w:tcPr>
            <w:tcW w:w="4320" w:type="dxa"/>
            <w:vAlign w:val="bottom"/>
            <w:tcBorders>
              <w:top w:val="single" w:sz="8" w:color="0000EE"/>
              <w:bottom w:val="single" w:sz="8" w:color="0000EE"/>
            </w:tcBorders>
            <w:gridSpan w:val="11"/>
          </w:tcPr>
          <w:p>
            <w:pPr>
              <w:spacing w:after="0"/>
              <w:rPr>
                <w:rFonts w:ascii="Arial" w:cs="Arial" w:eastAsia="Arial" w:hAnsi="Arial"/>
                <w:sz w:val="20"/>
                <w:szCs w:val="20"/>
                <w:color w:val="0000EE"/>
                <w:w w:val="86"/>
              </w:rPr>
            </w:pPr>
            <w:hyperlink w:anchor="page5">
              <w:r>
                <w:rPr>
                  <w:rFonts w:ascii="Arial" w:cs="Arial" w:eastAsia="Arial" w:hAnsi="Arial"/>
                  <w:sz w:val="20"/>
                  <w:szCs w:val="20"/>
                  <w:color w:val="0000EE"/>
                  <w:w w:val="86"/>
                </w:rPr>
                <w:t>Notes to Condensed Consolidated Financial Statements</w:t>
              </w:r>
            </w:hyperlink>
          </w:p>
        </w:tc>
        <w:tc>
          <w:tcPr>
            <w:tcW w:w="2180" w:type="dxa"/>
            <w:vAlign w:val="bottom"/>
            <w:tcBorders>
              <w:top w:val="single" w:sz="8" w:color="0000EE"/>
            </w:tcBorders>
            <w:gridSpan w:val="2"/>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20"/>
                <w:szCs w:val="20"/>
                <w:color w:val="auto"/>
              </w:rPr>
              <w:t>8</w:t>
            </w:r>
          </w:p>
        </w:tc>
        <w:tc>
          <w:tcPr>
            <w:tcW w:w="0" w:type="dxa"/>
            <w:vAlign w:val="bottom"/>
          </w:tcPr>
          <w:p>
            <w:pPr>
              <w:spacing w:after="0"/>
              <w:rPr>
                <w:sz w:val="1"/>
                <w:szCs w:val="1"/>
                <w:color w:val="auto"/>
              </w:rPr>
            </w:pPr>
          </w:p>
        </w:tc>
      </w:tr>
      <w:tr>
        <w:trPr>
          <w:trHeight w:val="439"/>
        </w:trPr>
        <w:tc>
          <w:tcPr>
            <w:tcW w:w="1420" w:type="dxa"/>
            <w:vAlign w:val="bottom"/>
            <w:gridSpan w:val="5"/>
          </w:tcPr>
          <w:p>
            <w:pPr>
              <w:spacing w:after="0"/>
              <w:rPr>
                <w:rFonts w:ascii="Arial" w:cs="Arial" w:eastAsia="Arial" w:hAnsi="Arial"/>
                <w:sz w:val="20"/>
                <w:szCs w:val="20"/>
                <w:color w:val="0000EE"/>
              </w:rPr>
            </w:pPr>
            <w:hyperlink w:anchor="page19">
              <w:r>
                <w:rPr>
                  <w:rFonts w:ascii="Arial" w:cs="Arial" w:eastAsia="Arial" w:hAnsi="Arial"/>
                  <w:sz w:val="20"/>
                  <w:szCs w:val="20"/>
                  <w:color w:val="0000EE"/>
                </w:rPr>
                <w:t>Item 2.</w:t>
              </w:r>
            </w:hyperlink>
          </w:p>
        </w:tc>
        <w:tc>
          <w:tcPr>
            <w:tcW w:w="8420" w:type="dxa"/>
            <w:vAlign w:val="bottom"/>
            <w:gridSpan w:val="20"/>
          </w:tcPr>
          <w:p>
            <w:pPr>
              <w:spacing w:after="0"/>
              <w:rPr>
                <w:rFonts w:ascii="Arial" w:cs="Arial" w:eastAsia="Arial" w:hAnsi="Arial"/>
                <w:sz w:val="20"/>
                <w:szCs w:val="20"/>
                <w:color w:val="0000EE"/>
              </w:rPr>
            </w:pPr>
            <w:hyperlink w:anchor="page19">
              <w:r>
                <w:rPr>
                  <w:rFonts w:ascii="Arial" w:cs="Arial" w:eastAsia="Arial" w:hAnsi="Arial"/>
                  <w:sz w:val="20"/>
                  <w:szCs w:val="20"/>
                  <w:color w:val="0000EE"/>
                </w:rPr>
                <w:t>Management’s Discussion and Analysis of Financial Condition and Results of Operations</w:t>
              </w:r>
            </w:hyperlink>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20"/>
                <w:szCs w:val="20"/>
                <w:color w:val="auto"/>
              </w:rPr>
              <w:t>28</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right w:val="single" w:sz="8" w:color="0000EE"/>
            </w:tcBorders>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18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420" w:type="dxa"/>
            <w:vAlign w:val="bottom"/>
            <w:gridSpan w:val="5"/>
          </w:tcPr>
          <w:p>
            <w:pPr>
              <w:spacing w:after="0"/>
              <w:rPr>
                <w:rFonts w:ascii="Arial" w:cs="Arial" w:eastAsia="Arial" w:hAnsi="Arial"/>
                <w:sz w:val="20"/>
                <w:szCs w:val="20"/>
                <w:color w:val="0000EE"/>
              </w:rPr>
            </w:pPr>
            <w:hyperlink w:anchor="page30">
              <w:r>
                <w:rPr>
                  <w:rFonts w:ascii="Arial" w:cs="Arial" w:eastAsia="Arial" w:hAnsi="Arial"/>
                  <w:sz w:val="20"/>
                  <w:szCs w:val="20"/>
                  <w:color w:val="0000EE"/>
                </w:rPr>
                <w:t>Item 3.</w:t>
              </w:r>
            </w:hyperlink>
          </w:p>
        </w:tc>
        <w:tc>
          <w:tcPr>
            <w:tcW w:w="6500" w:type="dxa"/>
            <w:vAlign w:val="bottom"/>
            <w:gridSpan w:val="13"/>
          </w:tcPr>
          <w:p>
            <w:pPr>
              <w:spacing w:after="0"/>
              <w:rPr>
                <w:rFonts w:ascii="Arial" w:cs="Arial" w:eastAsia="Arial" w:hAnsi="Arial"/>
                <w:sz w:val="20"/>
                <w:szCs w:val="20"/>
                <w:color w:val="0000EE"/>
              </w:rPr>
            </w:pPr>
            <w:hyperlink w:anchor="page30">
              <w:r>
                <w:rPr>
                  <w:rFonts w:ascii="Arial" w:cs="Arial" w:eastAsia="Arial" w:hAnsi="Arial"/>
                  <w:sz w:val="20"/>
                  <w:szCs w:val="20"/>
                  <w:color w:val="0000EE"/>
                </w:rPr>
                <w:t>Quantitative and Qualitative Disclosures About Market Risk</w:t>
              </w:r>
            </w:hyperlink>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20"/>
                <w:szCs w:val="20"/>
                <w:color w:val="auto"/>
              </w:rPr>
              <w:t>44</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right w:val="single" w:sz="8" w:color="0000EE"/>
            </w:tcBorders>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180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420" w:type="dxa"/>
            <w:vAlign w:val="bottom"/>
            <w:gridSpan w:val="5"/>
          </w:tcPr>
          <w:p>
            <w:pPr>
              <w:spacing w:after="0"/>
              <w:rPr>
                <w:rFonts w:ascii="Arial" w:cs="Arial" w:eastAsia="Arial" w:hAnsi="Arial"/>
                <w:sz w:val="20"/>
                <w:szCs w:val="20"/>
                <w:color w:val="0000EE"/>
              </w:rPr>
            </w:pPr>
            <w:hyperlink w:anchor="page30">
              <w:r>
                <w:rPr>
                  <w:rFonts w:ascii="Arial" w:cs="Arial" w:eastAsia="Arial" w:hAnsi="Arial"/>
                  <w:sz w:val="20"/>
                  <w:szCs w:val="20"/>
                  <w:color w:val="0000EE"/>
                </w:rPr>
                <w:t>Item 4.</w:t>
              </w:r>
            </w:hyperlink>
          </w:p>
        </w:tc>
        <w:tc>
          <w:tcPr>
            <w:tcW w:w="6500" w:type="dxa"/>
            <w:vAlign w:val="bottom"/>
            <w:gridSpan w:val="13"/>
          </w:tcPr>
          <w:p>
            <w:pPr>
              <w:spacing w:after="0"/>
              <w:rPr>
                <w:rFonts w:ascii="Arial" w:cs="Arial" w:eastAsia="Arial" w:hAnsi="Arial"/>
                <w:sz w:val="20"/>
                <w:szCs w:val="20"/>
                <w:color w:val="0000EE"/>
              </w:rPr>
            </w:pPr>
            <w:hyperlink w:anchor="page30">
              <w:r>
                <w:rPr>
                  <w:rFonts w:ascii="Arial" w:cs="Arial" w:eastAsia="Arial" w:hAnsi="Arial"/>
                  <w:sz w:val="20"/>
                  <w:szCs w:val="20"/>
                  <w:color w:val="0000EE"/>
                </w:rPr>
                <w:t>Controls and Procedures</w:t>
              </w:r>
            </w:hyperlink>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20"/>
                <w:szCs w:val="20"/>
                <w:color w:val="auto"/>
              </w:rPr>
              <w:t>44</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right w:val="single" w:sz="8" w:color="0000EE"/>
            </w:tcBorders>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40" w:type="dxa"/>
            <w:vAlign w:val="bottom"/>
            <w:gridSpan w:val="2"/>
          </w:tcPr>
          <w:p>
            <w:pPr>
              <w:spacing w:after="0"/>
              <w:rPr>
                <w:rFonts w:ascii="Arial" w:cs="Arial" w:eastAsia="Arial" w:hAnsi="Arial"/>
                <w:sz w:val="20"/>
                <w:szCs w:val="20"/>
                <w:b w:val="1"/>
                <w:bCs w:val="1"/>
                <w:color w:val="0000EE"/>
              </w:rPr>
            </w:pPr>
            <w:hyperlink w:anchor="page30">
              <w:r>
                <w:rPr>
                  <w:rFonts w:ascii="Arial" w:cs="Arial" w:eastAsia="Arial" w:hAnsi="Arial"/>
                  <w:sz w:val="20"/>
                  <w:szCs w:val="20"/>
                  <w:b w:val="1"/>
                  <w:bCs w:val="1"/>
                  <w:color w:val="0000EE"/>
                </w:rPr>
                <w:t>Part II.</w:t>
              </w:r>
            </w:hyperlink>
          </w:p>
        </w:tc>
        <w:tc>
          <w:tcPr>
            <w:tcW w:w="780" w:type="dxa"/>
            <w:vAlign w:val="bottom"/>
            <w:gridSpan w:val="3"/>
          </w:tcPr>
          <w:p>
            <w:pPr>
              <w:spacing w:after="0"/>
              <w:rPr>
                <w:sz w:val="24"/>
                <w:szCs w:val="24"/>
                <w:color w:val="auto"/>
              </w:rPr>
            </w:pPr>
          </w:p>
        </w:tc>
        <w:tc>
          <w:tcPr>
            <w:tcW w:w="6500" w:type="dxa"/>
            <w:vAlign w:val="bottom"/>
            <w:gridSpan w:val="13"/>
          </w:tcPr>
          <w:p>
            <w:pPr>
              <w:spacing w:after="0"/>
              <w:rPr>
                <w:rFonts w:ascii="Arial" w:cs="Arial" w:eastAsia="Arial" w:hAnsi="Arial"/>
                <w:sz w:val="20"/>
                <w:szCs w:val="20"/>
                <w:b w:val="1"/>
                <w:bCs w:val="1"/>
                <w:color w:val="0000EE"/>
              </w:rPr>
            </w:pPr>
            <w:hyperlink w:anchor="page30">
              <w:r>
                <w:rPr>
                  <w:rFonts w:ascii="Arial" w:cs="Arial" w:eastAsia="Arial" w:hAnsi="Arial"/>
                  <w:sz w:val="20"/>
                  <w:szCs w:val="20"/>
                  <w:b w:val="1"/>
                  <w:bCs w:val="1"/>
                  <w:color w:val="0000EE"/>
                </w:rPr>
                <w:t>OTHER INFORMATION</w:t>
              </w:r>
            </w:hyperlink>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640" w:type="dxa"/>
            <w:vAlign w:val="bottom"/>
            <w:tcBorders>
              <w:top w:val="single" w:sz="8" w:color="0000EE"/>
            </w:tcBorders>
            <w:gridSpan w:val="2"/>
          </w:tcPr>
          <w:p>
            <w:pPr>
              <w:spacing w:after="0"/>
              <w:rPr>
                <w:rFonts w:ascii="Arial" w:cs="Arial" w:eastAsia="Arial" w:hAnsi="Arial"/>
                <w:sz w:val="20"/>
                <w:szCs w:val="20"/>
                <w:color w:val="0000EE"/>
              </w:rPr>
            </w:pPr>
            <w:hyperlink w:anchor="page30">
              <w:r>
                <w:rPr>
                  <w:rFonts w:ascii="Arial" w:cs="Arial" w:eastAsia="Arial" w:hAnsi="Arial"/>
                  <w:sz w:val="20"/>
                  <w:szCs w:val="20"/>
                  <w:color w:val="0000EE"/>
                </w:rPr>
                <w:t>Item 1.</w:t>
              </w:r>
            </w:hyperlink>
          </w:p>
        </w:tc>
        <w:tc>
          <w:tcPr>
            <w:tcW w:w="780" w:type="dxa"/>
            <w:vAlign w:val="bottom"/>
            <w:gridSpan w:val="3"/>
          </w:tcPr>
          <w:p>
            <w:pPr>
              <w:spacing w:after="0"/>
              <w:rPr>
                <w:sz w:val="24"/>
                <w:szCs w:val="24"/>
                <w:color w:val="auto"/>
              </w:rPr>
            </w:pPr>
          </w:p>
        </w:tc>
        <w:tc>
          <w:tcPr>
            <w:tcW w:w="2140" w:type="dxa"/>
            <w:vAlign w:val="bottom"/>
            <w:tcBorders>
              <w:top w:val="single" w:sz="8" w:color="0000EE"/>
            </w:tcBorders>
            <w:gridSpan w:val="8"/>
          </w:tcPr>
          <w:p>
            <w:pPr>
              <w:spacing w:after="0"/>
              <w:rPr>
                <w:rFonts w:ascii="Arial" w:cs="Arial" w:eastAsia="Arial" w:hAnsi="Arial"/>
                <w:sz w:val="20"/>
                <w:szCs w:val="20"/>
                <w:color w:val="0000EE"/>
              </w:rPr>
            </w:pPr>
            <w:hyperlink w:anchor="page30">
              <w:r>
                <w:rPr>
                  <w:rFonts w:ascii="Arial" w:cs="Arial" w:eastAsia="Arial" w:hAnsi="Arial"/>
                  <w:sz w:val="20"/>
                  <w:szCs w:val="20"/>
                  <w:color w:val="0000EE"/>
                </w:rPr>
                <w:t>Legal Proceedings</w:t>
              </w:r>
            </w:hyperlink>
          </w:p>
        </w:tc>
        <w:tc>
          <w:tcPr>
            <w:tcW w:w="4360" w:type="dxa"/>
            <w:vAlign w:val="bottom"/>
            <w:gridSpan w:val="5"/>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20"/>
                <w:szCs w:val="20"/>
                <w:color w:val="auto"/>
              </w:rPr>
              <w:t>44</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tcBorders>
              <w:right w:val="single" w:sz="8" w:color="0000EE"/>
            </w:tcBorders>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20" w:type="dxa"/>
            <w:vAlign w:val="bottom"/>
            <w:gridSpan w:val="3"/>
          </w:tcPr>
          <w:p>
            <w:pPr>
              <w:spacing w:after="0"/>
              <w:rPr>
                <w:rFonts w:ascii="Arial" w:cs="Arial" w:eastAsia="Arial" w:hAnsi="Arial"/>
                <w:sz w:val="20"/>
                <w:szCs w:val="20"/>
                <w:color w:val="0000EE"/>
                <w:w w:val="93"/>
              </w:rPr>
            </w:pPr>
            <w:hyperlink w:anchor="page30">
              <w:r>
                <w:rPr>
                  <w:rFonts w:ascii="Arial" w:cs="Arial" w:eastAsia="Arial" w:hAnsi="Arial"/>
                  <w:sz w:val="20"/>
                  <w:szCs w:val="20"/>
                  <w:color w:val="0000EE"/>
                  <w:w w:val="93"/>
                </w:rPr>
                <w:t>Item 1A.</w:t>
              </w:r>
            </w:hyperlink>
          </w:p>
        </w:tc>
        <w:tc>
          <w:tcPr>
            <w:tcW w:w="700" w:type="dxa"/>
            <w:vAlign w:val="bottom"/>
            <w:gridSpan w:val="2"/>
          </w:tcPr>
          <w:p>
            <w:pPr>
              <w:spacing w:after="0"/>
              <w:rPr>
                <w:sz w:val="24"/>
                <w:szCs w:val="24"/>
                <w:color w:val="auto"/>
              </w:rPr>
            </w:pPr>
          </w:p>
        </w:tc>
        <w:tc>
          <w:tcPr>
            <w:tcW w:w="6500" w:type="dxa"/>
            <w:vAlign w:val="bottom"/>
            <w:gridSpan w:val="13"/>
          </w:tcPr>
          <w:p>
            <w:pPr>
              <w:spacing w:after="0"/>
              <w:rPr>
                <w:rFonts w:ascii="Arial" w:cs="Arial" w:eastAsia="Arial" w:hAnsi="Arial"/>
                <w:sz w:val="20"/>
                <w:szCs w:val="20"/>
                <w:color w:val="0000EE"/>
              </w:rPr>
            </w:pPr>
            <w:hyperlink w:anchor="page30">
              <w:r>
                <w:rPr>
                  <w:rFonts w:ascii="Arial" w:cs="Arial" w:eastAsia="Arial" w:hAnsi="Arial"/>
                  <w:sz w:val="20"/>
                  <w:szCs w:val="20"/>
                  <w:color w:val="0000EE"/>
                </w:rPr>
                <w:t>Risk Factors</w:t>
              </w:r>
            </w:hyperlink>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20"/>
                <w:szCs w:val="20"/>
                <w:color w:val="auto"/>
              </w:rPr>
              <w:t>44</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700" w:type="dxa"/>
            <w:vAlign w:val="bottom"/>
            <w:tcBorders>
              <w:right w:val="single" w:sz="8" w:color="0000EE"/>
            </w:tcBorders>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20" w:type="dxa"/>
            <w:vAlign w:val="bottom"/>
            <w:gridSpan w:val="3"/>
          </w:tcPr>
          <w:p>
            <w:pPr>
              <w:spacing w:after="0"/>
              <w:rPr>
                <w:rFonts w:ascii="Arial" w:cs="Arial" w:eastAsia="Arial" w:hAnsi="Arial"/>
                <w:sz w:val="20"/>
                <w:szCs w:val="20"/>
                <w:color w:val="0000EE"/>
              </w:rPr>
            </w:pPr>
            <w:hyperlink w:anchor="page31">
              <w:r>
                <w:rPr>
                  <w:rFonts w:ascii="Arial" w:cs="Arial" w:eastAsia="Arial" w:hAnsi="Arial"/>
                  <w:sz w:val="20"/>
                  <w:szCs w:val="20"/>
                  <w:color w:val="0000EE"/>
                </w:rPr>
                <w:t>Item 2.</w:t>
              </w:r>
            </w:hyperlink>
          </w:p>
        </w:tc>
        <w:tc>
          <w:tcPr>
            <w:tcW w:w="700" w:type="dxa"/>
            <w:vAlign w:val="bottom"/>
            <w:gridSpan w:val="2"/>
          </w:tcPr>
          <w:p>
            <w:pPr>
              <w:spacing w:after="0"/>
              <w:rPr>
                <w:sz w:val="24"/>
                <w:szCs w:val="24"/>
                <w:color w:val="auto"/>
              </w:rPr>
            </w:pPr>
          </w:p>
        </w:tc>
        <w:tc>
          <w:tcPr>
            <w:tcW w:w="6500" w:type="dxa"/>
            <w:vAlign w:val="bottom"/>
            <w:gridSpan w:val="13"/>
          </w:tcPr>
          <w:p>
            <w:pPr>
              <w:spacing w:after="0"/>
              <w:rPr>
                <w:rFonts w:ascii="Arial" w:cs="Arial" w:eastAsia="Arial" w:hAnsi="Arial"/>
                <w:sz w:val="20"/>
                <w:szCs w:val="20"/>
                <w:color w:val="0000EE"/>
              </w:rPr>
            </w:pPr>
            <w:hyperlink w:anchor="page31">
              <w:r>
                <w:rPr>
                  <w:rFonts w:ascii="Arial" w:cs="Arial" w:eastAsia="Arial" w:hAnsi="Arial"/>
                  <w:sz w:val="20"/>
                  <w:szCs w:val="20"/>
                  <w:color w:val="0000EE"/>
                </w:rPr>
                <w:t>Unregistered Sales of Equity Securities and Use of Proceeds</w:t>
              </w:r>
            </w:hyperlink>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20"/>
                <w:szCs w:val="20"/>
                <w:color w:val="auto"/>
              </w:rPr>
              <w:t>44</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gridSpan w:val="4"/>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20" w:type="dxa"/>
            <w:vAlign w:val="bottom"/>
            <w:tcBorders>
              <w:left w:val="single" w:sz="8" w:color="0000EE"/>
            </w:tcBorders>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420" w:type="dxa"/>
            <w:vAlign w:val="bottom"/>
            <w:gridSpan w:val="5"/>
          </w:tcPr>
          <w:p>
            <w:pPr>
              <w:spacing w:after="0"/>
              <w:rPr>
                <w:rFonts w:ascii="Arial" w:cs="Arial" w:eastAsia="Arial" w:hAnsi="Arial"/>
                <w:sz w:val="20"/>
                <w:szCs w:val="20"/>
                <w:color w:val="0000EE"/>
              </w:rPr>
            </w:pPr>
            <w:hyperlink w:anchor="page31">
              <w:r>
                <w:rPr>
                  <w:rFonts w:ascii="Arial" w:cs="Arial" w:eastAsia="Arial" w:hAnsi="Arial"/>
                  <w:sz w:val="20"/>
                  <w:szCs w:val="20"/>
                  <w:color w:val="0000EE"/>
                </w:rPr>
                <w:t>Item 3.</w:t>
              </w:r>
            </w:hyperlink>
          </w:p>
        </w:tc>
        <w:tc>
          <w:tcPr>
            <w:tcW w:w="6500" w:type="dxa"/>
            <w:vAlign w:val="bottom"/>
            <w:gridSpan w:val="13"/>
          </w:tcPr>
          <w:p>
            <w:pPr>
              <w:spacing w:after="0"/>
              <w:rPr>
                <w:rFonts w:ascii="Arial" w:cs="Arial" w:eastAsia="Arial" w:hAnsi="Arial"/>
                <w:sz w:val="20"/>
                <w:szCs w:val="20"/>
                <w:color w:val="0000EE"/>
              </w:rPr>
            </w:pPr>
            <w:hyperlink w:anchor="page31">
              <w:r>
                <w:rPr>
                  <w:rFonts w:ascii="Arial" w:cs="Arial" w:eastAsia="Arial" w:hAnsi="Arial"/>
                  <w:sz w:val="20"/>
                  <w:szCs w:val="20"/>
                  <w:color w:val="0000EE"/>
                </w:rPr>
                <w:t>Defaults Upon Senior Securities</w:t>
              </w:r>
            </w:hyperlink>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20"/>
                <w:szCs w:val="20"/>
                <w:color w:val="auto"/>
              </w:rPr>
              <w:t>45</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gridSpan w:val="4"/>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20" w:type="dxa"/>
            <w:vAlign w:val="bottom"/>
            <w:tcBorders>
              <w:left w:val="single" w:sz="8" w:color="0000EE"/>
            </w:tcBorders>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420" w:type="dxa"/>
            <w:vAlign w:val="bottom"/>
            <w:gridSpan w:val="5"/>
          </w:tcPr>
          <w:p>
            <w:pPr>
              <w:spacing w:after="0"/>
              <w:rPr>
                <w:rFonts w:ascii="Arial" w:cs="Arial" w:eastAsia="Arial" w:hAnsi="Arial"/>
                <w:sz w:val="20"/>
                <w:szCs w:val="20"/>
                <w:color w:val="0000EE"/>
              </w:rPr>
            </w:pPr>
            <w:hyperlink w:anchor="page31">
              <w:r>
                <w:rPr>
                  <w:rFonts w:ascii="Arial" w:cs="Arial" w:eastAsia="Arial" w:hAnsi="Arial"/>
                  <w:sz w:val="20"/>
                  <w:szCs w:val="20"/>
                  <w:color w:val="0000EE"/>
                </w:rPr>
                <w:t>Item 4.</w:t>
              </w:r>
            </w:hyperlink>
          </w:p>
        </w:tc>
        <w:tc>
          <w:tcPr>
            <w:tcW w:w="6500" w:type="dxa"/>
            <w:vAlign w:val="bottom"/>
            <w:gridSpan w:val="13"/>
          </w:tcPr>
          <w:p>
            <w:pPr>
              <w:spacing w:after="0"/>
              <w:rPr>
                <w:rFonts w:ascii="Arial" w:cs="Arial" w:eastAsia="Arial" w:hAnsi="Arial"/>
                <w:sz w:val="20"/>
                <w:szCs w:val="20"/>
                <w:color w:val="0000EE"/>
              </w:rPr>
            </w:pPr>
            <w:hyperlink w:anchor="page31">
              <w:r>
                <w:rPr>
                  <w:rFonts w:ascii="Arial" w:cs="Arial" w:eastAsia="Arial" w:hAnsi="Arial"/>
                  <w:sz w:val="20"/>
                  <w:szCs w:val="20"/>
                  <w:color w:val="0000EE"/>
                </w:rPr>
                <w:t>Mine Safety Disclosures</w:t>
              </w:r>
            </w:hyperlink>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20"/>
                <w:szCs w:val="20"/>
                <w:color w:val="auto"/>
              </w:rPr>
              <w:t>45</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gridSpan w:val="4"/>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420" w:type="dxa"/>
            <w:vAlign w:val="bottom"/>
            <w:gridSpan w:val="5"/>
          </w:tcPr>
          <w:p>
            <w:pPr>
              <w:spacing w:after="0"/>
              <w:rPr>
                <w:rFonts w:ascii="Arial" w:cs="Arial" w:eastAsia="Arial" w:hAnsi="Arial"/>
                <w:sz w:val="20"/>
                <w:szCs w:val="20"/>
                <w:color w:val="0000EE"/>
              </w:rPr>
            </w:pPr>
            <w:hyperlink w:anchor="page31">
              <w:r>
                <w:rPr>
                  <w:rFonts w:ascii="Arial" w:cs="Arial" w:eastAsia="Arial" w:hAnsi="Arial"/>
                  <w:sz w:val="20"/>
                  <w:szCs w:val="20"/>
                  <w:color w:val="0000EE"/>
                </w:rPr>
                <w:t>Item 5.</w:t>
              </w:r>
            </w:hyperlink>
          </w:p>
        </w:tc>
        <w:tc>
          <w:tcPr>
            <w:tcW w:w="6500" w:type="dxa"/>
            <w:vAlign w:val="bottom"/>
            <w:gridSpan w:val="13"/>
          </w:tcPr>
          <w:p>
            <w:pPr>
              <w:spacing w:after="0"/>
              <w:rPr>
                <w:rFonts w:ascii="Arial" w:cs="Arial" w:eastAsia="Arial" w:hAnsi="Arial"/>
                <w:sz w:val="20"/>
                <w:szCs w:val="20"/>
                <w:color w:val="0000EE"/>
              </w:rPr>
            </w:pPr>
            <w:hyperlink w:anchor="page31">
              <w:r>
                <w:rPr>
                  <w:rFonts w:ascii="Arial" w:cs="Arial" w:eastAsia="Arial" w:hAnsi="Arial"/>
                  <w:sz w:val="20"/>
                  <w:szCs w:val="20"/>
                  <w:color w:val="0000EE"/>
                </w:rPr>
                <w:t>Other Information</w:t>
              </w:r>
            </w:hyperlink>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20"/>
                <w:szCs w:val="20"/>
                <w:color w:val="auto"/>
              </w:rPr>
              <w:t>45</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gridSpan w:val="4"/>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420" w:type="dxa"/>
            <w:vAlign w:val="bottom"/>
            <w:gridSpan w:val="5"/>
          </w:tcPr>
          <w:p>
            <w:pPr>
              <w:spacing w:after="0"/>
              <w:rPr>
                <w:rFonts w:ascii="Arial" w:cs="Arial" w:eastAsia="Arial" w:hAnsi="Arial"/>
                <w:sz w:val="20"/>
                <w:szCs w:val="20"/>
                <w:color w:val="0000EE"/>
              </w:rPr>
            </w:pPr>
            <w:hyperlink w:anchor="page31">
              <w:r>
                <w:rPr>
                  <w:rFonts w:ascii="Arial" w:cs="Arial" w:eastAsia="Arial" w:hAnsi="Arial"/>
                  <w:sz w:val="20"/>
                  <w:szCs w:val="20"/>
                  <w:color w:val="0000EE"/>
                </w:rPr>
                <w:t>Item 6.</w:t>
              </w:r>
            </w:hyperlink>
          </w:p>
        </w:tc>
        <w:tc>
          <w:tcPr>
            <w:tcW w:w="6500" w:type="dxa"/>
            <w:vAlign w:val="bottom"/>
            <w:gridSpan w:val="13"/>
          </w:tcPr>
          <w:p>
            <w:pPr>
              <w:spacing w:after="0"/>
              <w:rPr>
                <w:rFonts w:ascii="Arial" w:cs="Arial" w:eastAsia="Arial" w:hAnsi="Arial"/>
                <w:sz w:val="20"/>
                <w:szCs w:val="20"/>
                <w:color w:val="0000EE"/>
              </w:rPr>
            </w:pPr>
            <w:hyperlink w:anchor="page31">
              <w:r>
                <w:rPr>
                  <w:rFonts w:ascii="Arial" w:cs="Arial" w:eastAsia="Arial" w:hAnsi="Arial"/>
                  <w:sz w:val="20"/>
                  <w:szCs w:val="20"/>
                  <w:color w:val="0000EE"/>
                </w:rPr>
                <w:t>Exhibits</w:t>
              </w:r>
            </w:hyperlink>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20"/>
                <w:szCs w:val="20"/>
                <w:color w:val="auto"/>
              </w:rPr>
              <w:t>45</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500" w:type="dxa"/>
            <w:vAlign w:val="bottom"/>
            <w:gridSpan w:val="13"/>
          </w:tcPr>
          <w:p>
            <w:pPr>
              <w:spacing w:after="0"/>
              <w:rPr>
                <w:rFonts w:ascii="Arial" w:cs="Arial" w:eastAsia="Arial" w:hAnsi="Arial"/>
                <w:sz w:val="20"/>
                <w:szCs w:val="20"/>
                <w:color w:val="0000EE"/>
              </w:rPr>
            </w:pPr>
            <w:hyperlink w:anchor="page32">
              <w:r>
                <w:rPr>
                  <w:rFonts w:ascii="Arial" w:cs="Arial" w:eastAsia="Arial" w:hAnsi="Arial"/>
                  <w:sz w:val="20"/>
                  <w:szCs w:val="20"/>
                  <w:color w:val="0000EE"/>
                </w:rPr>
                <w:t>Signatures</w:t>
              </w:r>
            </w:hyperlink>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20"/>
                <w:szCs w:val="20"/>
                <w:color w:val="auto"/>
              </w:rPr>
              <w:t>46</w:t>
            </w:r>
          </w:p>
        </w:tc>
        <w:tc>
          <w:tcPr>
            <w:tcW w:w="0" w:type="dxa"/>
            <w:vAlign w:val="bottom"/>
          </w:tcPr>
          <w:p>
            <w:pPr>
              <w:spacing w:after="0"/>
              <w:rPr>
                <w:sz w:val="1"/>
                <w:szCs w:val="1"/>
                <w:color w:val="auto"/>
              </w:rPr>
            </w:pPr>
          </w:p>
        </w:tc>
      </w:tr>
      <w:tr>
        <w:trPr>
          <w:trHeight w:val="453"/>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Borders>
              <w:top w:val="single" w:sz="8" w:color="0000EE"/>
            </w:tcBorders>
            <w:gridSpan w:val="3"/>
          </w:tcPr>
          <w:p>
            <w:pPr>
              <w:spacing w:after="0"/>
              <w:rPr>
                <w:sz w:val="24"/>
                <w:szCs w:val="24"/>
                <w:color w:val="auto"/>
              </w:rPr>
            </w:pPr>
          </w:p>
        </w:tc>
        <w:tc>
          <w:tcPr>
            <w:tcW w:w="3940" w:type="dxa"/>
            <w:vAlign w:val="bottom"/>
            <w:gridSpan w:val="9"/>
          </w:tcPr>
          <w:p>
            <w:pPr>
              <w:jc w:val="right"/>
              <w:ind w:right="360"/>
              <w:spacing w:after="0"/>
              <w:rPr>
                <w:sz w:val="20"/>
                <w:szCs w:val="20"/>
                <w:color w:val="auto"/>
              </w:rPr>
            </w:pPr>
            <w:r>
              <w:rPr>
                <w:rFonts w:ascii="Arial" w:cs="Arial" w:eastAsia="Arial" w:hAnsi="Arial"/>
                <w:sz w:val="18"/>
                <w:szCs w:val="18"/>
                <w:color w:val="auto"/>
              </w:rPr>
              <w:t>2</w:t>
            </w:r>
          </w:p>
        </w:tc>
        <w:tc>
          <w:tcPr>
            <w:tcW w:w="1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6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62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180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37"/>
        </w:trPr>
        <w:tc>
          <w:tcPr>
            <w:tcW w:w="1420" w:type="dxa"/>
            <w:vAlign w:val="bottom"/>
            <w:tcBorders>
              <w:bottom w:val="single" w:sz="8" w:color="0000EE"/>
            </w:tcBorders>
            <w:gridSpan w:val="5"/>
          </w:tcPr>
          <w:p>
            <w:pPr>
              <w:spacing w:after="0"/>
              <w:rPr>
                <w:rFonts w:ascii="Arial" w:cs="Arial" w:eastAsia="Arial" w:hAnsi="Arial"/>
                <w:sz w:val="20"/>
                <w:szCs w:val="20"/>
                <w:color w:val="0000EE"/>
                <w:w w:val="87"/>
              </w:rPr>
            </w:pPr>
            <w:hyperlink w:anchor="page1">
              <w:r>
                <w:rPr>
                  <w:rFonts w:ascii="Arial" w:cs="Arial" w:eastAsia="Arial" w:hAnsi="Arial"/>
                  <w:sz w:val="20"/>
                  <w:szCs w:val="20"/>
                  <w:color w:val="0000EE"/>
                  <w:w w:val="87"/>
                </w:rPr>
                <w:t>Table of Contents</w:t>
              </w:r>
            </w:hyperlink>
          </w:p>
        </w:tc>
        <w:tc>
          <w:tcPr>
            <w:tcW w:w="6500" w:type="dxa"/>
            <w:vAlign w:val="bottom"/>
            <w:gridSpan w:val="13"/>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4"/>
        </w:trPr>
        <w:tc>
          <w:tcPr>
            <w:tcW w:w="7920" w:type="dxa"/>
            <w:vAlign w:val="bottom"/>
            <w:gridSpan w:val="18"/>
          </w:tcPr>
          <w:p>
            <w:pPr>
              <w:spacing w:after="0"/>
              <w:rPr>
                <w:sz w:val="20"/>
                <w:szCs w:val="20"/>
                <w:color w:val="auto"/>
              </w:rPr>
            </w:pPr>
            <w:r>
              <w:rPr>
                <w:rFonts w:ascii="Arial" w:cs="Arial" w:eastAsia="Arial" w:hAnsi="Arial"/>
                <w:sz w:val="20"/>
                <w:szCs w:val="20"/>
                <w:b w:val="1"/>
                <w:bCs w:val="1"/>
                <w:color w:val="auto"/>
              </w:rPr>
              <w:t>PART I – FINANCIAL INFORMATION</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920" w:type="dxa"/>
            <w:vAlign w:val="bottom"/>
            <w:gridSpan w:val="18"/>
          </w:tcPr>
          <w:p>
            <w:pPr>
              <w:spacing w:after="0"/>
              <w:rPr>
                <w:sz w:val="20"/>
                <w:szCs w:val="20"/>
                <w:color w:val="auto"/>
              </w:rPr>
            </w:pPr>
            <w:r>
              <w:rPr>
                <w:rFonts w:ascii="Arial" w:cs="Arial" w:eastAsia="Arial" w:hAnsi="Arial"/>
                <w:sz w:val="20"/>
                <w:szCs w:val="20"/>
                <w:b w:val="1"/>
                <w:bCs w:val="1"/>
                <w:color w:val="auto"/>
              </w:rPr>
              <w:t>ITEM 1. CONDENSED CONSOLIDATED FINANCIAL STATEMENTS (UNAUDITED)</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920" w:type="dxa"/>
            <w:vAlign w:val="bottom"/>
            <w:gridSpan w:val="18"/>
          </w:tcPr>
          <w:p>
            <w:pPr>
              <w:spacing w:after="0"/>
              <w:rPr>
                <w:sz w:val="20"/>
                <w:szCs w:val="20"/>
                <w:color w:val="auto"/>
              </w:rPr>
            </w:pPr>
            <w:r>
              <w:rPr>
                <w:rFonts w:ascii="Arial" w:cs="Arial" w:eastAsia="Arial" w:hAnsi="Arial"/>
                <w:sz w:val="20"/>
                <w:szCs w:val="20"/>
                <w:b w:val="1"/>
                <w:bCs w:val="1"/>
                <w:color w:val="auto"/>
              </w:rPr>
              <w:t>MONSTER BEVERAGE CORPORATION AND SUBSIDIARIES</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920" w:type="dxa"/>
            <w:vAlign w:val="bottom"/>
            <w:gridSpan w:val="18"/>
          </w:tcPr>
          <w:p>
            <w:pPr>
              <w:spacing w:after="0"/>
              <w:rPr>
                <w:sz w:val="20"/>
                <w:szCs w:val="20"/>
                <w:color w:val="auto"/>
              </w:rPr>
            </w:pPr>
            <w:r>
              <w:rPr>
                <w:rFonts w:ascii="Arial" w:cs="Arial" w:eastAsia="Arial" w:hAnsi="Arial"/>
                <w:sz w:val="20"/>
                <w:szCs w:val="20"/>
                <w:b w:val="1"/>
                <w:bCs w:val="1"/>
                <w:color w:val="auto"/>
              </w:rPr>
              <w:t>CONDENSED CONSOLIDATED BALANCE SHEETS</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gridSpan w:val="18"/>
          </w:tcPr>
          <w:p>
            <w:pPr>
              <w:spacing w:after="0"/>
              <w:rPr>
                <w:sz w:val="20"/>
                <w:szCs w:val="20"/>
                <w:color w:val="auto"/>
              </w:rPr>
            </w:pPr>
            <w:r>
              <w:rPr>
                <w:rFonts w:ascii="Arial" w:cs="Arial" w:eastAsia="Arial" w:hAnsi="Arial"/>
                <w:sz w:val="20"/>
                <w:szCs w:val="20"/>
                <w:b w:val="1"/>
                <w:bCs w:val="1"/>
                <w:color w:val="auto"/>
              </w:rPr>
              <w:t>AS OF MARCH 31, 2015 AND DECEMBER 31, 2014</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7920" w:type="dxa"/>
            <w:vAlign w:val="bottom"/>
            <w:tcBorders>
              <w:bottom w:val="single" w:sz="8" w:color="auto"/>
            </w:tcBorders>
            <w:gridSpan w:val="18"/>
          </w:tcPr>
          <w:p>
            <w:pPr>
              <w:spacing w:after="0"/>
              <w:rPr>
                <w:sz w:val="20"/>
                <w:szCs w:val="20"/>
                <w:color w:val="auto"/>
              </w:rPr>
            </w:pPr>
            <w:r>
              <w:rPr>
                <w:rFonts w:ascii="Arial" w:cs="Arial" w:eastAsia="Arial" w:hAnsi="Arial"/>
                <w:sz w:val="20"/>
                <w:szCs w:val="20"/>
                <w:b w:val="1"/>
                <w:bCs w:val="1"/>
                <w:color w:val="auto"/>
              </w:rPr>
              <w:t>(In Thousands, Except Par Value) (Unaudited)</w:t>
            </w:r>
          </w:p>
        </w:tc>
        <w:tc>
          <w:tcPr>
            <w:tcW w:w="3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770"/>
              <w:spacing w:after="0"/>
              <w:rPr>
                <w:sz w:val="20"/>
                <w:szCs w:val="20"/>
                <w:color w:val="auto"/>
              </w:rPr>
            </w:pPr>
            <w:r>
              <w:rPr>
                <w:rFonts w:ascii="Arial" w:cs="Arial" w:eastAsia="Arial" w:hAnsi="Arial"/>
                <w:sz w:val="20"/>
                <w:szCs w:val="20"/>
                <w:b w:val="1"/>
                <w:bCs w:val="1"/>
                <w:color w:val="auto"/>
              </w:rPr>
              <w:t>_</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2"/>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gridSpan w:val="6"/>
          </w:tcPr>
          <w:p>
            <w:pPr>
              <w:ind w:left="100"/>
              <w:spacing w:after="0"/>
              <w:rPr>
                <w:sz w:val="20"/>
                <w:szCs w:val="20"/>
                <w:color w:val="auto"/>
              </w:rPr>
            </w:pPr>
            <w:r>
              <w:rPr>
                <w:rFonts w:ascii="Arial" w:cs="Arial" w:eastAsia="Arial" w:hAnsi="Arial"/>
                <w:sz w:val="16"/>
                <w:szCs w:val="16"/>
                <w:b w:val="1"/>
                <w:bCs w:val="1"/>
                <w:color w:val="auto"/>
              </w:rPr>
              <w:t>March 31,</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w w:val="94"/>
              </w:rPr>
              <w:t>December 31,</w:t>
            </w: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0" w:type="dxa"/>
            <w:vAlign w:val="bottom"/>
            <w:gridSpan w:val="6"/>
            <w:vMerge w:val="restart"/>
          </w:tcPr>
          <w:p>
            <w:pPr>
              <w:jc w:val="center"/>
              <w:ind w:right="3800"/>
              <w:spacing w:after="0"/>
              <w:rPr>
                <w:sz w:val="20"/>
                <w:szCs w:val="20"/>
                <w:color w:val="auto"/>
              </w:rPr>
            </w:pPr>
            <w:r>
              <w:rPr>
                <w:rFonts w:ascii="Arial" w:cs="Arial" w:eastAsia="Arial" w:hAnsi="Arial"/>
                <w:sz w:val="16"/>
                <w:szCs w:val="16"/>
                <w:b w:val="1"/>
                <w:bCs w:val="1"/>
                <w:color w:val="auto"/>
                <w:w w:val="93"/>
              </w:rPr>
              <w:t>ASSETS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6"/>
                <w:szCs w:val="16"/>
                <w:b w:val="1"/>
                <w:bCs w:val="1"/>
                <w:color w:val="auto"/>
              </w:rPr>
              <w:t>2015</w:t>
            </w:r>
          </w:p>
        </w:tc>
        <w:tc>
          <w:tcPr>
            <w:tcW w:w="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6"/>
                <w:szCs w:val="16"/>
                <w:b w:val="1"/>
                <w:bCs w:val="1"/>
                <w:color w:val="auto"/>
              </w:rPr>
              <w:t>2014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0" w:type="dxa"/>
            <w:vAlign w:val="bottom"/>
            <w:gridSpan w:val="6"/>
            <w:vMerge w:val="continue"/>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8"/>
        </w:trPr>
        <w:tc>
          <w:tcPr>
            <w:tcW w:w="3520" w:type="dxa"/>
            <w:vAlign w:val="bottom"/>
            <w:gridSpan w:val="12"/>
          </w:tcPr>
          <w:p>
            <w:pPr>
              <w:spacing w:after="0"/>
              <w:rPr>
                <w:sz w:val="20"/>
                <w:szCs w:val="20"/>
                <w:color w:val="auto"/>
              </w:rPr>
            </w:pPr>
            <w:r>
              <w:rPr>
                <w:rFonts w:ascii="Arial" w:cs="Arial" w:eastAsia="Arial" w:hAnsi="Arial"/>
                <w:sz w:val="16"/>
                <w:szCs w:val="16"/>
                <w:color w:val="auto"/>
              </w:rPr>
              <w:t>CURRENT ASSETS:</w:t>
            </w:r>
          </w:p>
        </w:tc>
        <w:tc>
          <w:tcPr>
            <w:tcW w:w="600" w:type="dxa"/>
            <w:vAlign w:val="bottom"/>
            <w:tcBorders>
              <w:top w:val="single" w:sz="8" w:color="auto"/>
            </w:tcBorders>
            <w:gridSpan w:val="3"/>
          </w:tcPr>
          <w:p>
            <w:pPr>
              <w:spacing w:after="0"/>
              <w:rPr>
                <w:sz w:val="22"/>
                <w:szCs w:val="22"/>
                <w:color w:val="auto"/>
              </w:rPr>
            </w:pPr>
          </w:p>
        </w:tc>
        <w:tc>
          <w:tcPr>
            <w:tcW w:w="3800" w:type="dxa"/>
            <w:vAlign w:val="bottom"/>
            <w:gridSpan w:val="3"/>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920" w:type="dxa"/>
            <w:vAlign w:val="bottom"/>
            <w:gridSpan w:val="18"/>
          </w:tcPr>
          <w:p>
            <w:pPr>
              <w:spacing w:after="0"/>
              <w:rPr>
                <w:sz w:val="20"/>
                <w:szCs w:val="20"/>
                <w:color w:val="auto"/>
              </w:rPr>
            </w:pPr>
            <w:r>
              <w:rPr>
                <w:rFonts w:ascii="Arial" w:cs="Arial" w:eastAsia="Arial" w:hAnsi="Arial"/>
                <w:sz w:val="16"/>
                <w:szCs w:val="16"/>
                <w:color w:val="auto"/>
              </w:rPr>
              <w:t>Cash and cash equivalents</w:t>
            </w:r>
          </w:p>
        </w:tc>
        <w:tc>
          <w:tcPr>
            <w:tcW w:w="3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362,787</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6"/>
                <w:szCs w:val="16"/>
                <w:color w:val="auto"/>
              </w:rPr>
              <w:t>370,323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20" w:type="dxa"/>
            <w:vAlign w:val="bottom"/>
            <w:gridSpan w:val="18"/>
          </w:tcPr>
          <w:p>
            <w:pPr>
              <w:spacing w:after="0"/>
              <w:rPr>
                <w:sz w:val="20"/>
                <w:szCs w:val="20"/>
                <w:color w:val="auto"/>
              </w:rPr>
            </w:pPr>
            <w:r>
              <w:rPr>
                <w:rFonts w:ascii="Arial" w:cs="Arial" w:eastAsia="Arial" w:hAnsi="Arial"/>
                <w:sz w:val="16"/>
                <w:szCs w:val="16"/>
                <w:color w:val="auto"/>
              </w:rPr>
              <w:t>Short-term investments</w:t>
            </w:r>
          </w:p>
        </w:tc>
        <w:tc>
          <w:tcPr>
            <w:tcW w:w="32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647,284</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6"/>
                <w:szCs w:val="16"/>
                <w:color w:val="auto"/>
              </w:rPr>
              <w:t>781,134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20" w:type="dxa"/>
            <w:vAlign w:val="bottom"/>
            <w:gridSpan w:val="18"/>
          </w:tcPr>
          <w:p>
            <w:pPr>
              <w:spacing w:after="0"/>
              <w:rPr>
                <w:sz w:val="20"/>
                <w:szCs w:val="20"/>
                <w:color w:val="auto"/>
              </w:rPr>
            </w:pPr>
            <w:r>
              <w:rPr>
                <w:rFonts w:ascii="Arial" w:cs="Arial" w:eastAsia="Arial" w:hAnsi="Arial"/>
                <w:sz w:val="16"/>
                <w:szCs w:val="16"/>
                <w:color w:val="auto"/>
              </w:rPr>
              <w:t>Accounts receivable, net</w:t>
            </w:r>
          </w:p>
        </w:tc>
        <w:tc>
          <w:tcPr>
            <w:tcW w:w="32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343,427</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6"/>
                <w:szCs w:val="16"/>
                <w:color w:val="auto"/>
              </w:rPr>
              <w:t>280,203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20" w:type="dxa"/>
            <w:vAlign w:val="bottom"/>
            <w:gridSpan w:val="18"/>
          </w:tcPr>
          <w:p>
            <w:pPr>
              <w:spacing w:after="0"/>
              <w:rPr>
                <w:sz w:val="20"/>
                <w:szCs w:val="20"/>
                <w:color w:val="auto"/>
              </w:rPr>
            </w:pPr>
            <w:r>
              <w:rPr>
                <w:rFonts w:ascii="Arial" w:cs="Arial" w:eastAsia="Arial" w:hAnsi="Arial"/>
                <w:sz w:val="16"/>
                <w:szCs w:val="16"/>
                <w:color w:val="auto"/>
              </w:rPr>
              <w:t>Distributor receivables</w:t>
            </w:r>
          </w:p>
        </w:tc>
        <w:tc>
          <w:tcPr>
            <w:tcW w:w="32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628</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6"/>
                <w:szCs w:val="16"/>
                <w:color w:val="auto"/>
              </w:rPr>
              <w:t>552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gridSpan w:val="5"/>
          </w:tcPr>
          <w:p>
            <w:pPr>
              <w:spacing w:after="0"/>
              <w:rPr>
                <w:sz w:val="20"/>
                <w:szCs w:val="20"/>
                <w:color w:val="auto"/>
              </w:rPr>
            </w:pPr>
            <w:r>
              <w:rPr>
                <w:rFonts w:ascii="Arial" w:cs="Arial" w:eastAsia="Arial" w:hAnsi="Arial"/>
                <w:sz w:val="16"/>
                <w:szCs w:val="16"/>
                <w:color w:val="auto"/>
              </w:rPr>
              <w:t>Inventories</w:t>
            </w: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197,914</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6"/>
                <w:szCs w:val="16"/>
                <w:color w:val="auto"/>
              </w:rPr>
              <w:t>174,573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20" w:type="dxa"/>
            <w:vAlign w:val="bottom"/>
            <w:gridSpan w:val="18"/>
          </w:tcPr>
          <w:p>
            <w:pPr>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25,174</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6"/>
                <w:szCs w:val="16"/>
                <w:color w:val="auto"/>
              </w:rPr>
              <w:t>19,673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20" w:type="dxa"/>
            <w:vAlign w:val="bottom"/>
            <w:gridSpan w:val="18"/>
          </w:tcPr>
          <w:p>
            <w:pPr>
              <w:spacing w:after="0"/>
              <w:rPr>
                <w:sz w:val="20"/>
                <w:szCs w:val="20"/>
                <w:color w:val="auto"/>
              </w:rPr>
            </w:pPr>
            <w:r>
              <w:rPr>
                <w:rFonts w:ascii="Arial" w:cs="Arial" w:eastAsia="Arial" w:hAnsi="Arial"/>
                <w:sz w:val="16"/>
                <w:szCs w:val="16"/>
                <w:color w:val="auto"/>
              </w:rPr>
              <w:t>Intangibles held-for-sale, net</w:t>
            </w:r>
          </w:p>
        </w:tc>
        <w:tc>
          <w:tcPr>
            <w:tcW w:w="32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18,079</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6"/>
                <w:szCs w:val="16"/>
                <w:color w:val="auto"/>
              </w:rPr>
              <w:t>18,079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20" w:type="dxa"/>
            <w:vAlign w:val="bottom"/>
            <w:gridSpan w:val="18"/>
          </w:tcPr>
          <w:p>
            <w:pPr>
              <w:spacing w:after="0"/>
              <w:rPr>
                <w:sz w:val="20"/>
                <w:szCs w:val="20"/>
                <w:color w:val="auto"/>
              </w:rPr>
            </w:pPr>
            <w:r>
              <w:rPr>
                <w:rFonts w:ascii="Arial" w:cs="Arial" w:eastAsia="Arial" w:hAnsi="Arial"/>
                <w:sz w:val="16"/>
                <w:szCs w:val="16"/>
                <w:color w:val="auto"/>
              </w:rPr>
              <w:t>Prepaid income taxes</w:t>
            </w:r>
          </w:p>
        </w:tc>
        <w:tc>
          <w:tcPr>
            <w:tcW w:w="32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21,648</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6"/>
                <w:szCs w:val="16"/>
                <w:color w:val="auto"/>
              </w:rPr>
              <w:t>8,617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20" w:type="dxa"/>
            <w:vAlign w:val="bottom"/>
            <w:gridSpan w:val="18"/>
          </w:tcPr>
          <w:p>
            <w:pPr>
              <w:spacing w:after="0"/>
              <w:rPr>
                <w:sz w:val="20"/>
                <w:szCs w:val="20"/>
                <w:color w:val="auto"/>
              </w:rPr>
            </w:pPr>
            <w:r>
              <w:rPr>
                <w:rFonts w:ascii="Arial" w:cs="Arial" w:eastAsia="Arial" w:hAnsi="Arial"/>
                <w:sz w:val="16"/>
                <w:szCs w:val="16"/>
                <w:color w:val="auto"/>
              </w:rPr>
              <w:t>Deferred income taxes</w:t>
            </w: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224,954</w:t>
            </w:r>
          </w:p>
        </w:tc>
        <w:tc>
          <w:tcPr>
            <w:tcW w:w="2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6"/>
                <w:szCs w:val="16"/>
                <w:color w:val="auto"/>
              </w:rPr>
              <w:t>40,275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20" w:type="dxa"/>
            <w:vAlign w:val="bottom"/>
            <w:gridSpan w:val="18"/>
          </w:tcPr>
          <w:p>
            <w:pPr>
              <w:ind w:left="180"/>
              <w:spacing w:after="0"/>
              <w:rPr>
                <w:sz w:val="20"/>
                <w:szCs w:val="20"/>
                <w:color w:val="auto"/>
              </w:rPr>
            </w:pPr>
            <w:r>
              <w:rPr>
                <w:rFonts w:ascii="Arial" w:cs="Arial" w:eastAsia="Arial" w:hAnsi="Arial"/>
                <w:sz w:val="16"/>
                <w:szCs w:val="16"/>
                <w:color w:val="auto"/>
              </w:rPr>
              <w:t>Total current assets</w:t>
            </w: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1,841,895</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Arial" w:cs="Arial" w:eastAsia="Arial" w:hAnsi="Arial"/>
                <w:sz w:val="16"/>
                <w:szCs w:val="16"/>
                <w:color w:val="auto"/>
              </w:rPr>
              <w:t>1,693,429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420" w:type="dxa"/>
            <w:vAlign w:val="bottom"/>
            <w:gridSpan w:val="5"/>
          </w:tcPr>
          <w:p>
            <w:pPr>
              <w:spacing w:after="0"/>
              <w:rPr>
                <w:sz w:val="20"/>
                <w:szCs w:val="20"/>
                <w:color w:val="auto"/>
              </w:rPr>
            </w:pPr>
            <w:r>
              <w:rPr>
                <w:rFonts w:ascii="Arial" w:cs="Arial" w:eastAsia="Arial" w:hAnsi="Arial"/>
                <w:sz w:val="16"/>
                <w:szCs w:val="16"/>
                <w:color w:val="auto"/>
              </w:rPr>
              <w:t>INVESTMENTS</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41,240</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jc w:val="right"/>
              <w:ind w:right="30"/>
              <w:spacing w:after="0"/>
              <w:rPr>
                <w:sz w:val="20"/>
                <w:szCs w:val="20"/>
                <w:color w:val="auto"/>
              </w:rPr>
            </w:pPr>
            <w:r>
              <w:rPr>
                <w:rFonts w:ascii="Arial" w:cs="Arial" w:eastAsia="Arial" w:hAnsi="Arial"/>
                <w:sz w:val="16"/>
                <w:szCs w:val="16"/>
                <w:color w:val="auto"/>
              </w:rPr>
              <w:t>42,940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920" w:type="dxa"/>
            <w:vAlign w:val="bottom"/>
            <w:gridSpan w:val="18"/>
          </w:tcPr>
          <w:p>
            <w:pPr>
              <w:spacing w:after="0"/>
              <w:rPr>
                <w:sz w:val="20"/>
                <w:szCs w:val="20"/>
                <w:color w:val="auto"/>
              </w:rPr>
            </w:pPr>
            <w:r>
              <w:rPr>
                <w:rFonts w:ascii="Arial" w:cs="Arial" w:eastAsia="Arial" w:hAnsi="Arial"/>
                <w:sz w:val="16"/>
                <w:szCs w:val="16"/>
                <w:color w:val="auto"/>
              </w:rPr>
              <w:t>PROPERTY AND EQUIPMENT, net</w:t>
            </w:r>
          </w:p>
        </w:tc>
        <w:tc>
          <w:tcPr>
            <w:tcW w:w="32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88,296</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6"/>
                <w:szCs w:val="16"/>
                <w:color w:val="auto"/>
              </w:rPr>
              <w:t>90,156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20" w:type="dxa"/>
            <w:vAlign w:val="bottom"/>
            <w:gridSpan w:val="18"/>
          </w:tcPr>
          <w:p>
            <w:pPr>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54,106</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6"/>
                <w:szCs w:val="16"/>
                <w:color w:val="auto"/>
              </w:rPr>
              <w:t>54,106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gridSpan w:val="5"/>
          </w:tcPr>
          <w:p>
            <w:pPr>
              <w:spacing w:after="0"/>
              <w:rPr>
                <w:sz w:val="20"/>
                <w:szCs w:val="20"/>
                <w:color w:val="auto"/>
              </w:rPr>
            </w:pPr>
            <w:r>
              <w:rPr>
                <w:rFonts w:ascii="Arial" w:cs="Arial" w:eastAsia="Arial" w:hAnsi="Arial"/>
                <w:sz w:val="16"/>
                <w:szCs w:val="16"/>
                <w:color w:val="auto"/>
              </w:rPr>
              <w:t>INTANGIBLES, net</w:t>
            </w: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52,300</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6"/>
                <w:szCs w:val="16"/>
                <w:color w:val="auto"/>
              </w:rPr>
              <w:t>50,748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gridSpan w:val="5"/>
          </w:tcPr>
          <w:p>
            <w:pPr>
              <w:spacing w:after="0"/>
              <w:rPr>
                <w:sz w:val="20"/>
                <w:szCs w:val="20"/>
                <w:color w:val="auto"/>
              </w:rPr>
            </w:pPr>
            <w:r>
              <w:rPr>
                <w:rFonts w:ascii="Arial" w:cs="Arial" w:eastAsia="Arial" w:hAnsi="Arial"/>
                <w:sz w:val="16"/>
                <w:szCs w:val="16"/>
                <w:color w:val="auto"/>
              </w:rPr>
              <w:t>OTHER ASSETS</w:t>
            </w: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20" w:type="dxa"/>
            <w:vAlign w:val="bottom"/>
            <w:gridSpan w:val="7"/>
            <w:vMerge w:val="restart"/>
          </w:tcPr>
          <w:p>
            <w:pPr>
              <w:jc w:val="center"/>
              <w:ind w:right="3580"/>
              <w:spacing w:after="0"/>
              <w:rPr>
                <w:sz w:val="20"/>
                <w:szCs w:val="20"/>
                <w:color w:val="auto"/>
              </w:rPr>
            </w:pPr>
            <w:r>
              <w:rPr>
                <w:rFonts w:ascii="Arial" w:cs="Arial" w:eastAsia="Arial" w:hAnsi="Arial"/>
                <w:sz w:val="16"/>
                <w:szCs w:val="16"/>
                <w:b w:val="1"/>
                <w:bCs w:val="1"/>
                <w:color w:val="auto"/>
                <w:w w:val="88"/>
              </w:rPr>
              <w:t>Total Assets</w:t>
            </w: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7,109</w:t>
            </w:r>
          </w:p>
        </w:tc>
        <w:tc>
          <w:tcPr>
            <w:tcW w:w="2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6"/>
                <w:szCs w:val="16"/>
                <w:color w:val="auto"/>
              </w:rPr>
              <w:t>7,496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20" w:type="dxa"/>
            <w:vAlign w:val="bottom"/>
            <w:gridSpan w:val="7"/>
            <w:vMerge w:val="continue"/>
          </w:tcPr>
          <w:p>
            <w:pPr>
              <w:spacing w:after="0"/>
              <w:rPr>
                <w:sz w:val="17"/>
                <w:szCs w:val="17"/>
                <w:color w:val="auto"/>
              </w:rPr>
            </w:pPr>
          </w:p>
        </w:tc>
        <w:tc>
          <w:tcPr>
            <w:tcW w:w="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2,084,946</w:t>
            </w:r>
          </w:p>
        </w:tc>
        <w:tc>
          <w:tcPr>
            <w:tcW w:w="2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6"/>
                <w:szCs w:val="16"/>
                <w:color w:val="auto"/>
              </w:rPr>
              <w:t>1,938,875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-5043805</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-5043805</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57" w:orient="portrait"/>
          <w:cols w:equalWidth="0" w:num="1">
            <w:col w:w="11460"/>
          </w:cols>
          <w:pgMar w:left="240" w:top="328" w:right="199" w:bottom="0" w:gutter="0" w:footer="0" w:header="0"/>
        </w:sectPr>
      </w:pPr>
    </w:p>
    <w:bookmarkStart w:id="2" w:name="page3"/>
    <w:bookmarkEnd w:id="2"/>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60" w:type="dxa"/>
            <w:vAlign w:val="bottom"/>
          </w:tcPr>
          <w:p>
            <w:pPr>
              <w:spacing w:after="0"/>
              <w:rPr>
                <w:sz w:val="16"/>
                <w:szCs w:val="16"/>
                <w:color w:val="auto"/>
              </w:rPr>
            </w:pPr>
          </w:p>
        </w:tc>
        <w:tc>
          <w:tcPr>
            <w:tcW w:w="5860" w:type="dxa"/>
            <w:vAlign w:val="bottom"/>
            <w:gridSpan w:val="2"/>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66"/>
        </w:trPr>
        <w:tc>
          <w:tcPr>
            <w:tcW w:w="2060" w:type="dxa"/>
            <w:vAlign w:val="bottom"/>
          </w:tcPr>
          <w:p>
            <w:pPr>
              <w:spacing w:after="0"/>
              <w:rPr>
                <w:sz w:val="20"/>
                <w:szCs w:val="20"/>
                <w:color w:val="auto"/>
              </w:rPr>
            </w:pPr>
            <w:r>
              <w:rPr>
                <w:rFonts w:ascii="Arial" w:cs="Arial" w:eastAsia="Arial" w:hAnsi="Arial"/>
                <w:sz w:val="16"/>
                <w:szCs w:val="16"/>
                <w:color w:val="auto"/>
              </w:rPr>
              <w:t>CURRENT LIABILITIES:</w:t>
            </w:r>
          </w:p>
        </w:tc>
        <w:tc>
          <w:tcPr>
            <w:tcW w:w="3520" w:type="dxa"/>
            <w:vAlign w:val="bottom"/>
            <w:tcBorders>
              <w:top w:val="single" w:sz="8" w:color="auto"/>
            </w:tcBorders>
          </w:tcPr>
          <w:p>
            <w:pPr>
              <w:spacing w:after="0"/>
              <w:rPr>
                <w:sz w:val="24"/>
                <w:szCs w:val="24"/>
                <w:color w:val="auto"/>
              </w:rPr>
            </w:pPr>
          </w:p>
        </w:tc>
        <w:tc>
          <w:tcPr>
            <w:tcW w:w="2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43"/>
        </w:trPr>
        <w:tc>
          <w:tcPr>
            <w:tcW w:w="7920" w:type="dxa"/>
            <w:vAlign w:val="bottom"/>
            <w:gridSpan w:val="3"/>
          </w:tcPr>
          <w:p>
            <w:pPr>
              <w:spacing w:after="0"/>
              <w:rPr>
                <w:sz w:val="20"/>
                <w:szCs w:val="20"/>
                <w:color w:val="auto"/>
              </w:rPr>
            </w:pPr>
            <w:r>
              <w:rPr>
                <w:rFonts w:ascii="Arial" w:cs="Arial" w:eastAsia="Arial" w:hAnsi="Arial"/>
                <w:sz w:val="16"/>
                <w:szCs w:val="16"/>
                <w:color w:val="auto"/>
              </w:rPr>
              <w:t>Accounts payable</w:t>
            </w:r>
          </w:p>
        </w:tc>
        <w:tc>
          <w:tcPr>
            <w:tcW w:w="4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167,789</w:t>
            </w:r>
          </w:p>
        </w:tc>
        <w:tc>
          <w:tcPr>
            <w:tcW w:w="280" w:type="dxa"/>
            <w:vAlign w:val="bottom"/>
          </w:tcPr>
          <w:p>
            <w:pPr>
              <w:spacing w:after="0"/>
              <w:rPr>
                <w:sz w:val="21"/>
                <w:szCs w:val="21"/>
                <w:color w:val="auto"/>
              </w:rPr>
            </w:pPr>
          </w:p>
        </w:tc>
        <w:tc>
          <w:tcPr>
            <w:tcW w:w="48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127,641</w:t>
            </w:r>
          </w:p>
        </w:tc>
      </w:tr>
      <w:tr>
        <w:trPr>
          <w:trHeight w:val="243"/>
        </w:trPr>
        <w:tc>
          <w:tcPr>
            <w:tcW w:w="7920" w:type="dxa"/>
            <w:vAlign w:val="bottom"/>
            <w:gridSpan w:val="3"/>
          </w:tcPr>
          <w:p>
            <w:pPr>
              <w:spacing w:after="0"/>
              <w:rPr>
                <w:sz w:val="20"/>
                <w:szCs w:val="20"/>
                <w:color w:val="auto"/>
              </w:rPr>
            </w:pPr>
            <w:r>
              <w:rPr>
                <w:rFonts w:ascii="Arial" w:cs="Arial" w:eastAsia="Arial" w:hAnsi="Arial"/>
                <w:sz w:val="16"/>
                <w:szCs w:val="16"/>
                <w:color w:val="auto"/>
              </w:rPr>
              <w:t>Accrued liabilities</w:t>
            </w:r>
          </w:p>
        </w:tc>
        <w:tc>
          <w:tcPr>
            <w:tcW w:w="46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46,147</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40,271</w:t>
            </w:r>
          </w:p>
        </w:tc>
      </w:tr>
      <w:tr>
        <w:trPr>
          <w:trHeight w:val="243"/>
        </w:trPr>
        <w:tc>
          <w:tcPr>
            <w:tcW w:w="7920" w:type="dxa"/>
            <w:vAlign w:val="bottom"/>
            <w:gridSpan w:val="3"/>
          </w:tcPr>
          <w:p>
            <w:pPr>
              <w:spacing w:after="0"/>
              <w:rPr>
                <w:sz w:val="20"/>
                <w:szCs w:val="20"/>
                <w:color w:val="auto"/>
              </w:rPr>
            </w:pPr>
            <w:r>
              <w:rPr>
                <w:rFonts w:ascii="Arial" w:cs="Arial" w:eastAsia="Arial" w:hAnsi="Arial"/>
                <w:sz w:val="16"/>
                <w:szCs w:val="16"/>
                <w:color w:val="auto"/>
              </w:rPr>
              <w:t>Accrued promotional allowances</w:t>
            </w:r>
          </w:p>
        </w:tc>
        <w:tc>
          <w:tcPr>
            <w:tcW w:w="46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107,229</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114,047</w:t>
            </w:r>
          </w:p>
        </w:tc>
      </w:tr>
      <w:tr>
        <w:trPr>
          <w:trHeight w:val="243"/>
        </w:trPr>
        <w:tc>
          <w:tcPr>
            <w:tcW w:w="7920" w:type="dxa"/>
            <w:vAlign w:val="bottom"/>
            <w:gridSpan w:val="3"/>
          </w:tcPr>
          <w:p>
            <w:pPr>
              <w:spacing w:after="0"/>
              <w:rPr>
                <w:sz w:val="20"/>
                <w:szCs w:val="20"/>
                <w:color w:val="auto"/>
              </w:rPr>
            </w:pPr>
            <w:r>
              <w:rPr>
                <w:rFonts w:ascii="Arial" w:cs="Arial" w:eastAsia="Arial" w:hAnsi="Arial"/>
                <w:sz w:val="16"/>
                <w:szCs w:val="16"/>
                <w:color w:val="auto"/>
              </w:rPr>
              <w:t>Accrued distributor terminations</w:t>
            </w:r>
          </w:p>
        </w:tc>
        <w:tc>
          <w:tcPr>
            <w:tcW w:w="46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205,980</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43"/>
        </w:trPr>
        <w:tc>
          <w:tcPr>
            <w:tcW w:w="7920" w:type="dxa"/>
            <w:vAlign w:val="bottom"/>
            <w:gridSpan w:val="3"/>
          </w:tcPr>
          <w:p>
            <w:pPr>
              <w:spacing w:after="0"/>
              <w:rPr>
                <w:sz w:val="20"/>
                <w:szCs w:val="20"/>
                <w:color w:val="auto"/>
              </w:rPr>
            </w:pPr>
            <w:r>
              <w:rPr>
                <w:rFonts w:ascii="Arial" w:cs="Arial" w:eastAsia="Arial" w:hAnsi="Arial"/>
                <w:sz w:val="16"/>
                <w:szCs w:val="16"/>
                <w:color w:val="auto"/>
              </w:rPr>
              <w:t>Deferred revenue</w:t>
            </w:r>
          </w:p>
        </w:tc>
        <w:tc>
          <w:tcPr>
            <w:tcW w:w="46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10,584</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49,926</w:t>
            </w:r>
          </w:p>
        </w:tc>
      </w:tr>
      <w:tr>
        <w:trPr>
          <w:trHeight w:val="243"/>
        </w:trPr>
        <w:tc>
          <w:tcPr>
            <w:tcW w:w="7920" w:type="dxa"/>
            <w:vAlign w:val="bottom"/>
            <w:gridSpan w:val="3"/>
          </w:tcPr>
          <w:p>
            <w:pPr>
              <w:spacing w:after="0"/>
              <w:rPr>
                <w:sz w:val="20"/>
                <w:szCs w:val="20"/>
                <w:color w:val="auto"/>
              </w:rPr>
            </w:pPr>
            <w:r>
              <w:rPr>
                <w:rFonts w:ascii="Arial" w:cs="Arial" w:eastAsia="Arial" w:hAnsi="Arial"/>
                <w:sz w:val="16"/>
                <w:szCs w:val="16"/>
                <w:color w:val="auto"/>
              </w:rPr>
              <w:t>Accrued compensation</w:t>
            </w:r>
          </w:p>
        </w:tc>
        <w:tc>
          <w:tcPr>
            <w:tcW w:w="46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9,972</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17,983</w:t>
            </w:r>
          </w:p>
        </w:tc>
      </w:tr>
      <w:tr>
        <w:trPr>
          <w:trHeight w:val="243"/>
        </w:trPr>
        <w:tc>
          <w:tcPr>
            <w:tcW w:w="7920" w:type="dxa"/>
            <w:vAlign w:val="bottom"/>
            <w:gridSpan w:val="3"/>
          </w:tcPr>
          <w:p>
            <w:pPr>
              <w:spacing w:after="0"/>
              <w:rPr>
                <w:sz w:val="20"/>
                <w:szCs w:val="20"/>
                <w:color w:val="auto"/>
              </w:rPr>
            </w:pPr>
            <w:r>
              <w:rPr>
                <w:rFonts w:ascii="Arial" w:cs="Arial" w:eastAsia="Arial" w:hAnsi="Arial"/>
                <w:sz w:val="16"/>
                <w:szCs w:val="16"/>
                <w:color w:val="auto"/>
              </w:rPr>
              <w:t>Income taxes payable</w:t>
            </w:r>
          </w:p>
        </w:tc>
        <w:tc>
          <w:tcPr>
            <w:tcW w:w="4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1,586</w:t>
            </w:r>
          </w:p>
        </w:tc>
        <w:tc>
          <w:tcPr>
            <w:tcW w:w="28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5,848</w:t>
            </w:r>
          </w:p>
        </w:tc>
      </w:tr>
      <w:tr>
        <w:trPr>
          <w:trHeight w:val="206"/>
        </w:trPr>
        <w:tc>
          <w:tcPr>
            <w:tcW w:w="7920" w:type="dxa"/>
            <w:vAlign w:val="bottom"/>
            <w:gridSpan w:val="3"/>
          </w:tcPr>
          <w:p>
            <w:pPr>
              <w:ind w:left="360"/>
              <w:spacing w:after="0"/>
              <w:rPr>
                <w:sz w:val="20"/>
                <w:szCs w:val="20"/>
                <w:color w:val="auto"/>
              </w:rPr>
            </w:pPr>
            <w:r>
              <w:rPr>
                <w:rFonts w:ascii="Arial" w:cs="Arial" w:eastAsia="Arial" w:hAnsi="Arial"/>
                <w:sz w:val="16"/>
                <w:szCs w:val="16"/>
                <w:color w:val="auto"/>
              </w:rPr>
              <w:t>Total current liabilities</w:t>
            </w:r>
          </w:p>
        </w:tc>
        <w:tc>
          <w:tcPr>
            <w:tcW w:w="46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549,287</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355,716</w:t>
            </w:r>
          </w:p>
        </w:tc>
      </w:tr>
      <w:tr>
        <w:trPr>
          <w:trHeight w:val="368"/>
        </w:trPr>
        <w:tc>
          <w:tcPr>
            <w:tcW w:w="7920" w:type="dxa"/>
            <w:vAlign w:val="bottom"/>
            <w:gridSpan w:val="3"/>
          </w:tcPr>
          <w:p>
            <w:pPr>
              <w:spacing w:after="0"/>
              <w:rPr>
                <w:sz w:val="20"/>
                <w:szCs w:val="20"/>
                <w:color w:val="auto"/>
              </w:rPr>
            </w:pPr>
            <w:r>
              <w:rPr>
                <w:rFonts w:ascii="Arial" w:cs="Arial" w:eastAsia="Arial" w:hAnsi="Arial"/>
                <w:sz w:val="16"/>
                <w:szCs w:val="16"/>
                <w:color w:val="auto"/>
              </w:rPr>
              <w:t>DEFERRED REVENUE</w:t>
            </w:r>
          </w:p>
        </w:tc>
        <w:tc>
          <w:tcPr>
            <w:tcW w:w="460" w:type="dxa"/>
            <w:vAlign w:val="bottom"/>
          </w:tcPr>
          <w:p>
            <w:pPr>
              <w:spacing w:after="0"/>
              <w:rPr>
                <w:sz w:val="24"/>
                <w:szCs w:val="24"/>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67,305</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68,009</w:t>
            </w:r>
          </w:p>
        </w:tc>
      </w:tr>
      <w:tr>
        <w:trPr>
          <w:trHeight w:val="351"/>
        </w:trPr>
        <w:tc>
          <w:tcPr>
            <w:tcW w:w="7920" w:type="dxa"/>
            <w:vAlign w:val="bottom"/>
            <w:gridSpan w:val="3"/>
          </w:tcPr>
          <w:p>
            <w:pPr>
              <w:spacing w:after="0"/>
              <w:rPr>
                <w:sz w:val="20"/>
                <w:szCs w:val="20"/>
                <w:color w:val="auto"/>
              </w:rPr>
            </w:pPr>
            <w:r>
              <w:rPr>
                <w:rFonts w:ascii="Arial" w:cs="Arial" w:eastAsia="Arial" w:hAnsi="Arial"/>
                <w:sz w:val="16"/>
                <w:szCs w:val="16"/>
                <w:color w:val="auto"/>
              </w:rPr>
              <w:t>COMMITMENTS AND CONTINGENCIES (Note 11)</w:t>
            </w: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51"/>
        </w:trPr>
        <w:tc>
          <w:tcPr>
            <w:tcW w:w="7920" w:type="dxa"/>
            <w:vAlign w:val="bottom"/>
            <w:gridSpan w:val="3"/>
          </w:tcPr>
          <w:p>
            <w:pPr>
              <w:spacing w:after="0"/>
              <w:rPr>
                <w:sz w:val="20"/>
                <w:szCs w:val="20"/>
                <w:color w:val="auto"/>
              </w:rPr>
            </w:pPr>
            <w:r>
              <w:rPr>
                <w:rFonts w:ascii="Arial" w:cs="Arial" w:eastAsia="Arial" w:hAnsi="Arial"/>
                <w:sz w:val="16"/>
                <w:szCs w:val="16"/>
                <w:color w:val="auto"/>
              </w:rPr>
              <w:t>STOCKHOLDERS’ EQUITY:</w:t>
            </w: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9"/>
        </w:trPr>
        <w:tc>
          <w:tcPr>
            <w:tcW w:w="7920" w:type="dxa"/>
            <w:vAlign w:val="bottom"/>
            <w:gridSpan w:val="3"/>
          </w:tcPr>
          <w:p>
            <w:pPr>
              <w:spacing w:after="0"/>
              <w:rPr>
                <w:sz w:val="20"/>
                <w:szCs w:val="20"/>
                <w:color w:val="auto"/>
              </w:rPr>
            </w:pPr>
            <w:r>
              <w:rPr>
                <w:rFonts w:ascii="Arial" w:cs="Arial" w:eastAsia="Arial" w:hAnsi="Arial"/>
                <w:sz w:val="16"/>
                <w:szCs w:val="16"/>
                <w:color w:val="auto"/>
              </w:rPr>
              <w:t>Common stock - $0.005 par value; 240,000 shares authorized;</w:t>
            </w: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03"/>
        </w:trPr>
        <w:tc>
          <w:tcPr>
            <w:tcW w:w="7920" w:type="dxa"/>
            <w:vAlign w:val="bottom"/>
            <w:gridSpan w:val="3"/>
          </w:tcPr>
          <w:p>
            <w:pPr>
              <w:ind w:left="180"/>
              <w:spacing w:after="0"/>
              <w:rPr>
                <w:sz w:val="20"/>
                <w:szCs w:val="20"/>
                <w:color w:val="auto"/>
              </w:rPr>
            </w:pPr>
            <w:r>
              <w:rPr>
                <w:rFonts w:ascii="Arial" w:cs="Arial" w:eastAsia="Arial" w:hAnsi="Arial"/>
                <w:sz w:val="16"/>
                <w:szCs w:val="16"/>
                <w:color w:val="auto"/>
              </w:rPr>
              <w:t>211,609 shares issued and 170,158 outstanding as of March 31, 2015;</w:t>
            </w:r>
          </w:p>
        </w:tc>
        <w:tc>
          <w:tcPr>
            <w:tcW w:w="4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6"/>
        </w:trPr>
        <w:tc>
          <w:tcPr>
            <w:tcW w:w="7920" w:type="dxa"/>
            <w:vAlign w:val="bottom"/>
            <w:gridSpan w:val="3"/>
          </w:tcPr>
          <w:p>
            <w:pPr>
              <w:ind w:left="180"/>
              <w:spacing w:after="0"/>
              <w:rPr>
                <w:sz w:val="20"/>
                <w:szCs w:val="20"/>
                <w:color w:val="auto"/>
              </w:rPr>
            </w:pPr>
            <w:r>
              <w:rPr>
                <w:rFonts w:ascii="Arial" w:cs="Arial" w:eastAsia="Arial" w:hAnsi="Arial"/>
                <w:sz w:val="16"/>
                <w:szCs w:val="16"/>
                <w:color w:val="auto"/>
              </w:rPr>
              <w:t>207,004 shares issued and 167,722 outstanding as of December 31, 2014</w:t>
            </w:r>
          </w:p>
        </w:tc>
        <w:tc>
          <w:tcPr>
            <w:tcW w:w="46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1,058</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1,035</w:t>
            </w:r>
          </w:p>
        </w:tc>
      </w:tr>
      <w:tr>
        <w:trPr>
          <w:trHeight w:val="243"/>
        </w:trPr>
        <w:tc>
          <w:tcPr>
            <w:tcW w:w="7920" w:type="dxa"/>
            <w:vAlign w:val="bottom"/>
            <w:gridSpan w:val="3"/>
          </w:tcPr>
          <w:p>
            <w:pPr>
              <w:spacing w:after="0"/>
              <w:rPr>
                <w:sz w:val="20"/>
                <w:szCs w:val="20"/>
                <w:color w:val="auto"/>
              </w:rPr>
            </w:pPr>
            <w:r>
              <w:rPr>
                <w:rFonts w:ascii="Arial" w:cs="Arial" w:eastAsia="Arial" w:hAnsi="Arial"/>
                <w:sz w:val="16"/>
                <w:szCs w:val="16"/>
                <w:color w:val="auto"/>
              </w:rPr>
              <w:t>Additional paid-in capital</w:t>
            </w:r>
          </w:p>
        </w:tc>
        <w:tc>
          <w:tcPr>
            <w:tcW w:w="46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636,274</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426,145</w:t>
            </w:r>
          </w:p>
        </w:tc>
      </w:tr>
      <w:tr>
        <w:trPr>
          <w:trHeight w:val="243"/>
        </w:trPr>
        <w:tc>
          <w:tcPr>
            <w:tcW w:w="7920" w:type="dxa"/>
            <w:vAlign w:val="bottom"/>
            <w:gridSpan w:val="3"/>
          </w:tcPr>
          <w:p>
            <w:pPr>
              <w:spacing w:after="0"/>
              <w:rPr>
                <w:sz w:val="20"/>
                <w:szCs w:val="20"/>
                <w:color w:val="auto"/>
              </w:rPr>
            </w:pPr>
            <w:r>
              <w:rPr>
                <w:rFonts w:ascii="Arial" w:cs="Arial" w:eastAsia="Arial" w:hAnsi="Arial"/>
                <w:sz w:val="16"/>
                <w:szCs w:val="16"/>
                <w:color w:val="auto"/>
              </w:rPr>
              <w:t>Retained earnings</w:t>
            </w:r>
          </w:p>
        </w:tc>
        <w:tc>
          <w:tcPr>
            <w:tcW w:w="46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2,334,924</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2,330,510</w:t>
            </w:r>
          </w:p>
        </w:tc>
      </w:tr>
      <w:tr>
        <w:trPr>
          <w:trHeight w:val="243"/>
        </w:trPr>
        <w:tc>
          <w:tcPr>
            <w:tcW w:w="7920" w:type="dxa"/>
            <w:vAlign w:val="bottom"/>
            <w:gridSpan w:val="3"/>
          </w:tcPr>
          <w:p>
            <w:pPr>
              <w:spacing w:after="0"/>
              <w:rPr>
                <w:sz w:val="20"/>
                <w:szCs w:val="20"/>
                <w:color w:val="auto"/>
              </w:rPr>
            </w:pPr>
            <w:r>
              <w:rPr>
                <w:rFonts w:ascii="Arial" w:cs="Arial" w:eastAsia="Arial" w:hAnsi="Arial"/>
                <w:sz w:val="16"/>
                <w:szCs w:val="16"/>
                <w:color w:val="auto"/>
              </w:rPr>
              <w:t>Accumulated other comprehensive loss</w:t>
            </w: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(21,433)</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(11,453)</w:t>
            </w:r>
          </w:p>
        </w:tc>
      </w:tr>
      <w:tr>
        <w:trPr>
          <w:trHeight w:val="239"/>
        </w:trPr>
        <w:tc>
          <w:tcPr>
            <w:tcW w:w="7920" w:type="dxa"/>
            <w:vAlign w:val="bottom"/>
            <w:gridSpan w:val="3"/>
          </w:tcPr>
          <w:p>
            <w:pPr>
              <w:spacing w:after="0"/>
              <w:rPr>
                <w:sz w:val="20"/>
                <w:szCs w:val="20"/>
                <w:color w:val="auto"/>
              </w:rPr>
            </w:pPr>
            <w:r>
              <w:rPr>
                <w:rFonts w:ascii="Arial" w:cs="Arial" w:eastAsia="Arial" w:hAnsi="Arial"/>
                <w:sz w:val="16"/>
                <w:szCs w:val="16"/>
                <w:color w:val="auto"/>
              </w:rPr>
              <w:t>Common stock in treasury, at cost; 41,451 and 39,282 shares as of March 31, 2015 and December 31, 2014,</w:t>
            </w: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06"/>
        </w:trPr>
        <w:tc>
          <w:tcPr>
            <w:tcW w:w="7920" w:type="dxa"/>
            <w:vAlign w:val="bottom"/>
            <w:gridSpan w:val="3"/>
          </w:tcPr>
          <w:p>
            <w:pPr>
              <w:ind w:left="180"/>
              <w:spacing w:after="0"/>
              <w:rPr>
                <w:sz w:val="20"/>
                <w:szCs w:val="20"/>
                <w:color w:val="auto"/>
              </w:rPr>
            </w:pPr>
            <w:r>
              <w:rPr>
                <w:rFonts w:ascii="Arial" w:cs="Arial" w:eastAsia="Arial" w:hAnsi="Arial"/>
                <w:sz w:val="16"/>
                <w:szCs w:val="16"/>
                <w:color w:val="auto"/>
              </w:rPr>
              <w:t>respectively</w:t>
            </w:r>
          </w:p>
        </w:tc>
        <w:tc>
          <w:tcPr>
            <w:tcW w:w="4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(1,482,469)</w:t>
            </w:r>
          </w:p>
        </w:tc>
        <w:tc>
          <w:tcPr>
            <w:tcW w:w="2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(1,231,087)</w:t>
            </w:r>
          </w:p>
        </w:tc>
      </w:tr>
      <w:tr>
        <w:trPr>
          <w:trHeight w:val="202"/>
        </w:trPr>
        <w:tc>
          <w:tcPr>
            <w:tcW w:w="7920" w:type="dxa"/>
            <w:vAlign w:val="bottom"/>
            <w:gridSpan w:val="3"/>
          </w:tcPr>
          <w:p>
            <w:pPr>
              <w:ind w:left="180"/>
              <w:spacing w:after="0"/>
              <w:rPr>
                <w:sz w:val="20"/>
                <w:szCs w:val="20"/>
                <w:color w:val="auto"/>
              </w:rPr>
            </w:pPr>
            <w:r>
              <w:rPr>
                <w:rFonts w:ascii="Arial" w:cs="Arial" w:eastAsia="Arial" w:hAnsi="Arial"/>
                <w:sz w:val="16"/>
                <w:szCs w:val="16"/>
                <w:color w:val="auto"/>
              </w:rPr>
              <w:t>Total stockholders’ equity</w:t>
            </w:r>
          </w:p>
        </w:tc>
        <w:tc>
          <w:tcPr>
            <w:tcW w:w="4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1,468,354</w:t>
            </w:r>
          </w:p>
        </w:tc>
        <w:tc>
          <w:tcPr>
            <w:tcW w:w="2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1,515,150</w:t>
            </w:r>
          </w:p>
        </w:tc>
      </w:tr>
      <w:tr>
        <w:trPr>
          <w:trHeight w:val="196"/>
        </w:trPr>
        <w:tc>
          <w:tcPr>
            <w:tcW w:w="2060" w:type="dxa"/>
            <w:vAlign w:val="bottom"/>
          </w:tcPr>
          <w:p>
            <w:pPr>
              <w:spacing w:after="0"/>
              <w:rPr>
                <w:sz w:val="17"/>
                <w:szCs w:val="17"/>
                <w:color w:val="auto"/>
              </w:rPr>
            </w:pPr>
          </w:p>
        </w:tc>
        <w:tc>
          <w:tcPr>
            <w:tcW w:w="5860" w:type="dxa"/>
            <w:vAlign w:val="bottom"/>
            <w:gridSpan w:val="2"/>
          </w:tcPr>
          <w:p>
            <w:pPr>
              <w:ind w:left="400"/>
              <w:spacing w:after="0"/>
              <w:rPr>
                <w:sz w:val="20"/>
                <w:szCs w:val="20"/>
                <w:color w:val="auto"/>
              </w:rPr>
            </w:pPr>
            <w:r>
              <w:rPr>
                <w:rFonts w:ascii="Arial" w:cs="Arial" w:eastAsia="Arial" w:hAnsi="Arial"/>
                <w:sz w:val="16"/>
                <w:szCs w:val="16"/>
                <w:b w:val="1"/>
                <w:bCs w:val="1"/>
                <w:color w:val="auto"/>
              </w:rPr>
              <w:t>Total Liabilities and Stockholders’ Equity</w:t>
            </w:r>
          </w:p>
        </w:tc>
        <w:tc>
          <w:tcPr>
            <w:tcW w:w="4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2,084,946</w:t>
            </w:r>
          </w:p>
        </w:tc>
        <w:tc>
          <w:tcPr>
            <w:tcW w:w="280" w:type="dxa"/>
            <w:vAlign w:val="bottom"/>
          </w:tcPr>
          <w:p>
            <w:pPr>
              <w:spacing w:after="0"/>
              <w:rPr>
                <w:sz w:val="17"/>
                <w:szCs w:val="17"/>
                <w:color w:val="auto"/>
              </w:rPr>
            </w:pPr>
          </w:p>
        </w:tc>
        <w:tc>
          <w:tcPr>
            <w:tcW w:w="4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1,938,875</w:t>
            </w:r>
          </w:p>
        </w:tc>
      </w:tr>
      <w:tr>
        <w:trPr>
          <w:trHeight w:val="20"/>
        </w:trPr>
        <w:tc>
          <w:tcPr>
            <w:tcW w:w="20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0" w:lineRule="exact"/>
        <w:rPr>
          <w:sz w:val="20"/>
          <w:szCs w:val="20"/>
          <w:color w:val="auto"/>
        </w:rPr>
      </w:pPr>
    </w:p>
    <w:p>
      <w:pPr>
        <w:ind w:right="5620"/>
        <w:spacing w:after="0" w:line="248" w:lineRule="auto"/>
        <w:rPr>
          <w:sz w:val="20"/>
          <w:szCs w:val="20"/>
          <w:color w:val="auto"/>
        </w:rPr>
      </w:pPr>
      <w:r>
        <w:rPr>
          <w:rFonts w:ascii="Arial" w:cs="Arial" w:eastAsia="Arial" w:hAnsi="Arial"/>
          <w:sz w:val="20"/>
          <w:szCs w:val="20"/>
          <w:b w:val="1"/>
          <w:bCs w:val="1"/>
          <w:color w:val="auto"/>
        </w:rPr>
        <w:t>MONSTER BEVERAGE CORPORATION AND SUBSIDIARIES CONDENSED CONSOLIDATED STATEMENTS OF INCOME FOR THE THREE-MONTHS ENDED MARCH 31, 2015 AND 2014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2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Three-Months Ended</w:t>
            </w:r>
          </w:p>
        </w:tc>
        <w:tc>
          <w:tcPr>
            <w:tcW w:w="0" w:type="dxa"/>
            <w:vAlign w:val="bottom"/>
          </w:tcPr>
          <w:p>
            <w:pPr>
              <w:spacing w:after="0"/>
              <w:rPr>
                <w:sz w:val="1"/>
                <w:szCs w:val="1"/>
                <w:color w:val="auto"/>
              </w:rPr>
            </w:pPr>
          </w:p>
        </w:tc>
      </w:tr>
      <w:tr>
        <w:trPr>
          <w:trHeight w:val="234"/>
        </w:trPr>
        <w:tc>
          <w:tcPr>
            <w:tcW w:w="83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3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2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426"/>
        </w:trPr>
        <w:tc>
          <w:tcPr>
            <w:tcW w:w="8380" w:type="dxa"/>
            <w:vAlign w:val="bottom"/>
          </w:tcPr>
          <w:p>
            <w:pPr>
              <w:spacing w:after="0"/>
              <w:rPr>
                <w:sz w:val="20"/>
                <w:szCs w:val="20"/>
                <w:color w:val="auto"/>
              </w:rPr>
            </w:pPr>
            <w:r>
              <w:rPr>
                <w:rFonts w:ascii="Arial" w:cs="Arial" w:eastAsia="Arial" w:hAnsi="Arial"/>
                <w:sz w:val="18"/>
                <w:szCs w:val="18"/>
                <w:color w:val="auto"/>
              </w:rPr>
              <w:t>NET SALES</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626,791</w:t>
            </w:r>
          </w:p>
        </w:tc>
        <w:tc>
          <w:tcPr>
            <w:tcW w:w="280" w:type="dxa"/>
            <w:vAlign w:val="bottom"/>
          </w:tcPr>
          <w:p>
            <w:pPr>
              <w:spacing w:after="0"/>
              <w:rPr>
                <w:sz w:val="24"/>
                <w:szCs w:val="24"/>
                <w:color w:val="auto"/>
              </w:rPr>
            </w:pP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536,129</w:t>
            </w:r>
          </w:p>
        </w:tc>
        <w:tc>
          <w:tcPr>
            <w:tcW w:w="0" w:type="dxa"/>
            <w:vAlign w:val="bottom"/>
          </w:tcPr>
          <w:p>
            <w:pPr>
              <w:spacing w:after="0"/>
              <w:rPr>
                <w:sz w:val="1"/>
                <w:szCs w:val="1"/>
                <w:color w:val="auto"/>
              </w:rPr>
            </w:pPr>
          </w:p>
        </w:tc>
      </w:tr>
      <w:tr>
        <w:trPr>
          <w:trHeight w:val="432"/>
        </w:trPr>
        <w:tc>
          <w:tcPr>
            <w:tcW w:w="8380" w:type="dxa"/>
            <w:vAlign w:val="bottom"/>
          </w:tcPr>
          <w:p>
            <w:pPr>
              <w:spacing w:after="0"/>
              <w:rPr>
                <w:sz w:val="20"/>
                <w:szCs w:val="20"/>
                <w:color w:val="auto"/>
              </w:rPr>
            </w:pPr>
            <w:r>
              <w:rPr>
                <w:rFonts w:ascii="Arial" w:cs="Arial" w:eastAsia="Arial" w:hAnsi="Arial"/>
                <w:sz w:val="18"/>
                <w:szCs w:val="18"/>
                <w:color w:val="auto"/>
              </w:rPr>
              <w:t>COST OF SALES</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257,834</w:t>
            </w:r>
          </w:p>
        </w:tc>
        <w:tc>
          <w:tcPr>
            <w:tcW w:w="2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249,311</w:t>
            </w:r>
          </w:p>
        </w:tc>
        <w:tc>
          <w:tcPr>
            <w:tcW w:w="0" w:type="dxa"/>
            <w:vAlign w:val="bottom"/>
          </w:tcPr>
          <w:p>
            <w:pPr>
              <w:spacing w:after="0"/>
              <w:rPr>
                <w:sz w:val="1"/>
                <w:szCs w:val="1"/>
                <w:color w:val="auto"/>
              </w:rPr>
            </w:pPr>
          </w:p>
        </w:tc>
      </w:tr>
      <w:tr>
        <w:trPr>
          <w:trHeight w:val="426"/>
        </w:trPr>
        <w:tc>
          <w:tcPr>
            <w:tcW w:w="8380" w:type="dxa"/>
            <w:vAlign w:val="bottom"/>
          </w:tcPr>
          <w:p>
            <w:pPr>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368,957</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286,818</w:t>
            </w:r>
          </w:p>
        </w:tc>
        <w:tc>
          <w:tcPr>
            <w:tcW w:w="0" w:type="dxa"/>
            <w:vAlign w:val="bottom"/>
          </w:tcPr>
          <w:p>
            <w:pPr>
              <w:spacing w:after="0"/>
              <w:rPr>
                <w:sz w:val="1"/>
                <w:szCs w:val="1"/>
                <w:color w:val="auto"/>
              </w:rPr>
            </w:pPr>
          </w:p>
        </w:tc>
      </w:tr>
      <w:tr>
        <w:trPr>
          <w:trHeight w:val="432"/>
        </w:trPr>
        <w:tc>
          <w:tcPr>
            <w:tcW w:w="8380" w:type="dxa"/>
            <w:vAlign w:val="bottom"/>
          </w:tcPr>
          <w:p>
            <w:pPr>
              <w:spacing w:after="0"/>
              <w:rPr>
                <w:sz w:val="20"/>
                <w:szCs w:val="20"/>
                <w:color w:val="auto"/>
              </w:rPr>
            </w:pPr>
            <w:r>
              <w:rPr>
                <w:rFonts w:ascii="Arial" w:cs="Arial" w:eastAsia="Arial" w:hAnsi="Arial"/>
                <w:sz w:val="18"/>
                <w:szCs w:val="18"/>
                <w:color w:val="auto"/>
              </w:rPr>
              <w:t>OPERATING EXPENSES</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361,328</w:t>
            </w:r>
          </w:p>
        </w:tc>
        <w:tc>
          <w:tcPr>
            <w:tcW w:w="2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137,955</w:t>
            </w:r>
          </w:p>
        </w:tc>
        <w:tc>
          <w:tcPr>
            <w:tcW w:w="0" w:type="dxa"/>
            <w:vAlign w:val="bottom"/>
          </w:tcPr>
          <w:p>
            <w:pPr>
              <w:spacing w:after="0"/>
              <w:rPr>
                <w:sz w:val="1"/>
                <w:szCs w:val="1"/>
                <w:color w:val="auto"/>
              </w:rPr>
            </w:pPr>
          </w:p>
        </w:tc>
      </w:tr>
      <w:tr>
        <w:trPr>
          <w:trHeight w:val="426"/>
        </w:trPr>
        <w:tc>
          <w:tcPr>
            <w:tcW w:w="8380" w:type="dxa"/>
            <w:vAlign w:val="bottom"/>
          </w:tcPr>
          <w:p>
            <w:pPr>
              <w:spacing w:after="0"/>
              <w:rPr>
                <w:sz w:val="20"/>
                <w:szCs w:val="20"/>
                <w:color w:val="auto"/>
              </w:rPr>
            </w:pPr>
            <w:r>
              <w:rPr>
                <w:rFonts w:ascii="Arial" w:cs="Arial" w:eastAsia="Arial" w:hAnsi="Arial"/>
                <w:sz w:val="18"/>
                <w:szCs w:val="18"/>
                <w:color w:val="auto"/>
              </w:rPr>
              <w:t>OPERATING INCOME</w:t>
            </w:r>
          </w:p>
        </w:tc>
        <w:tc>
          <w:tcPr>
            <w:tcW w:w="32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7,629</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148,863</w:t>
            </w:r>
          </w:p>
        </w:tc>
        <w:tc>
          <w:tcPr>
            <w:tcW w:w="0" w:type="dxa"/>
            <w:vAlign w:val="bottom"/>
          </w:tcPr>
          <w:p>
            <w:pPr>
              <w:spacing w:after="0"/>
              <w:rPr>
                <w:sz w:val="1"/>
                <w:szCs w:val="1"/>
                <w:color w:val="auto"/>
              </w:rPr>
            </w:pPr>
          </w:p>
        </w:tc>
      </w:tr>
      <w:tr>
        <w:trPr>
          <w:trHeight w:val="432"/>
        </w:trPr>
        <w:tc>
          <w:tcPr>
            <w:tcW w:w="8380" w:type="dxa"/>
            <w:vAlign w:val="bottom"/>
          </w:tcPr>
          <w:p>
            <w:pPr>
              <w:spacing w:after="0"/>
              <w:rPr>
                <w:sz w:val="20"/>
                <w:szCs w:val="20"/>
                <w:color w:val="auto"/>
              </w:rPr>
            </w:pPr>
            <w:r>
              <w:rPr>
                <w:rFonts w:ascii="Arial" w:cs="Arial" w:eastAsia="Arial" w:hAnsi="Arial"/>
                <w:sz w:val="18"/>
                <w:szCs w:val="18"/>
                <w:color w:val="auto"/>
              </w:rPr>
              <w:t>INTEREST AND OTHER INCOME, net</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1,233</w:t>
            </w:r>
          </w:p>
        </w:tc>
        <w:tc>
          <w:tcPr>
            <w:tcW w:w="2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426"/>
        </w:trPr>
        <w:tc>
          <w:tcPr>
            <w:tcW w:w="838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32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8,862</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149,017</w:t>
            </w:r>
          </w:p>
        </w:tc>
        <w:tc>
          <w:tcPr>
            <w:tcW w:w="0" w:type="dxa"/>
            <w:vAlign w:val="bottom"/>
          </w:tcPr>
          <w:p>
            <w:pPr>
              <w:spacing w:after="0"/>
              <w:rPr>
                <w:sz w:val="1"/>
                <w:szCs w:val="1"/>
                <w:color w:val="auto"/>
              </w:rPr>
            </w:pPr>
          </w:p>
        </w:tc>
      </w:tr>
      <w:tr>
        <w:trPr>
          <w:trHeight w:val="432"/>
        </w:trPr>
        <w:tc>
          <w:tcPr>
            <w:tcW w:w="83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4,448</w:t>
            </w:r>
          </w:p>
        </w:tc>
        <w:tc>
          <w:tcPr>
            <w:tcW w:w="2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53,767</w:t>
            </w:r>
          </w:p>
        </w:tc>
        <w:tc>
          <w:tcPr>
            <w:tcW w:w="0" w:type="dxa"/>
            <w:vAlign w:val="bottom"/>
          </w:tcPr>
          <w:p>
            <w:pPr>
              <w:spacing w:after="0"/>
              <w:rPr>
                <w:sz w:val="1"/>
                <w:szCs w:val="1"/>
                <w:color w:val="auto"/>
              </w:rPr>
            </w:pPr>
          </w:p>
        </w:tc>
      </w:tr>
      <w:tr>
        <w:trPr>
          <w:trHeight w:val="426"/>
        </w:trPr>
        <w:tc>
          <w:tcPr>
            <w:tcW w:w="8380" w:type="dxa"/>
            <w:vAlign w:val="bottom"/>
          </w:tcPr>
          <w:p>
            <w:pPr>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4,414</w:t>
            </w:r>
          </w:p>
        </w:tc>
        <w:tc>
          <w:tcPr>
            <w:tcW w:w="280" w:type="dxa"/>
            <w:vAlign w:val="bottom"/>
          </w:tcPr>
          <w:p>
            <w:pPr>
              <w:spacing w:after="0"/>
              <w:rPr>
                <w:sz w:val="24"/>
                <w:szCs w:val="24"/>
                <w:color w:val="auto"/>
              </w:rPr>
            </w:pPr>
          </w:p>
        </w:tc>
        <w:tc>
          <w:tcPr>
            <w:tcW w:w="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95,250</w:t>
            </w:r>
          </w:p>
        </w:tc>
        <w:tc>
          <w:tcPr>
            <w:tcW w:w="0" w:type="dxa"/>
            <w:vAlign w:val="bottom"/>
          </w:tcPr>
          <w:p>
            <w:pPr>
              <w:spacing w:after="0"/>
              <w:rPr>
                <w:sz w:val="1"/>
                <w:szCs w:val="1"/>
                <w:color w:val="auto"/>
              </w:rPr>
            </w:pPr>
          </w:p>
        </w:tc>
      </w:tr>
      <w:tr>
        <w:trPr>
          <w:trHeight w:val="20"/>
        </w:trPr>
        <w:tc>
          <w:tcPr>
            <w:tcW w:w="8380" w:type="dxa"/>
            <w:vAlign w:val="bottom"/>
            <w:vMerge w:val="restart"/>
          </w:tcPr>
          <w:p>
            <w:pPr>
              <w:spacing w:after="0"/>
              <w:rPr>
                <w:sz w:val="20"/>
                <w:szCs w:val="20"/>
                <w:color w:val="auto"/>
              </w:rPr>
            </w:pPr>
            <w:r>
              <w:rPr>
                <w:rFonts w:ascii="Arial" w:cs="Arial" w:eastAsia="Arial" w:hAnsi="Arial"/>
                <w:sz w:val="18"/>
                <w:szCs w:val="18"/>
                <w:color w:val="auto"/>
              </w:rPr>
              <w:t>NET INCOME PER COMMON SHARE:</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83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380" w:type="dxa"/>
            <w:vAlign w:val="bottom"/>
          </w:tcPr>
          <w:p>
            <w:pPr>
              <w:ind w:left="36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0.03</w:t>
            </w:r>
          </w:p>
        </w:tc>
        <w:tc>
          <w:tcPr>
            <w:tcW w:w="280" w:type="dxa"/>
            <w:vAlign w:val="bottom"/>
          </w:tcPr>
          <w:p>
            <w:pPr>
              <w:spacing w:after="0"/>
              <w:rPr>
                <w:sz w:val="20"/>
                <w:szCs w:val="20"/>
                <w:color w:val="auto"/>
              </w:rPr>
            </w:pPr>
          </w:p>
        </w:tc>
        <w:tc>
          <w:tcPr>
            <w:tcW w:w="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0"/>
        </w:trPr>
        <w:tc>
          <w:tcPr>
            <w:tcW w:w="8380" w:type="dxa"/>
            <w:vAlign w:val="bottom"/>
            <w:vMerge w:val="restart"/>
          </w:tcPr>
          <w:p>
            <w:pPr>
              <w:ind w:left="36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8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0.03</w:t>
            </w:r>
          </w:p>
        </w:tc>
        <w:tc>
          <w:tcPr>
            <w:tcW w:w="280" w:type="dxa"/>
            <w:vAlign w:val="bottom"/>
          </w:tcPr>
          <w:p>
            <w:pPr>
              <w:spacing w:after="0"/>
              <w:rPr>
                <w:sz w:val="17"/>
                <w:szCs w:val="17"/>
                <w:color w:val="auto"/>
              </w:rPr>
            </w:pPr>
          </w:p>
        </w:tc>
        <w:tc>
          <w:tcPr>
            <w:tcW w:w="40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0"/>
        </w:trPr>
        <w:tc>
          <w:tcPr>
            <w:tcW w:w="8380" w:type="dxa"/>
            <w:vAlign w:val="bottom"/>
            <w:vMerge w:val="restart"/>
          </w:tcPr>
          <w:p>
            <w:pPr>
              <w:spacing w:after="0"/>
              <w:rPr>
                <w:sz w:val="20"/>
                <w:szCs w:val="20"/>
                <w:color w:val="auto"/>
              </w:rPr>
            </w:pPr>
            <w:r>
              <w:rPr>
                <w:rFonts w:ascii="Arial" w:cs="Arial" w:eastAsia="Arial" w:hAnsi="Arial"/>
                <w:sz w:val="18"/>
                <w:szCs w:val="18"/>
                <w:color w:val="auto"/>
              </w:rPr>
              <w:t>WEIGHTED AVERAGE NUMBER OF SHARES OF COMMON STOCK AND COMMON STOCK</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83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80" w:type="dxa"/>
            <w:vAlign w:val="bottom"/>
          </w:tcPr>
          <w:p>
            <w:pPr>
              <w:ind w:left="180"/>
              <w:spacing w:after="0"/>
              <w:rPr>
                <w:sz w:val="20"/>
                <w:szCs w:val="20"/>
                <w:color w:val="auto"/>
              </w:rPr>
            </w:pPr>
            <w:r>
              <w:rPr>
                <w:rFonts w:ascii="Arial" w:cs="Arial" w:eastAsia="Arial" w:hAnsi="Arial"/>
                <w:sz w:val="18"/>
                <w:szCs w:val="18"/>
                <w:color w:val="auto"/>
              </w:rPr>
              <w:t>EQUIVALENTS: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80" w:type="dxa"/>
            <w:vAlign w:val="bottom"/>
          </w:tcPr>
          <w:p>
            <w:pPr>
              <w:ind w:left="36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169,871</w:t>
            </w:r>
          </w:p>
        </w:tc>
        <w:tc>
          <w:tcPr>
            <w:tcW w:w="2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166,913</w:t>
            </w:r>
          </w:p>
        </w:tc>
        <w:tc>
          <w:tcPr>
            <w:tcW w:w="0" w:type="dxa"/>
            <w:vAlign w:val="bottom"/>
          </w:tcPr>
          <w:p>
            <w:pPr>
              <w:spacing w:after="0"/>
              <w:rPr>
                <w:sz w:val="1"/>
                <w:szCs w:val="1"/>
                <w:color w:val="auto"/>
              </w:rPr>
            </w:pPr>
          </w:p>
        </w:tc>
      </w:tr>
      <w:tr>
        <w:trPr>
          <w:trHeight w:val="20"/>
        </w:trPr>
        <w:tc>
          <w:tcPr>
            <w:tcW w:w="8380" w:type="dxa"/>
            <w:vAlign w:val="bottom"/>
            <w:vMerge w:val="restart"/>
          </w:tcPr>
          <w:p>
            <w:pPr>
              <w:ind w:left="36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80" w:type="dxa"/>
            <w:vAlign w:val="bottom"/>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173,778</w:t>
            </w:r>
          </w:p>
        </w:tc>
        <w:tc>
          <w:tcPr>
            <w:tcW w:w="2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173,741</w:t>
            </w: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74" w:orient="portrait"/>
          <w:cols w:equalWidth="0" w:num="1">
            <w:col w:w="11420"/>
          </w:cols>
          <w:pgMar w:left="240" w:top="361" w:right="239" w:bottom="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41" w:lineRule="auto"/>
        <w:rPr>
          <w:sz w:val="20"/>
          <w:szCs w:val="20"/>
          <w:color w:val="auto"/>
        </w:rPr>
      </w:pPr>
      <w:r>
        <w:rPr>
          <w:rFonts w:ascii="Arial" w:cs="Arial" w:eastAsia="Arial" w:hAnsi="Arial"/>
          <w:sz w:val="20"/>
          <w:szCs w:val="20"/>
          <w:b w:val="1"/>
          <w:bCs w:val="1"/>
          <w:color w:val="auto"/>
        </w:rPr>
        <w:t>CONDENSED CONSOLIDATED STATEMENTS OF COMPREHENSIVE (LOSS) INCOME FOR THE THREE-MONTHS ENDED MARCH 31, 2015 AND 2014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20" w:type="dxa"/>
            <w:vAlign w:val="bottom"/>
            <w:gridSpan w:val="4"/>
          </w:tcPr>
          <w:p>
            <w:pPr>
              <w:jc w:val="right"/>
              <w:ind w:right="521"/>
              <w:spacing w:after="0"/>
              <w:rPr>
                <w:sz w:val="20"/>
                <w:szCs w:val="20"/>
                <w:color w:val="auto"/>
              </w:rPr>
            </w:pPr>
            <w:r>
              <w:rPr>
                <w:rFonts w:ascii="Arial" w:cs="Arial" w:eastAsia="Arial" w:hAnsi="Arial"/>
                <w:sz w:val="20"/>
                <w:szCs w:val="20"/>
                <w:color w:val="auto"/>
              </w:rPr>
              <w:t>Three-Months Ended</w:t>
            </w:r>
          </w:p>
        </w:tc>
        <w:tc>
          <w:tcPr>
            <w:tcW w:w="0" w:type="dxa"/>
            <w:vAlign w:val="bottom"/>
          </w:tcPr>
          <w:p>
            <w:pPr>
              <w:spacing w:after="0"/>
              <w:rPr>
                <w:sz w:val="1"/>
                <w:szCs w:val="1"/>
                <w:color w:val="auto"/>
              </w:rPr>
            </w:pPr>
          </w:p>
        </w:tc>
      </w:tr>
      <w:tr>
        <w:trPr>
          <w:trHeight w:val="246"/>
        </w:trPr>
        <w:tc>
          <w:tcPr>
            <w:tcW w:w="84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March 31,</w:t>
            </w:r>
          </w:p>
        </w:tc>
        <w:tc>
          <w:tcPr>
            <w:tcW w:w="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480" w:type="dxa"/>
            <w:vAlign w:val="bottom"/>
            <w:vMerge w:val="restart"/>
          </w:tcPr>
          <w:p>
            <w:pPr>
              <w:spacing w:after="0"/>
              <w:rPr>
                <w:sz w:val="20"/>
                <w:szCs w:val="20"/>
                <w:color w:val="auto"/>
              </w:rPr>
            </w:pPr>
            <w:r>
              <w:rPr>
                <w:rFonts w:ascii="Arial" w:cs="Arial" w:eastAsia="Arial" w:hAnsi="Arial"/>
                <w:sz w:val="20"/>
                <w:szCs w:val="20"/>
                <w:color w:val="auto"/>
              </w:rPr>
              <w:t>Net income, as reported</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rPr>
              <w:t>2015</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rPr>
              <w:t>2014</w:t>
            </w:r>
          </w:p>
        </w:tc>
        <w:tc>
          <w:tcPr>
            <w:tcW w:w="0" w:type="dxa"/>
            <w:vAlign w:val="bottom"/>
          </w:tcPr>
          <w:p>
            <w:pPr>
              <w:spacing w:after="0"/>
              <w:rPr>
                <w:sz w:val="1"/>
                <w:szCs w:val="1"/>
                <w:color w:val="auto"/>
              </w:rPr>
            </w:pPr>
          </w:p>
        </w:tc>
      </w:tr>
      <w:tr>
        <w:trPr>
          <w:trHeight w:val="206"/>
        </w:trPr>
        <w:tc>
          <w:tcPr>
            <w:tcW w:w="8480" w:type="dxa"/>
            <w:vAlign w:val="bottom"/>
            <w:vMerge w:val="continue"/>
          </w:tcPr>
          <w:p>
            <w:pPr>
              <w:spacing w:after="0"/>
              <w:rPr>
                <w:sz w:val="17"/>
                <w:szCs w:val="17"/>
                <w:color w:val="auto"/>
              </w:rPr>
            </w:pPr>
          </w:p>
        </w:tc>
        <w:tc>
          <w:tcPr>
            <w:tcW w:w="320" w:type="dxa"/>
            <w:vAlign w:val="bottom"/>
          </w:tcPr>
          <w:p>
            <w:pPr>
              <w:jc w:val="right"/>
              <w:ind w:right="61"/>
              <w:spacing w:after="0" w:line="207" w:lineRule="exact"/>
              <w:rPr>
                <w:sz w:val="20"/>
                <w:szCs w:val="20"/>
                <w:color w:val="auto"/>
              </w:rPr>
            </w:pPr>
            <w:r>
              <w:rPr>
                <w:rFonts w:ascii="Arial" w:cs="Arial" w:eastAsia="Arial" w:hAnsi="Arial"/>
                <w:sz w:val="20"/>
                <w:szCs w:val="20"/>
                <w:color w:val="auto"/>
              </w:rPr>
              <w:t>$</w:t>
            </w:r>
          </w:p>
        </w:tc>
        <w:tc>
          <w:tcPr>
            <w:tcW w:w="1040" w:type="dxa"/>
            <w:vAlign w:val="bottom"/>
          </w:tcPr>
          <w:p>
            <w:pPr>
              <w:jc w:val="right"/>
              <w:ind w:right="21"/>
              <w:spacing w:after="0" w:line="207" w:lineRule="exact"/>
              <w:rPr>
                <w:sz w:val="20"/>
                <w:szCs w:val="20"/>
                <w:color w:val="auto"/>
              </w:rPr>
            </w:pPr>
            <w:r>
              <w:rPr>
                <w:rFonts w:ascii="Arial" w:cs="Arial" w:eastAsia="Arial" w:hAnsi="Arial"/>
                <w:sz w:val="20"/>
                <w:szCs w:val="20"/>
                <w:color w:val="auto"/>
              </w:rPr>
              <w:t>4,414</w:t>
            </w:r>
          </w:p>
        </w:tc>
        <w:tc>
          <w:tcPr>
            <w:tcW w:w="220" w:type="dxa"/>
            <w:vAlign w:val="bottom"/>
          </w:tcPr>
          <w:p>
            <w:pPr>
              <w:spacing w:after="0"/>
              <w:rPr>
                <w:sz w:val="17"/>
                <w:szCs w:val="17"/>
                <w:color w:val="auto"/>
              </w:rPr>
            </w:pPr>
          </w:p>
        </w:tc>
        <w:tc>
          <w:tcPr>
            <w:tcW w:w="380" w:type="dxa"/>
            <w:vAlign w:val="bottom"/>
          </w:tcPr>
          <w:p>
            <w:pPr>
              <w:jc w:val="right"/>
              <w:ind w:right="121"/>
              <w:spacing w:after="0" w:line="207" w:lineRule="exact"/>
              <w:rPr>
                <w:sz w:val="20"/>
                <w:szCs w:val="20"/>
                <w:color w:val="auto"/>
              </w:rPr>
            </w:pPr>
            <w:r>
              <w:rPr>
                <w:rFonts w:ascii="Arial" w:cs="Arial" w:eastAsia="Arial" w:hAnsi="Arial"/>
                <w:sz w:val="20"/>
                <w:szCs w:val="20"/>
                <w:color w:val="auto"/>
              </w:rPr>
              <w:t>$</w:t>
            </w:r>
          </w:p>
        </w:tc>
        <w:tc>
          <w:tcPr>
            <w:tcW w:w="980" w:type="dxa"/>
            <w:vAlign w:val="bottom"/>
          </w:tcPr>
          <w:p>
            <w:pPr>
              <w:jc w:val="right"/>
              <w:ind w:right="21"/>
              <w:spacing w:after="0" w:line="207" w:lineRule="exact"/>
              <w:rPr>
                <w:sz w:val="20"/>
                <w:szCs w:val="20"/>
                <w:color w:val="auto"/>
              </w:rPr>
            </w:pPr>
            <w:r>
              <w:rPr>
                <w:rFonts w:ascii="Arial" w:cs="Arial" w:eastAsia="Arial" w:hAnsi="Arial"/>
                <w:sz w:val="20"/>
                <w:szCs w:val="20"/>
                <w:color w:val="auto"/>
              </w:rPr>
              <w:t>95,250</w:t>
            </w:r>
          </w:p>
        </w:tc>
        <w:tc>
          <w:tcPr>
            <w:tcW w:w="0" w:type="dxa"/>
            <w:vAlign w:val="bottom"/>
          </w:tcPr>
          <w:p>
            <w:pPr>
              <w:spacing w:after="0"/>
              <w:rPr>
                <w:sz w:val="1"/>
                <w:szCs w:val="1"/>
                <w:color w:val="auto"/>
              </w:rPr>
            </w:pPr>
          </w:p>
        </w:tc>
      </w:tr>
      <w:tr>
        <w:trPr>
          <w:trHeight w:val="230"/>
        </w:trPr>
        <w:tc>
          <w:tcPr>
            <w:tcW w:w="8480" w:type="dxa"/>
            <w:vAlign w:val="bottom"/>
          </w:tcPr>
          <w:p>
            <w:pPr>
              <w:spacing w:after="0"/>
              <w:rPr>
                <w:sz w:val="20"/>
                <w:szCs w:val="20"/>
                <w:color w:val="auto"/>
              </w:rPr>
            </w:pPr>
            <w:r>
              <w:rPr>
                <w:rFonts w:ascii="Arial" w:cs="Arial" w:eastAsia="Arial" w:hAnsi="Arial"/>
                <w:sz w:val="20"/>
                <w:szCs w:val="20"/>
                <w:color w:val="auto"/>
              </w:rPr>
              <w:t>Other comprehensive (loss) income:</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80" w:type="dxa"/>
            <w:vAlign w:val="bottom"/>
          </w:tcPr>
          <w:p>
            <w:pPr>
              <w:ind w:left="220"/>
              <w:spacing w:after="0"/>
              <w:rPr>
                <w:sz w:val="20"/>
                <w:szCs w:val="20"/>
                <w:color w:val="auto"/>
              </w:rPr>
            </w:pPr>
            <w:r>
              <w:rPr>
                <w:rFonts w:ascii="Arial" w:cs="Arial" w:eastAsia="Arial" w:hAnsi="Arial"/>
                <w:sz w:val="20"/>
                <w:szCs w:val="20"/>
                <w:color w:val="auto"/>
              </w:rPr>
              <w:t>Change in foreign currency translation adjustment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(9,980)</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21"/>
              <w:spacing w:after="0"/>
              <w:rPr>
                <w:sz w:val="20"/>
                <w:szCs w:val="20"/>
                <w:color w:val="auto"/>
              </w:rPr>
            </w:pPr>
            <w:r>
              <w:rPr>
                <w:rFonts w:ascii="Arial" w:cs="Arial" w:eastAsia="Arial" w:hAnsi="Arial"/>
                <w:sz w:val="20"/>
                <w:szCs w:val="20"/>
                <w:color w:val="auto"/>
              </w:rPr>
              <w:t>102</w:t>
            </w:r>
          </w:p>
        </w:tc>
        <w:tc>
          <w:tcPr>
            <w:tcW w:w="0" w:type="dxa"/>
            <w:vAlign w:val="bottom"/>
          </w:tcPr>
          <w:p>
            <w:pPr>
              <w:spacing w:after="0"/>
              <w:rPr>
                <w:sz w:val="1"/>
                <w:szCs w:val="1"/>
                <w:color w:val="auto"/>
              </w:rPr>
            </w:pPr>
          </w:p>
        </w:tc>
      </w:tr>
      <w:tr>
        <w:trPr>
          <w:trHeight w:val="230"/>
        </w:trPr>
        <w:tc>
          <w:tcPr>
            <w:tcW w:w="8480" w:type="dxa"/>
            <w:vAlign w:val="bottom"/>
          </w:tcPr>
          <w:p>
            <w:pPr>
              <w:ind w:left="220"/>
              <w:spacing w:after="0"/>
              <w:rPr>
                <w:sz w:val="20"/>
                <w:szCs w:val="20"/>
                <w:color w:val="auto"/>
              </w:rPr>
            </w:pPr>
            <w:r>
              <w:rPr>
                <w:rFonts w:ascii="Arial" w:cs="Arial" w:eastAsia="Arial" w:hAnsi="Arial"/>
                <w:sz w:val="20"/>
                <w:szCs w:val="20"/>
                <w:color w:val="auto"/>
              </w:rPr>
              <w:t>Available-for-sale investments: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80" w:type="dxa"/>
            <w:vAlign w:val="bottom"/>
          </w:tcPr>
          <w:p>
            <w:pPr>
              <w:ind w:left="520"/>
              <w:spacing w:after="0"/>
              <w:rPr>
                <w:sz w:val="20"/>
                <w:szCs w:val="20"/>
                <w:color w:val="auto"/>
              </w:rPr>
            </w:pPr>
            <w:r>
              <w:rPr>
                <w:rFonts w:ascii="Arial" w:cs="Arial" w:eastAsia="Arial" w:hAnsi="Arial"/>
                <w:sz w:val="20"/>
                <w:szCs w:val="20"/>
                <w:color w:val="auto"/>
              </w:rPr>
              <w:t>Change in net unrealized gains</w:t>
            </w:r>
          </w:p>
        </w:tc>
        <w:tc>
          <w:tcPr>
            <w:tcW w:w="32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6"/>
        </w:trPr>
        <w:tc>
          <w:tcPr>
            <w:tcW w:w="8480" w:type="dxa"/>
            <w:vAlign w:val="bottom"/>
          </w:tcPr>
          <w:p>
            <w:pPr>
              <w:ind w:left="520"/>
              <w:spacing w:after="0"/>
              <w:rPr>
                <w:sz w:val="20"/>
                <w:szCs w:val="20"/>
                <w:color w:val="auto"/>
              </w:rPr>
            </w:pPr>
            <w:r>
              <w:rPr>
                <w:rFonts w:ascii="Arial" w:cs="Arial" w:eastAsia="Arial" w:hAnsi="Arial"/>
                <w:sz w:val="20"/>
                <w:szCs w:val="20"/>
                <w:color w:val="auto"/>
              </w:rPr>
              <w:t>Reclassification adjustment for net gains included in net income</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3"/>
        </w:trPr>
        <w:tc>
          <w:tcPr>
            <w:tcW w:w="8480" w:type="dxa"/>
            <w:vAlign w:val="bottom"/>
          </w:tcPr>
          <w:p>
            <w:pPr>
              <w:ind w:left="520"/>
              <w:spacing w:after="0" w:line="223" w:lineRule="exact"/>
              <w:rPr>
                <w:sz w:val="20"/>
                <w:szCs w:val="20"/>
                <w:color w:val="auto"/>
              </w:rPr>
            </w:pPr>
            <w:r>
              <w:rPr>
                <w:rFonts w:ascii="Arial" w:cs="Arial" w:eastAsia="Arial" w:hAnsi="Arial"/>
                <w:sz w:val="20"/>
                <w:szCs w:val="20"/>
                <w:color w:val="auto"/>
              </w:rPr>
              <w:t>Net change in available-for-sale investments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3"/>
        </w:trPr>
        <w:tc>
          <w:tcPr>
            <w:tcW w:w="8480" w:type="dxa"/>
            <w:vAlign w:val="bottom"/>
          </w:tcPr>
          <w:p>
            <w:pPr>
              <w:spacing w:after="0" w:line="223" w:lineRule="exact"/>
              <w:rPr>
                <w:sz w:val="20"/>
                <w:szCs w:val="20"/>
                <w:color w:val="auto"/>
              </w:rPr>
            </w:pPr>
            <w:r>
              <w:rPr>
                <w:rFonts w:ascii="Arial" w:cs="Arial" w:eastAsia="Arial" w:hAnsi="Arial"/>
                <w:sz w:val="20"/>
                <w:szCs w:val="20"/>
                <w:color w:val="auto"/>
              </w:rPr>
              <w:t>Other comprehensive (loss) income</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(9,980)</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102</w:t>
            </w:r>
          </w:p>
        </w:tc>
        <w:tc>
          <w:tcPr>
            <w:tcW w:w="0" w:type="dxa"/>
            <w:vAlign w:val="bottom"/>
          </w:tcPr>
          <w:p>
            <w:pPr>
              <w:spacing w:after="0"/>
              <w:rPr>
                <w:sz w:val="1"/>
                <w:szCs w:val="1"/>
                <w:color w:val="auto"/>
              </w:rPr>
            </w:pPr>
          </w:p>
        </w:tc>
      </w:tr>
      <w:tr>
        <w:trPr>
          <w:trHeight w:val="223"/>
        </w:trPr>
        <w:tc>
          <w:tcPr>
            <w:tcW w:w="8480" w:type="dxa"/>
            <w:vAlign w:val="bottom"/>
          </w:tcPr>
          <w:p>
            <w:pPr>
              <w:spacing w:after="0" w:line="223" w:lineRule="exact"/>
              <w:rPr>
                <w:sz w:val="20"/>
                <w:szCs w:val="20"/>
                <w:color w:val="auto"/>
              </w:rPr>
            </w:pPr>
            <w:r>
              <w:rPr>
                <w:rFonts w:ascii="Arial" w:cs="Arial" w:eastAsia="Arial" w:hAnsi="Arial"/>
                <w:sz w:val="20"/>
                <w:szCs w:val="20"/>
                <w:color w:val="auto"/>
              </w:rPr>
              <w:t>Comprehensive (loss) income</w:t>
            </w:r>
          </w:p>
        </w:tc>
        <w:tc>
          <w:tcPr>
            <w:tcW w:w="32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(5,566)</w:t>
            </w:r>
          </w:p>
        </w:tc>
        <w:tc>
          <w:tcPr>
            <w:tcW w:w="220" w:type="dxa"/>
            <w:vAlign w:val="bottom"/>
          </w:tcPr>
          <w:p>
            <w:pPr>
              <w:spacing w:after="0"/>
              <w:rPr>
                <w:sz w:val="19"/>
                <w:szCs w:val="19"/>
                <w:color w:val="auto"/>
              </w:rPr>
            </w:pPr>
          </w:p>
        </w:tc>
        <w:tc>
          <w:tcPr>
            <w:tcW w:w="380" w:type="dxa"/>
            <w:vAlign w:val="bottom"/>
            <w:tcBorders>
              <w:bottom w:val="single" w:sz="8" w:color="auto"/>
            </w:tcBorders>
          </w:tcPr>
          <w:p>
            <w:pPr>
              <w:jc w:val="right"/>
              <w:ind w:right="121"/>
              <w:spacing w:after="0" w:line="223" w:lineRule="exact"/>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95,352</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0" w:lineRule="exact"/>
        <w:rPr>
          <w:sz w:val="20"/>
          <w:szCs w:val="20"/>
          <w:color w:val="auto"/>
        </w:rPr>
      </w:pPr>
    </w:p>
    <w:p>
      <w:pPr>
        <w:ind w:right="5460"/>
        <w:spacing w:after="0" w:line="248" w:lineRule="auto"/>
        <w:rPr>
          <w:sz w:val="20"/>
          <w:szCs w:val="20"/>
          <w:color w:val="auto"/>
        </w:rPr>
      </w:pPr>
      <w:r>
        <w:rPr>
          <w:rFonts w:ascii="Arial" w:cs="Arial" w:eastAsia="Arial" w:hAnsi="Arial"/>
          <w:sz w:val="20"/>
          <w:szCs w:val="20"/>
          <w:b w:val="1"/>
          <w:bCs w:val="1"/>
          <w:color w:val="auto"/>
        </w:rPr>
        <w:t>MONSTER BEVERAGE CORPORATION AND SUBSIDIARIES CONDENSED CONSOLIDATED STATEMENTS OF CASH FLOWS FOR THE THREE-MONTHS ENDED MARCH 31, 2015 AND 2014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gridSpan w:val="4"/>
          </w:tcPr>
          <w:p>
            <w:pPr>
              <w:jc w:val="right"/>
              <w:ind w:right="1168"/>
              <w:spacing w:after="0"/>
              <w:rPr>
                <w:sz w:val="20"/>
                <w:szCs w:val="20"/>
                <w:color w:val="auto"/>
              </w:rPr>
            </w:pPr>
            <w:r>
              <w:rPr>
                <w:rFonts w:ascii="Arial" w:cs="Arial" w:eastAsia="Arial" w:hAnsi="Arial"/>
                <w:sz w:val="14"/>
                <w:szCs w:val="14"/>
                <w:b w:val="1"/>
                <w:bCs w:val="1"/>
                <w:color w:val="auto"/>
              </w:rPr>
              <w:t>Three-Months Ended</w:t>
            </w:r>
          </w:p>
        </w:tc>
      </w:tr>
      <w:tr>
        <w:trPr>
          <w:trHeight w:val="156"/>
        </w:trPr>
        <w:tc>
          <w:tcPr>
            <w:tcW w:w="7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March 31, 2015</w:t>
            </w:r>
          </w:p>
        </w:tc>
        <w:tc>
          <w:tcPr>
            <w:tcW w:w="260" w:type="dxa"/>
            <w:vAlign w:val="bottom"/>
          </w:tcPr>
          <w:p>
            <w:pPr>
              <w:spacing w:after="0"/>
              <w:rPr>
                <w:sz w:val="13"/>
                <w:szCs w:val="13"/>
                <w:color w:val="auto"/>
              </w:rPr>
            </w:pPr>
          </w:p>
        </w:tc>
        <w:tc>
          <w:tcPr>
            <w:tcW w:w="1480" w:type="dxa"/>
            <w:vAlign w:val="bottom"/>
          </w:tcPr>
          <w:p>
            <w:pPr>
              <w:jc w:val="right"/>
              <w:ind w:right="328"/>
              <w:spacing w:after="0" w:line="155" w:lineRule="exact"/>
              <w:rPr>
                <w:sz w:val="20"/>
                <w:szCs w:val="20"/>
                <w:color w:val="auto"/>
              </w:rPr>
            </w:pPr>
            <w:r>
              <w:rPr>
                <w:rFonts w:ascii="Arial" w:cs="Arial" w:eastAsia="Arial" w:hAnsi="Arial"/>
                <w:sz w:val="14"/>
                <w:szCs w:val="14"/>
                <w:b w:val="1"/>
                <w:bCs w:val="1"/>
                <w:color w:val="auto"/>
              </w:rPr>
              <w:t>March 31, 2014</w:t>
            </w:r>
          </w:p>
        </w:tc>
      </w:tr>
      <w:tr>
        <w:trPr>
          <w:trHeight w:val="184"/>
        </w:trPr>
        <w:tc>
          <w:tcPr>
            <w:tcW w:w="7620" w:type="dxa"/>
            <w:vAlign w:val="bottom"/>
          </w:tcPr>
          <w:p>
            <w:pPr>
              <w:spacing w:after="0"/>
              <w:rPr>
                <w:sz w:val="20"/>
                <w:szCs w:val="20"/>
                <w:color w:val="auto"/>
              </w:rPr>
            </w:pPr>
            <w:r>
              <w:rPr>
                <w:rFonts w:ascii="Arial" w:cs="Arial" w:eastAsia="Arial" w:hAnsi="Arial"/>
                <w:sz w:val="14"/>
                <w:szCs w:val="14"/>
                <w:color w:val="auto"/>
              </w:rPr>
              <w:t>CASH FLOWS FROM OPERATING ACTIVITIES:</w:t>
            </w:r>
          </w:p>
        </w:tc>
        <w:tc>
          <w:tcPr>
            <w:tcW w:w="26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r>
      <w:tr>
        <w:trPr>
          <w:trHeight w:val="230"/>
        </w:trPr>
        <w:tc>
          <w:tcPr>
            <w:tcW w:w="7620" w:type="dxa"/>
            <w:vAlign w:val="bottom"/>
          </w:tcPr>
          <w:p>
            <w:pPr>
              <w:spacing w:after="0"/>
              <w:rPr>
                <w:sz w:val="20"/>
                <w:szCs w:val="20"/>
                <w:color w:val="auto"/>
              </w:rPr>
            </w:pPr>
            <w:r>
              <w:rPr>
                <w:rFonts w:ascii="Arial" w:cs="Arial" w:eastAsia="Arial" w:hAnsi="Arial"/>
                <w:sz w:val="14"/>
                <w:szCs w:val="14"/>
                <w:color w:val="auto"/>
              </w:rPr>
              <w:t>Net income</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4,414</w:t>
            </w:r>
          </w:p>
        </w:tc>
        <w:tc>
          <w:tcPr>
            <w:tcW w:w="280" w:type="dxa"/>
            <w:vAlign w:val="bottom"/>
          </w:tcPr>
          <w:p>
            <w:pPr>
              <w:spacing w:after="0"/>
              <w:rPr>
                <w:sz w:val="19"/>
                <w:szCs w:val="19"/>
                <w:color w:val="auto"/>
              </w:rPr>
            </w:pP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95,250</w:t>
            </w:r>
          </w:p>
        </w:tc>
      </w:tr>
      <w:tr>
        <w:trPr>
          <w:trHeight w:val="230"/>
        </w:trPr>
        <w:tc>
          <w:tcPr>
            <w:tcW w:w="7620" w:type="dxa"/>
            <w:vAlign w:val="bottom"/>
          </w:tcPr>
          <w:p>
            <w:pPr>
              <w:spacing w:after="0"/>
              <w:rPr>
                <w:sz w:val="20"/>
                <w:szCs w:val="20"/>
                <w:color w:val="auto"/>
              </w:rPr>
            </w:pPr>
            <w:r>
              <w:rPr>
                <w:rFonts w:ascii="Arial" w:cs="Arial" w:eastAsia="Arial" w:hAnsi="Arial"/>
                <w:sz w:val="14"/>
                <w:szCs w:val="14"/>
                <w:color w:val="auto"/>
              </w:rPr>
              <w:t>Adjustments to reconcile net income to net cash (used in) provided by operating activities:</w:t>
            </w: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7620" w:type="dxa"/>
            <w:vAlign w:val="bottom"/>
          </w:tcPr>
          <w:p>
            <w:pPr>
              <w:ind w:left="34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19"/>
                <w:szCs w:val="19"/>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6,470</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6,453</w:t>
            </w:r>
          </w:p>
        </w:tc>
      </w:tr>
      <w:tr>
        <w:trPr>
          <w:trHeight w:val="230"/>
        </w:trPr>
        <w:tc>
          <w:tcPr>
            <w:tcW w:w="7620" w:type="dxa"/>
            <w:vAlign w:val="bottom"/>
          </w:tcPr>
          <w:p>
            <w:pPr>
              <w:ind w:left="340"/>
              <w:spacing w:after="0"/>
              <w:rPr>
                <w:sz w:val="20"/>
                <w:szCs w:val="20"/>
                <w:color w:val="auto"/>
              </w:rPr>
            </w:pPr>
            <w:r>
              <w:rPr>
                <w:rFonts w:ascii="Arial" w:cs="Arial" w:eastAsia="Arial" w:hAnsi="Arial"/>
                <w:sz w:val="14"/>
                <w:szCs w:val="14"/>
                <w:color w:val="auto"/>
              </w:rPr>
              <w:t>Gain on disposal of property and equipment</w:t>
            </w:r>
          </w:p>
        </w:tc>
        <w:tc>
          <w:tcPr>
            <w:tcW w:w="260" w:type="dxa"/>
            <w:vAlign w:val="bottom"/>
          </w:tcPr>
          <w:p>
            <w:pPr>
              <w:spacing w:after="0"/>
              <w:rPr>
                <w:sz w:val="19"/>
                <w:szCs w:val="19"/>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(46)</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230"/>
        </w:trPr>
        <w:tc>
          <w:tcPr>
            <w:tcW w:w="7620" w:type="dxa"/>
            <w:vAlign w:val="bottom"/>
          </w:tcPr>
          <w:p>
            <w:pPr>
              <w:ind w:left="340"/>
              <w:spacing w:after="0"/>
              <w:rPr>
                <w:sz w:val="20"/>
                <w:szCs w:val="20"/>
                <w:color w:val="auto"/>
              </w:rPr>
            </w:pPr>
            <w:r>
              <w:rPr>
                <w:rFonts w:ascii="Arial" w:cs="Arial" w:eastAsia="Arial" w:hAnsi="Arial"/>
                <w:sz w:val="14"/>
                <w:szCs w:val="14"/>
                <w:color w:val="auto"/>
              </w:rPr>
              <w:t>Stock-based compensation</w:t>
            </w:r>
          </w:p>
        </w:tc>
        <w:tc>
          <w:tcPr>
            <w:tcW w:w="260" w:type="dxa"/>
            <w:vAlign w:val="bottom"/>
          </w:tcPr>
          <w:p>
            <w:pPr>
              <w:spacing w:after="0"/>
              <w:rPr>
                <w:sz w:val="19"/>
                <w:szCs w:val="19"/>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6,354</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6,986</w:t>
            </w:r>
          </w:p>
        </w:tc>
      </w:tr>
      <w:tr>
        <w:trPr>
          <w:trHeight w:val="230"/>
        </w:trPr>
        <w:tc>
          <w:tcPr>
            <w:tcW w:w="7620" w:type="dxa"/>
            <w:vAlign w:val="bottom"/>
          </w:tcPr>
          <w:p>
            <w:pPr>
              <w:ind w:left="340"/>
              <w:spacing w:after="0"/>
              <w:rPr>
                <w:sz w:val="20"/>
                <w:szCs w:val="20"/>
                <w:color w:val="auto"/>
              </w:rPr>
            </w:pPr>
            <w:r>
              <w:rPr>
                <w:rFonts w:ascii="Arial" w:cs="Arial" w:eastAsia="Arial" w:hAnsi="Arial"/>
                <w:sz w:val="14"/>
                <w:szCs w:val="14"/>
                <w:color w:val="auto"/>
              </w:rPr>
              <w:t>Loss on put option</w:t>
            </w:r>
          </w:p>
        </w:tc>
        <w:tc>
          <w:tcPr>
            <w:tcW w:w="260" w:type="dxa"/>
            <w:vAlign w:val="bottom"/>
          </w:tcPr>
          <w:p>
            <w:pPr>
              <w:spacing w:after="0"/>
              <w:rPr>
                <w:sz w:val="19"/>
                <w:szCs w:val="19"/>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67</w:t>
            </w:r>
          </w:p>
        </w:tc>
      </w:tr>
      <w:tr>
        <w:trPr>
          <w:trHeight w:val="230"/>
        </w:trPr>
        <w:tc>
          <w:tcPr>
            <w:tcW w:w="7620" w:type="dxa"/>
            <w:vAlign w:val="bottom"/>
          </w:tcPr>
          <w:p>
            <w:pPr>
              <w:ind w:left="340"/>
              <w:spacing w:after="0"/>
              <w:rPr>
                <w:sz w:val="20"/>
                <w:szCs w:val="20"/>
                <w:color w:val="auto"/>
              </w:rPr>
            </w:pPr>
            <w:r>
              <w:rPr>
                <w:rFonts w:ascii="Arial" w:cs="Arial" w:eastAsia="Arial" w:hAnsi="Arial"/>
                <w:sz w:val="14"/>
                <w:szCs w:val="14"/>
                <w:color w:val="auto"/>
              </w:rPr>
              <w:t>Gain on investments, net</w:t>
            </w:r>
          </w:p>
        </w:tc>
        <w:tc>
          <w:tcPr>
            <w:tcW w:w="260" w:type="dxa"/>
            <w:vAlign w:val="bottom"/>
          </w:tcPr>
          <w:p>
            <w:pPr>
              <w:spacing w:after="0"/>
              <w:rPr>
                <w:sz w:val="19"/>
                <w:szCs w:val="19"/>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(66)</w:t>
            </w:r>
          </w:p>
        </w:tc>
      </w:tr>
      <w:tr>
        <w:trPr>
          <w:trHeight w:val="230"/>
        </w:trPr>
        <w:tc>
          <w:tcPr>
            <w:tcW w:w="7620" w:type="dxa"/>
            <w:vAlign w:val="bottom"/>
          </w:tcPr>
          <w:p>
            <w:pPr>
              <w:ind w:left="340"/>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19"/>
                <w:szCs w:val="19"/>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168</w:t>
            </w:r>
          </w:p>
        </w:tc>
      </w:tr>
      <w:tr>
        <w:trPr>
          <w:trHeight w:val="230"/>
        </w:trPr>
        <w:tc>
          <w:tcPr>
            <w:tcW w:w="7620" w:type="dxa"/>
            <w:vAlign w:val="bottom"/>
          </w:tcPr>
          <w:p>
            <w:pPr>
              <w:ind w:left="340"/>
              <w:spacing w:after="0"/>
              <w:rPr>
                <w:sz w:val="20"/>
                <w:szCs w:val="20"/>
                <w:color w:val="auto"/>
              </w:rPr>
            </w:pPr>
            <w:r>
              <w:rPr>
                <w:rFonts w:ascii="Arial" w:cs="Arial" w:eastAsia="Arial" w:hAnsi="Arial"/>
                <w:sz w:val="14"/>
                <w:szCs w:val="14"/>
                <w:color w:val="auto"/>
              </w:rPr>
              <w:t>Excess tax benefit from stock-based compensation</w:t>
            </w:r>
          </w:p>
        </w:tc>
        <w:tc>
          <w:tcPr>
            <w:tcW w:w="260" w:type="dxa"/>
            <w:vAlign w:val="bottom"/>
          </w:tcPr>
          <w:p>
            <w:pPr>
              <w:spacing w:after="0"/>
              <w:rPr>
                <w:sz w:val="19"/>
                <w:szCs w:val="19"/>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(184,679)</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(2,602)</w:t>
            </w:r>
          </w:p>
        </w:tc>
      </w:tr>
      <w:tr>
        <w:trPr>
          <w:trHeight w:val="230"/>
        </w:trPr>
        <w:tc>
          <w:tcPr>
            <w:tcW w:w="7620" w:type="dxa"/>
            <w:vAlign w:val="bottom"/>
          </w:tcPr>
          <w:p>
            <w:pPr>
              <w:ind w:left="340"/>
              <w:spacing w:after="0"/>
              <w:rPr>
                <w:sz w:val="20"/>
                <w:szCs w:val="20"/>
                <w:color w:val="auto"/>
              </w:rPr>
            </w:pPr>
            <w:r>
              <w:rPr>
                <w:rFonts w:ascii="Arial" w:cs="Arial" w:eastAsia="Arial" w:hAnsi="Arial"/>
                <w:sz w:val="14"/>
                <w:szCs w:val="14"/>
                <w:color w:val="auto"/>
              </w:rPr>
              <w:t>Effect on cash of changes in operating assets and liabilities:</w:t>
            </w: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7620" w:type="dxa"/>
            <w:vAlign w:val="bottom"/>
          </w:tcPr>
          <w:p>
            <w:pPr>
              <w:ind w:left="600"/>
              <w:spacing w:after="0"/>
              <w:rPr>
                <w:sz w:val="20"/>
                <w:szCs w:val="20"/>
                <w:color w:val="auto"/>
              </w:rPr>
            </w:pPr>
            <w:r>
              <w:rPr>
                <w:rFonts w:ascii="Arial" w:cs="Arial" w:eastAsia="Arial" w:hAnsi="Arial"/>
                <w:sz w:val="14"/>
                <w:szCs w:val="14"/>
                <w:color w:val="auto"/>
              </w:rPr>
              <w:t>Accounts receivable</w:t>
            </w:r>
          </w:p>
        </w:tc>
        <w:tc>
          <w:tcPr>
            <w:tcW w:w="260" w:type="dxa"/>
            <w:vAlign w:val="bottom"/>
          </w:tcPr>
          <w:p>
            <w:pPr>
              <w:spacing w:after="0"/>
              <w:rPr>
                <w:sz w:val="19"/>
                <w:szCs w:val="19"/>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(68,138)</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(42,544)</w:t>
            </w:r>
          </w:p>
        </w:tc>
      </w:tr>
      <w:tr>
        <w:trPr>
          <w:trHeight w:val="230"/>
        </w:trPr>
        <w:tc>
          <w:tcPr>
            <w:tcW w:w="7620" w:type="dxa"/>
            <w:vAlign w:val="bottom"/>
          </w:tcPr>
          <w:p>
            <w:pPr>
              <w:ind w:left="600"/>
              <w:spacing w:after="0"/>
              <w:rPr>
                <w:sz w:val="20"/>
                <w:szCs w:val="20"/>
                <w:color w:val="auto"/>
              </w:rPr>
            </w:pPr>
            <w:r>
              <w:rPr>
                <w:rFonts w:ascii="Arial" w:cs="Arial" w:eastAsia="Arial" w:hAnsi="Arial"/>
                <w:sz w:val="14"/>
                <w:szCs w:val="14"/>
                <w:color w:val="auto"/>
              </w:rPr>
              <w:t>Distributor receivables</w:t>
            </w:r>
          </w:p>
        </w:tc>
        <w:tc>
          <w:tcPr>
            <w:tcW w:w="260" w:type="dxa"/>
            <w:vAlign w:val="bottom"/>
          </w:tcPr>
          <w:p>
            <w:pPr>
              <w:spacing w:after="0"/>
              <w:rPr>
                <w:sz w:val="19"/>
                <w:szCs w:val="19"/>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66</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947</w:t>
            </w:r>
          </w:p>
        </w:tc>
      </w:tr>
      <w:tr>
        <w:trPr>
          <w:trHeight w:val="230"/>
        </w:trPr>
        <w:tc>
          <w:tcPr>
            <w:tcW w:w="7620" w:type="dxa"/>
            <w:vAlign w:val="bottom"/>
          </w:tcPr>
          <w:p>
            <w:pPr>
              <w:ind w:left="600"/>
              <w:spacing w:after="0"/>
              <w:rPr>
                <w:sz w:val="20"/>
                <w:szCs w:val="20"/>
                <w:color w:val="auto"/>
              </w:rPr>
            </w:pPr>
            <w:r>
              <w:rPr>
                <w:rFonts w:ascii="Arial" w:cs="Arial" w:eastAsia="Arial" w:hAnsi="Arial"/>
                <w:sz w:val="14"/>
                <w:szCs w:val="14"/>
                <w:color w:val="auto"/>
              </w:rPr>
              <w:t>Inventories</w:t>
            </w:r>
          </w:p>
        </w:tc>
        <w:tc>
          <w:tcPr>
            <w:tcW w:w="260" w:type="dxa"/>
            <w:vAlign w:val="bottom"/>
          </w:tcPr>
          <w:p>
            <w:pPr>
              <w:spacing w:after="0"/>
              <w:rPr>
                <w:sz w:val="19"/>
                <w:szCs w:val="19"/>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(26,547)</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17,410</w:t>
            </w:r>
          </w:p>
        </w:tc>
      </w:tr>
      <w:tr>
        <w:trPr>
          <w:trHeight w:val="230"/>
        </w:trPr>
        <w:tc>
          <w:tcPr>
            <w:tcW w:w="7620" w:type="dxa"/>
            <w:vAlign w:val="bottom"/>
          </w:tcPr>
          <w:p>
            <w:pPr>
              <w:ind w:left="600"/>
              <w:spacing w:after="0"/>
              <w:rPr>
                <w:sz w:val="20"/>
                <w:szCs w:val="20"/>
                <w:color w:val="auto"/>
              </w:rPr>
            </w:pPr>
            <w:r>
              <w:rPr>
                <w:rFonts w:ascii="Arial" w:cs="Arial" w:eastAsia="Arial" w:hAnsi="Arial"/>
                <w:sz w:val="14"/>
                <w:szCs w:val="14"/>
                <w:color w:val="auto"/>
              </w:rPr>
              <w:t>Prepaid expenses and other current assets</w:t>
            </w:r>
          </w:p>
        </w:tc>
        <w:tc>
          <w:tcPr>
            <w:tcW w:w="260" w:type="dxa"/>
            <w:vAlign w:val="bottom"/>
          </w:tcPr>
          <w:p>
            <w:pPr>
              <w:spacing w:after="0"/>
              <w:rPr>
                <w:sz w:val="19"/>
                <w:szCs w:val="19"/>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(5,895)</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(7,110)</w:t>
            </w:r>
          </w:p>
        </w:tc>
      </w:tr>
      <w:tr>
        <w:trPr>
          <w:trHeight w:val="230"/>
        </w:trPr>
        <w:tc>
          <w:tcPr>
            <w:tcW w:w="7620" w:type="dxa"/>
            <w:vAlign w:val="bottom"/>
          </w:tcPr>
          <w:p>
            <w:pPr>
              <w:ind w:left="600"/>
              <w:spacing w:after="0"/>
              <w:rPr>
                <w:sz w:val="20"/>
                <w:szCs w:val="20"/>
                <w:color w:val="auto"/>
              </w:rPr>
            </w:pPr>
            <w:r>
              <w:rPr>
                <w:rFonts w:ascii="Arial" w:cs="Arial" w:eastAsia="Arial" w:hAnsi="Arial"/>
                <w:sz w:val="14"/>
                <w:szCs w:val="14"/>
                <w:color w:val="auto"/>
              </w:rPr>
              <w:t>Prepaid income taxes</w:t>
            </w:r>
          </w:p>
        </w:tc>
        <w:tc>
          <w:tcPr>
            <w:tcW w:w="260" w:type="dxa"/>
            <w:vAlign w:val="bottom"/>
          </w:tcPr>
          <w:p>
            <w:pPr>
              <w:spacing w:after="0"/>
              <w:rPr>
                <w:sz w:val="19"/>
                <w:szCs w:val="19"/>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(13,498)</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4,417</w:t>
            </w:r>
          </w:p>
        </w:tc>
      </w:tr>
      <w:tr>
        <w:trPr>
          <w:trHeight w:val="230"/>
        </w:trPr>
        <w:tc>
          <w:tcPr>
            <w:tcW w:w="7620" w:type="dxa"/>
            <w:vAlign w:val="bottom"/>
          </w:tcPr>
          <w:p>
            <w:pPr>
              <w:ind w:left="600"/>
              <w:spacing w:after="0"/>
              <w:rPr>
                <w:sz w:val="20"/>
                <w:szCs w:val="20"/>
                <w:color w:val="auto"/>
              </w:rPr>
            </w:pPr>
            <w:r>
              <w:rPr>
                <w:rFonts w:ascii="Arial" w:cs="Arial" w:eastAsia="Arial" w:hAnsi="Arial"/>
                <w:sz w:val="14"/>
                <w:szCs w:val="14"/>
                <w:color w:val="auto"/>
              </w:rPr>
              <w:t>Accounts payable</w:t>
            </w:r>
          </w:p>
        </w:tc>
        <w:tc>
          <w:tcPr>
            <w:tcW w:w="260" w:type="dxa"/>
            <w:vAlign w:val="bottom"/>
          </w:tcPr>
          <w:p>
            <w:pPr>
              <w:spacing w:after="0"/>
              <w:rPr>
                <w:sz w:val="19"/>
                <w:szCs w:val="19"/>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42,742</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6,068</w:t>
            </w:r>
          </w:p>
        </w:tc>
      </w:tr>
      <w:tr>
        <w:trPr>
          <w:trHeight w:val="230"/>
        </w:trPr>
        <w:tc>
          <w:tcPr>
            <w:tcW w:w="7620" w:type="dxa"/>
            <w:vAlign w:val="bottom"/>
          </w:tcPr>
          <w:p>
            <w:pPr>
              <w:ind w:left="600"/>
              <w:spacing w:after="0"/>
              <w:rPr>
                <w:sz w:val="20"/>
                <w:szCs w:val="20"/>
                <w:color w:val="auto"/>
              </w:rPr>
            </w:pPr>
            <w:r>
              <w:rPr>
                <w:rFonts w:ascii="Arial" w:cs="Arial" w:eastAsia="Arial" w:hAnsi="Arial"/>
                <w:sz w:val="14"/>
                <w:szCs w:val="14"/>
                <w:color w:val="auto"/>
              </w:rPr>
              <w:t>Accrued liabilities</w:t>
            </w:r>
          </w:p>
        </w:tc>
        <w:tc>
          <w:tcPr>
            <w:tcW w:w="260" w:type="dxa"/>
            <w:vAlign w:val="bottom"/>
          </w:tcPr>
          <w:p>
            <w:pPr>
              <w:spacing w:after="0"/>
              <w:rPr>
                <w:sz w:val="19"/>
                <w:szCs w:val="19"/>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5,387</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4,610</w:t>
            </w:r>
          </w:p>
        </w:tc>
      </w:tr>
      <w:tr>
        <w:trPr>
          <w:trHeight w:val="230"/>
        </w:trPr>
        <w:tc>
          <w:tcPr>
            <w:tcW w:w="7620" w:type="dxa"/>
            <w:vAlign w:val="bottom"/>
          </w:tcPr>
          <w:p>
            <w:pPr>
              <w:ind w:left="600"/>
              <w:spacing w:after="0"/>
              <w:rPr>
                <w:sz w:val="20"/>
                <w:szCs w:val="20"/>
                <w:color w:val="auto"/>
              </w:rPr>
            </w:pPr>
            <w:r>
              <w:rPr>
                <w:rFonts w:ascii="Arial" w:cs="Arial" w:eastAsia="Arial" w:hAnsi="Arial"/>
                <w:sz w:val="14"/>
                <w:szCs w:val="14"/>
                <w:color w:val="auto"/>
              </w:rPr>
              <w:t>Accrued promotional allowances</w:t>
            </w:r>
          </w:p>
        </w:tc>
        <w:tc>
          <w:tcPr>
            <w:tcW w:w="260" w:type="dxa"/>
            <w:vAlign w:val="bottom"/>
          </w:tcPr>
          <w:p>
            <w:pPr>
              <w:spacing w:after="0"/>
              <w:rPr>
                <w:sz w:val="19"/>
                <w:szCs w:val="19"/>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(2,160)</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14,708</w:t>
            </w:r>
          </w:p>
        </w:tc>
      </w:tr>
      <w:tr>
        <w:trPr>
          <w:trHeight w:val="230"/>
        </w:trPr>
        <w:tc>
          <w:tcPr>
            <w:tcW w:w="7620" w:type="dxa"/>
            <w:vAlign w:val="bottom"/>
          </w:tcPr>
          <w:p>
            <w:pPr>
              <w:ind w:left="600"/>
              <w:spacing w:after="0"/>
              <w:rPr>
                <w:sz w:val="20"/>
                <w:szCs w:val="20"/>
                <w:color w:val="auto"/>
              </w:rPr>
            </w:pPr>
            <w:r>
              <w:rPr>
                <w:rFonts w:ascii="Arial" w:cs="Arial" w:eastAsia="Arial" w:hAnsi="Arial"/>
                <w:sz w:val="14"/>
                <w:szCs w:val="14"/>
                <w:color w:val="auto"/>
              </w:rPr>
              <w:t>Accrued distributor terminations</w:t>
            </w:r>
          </w:p>
        </w:tc>
        <w:tc>
          <w:tcPr>
            <w:tcW w:w="260" w:type="dxa"/>
            <w:vAlign w:val="bottom"/>
          </w:tcPr>
          <w:p>
            <w:pPr>
              <w:spacing w:after="0"/>
              <w:rPr>
                <w:sz w:val="19"/>
                <w:szCs w:val="19"/>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205,980</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30"/>
        </w:trPr>
        <w:tc>
          <w:tcPr>
            <w:tcW w:w="7620" w:type="dxa"/>
            <w:vAlign w:val="bottom"/>
          </w:tcPr>
          <w:p>
            <w:pPr>
              <w:ind w:left="600"/>
              <w:spacing w:after="0"/>
              <w:rPr>
                <w:sz w:val="20"/>
                <w:szCs w:val="20"/>
                <w:color w:val="auto"/>
              </w:rPr>
            </w:pPr>
            <w:r>
              <w:rPr>
                <w:rFonts w:ascii="Arial" w:cs="Arial" w:eastAsia="Arial" w:hAnsi="Arial"/>
                <w:sz w:val="14"/>
                <w:szCs w:val="14"/>
                <w:color w:val="auto"/>
              </w:rPr>
              <w:t>Accrued compensation</w:t>
            </w:r>
          </w:p>
        </w:tc>
        <w:tc>
          <w:tcPr>
            <w:tcW w:w="260" w:type="dxa"/>
            <w:vAlign w:val="bottom"/>
          </w:tcPr>
          <w:p>
            <w:pPr>
              <w:spacing w:after="0"/>
              <w:rPr>
                <w:sz w:val="19"/>
                <w:szCs w:val="19"/>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(7,866)</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(5,838)</w:t>
            </w:r>
          </w:p>
        </w:tc>
      </w:tr>
      <w:tr>
        <w:trPr>
          <w:trHeight w:val="230"/>
        </w:trPr>
        <w:tc>
          <w:tcPr>
            <w:tcW w:w="7620" w:type="dxa"/>
            <w:vAlign w:val="bottom"/>
          </w:tcPr>
          <w:p>
            <w:pPr>
              <w:ind w:left="600"/>
              <w:spacing w:after="0"/>
              <w:rPr>
                <w:sz w:val="20"/>
                <w:szCs w:val="20"/>
                <w:color w:val="auto"/>
              </w:rPr>
            </w:pPr>
            <w:r>
              <w:rPr>
                <w:rFonts w:ascii="Arial" w:cs="Arial" w:eastAsia="Arial" w:hAnsi="Arial"/>
                <w:sz w:val="14"/>
                <w:szCs w:val="14"/>
                <w:color w:val="auto"/>
              </w:rPr>
              <w:t>Income taxes payable</w:t>
            </w:r>
          </w:p>
        </w:tc>
        <w:tc>
          <w:tcPr>
            <w:tcW w:w="260" w:type="dxa"/>
            <w:vAlign w:val="bottom"/>
          </w:tcPr>
          <w:p>
            <w:pPr>
              <w:spacing w:after="0"/>
              <w:rPr>
                <w:sz w:val="19"/>
                <w:szCs w:val="19"/>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(4,298)</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39,095</w:t>
            </w:r>
          </w:p>
        </w:tc>
      </w:tr>
      <w:tr>
        <w:trPr>
          <w:trHeight w:val="230"/>
        </w:trPr>
        <w:tc>
          <w:tcPr>
            <w:tcW w:w="7620" w:type="dxa"/>
            <w:vAlign w:val="bottom"/>
          </w:tcPr>
          <w:p>
            <w:pPr>
              <w:ind w:left="600"/>
              <w:spacing w:after="0"/>
              <w:rPr>
                <w:sz w:val="20"/>
                <w:szCs w:val="20"/>
                <w:color w:val="auto"/>
              </w:rPr>
            </w:pPr>
            <w:r>
              <w:rPr>
                <w:rFonts w:ascii="Arial" w:cs="Arial" w:eastAsia="Arial" w:hAnsi="Arial"/>
                <w:sz w:val="14"/>
                <w:szCs w:val="14"/>
                <w:color w:val="auto"/>
              </w:rPr>
              <w:t>Deferred revenue</w:t>
            </w:r>
          </w:p>
        </w:tc>
        <w:tc>
          <w:tcPr>
            <w:tcW w:w="260" w:type="dxa"/>
            <w:vAlign w:val="bottom"/>
          </w:tcPr>
          <w:p>
            <w:pPr>
              <w:spacing w:after="0"/>
              <w:rPr>
                <w:sz w:val="19"/>
                <w:szCs w:val="19"/>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(40,041)</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(1,517)</w:t>
            </w:r>
          </w:p>
        </w:tc>
      </w:tr>
      <w:tr>
        <w:trPr>
          <w:trHeight w:val="26"/>
        </w:trPr>
        <w:tc>
          <w:tcPr>
            <w:tcW w:w="7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8"/>
        </w:trPr>
        <w:tc>
          <w:tcPr>
            <w:tcW w:w="7620" w:type="dxa"/>
            <w:vAlign w:val="bottom"/>
          </w:tcPr>
          <w:p>
            <w:pPr>
              <w:ind w:left="860"/>
              <w:spacing w:after="0"/>
              <w:rPr>
                <w:sz w:val="20"/>
                <w:szCs w:val="20"/>
                <w:color w:val="auto"/>
              </w:rPr>
            </w:pPr>
            <w:r>
              <w:rPr>
                <w:rFonts w:ascii="Arial" w:cs="Arial" w:eastAsia="Arial" w:hAnsi="Arial"/>
                <w:sz w:val="14"/>
                <w:szCs w:val="14"/>
                <w:color w:val="auto"/>
              </w:rPr>
              <w:t>Net cash (used in) provided by operating activities</w:t>
            </w:r>
          </w:p>
        </w:tc>
        <w:tc>
          <w:tcPr>
            <w:tcW w:w="260" w:type="dxa"/>
            <w:vAlign w:val="bottom"/>
          </w:tcPr>
          <w:p>
            <w:pPr>
              <w:spacing w:after="0"/>
              <w:rPr>
                <w:sz w:val="17"/>
                <w:szCs w:val="17"/>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(81,755)</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136,402</w:t>
            </w:r>
          </w:p>
        </w:tc>
      </w:tr>
      <w:tr>
        <w:trPr>
          <w:trHeight w:val="378"/>
        </w:trPr>
        <w:tc>
          <w:tcPr>
            <w:tcW w:w="7620" w:type="dxa"/>
            <w:vAlign w:val="bottom"/>
          </w:tcPr>
          <w:p>
            <w:pPr>
              <w:spacing w:after="0"/>
              <w:rPr>
                <w:sz w:val="20"/>
                <w:szCs w:val="20"/>
                <w:color w:val="auto"/>
              </w:rPr>
            </w:pPr>
            <w:r>
              <w:rPr>
                <w:rFonts w:ascii="Arial" w:cs="Arial" w:eastAsia="Arial" w:hAnsi="Arial"/>
                <w:sz w:val="14"/>
                <w:szCs w:val="14"/>
                <w:color w:val="auto"/>
              </w:rPr>
              <w:t>CASH FLOWS FROM INVESTING ACTIVITIES:</w:t>
            </w: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30"/>
        </w:trPr>
        <w:tc>
          <w:tcPr>
            <w:tcW w:w="7620" w:type="dxa"/>
            <w:vAlign w:val="bottom"/>
          </w:tcPr>
          <w:p>
            <w:pPr>
              <w:spacing w:after="0"/>
              <w:rPr>
                <w:sz w:val="20"/>
                <w:szCs w:val="20"/>
                <w:color w:val="auto"/>
              </w:rPr>
            </w:pPr>
            <w:r>
              <w:rPr>
                <w:rFonts w:ascii="Arial" w:cs="Arial" w:eastAsia="Arial" w:hAnsi="Arial"/>
                <w:sz w:val="14"/>
                <w:szCs w:val="14"/>
                <w:color w:val="auto"/>
              </w:rPr>
              <w:t>Maturities of held-to-maturity investments</w:t>
            </w:r>
          </w:p>
        </w:tc>
        <w:tc>
          <w:tcPr>
            <w:tcW w:w="260" w:type="dxa"/>
            <w:vAlign w:val="bottom"/>
          </w:tcPr>
          <w:p>
            <w:pPr>
              <w:spacing w:after="0"/>
              <w:rPr>
                <w:sz w:val="19"/>
                <w:szCs w:val="19"/>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253,732</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151,035</w:t>
            </w:r>
          </w:p>
        </w:tc>
      </w:tr>
      <w:tr>
        <w:trPr>
          <w:trHeight w:val="230"/>
        </w:trPr>
        <w:tc>
          <w:tcPr>
            <w:tcW w:w="7620" w:type="dxa"/>
            <w:vAlign w:val="bottom"/>
          </w:tcPr>
          <w:p>
            <w:pPr>
              <w:spacing w:after="0"/>
              <w:rPr>
                <w:sz w:val="20"/>
                <w:szCs w:val="20"/>
                <w:color w:val="auto"/>
              </w:rPr>
            </w:pPr>
            <w:r>
              <w:rPr>
                <w:rFonts w:ascii="Arial" w:cs="Arial" w:eastAsia="Arial" w:hAnsi="Arial"/>
                <w:sz w:val="14"/>
                <w:szCs w:val="14"/>
                <w:color w:val="auto"/>
              </w:rPr>
              <w:t>Sales of available-for-sale investments</w:t>
            </w:r>
          </w:p>
        </w:tc>
        <w:tc>
          <w:tcPr>
            <w:tcW w:w="260" w:type="dxa"/>
            <w:vAlign w:val="bottom"/>
          </w:tcPr>
          <w:p>
            <w:pPr>
              <w:spacing w:after="0"/>
              <w:rPr>
                <w:sz w:val="19"/>
                <w:szCs w:val="19"/>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101</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w:t>
            </w:r>
          </w:p>
        </w:tc>
      </w:tr>
    </w:tbl>
    <w:p>
      <w:pPr>
        <w:sectPr>
          <w:pgSz w:w="11900" w:h="16838" w:orient="portrait"/>
          <w:cols w:equalWidth="0" w:num="1">
            <w:col w:w="11420"/>
          </w:cols>
          <w:pgMar w:left="240" w:top="341"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620" w:type="dxa"/>
            <w:vAlign w:val="bottom"/>
          </w:tcPr>
          <w:p>
            <w:pPr>
              <w:spacing w:after="0"/>
              <w:rPr>
                <w:sz w:val="20"/>
                <w:szCs w:val="20"/>
                <w:color w:val="auto"/>
              </w:rPr>
            </w:pPr>
            <w:r>
              <w:rPr>
                <w:rFonts w:ascii="Arial" w:cs="Arial" w:eastAsia="Arial" w:hAnsi="Arial"/>
                <w:sz w:val="14"/>
                <w:szCs w:val="14"/>
                <w:color w:val="auto"/>
              </w:rPr>
              <w:t>Sales of trading investments</w:t>
            </w:r>
          </w:p>
        </w:tc>
        <w:tc>
          <w:tcPr>
            <w:tcW w:w="640" w:type="dxa"/>
            <w:vAlign w:val="bottom"/>
          </w:tcPr>
          <w:p>
            <w:pPr>
              <w:spacing w:after="0"/>
              <w:rPr>
                <w:sz w:val="15"/>
                <w:szCs w:val="15"/>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1,725</w:t>
            </w:r>
          </w:p>
        </w:tc>
        <w:tc>
          <w:tcPr>
            <w:tcW w:w="0" w:type="dxa"/>
            <w:vAlign w:val="bottom"/>
          </w:tcPr>
          <w:p>
            <w:pPr>
              <w:spacing w:after="0"/>
              <w:rPr>
                <w:sz w:val="1"/>
                <w:szCs w:val="1"/>
                <w:color w:val="auto"/>
              </w:rPr>
            </w:pPr>
          </w:p>
        </w:tc>
      </w:tr>
      <w:tr>
        <w:trPr>
          <w:trHeight w:val="230"/>
        </w:trPr>
        <w:tc>
          <w:tcPr>
            <w:tcW w:w="7620" w:type="dxa"/>
            <w:vAlign w:val="bottom"/>
          </w:tcPr>
          <w:p>
            <w:pPr>
              <w:spacing w:after="0"/>
              <w:rPr>
                <w:sz w:val="20"/>
                <w:szCs w:val="20"/>
                <w:color w:val="auto"/>
              </w:rPr>
            </w:pPr>
            <w:r>
              <w:rPr>
                <w:rFonts w:ascii="Arial" w:cs="Arial" w:eastAsia="Arial" w:hAnsi="Arial"/>
                <w:sz w:val="14"/>
                <w:szCs w:val="14"/>
                <w:color w:val="auto"/>
              </w:rPr>
              <w:t>Purchases of held-to-maturity investments</w:t>
            </w:r>
          </w:p>
        </w:tc>
        <w:tc>
          <w:tcPr>
            <w:tcW w:w="640" w:type="dxa"/>
            <w:vAlign w:val="bottom"/>
          </w:tcPr>
          <w:p>
            <w:pPr>
              <w:spacing w:after="0"/>
              <w:rPr>
                <w:sz w:val="19"/>
                <w:szCs w:val="19"/>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(118,283)</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(187,718)</w:t>
            </w:r>
          </w:p>
        </w:tc>
        <w:tc>
          <w:tcPr>
            <w:tcW w:w="0" w:type="dxa"/>
            <w:vAlign w:val="bottom"/>
          </w:tcPr>
          <w:p>
            <w:pPr>
              <w:spacing w:after="0"/>
              <w:rPr>
                <w:sz w:val="1"/>
                <w:szCs w:val="1"/>
                <w:color w:val="auto"/>
              </w:rPr>
            </w:pPr>
          </w:p>
        </w:tc>
      </w:tr>
      <w:tr>
        <w:trPr>
          <w:trHeight w:val="230"/>
        </w:trPr>
        <w:tc>
          <w:tcPr>
            <w:tcW w:w="7620" w:type="dxa"/>
            <w:vAlign w:val="bottom"/>
          </w:tcPr>
          <w:p>
            <w:pPr>
              <w:spacing w:after="0"/>
              <w:rPr>
                <w:sz w:val="20"/>
                <w:szCs w:val="20"/>
                <w:color w:val="auto"/>
              </w:rPr>
            </w:pPr>
            <w:r>
              <w:rPr>
                <w:rFonts w:ascii="Arial" w:cs="Arial" w:eastAsia="Arial" w:hAnsi="Arial"/>
                <w:sz w:val="14"/>
                <w:szCs w:val="14"/>
                <w:color w:val="auto"/>
              </w:rPr>
              <w:t>Purchases of property and equipment</w:t>
            </w:r>
          </w:p>
        </w:tc>
        <w:tc>
          <w:tcPr>
            <w:tcW w:w="640" w:type="dxa"/>
            <w:vAlign w:val="bottom"/>
          </w:tcPr>
          <w:p>
            <w:pPr>
              <w:spacing w:after="0"/>
              <w:rPr>
                <w:sz w:val="19"/>
                <w:szCs w:val="19"/>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(4,687)</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(9,871)</w:t>
            </w:r>
          </w:p>
        </w:tc>
        <w:tc>
          <w:tcPr>
            <w:tcW w:w="0" w:type="dxa"/>
            <w:vAlign w:val="bottom"/>
          </w:tcPr>
          <w:p>
            <w:pPr>
              <w:spacing w:after="0"/>
              <w:rPr>
                <w:sz w:val="1"/>
                <w:szCs w:val="1"/>
                <w:color w:val="auto"/>
              </w:rPr>
            </w:pPr>
          </w:p>
        </w:tc>
      </w:tr>
      <w:tr>
        <w:trPr>
          <w:trHeight w:val="230"/>
        </w:trPr>
        <w:tc>
          <w:tcPr>
            <w:tcW w:w="7620" w:type="dxa"/>
            <w:vAlign w:val="bottom"/>
          </w:tcPr>
          <w:p>
            <w:pPr>
              <w:spacing w:after="0"/>
              <w:rPr>
                <w:sz w:val="20"/>
                <w:szCs w:val="20"/>
                <w:color w:val="auto"/>
              </w:rPr>
            </w:pPr>
            <w:r>
              <w:rPr>
                <w:rFonts w:ascii="Arial" w:cs="Arial" w:eastAsia="Arial" w:hAnsi="Arial"/>
                <w:sz w:val="14"/>
                <w:szCs w:val="14"/>
                <w:color w:val="auto"/>
              </w:rPr>
              <w:t>Proceeds from sale of property and equipment</w:t>
            </w:r>
          </w:p>
        </w:tc>
        <w:tc>
          <w:tcPr>
            <w:tcW w:w="640" w:type="dxa"/>
            <w:vAlign w:val="bottom"/>
          </w:tcPr>
          <w:p>
            <w:pPr>
              <w:spacing w:after="0"/>
              <w:rPr>
                <w:sz w:val="19"/>
                <w:szCs w:val="19"/>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102</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237</w:t>
            </w:r>
          </w:p>
        </w:tc>
        <w:tc>
          <w:tcPr>
            <w:tcW w:w="0" w:type="dxa"/>
            <w:vAlign w:val="bottom"/>
          </w:tcPr>
          <w:p>
            <w:pPr>
              <w:spacing w:after="0"/>
              <w:rPr>
                <w:sz w:val="1"/>
                <w:szCs w:val="1"/>
                <w:color w:val="auto"/>
              </w:rPr>
            </w:pPr>
          </w:p>
        </w:tc>
      </w:tr>
      <w:tr>
        <w:trPr>
          <w:trHeight w:val="230"/>
        </w:trPr>
        <w:tc>
          <w:tcPr>
            <w:tcW w:w="7620" w:type="dxa"/>
            <w:vAlign w:val="bottom"/>
          </w:tcPr>
          <w:p>
            <w:pPr>
              <w:spacing w:after="0"/>
              <w:rPr>
                <w:sz w:val="20"/>
                <w:szCs w:val="20"/>
                <w:color w:val="auto"/>
              </w:rPr>
            </w:pPr>
            <w:r>
              <w:rPr>
                <w:rFonts w:ascii="Arial" w:cs="Arial" w:eastAsia="Arial" w:hAnsi="Arial"/>
                <w:sz w:val="14"/>
                <w:szCs w:val="14"/>
                <w:color w:val="auto"/>
              </w:rPr>
              <w:t>(Increase) decrease in intangibles</w:t>
            </w:r>
          </w:p>
        </w:tc>
        <w:tc>
          <w:tcPr>
            <w:tcW w:w="640" w:type="dxa"/>
            <w:vAlign w:val="bottom"/>
          </w:tcPr>
          <w:p>
            <w:pPr>
              <w:spacing w:after="0"/>
              <w:rPr>
                <w:sz w:val="19"/>
                <w:szCs w:val="19"/>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(1,552)</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230"/>
        </w:trPr>
        <w:tc>
          <w:tcPr>
            <w:tcW w:w="7620" w:type="dxa"/>
            <w:vAlign w:val="bottom"/>
          </w:tcPr>
          <w:p>
            <w:pPr>
              <w:spacing w:after="0"/>
              <w:rPr>
                <w:sz w:val="20"/>
                <w:szCs w:val="20"/>
                <w:color w:val="auto"/>
              </w:rPr>
            </w:pPr>
            <w:r>
              <w:rPr>
                <w:rFonts w:ascii="Arial" w:cs="Arial" w:eastAsia="Arial" w:hAnsi="Arial"/>
                <w:sz w:val="14"/>
                <w:szCs w:val="14"/>
                <w:color w:val="auto"/>
              </w:rPr>
              <w:t>Decrease in other assets</w:t>
            </w:r>
          </w:p>
        </w:tc>
        <w:tc>
          <w:tcPr>
            <w:tcW w:w="640" w:type="dxa"/>
            <w:vAlign w:val="bottom"/>
          </w:tcPr>
          <w:p>
            <w:pPr>
              <w:spacing w:after="0"/>
              <w:rPr>
                <w:sz w:val="19"/>
                <w:szCs w:val="19"/>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227</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543</w:t>
            </w:r>
          </w:p>
        </w:tc>
        <w:tc>
          <w:tcPr>
            <w:tcW w:w="0" w:type="dxa"/>
            <w:vAlign w:val="bottom"/>
          </w:tcPr>
          <w:p>
            <w:pPr>
              <w:spacing w:after="0"/>
              <w:rPr>
                <w:sz w:val="1"/>
                <w:szCs w:val="1"/>
                <w:color w:val="auto"/>
              </w:rPr>
            </w:pPr>
          </w:p>
        </w:tc>
      </w:tr>
      <w:tr>
        <w:trPr>
          <w:trHeight w:val="26"/>
        </w:trPr>
        <w:tc>
          <w:tcPr>
            <w:tcW w:w="76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7620" w:type="dxa"/>
            <w:vAlign w:val="bottom"/>
          </w:tcPr>
          <w:p>
            <w:pPr>
              <w:ind w:left="860"/>
              <w:spacing w:after="0"/>
              <w:rPr>
                <w:sz w:val="20"/>
                <w:szCs w:val="20"/>
                <w:color w:val="auto"/>
              </w:rPr>
            </w:pPr>
            <w:r>
              <w:rPr>
                <w:rFonts w:ascii="Arial" w:cs="Arial" w:eastAsia="Arial" w:hAnsi="Arial"/>
                <w:sz w:val="14"/>
                <w:szCs w:val="14"/>
                <w:color w:val="auto"/>
              </w:rPr>
              <w:t>Net cash provided by (used in) investing activities</w:t>
            </w:r>
          </w:p>
        </w:tc>
        <w:tc>
          <w:tcPr>
            <w:tcW w:w="640" w:type="dxa"/>
            <w:vAlign w:val="bottom"/>
          </w:tcPr>
          <w:p>
            <w:pPr>
              <w:spacing w:after="0"/>
              <w:rPr>
                <w:sz w:val="17"/>
                <w:szCs w:val="17"/>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129,640</w:t>
            </w: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(43,944)</w:t>
            </w:r>
          </w:p>
        </w:tc>
        <w:tc>
          <w:tcPr>
            <w:tcW w:w="0" w:type="dxa"/>
            <w:vAlign w:val="bottom"/>
          </w:tcPr>
          <w:p>
            <w:pPr>
              <w:spacing w:after="0"/>
              <w:rPr>
                <w:sz w:val="1"/>
                <w:szCs w:val="1"/>
                <w:color w:val="auto"/>
              </w:rPr>
            </w:pPr>
          </w:p>
        </w:tc>
      </w:tr>
      <w:tr>
        <w:trPr>
          <w:trHeight w:val="378"/>
        </w:trPr>
        <w:tc>
          <w:tcPr>
            <w:tcW w:w="7620" w:type="dxa"/>
            <w:vAlign w:val="bottom"/>
          </w:tcPr>
          <w:p>
            <w:pPr>
              <w:spacing w:after="0"/>
              <w:rPr>
                <w:sz w:val="20"/>
                <w:szCs w:val="20"/>
                <w:color w:val="auto"/>
              </w:rPr>
            </w:pPr>
            <w:r>
              <w:rPr>
                <w:rFonts w:ascii="Arial" w:cs="Arial" w:eastAsia="Arial" w:hAnsi="Arial"/>
                <w:sz w:val="14"/>
                <w:szCs w:val="14"/>
                <w:color w:val="auto"/>
              </w:rPr>
              <w:t>CASH FLOWS FROM FINANCING ACTIVITIES:</w:t>
            </w: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620" w:type="dxa"/>
            <w:vAlign w:val="bottom"/>
          </w:tcPr>
          <w:p>
            <w:pPr>
              <w:spacing w:after="0"/>
              <w:rPr>
                <w:sz w:val="20"/>
                <w:szCs w:val="20"/>
                <w:color w:val="auto"/>
              </w:rPr>
            </w:pPr>
            <w:r>
              <w:rPr>
                <w:rFonts w:ascii="Arial" w:cs="Arial" w:eastAsia="Arial" w:hAnsi="Arial"/>
                <w:sz w:val="14"/>
                <w:szCs w:val="14"/>
                <w:color w:val="auto"/>
              </w:rPr>
              <w:t>Principal payments on debt</w:t>
            </w:r>
          </w:p>
        </w:tc>
        <w:tc>
          <w:tcPr>
            <w:tcW w:w="640" w:type="dxa"/>
            <w:vAlign w:val="bottom"/>
          </w:tcPr>
          <w:p>
            <w:pPr>
              <w:spacing w:after="0"/>
              <w:rPr>
                <w:sz w:val="19"/>
                <w:szCs w:val="19"/>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(196)</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(620)</w:t>
            </w:r>
          </w:p>
        </w:tc>
        <w:tc>
          <w:tcPr>
            <w:tcW w:w="0" w:type="dxa"/>
            <w:vAlign w:val="bottom"/>
          </w:tcPr>
          <w:p>
            <w:pPr>
              <w:spacing w:after="0"/>
              <w:rPr>
                <w:sz w:val="1"/>
                <w:szCs w:val="1"/>
                <w:color w:val="auto"/>
              </w:rPr>
            </w:pPr>
          </w:p>
        </w:tc>
      </w:tr>
      <w:tr>
        <w:trPr>
          <w:trHeight w:val="230"/>
        </w:trPr>
        <w:tc>
          <w:tcPr>
            <w:tcW w:w="7620" w:type="dxa"/>
            <w:vAlign w:val="bottom"/>
          </w:tcPr>
          <w:p>
            <w:pPr>
              <w:spacing w:after="0"/>
              <w:rPr>
                <w:sz w:val="20"/>
                <w:szCs w:val="20"/>
                <w:color w:val="auto"/>
              </w:rPr>
            </w:pPr>
            <w:r>
              <w:rPr>
                <w:rFonts w:ascii="Arial" w:cs="Arial" w:eastAsia="Arial" w:hAnsi="Arial"/>
                <w:sz w:val="14"/>
                <w:szCs w:val="14"/>
                <w:color w:val="auto"/>
              </w:rPr>
              <w:t>Excess tax benefit from stock-based compensation</w:t>
            </w:r>
          </w:p>
        </w:tc>
        <w:tc>
          <w:tcPr>
            <w:tcW w:w="640" w:type="dxa"/>
            <w:vAlign w:val="bottom"/>
          </w:tcPr>
          <w:p>
            <w:pPr>
              <w:spacing w:after="0"/>
              <w:rPr>
                <w:sz w:val="19"/>
                <w:szCs w:val="19"/>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184,679</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2,602</w:t>
            </w:r>
          </w:p>
        </w:tc>
        <w:tc>
          <w:tcPr>
            <w:tcW w:w="0" w:type="dxa"/>
            <w:vAlign w:val="bottom"/>
          </w:tcPr>
          <w:p>
            <w:pPr>
              <w:spacing w:after="0"/>
              <w:rPr>
                <w:sz w:val="1"/>
                <w:szCs w:val="1"/>
                <w:color w:val="auto"/>
              </w:rPr>
            </w:pPr>
          </w:p>
        </w:tc>
      </w:tr>
      <w:tr>
        <w:trPr>
          <w:trHeight w:val="230"/>
        </w:trPr>
        <w:tc>
          <w:tcPr>
            <w:tcW w:w="7620" w:type="dxa"/>
            <w:vAlign w:val="bottom"/>
          </w:tcPr>
          <w:p>
            <w:pPr>
              <w:spacing w:after="0"/>
              <w:rPr>
                <w:sz w:val="20"/>
                <w:szCs w:val="20"/>
                <w:color w:val="auto"/>
              </w:rPr>
            </w:pPr>
            <w:r>
              <w:rPr>
                <w:rFonts w:ascii="Arial" w:cs="Arial" w:eastAsia="Arial" w:hAnsi="Arial"/>
                <w:sz w:val="14"/>
                <w:szCs w:val="14"/>
                <w:color w:val="auto"/>
              </w:rPr>
              <w:t>Issuance of common stock</w:t>
            </w:r>
          </w:p>
        </w:tc>
        <w:tc>
          <w:tcPr>
            <w:tcW w:w="640" w:type="dxa"/>
            <w:vAlign w:val="bottom"/>
          </w:tcPr>
          <w:p>
            <w:pPr>
              <w:spacing w:after="0"/>
              <w:rPr>
                <w:sz w:val="19"/>
                <w:szCs w:val="19"/>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19,119</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5,728</w:t>
            </w:r>
          </w:p>
        </w:tc>
        <w:tc>
          <w:tcPr>
            <w:tcW w:w="0" w:type="dxa"/>
            <w:vAlign w:val="bottom"/>
          </w:tcPr>
          <w:p>
            <w:pPr>
              <w:spacing w:after="0"/>
              <w:rPr>
                <w:sz w:val="1"/>
                <w:szCs w:val="1"/>
                <w:color w:val="auto"/>
              </w:rPr>
            </w:pPr>
          </w:p>
        </w:tc>
      </w:tr>
      <w:tr>
        <w:trPr>
          <w:trHeight w:val="230"/>
        </w:trPr>
        <w:tc>
          <w:tcPr>
            <w:tcW w:w="7620" w:type="dxa"/>
            <w:vAlign w:val="bottom"/>
          </w:tcPr>
          <w:p>
            <w:pPr>
              <w:spacing w:after="0"/>
              <w:rPr>
                <w:sz w:val="20"/>
                <w:szCs w:val="20"/>
                <w:color w:val="auto"/>
              </w:rPr>
            </w:pPr>
            <w:r>
              <w:rPr>
                <w:rFonts w:ascii="Arial" w:cs="Arial" w:eastAsia="Arial" w:hAnsi="Arial"/>
                <w:sz w:val="14"/>
                <w:szCs w:val="14"/>
                <w:color w:val="auto"/>
              </w:rPr>
              <w:t>Purchases of common stock held in treasury</w:t>
            </w:r>
          </w:p>
        </w:tc>
        <w:tc>
          <w:tcPr>
            <w:tcW w:w="640" w:type="dxa"/>
            <w:vAlign w:val="bottom"/>
          </w:tcPr>
          <w:p>
            <w:pPr>
              <w:spacing w:after="0"/>
              <w:rPr>
                <w:sz w:val="19"/>
                <w:szCs w:val="19"/>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(251,382)</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6"/>
        </w:trPr>
        <w:tc>
          <w:tcPr>
            <w:tcW w:w="76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7620" w:type="dxa"/>
            <w:vAlign w:val="bottom"/>
          </w:tcPr>
          <w:p>
            <w:pPr>
              <w:ind w:left="860"/>
              <w:spacing w:after="0"/>
              <w:rPr>
                <w:sz w:val="20"/>
                <w:szCs w:val="20"/>
                <w:color w:val="auto"/>
              </w:rPr>
            </w:pPr>
            <w:r>
              <w:rPr>
                <w:rFonts w:ascii="Arial" w:cs="Arial" w:eastAsia="Arial" w:hAnsi="Arial"/>
                <w:sz w:val="14"/>
                <w:szCs w:val="14"/>
                <w:color w:val="auto"/>
              </w:rPr>
              <w:t>Net cash (used in) provided by financing activities</w:t>
            </w:r>
          </w:p>
        </w:tc>
        <w:tc>
          <w:tcPr>
            <w:tcW w:w="64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(47,780)</w:t>
            </w: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7,690</w:t>
            </w:r>
          </w:p>
        </w:tc>
        <w:tc>
          <w:tcPr>
            <w:tcW w:w="0" w:type="dxa"/>
            <w:vAlign w:val="bottom"/>
          </w:tcPr>
          <w:p>
            <w:pPr>
              <w:spacing w:after="0"/>
              <w:rPr>
                <w:sz w:val="1"/>
                <w:szCs w:val="1"/>
                <w:color w:val="auto"/>
              </w:rPr>
            </w:pPr>
          </w:p>
        </w:tc>
      </w:tr>
      <w:tr>
        <w:trPr>
          <w:trHeight w:val="26"/>
        </w:trPr>
        <w:tc>
          <w:tcPr>
            <w:tcW w:w="76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6"/>
        </w:trPr>
        <w:tc>
          <w:tcPr>
            <w:tcW w:w="7620" w:type="dxa"/>
            <w:vAlign w:val="bottom"/>
          </w:tcPr>
          <w:p>
            <w:pPr>
              <w:spacing w:after="0"/>
              <w:rPr>
                <w:sz w:val="20"/>
                <w:szCs w:val="20"/>
                <w:color w:val="auto"/>
              </w:rPr>
            </w:pPr>
            <w:r>
              <w:rPr>
                <w:rFonts w:ascii="Arial" w:cs="Arial" w:eastAsia="Arial" w:hAnsi="Arial"/>
                <w:sz w:val="14"/>
                <w:szCs w:val="14"/>
                <w:color w:val="auto"/>
              </w:rPr>
              <w:t>Effect of exchange rate changes on cash and cash equivalents</w:t>
            </w:r>
          </w:p>
        </w:tc>
        <w:tc>
          <w:tcPr>
            <w:tcW w:w="640" w:type="dxa"/>
            <w:vAlign w:val="bottom"/>
          </w:tcPr>
          <w:p>
            <w:pPr>
              <w:spacing w:after="0"/>
              <w:rPr>
                <w:sz w:val="24"/>
                <w:szCs w:val="24"/>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(7,641)</w:t>
            </w: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523</w:t>
            </w:r>
          </w:p>
        </w:tc>
        <w:tc>
          <w:tcPr>
            <w:tcW w:w="0" w:type="dxa"/>
            <w:vAlign w:val="bottom"/>
          </w:tcPr>
          <w:p>
            <w:pPr>
              <w:spacing w:after="0"/>
              <w:rPr>
                <w:sz w:val="1"/>
                <w:szCs w:val="1"/>
                <w:color w:val="auto"/>
              </w:rPr>
            </w:pPr>
          </w:p>
        </w:tc>
      </w:tr>
      <w:tr>
        <w:trPr>
          <w:trHeight w:val="378"/>
        </w:trPr>
        <w:tc>
          <w:tcPr>
            <w:tcW w:w="7620" w:type="dxa"/>
            <w:vAlign w:val="bottom"/>
          </w:tcPr>
          <w:p>
            <w:pPr>
              <w:spacing w:after="0"/>
              <w:rPr>
                <w:sz w:val="20"/>
                <w:szCs w:val="20"/>
                <w:color w:val="auto"/>
              </w:rPr>
            </w:pPr>
            <w:r>
              <w:rPr>
                <w:rFonts w:ascii="Arial" w:cs="Arial" w:eastAsia="Arial" w:hAnsi="Arial"/>
                <w:sz w:val="14"/>
                <w:szCs w:val="14"/>
                <w:color w:val="auto"/>
              </w:rPr>
              <w:t>NET (DECREASE) INCREASE IN CASH AND CASH EQUIVALENTS</w:t>
            </w:r>
          </w:p>
        </w:tc>
        <w:tc>
          <w:tcPr>
            <w:tcW w:w="640" w:type="dxa"/>
            <w:vAlign w:val="bottom"/>
          </w:tcPr>
          <w:p>
            <w:pPr>
              <w:spacing w:after="0"/>
              <w:rPr>
                <w:sz w:val="24"/>
                <w:szCs w:val="24"/>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(7,536)</w:t>
            </w: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100,671</w:t>
            </w:r>
          </w:p>
        </w:tc>
        <w:tc>
          <w:tcPr>
            <w:tcW w:w="0" w:type="dxa"/>
            <w:vAlign w:val="bottom"/>
          </w:tcPr>
          <w:p>
            <w:pPr>
              <w:spacing w:after="0"/>
              <w:rPr>
                <w:sz w:val="1"/>
                <w:szCs w:val="1"/>
                <w:color w:val="auto"/>
              </w:rPr>
            </w:pPr>
          </w:p>
        </w:tc>
      </w:tr>
      <w:tr>
        <w:trPr>
          <w:trHeight w:val="230"/>
        </w:trPr>
        <w:tc>
          <w:tcPr>
            <w:tcW w:w="7620" w:type="dxa"/>
            <w:vAlign w:val="bottom"/>
          </w:tcPr>
          <w:p>
            <w:pPr>
              <w:spacing w:after="0"/>
              <w:rPr>
                <w:sz w:val="20"/>
                <w:szCs w:val="20"/>
                <w:color w:val="auto"/>
              </w:rPr>
            </w:pPr>
            <w:r>
              <w:rPr>
                <w:rFonts w:ascii="Arial" w:cs="Arial" w:eastAsia="Arial" w:hAnsi="Arial"/>
                <w:sz w:val="14"/>
                <w:szCs w:val="14"/>
                <w:color w:val="auto"/>
              </w:rPr>
              <w:t>CASH AND CASH EQUIVALENTS, beginning of period</w:t>
            </w:r>
          </w:p>
        </w:tc>
        <w:tc>
          <w:tcPr>
            <w:tcW w:w="640" w:type="dxa"/>
            <w:vAlign w:val="bottom"/>
          </w:tcPr>
          <w:p>
            <w:pPr>
              <w:spacing w:after="0"/>
              <w:rPr>
                <w:sz w:val="19"/>
                <w:szCs w:val="19"/>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370,323</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211,349</w:t>
            </w:r>
          </w:p>
        </w:tc>
        <w:tc>
          <w:tcPr>
            <w:tcW w:w="0" w:type="dxa"/>
            <w:vAlign w:val="bottom"/>
          </w:tcPr>
          <w:p>
            <w:pPr>
              <w:spacing w:after="0"/>
              <w:rPr>
                <w:sz w:val="1"/>
                <w:szCs w:val="1"/>
                <w:color w:val="auto"/>
              </w:rPr>
            </w:pPr>
          </w:p>
        </w:tc>
      </w:tr>
      <w:tr>
        <w:trPr>
          <w:trHeight w:val="26"/>
        </w:trPr>
        <w:tc>
          <w:tcPr>
            <w:tcW w:w="76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620" w:type="dxa"/>
            <w:vAlign w:val="bottom"/>
          </w:tcPr>
          <w:p>
            <w:pPr>
              <w:spacing w:after="0"/>
              <w:rPr>
                <w:sz w:val="20"/>
                <w:szCs w:val="20"/>
                <w:color w:val="auto"/>
              </w:rPr>
            </w:pPr>
            <w:r>
              <w:rPr>
                <w:rFonts w:ascii="Arial" w:cs="Arial" w:eastAsia="Arial" w:hAnsi="Arial"/>
                <w:sz w:val="14"/>
                <w:szCs w:val="14"/>
                <w:color w:val="auto"/>
              </w:rPr>
              <w:t>CASH AND CASH EQUIVALENTS, end of period</w:t>
            </w:r>
          </w:p>
        </w:tc>
        <w:tc>
          <w:tcPr>
            <w:tcW w:w="6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362,787</w:t>
            </w:r>
          </w:p>
        </w:tc>
        <w:tc>
          <w:tcPr>
            <w:tcW w:w="280" w:type="dxa"/>
            <w:vAlign w:val="bottom"/>
          </w:tcPr>
          <w:p>
            <w:pPr>
              <w:spacing w:after="0"/>
              <w:rPr>
                <w:sz w:val="18"/>
                <w:szCs w:val="18"/>
                <w:color w:val="auto"/>
              </w:rPr>
            </w:pPr>
          </w:p>
        </w:tc>
        <w:tc>
          <w:tcPr>
            <w:tcW w:w="6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312,020</w:t>
            </w:r>
          </w:p>
        </w:tc>
        <w:tc>
          <w:tcPr>
            <w:tcW w:w="0" w:type="dxa"/>
            <w:vAlign w:val="bottom"/>
          </w:tcPr>
          <w:p>
            <w:pPr>
              <w:spacing w:after="0"/>
              <w:rPr>
                <w:sz w:val="1"/>
                <w:szCs w:val="1"/>
                <w:color w:val="auto"/>
              </w:rPr>
            </w:pPr>
          </w:p>
        </w:tc>
      </w:tr>
      <w:tr>
        <w:trPr>
          <w:trHeight w:val="20"/>
        </w:trPr>
        <w:tc>
          <w:tcPr>
            <w:tcW w:w="7620" w:type="dxa"/>
            <w:vAlign w:val="bottom"/>
            <w:vMerge w:val="restart"/>
          </w:tcPr>
          <w:p>
            <w:pPr>
              <w:spacing w:after="0"/>
              <w:rPr>
                <w:sz w:val="20"/>
                <w:szCs w:val="20"/>
                <w:color w:val="auto"/>
              </w:rPr>
            </w:pPr>
            <w:r>
              <w:rPr>
                <w:rFonts w:ascii="Arial" w:cs="Arial" w:eastAsia="Arial" w:hAnsi="Arial"/>
                <w:sz w:val="14"/>
                <w:szCs w:val="14"/>
                <w:color w:val="auto"/>
              </w:rPr>
              <w:t>SUPPLEMENTAL INFORMATION:</w:t>
            </w:r>
          </w:p>
        </w:tc>
        <w:tc>
          <w:tcPr>
            <w:tcW w:w="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762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120"/>
              <w:spacing w:after="0"/>
              <w:rPr>
                <w:sz w:val="20"/>
                <w:szCs w:val="20"/>
                <w:color w:val="auto"/>
              </w:rPr>
            </w:pPr>
            <w:r>
              <w:rPr>
                <w:rFonts w:ascii="Arial" w:cs="Arial" w:eastAsia="Arial" w:hAnsi="Arial"/>
                <w:sz w:val="14"/>
                <w:szCs w:val="14"/>
                <w:color w:val="auto"/>
              </w:rPr>
              <w:t>Cash paid during the period for:</w:t>
            </w:r>
          </w:p>
        </w:tc>
        <w:tc>
          <w:tcPr>
            <w:tcW w:w="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7620" w:type="dxa"/>
            <w:vAlign w:val="bottom"/>
          </w:tcPr>
          <w:p>
            <w:pPr>
              <w:ind w:left="340"/>
              <w:spacing w:after="0"/>
              <w:rPr>
                <w:sz w:val="20"/>
                <w:szCs w:val="20"/>
                <w:color w:val="auto"/>
              </w:rPr>
            </w:pPr>
            <w:r>
              <w:rPr>
                <w:rFonts w:ascii="Arial" w:cs="Arial" w:eastAsia="Arial" w:hAnsi="Arial"/>
                <w:sz w:val="14"/>
                <w:szCs w:val="14"/>
                <w:color w:val="auto"/>
              </w:rPr>
              <w:t>Interest</w:t>
            </w:r>
          </w:p>
        </w:tc>
        <w:tc>
          <w:tcPr>
            <w:tcW w:w="6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w:t>
            </w:r>
          </w:p>
        </w:tc>
        <w:tc>
          <w:tcPr>
            <w:tcW w:w="280" w:type="dxa"/>
            <w:vAlign w:val="bottom"/>
          </w:tcPr>
          <w:p>
            <w:pPr>
              <w:spacing w:after="0"/>
              <w:rPr>
                <w:sz w:val="21"/>
                <w:szCs w:val="21"/>
                <w:color w:val="auto"/>
              </w:rPr>
            </w:pPr>
          </w:p>
        </w:tc>
        <w:tc>
          <w:tcPr>
            <w:tcW w:w="6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20" w:type="dxa"/>
            <w:vAlign w:val="bottom"/>
          </w:tcPr>
          <w:p>
            <w:pPr>
              <w:ind w:left="340"/>
              <w:spacing w:after="0"/>
              <w:rPr>
                <w:sz w:val="20"/>
                <w:szCs w:val="20"/>
                <w:color w:val="auto"/>
              </w:rPr>
            </w:pPr>
            <w:r>
              <w:rPr>
                <w:rFonts w:ascii="Arial" w:cs="Arial" w:eastAsia="Arial" w:hAnsi="Arial"/>
                <w:sz w:val="14"/>
                <w:szCs w:val="14"/>
                <w:color w:val="auto"/>
              </w:rPr>
              <w:t>Income taxes</w:t>
            </w:r>
          </w:p>
        </w:tc>
        <w:tc>
          <w:tcPr>
            <w:tcW w:w="6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22,703</w:t>
            </w:r>
          </w:p>
        </w:tc>
        <w:tc>
          <w:tcPr>
            <w:tcW w:w="280" w:type="dxa"/>
            <w:vAlign w:val="bottom"/>
          </w:tcPr>
          <w:p>
            <w:pPr>
              <w:spacing w:after="0"/>
              <w:rPr>
                <w:sz w:val="18"/>
                <w:szCs w:val="18"/>
                <w:color w:val="auto"/>
              </w:rPr>
            </w:pPr>
          </w:p>
        </w:tc>
        <w:tc>
          <w:tcPr>
            <w:tcW w:w="6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9,747</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0" w:lineRule="exact"/>
        <w:rPr>
          <w:sz w:val="20"/>
          <w:szCs w:val="20"/>
          <w:color w:val="auto"/>
        </w:rPr>
      </w:pPr>
    </w:p>
    <w:p>
      <w:pPr>
        <w:ind w:right="5460"/>
        <w:spacing w:after="0" w:line="248" w:lineRule="auto"/>
        <w:rPr>
          <w:sz w:val="20"/>
          <w:szCs w:val="20"/>
          <w:color w:val="auto"/>
        </w:rPr>
      </w:pPr>
      <w:r>
        <w:rPr>
          <w:rFonts w:ascii="Arial" w:cs="Arial" w:eastAsia="Arial" w:hAnsi="Arial"/>
          <w:sz w:val="20"/>
          <w:szCs w:val="20"/>
          <w:b w:val="1"/>
          <w:bCs w:val="1"/>
          <w:color w:val="auto"/>
        </w:rPr>
        <w:t>MONSTER BEVERAGE CORPORATION AND SUBSIDIARIES CONDENSED CONSOLIDATED STATEMENTS OF CASH FLOWS FOR THE THREE-MONTHS ENDED MARCH 31, 2015 AND 2014 (In Thousands) (Unaudited)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SUPPLEMENTAL DISCLOSURE OF NON-CASH ITEMS</w:t>
      </w:r>
    </w:p>
    <w:p>
      <w:pPr>
        <w:spacing w:after="0" w:line="229"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The Company entered into capital leases for the acquisition of promotional vehicles of $0.2 million for both the three-months ended March 31, 2015 and 2014.</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0" w:lineRule="exact"/>
        <w:rPr>
          <w:sz w:val="20"/>
          <w:szCs w:val="20"/>
          <w:color w:val="auto"/>
        </w:rPr>
      </w:pPr>
    </w:p>
    <w:p>
      <w:pPr>
        <w:ind w:left="640" w:hanging="632"/>
        <w:spacing w:after="0"/>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color w:val="auto"/>
        </w:rPr>
        <w:t>BASIS OF PRESENTATION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Reference is made to the Notes to Consolidated Financial Statements, in Monster Beverage Corporation and Subsidiaries (the “Company” or, in reference to the Company’s former name, “Hansen Natural Corporation”) Annual Report on Form 10-K for the year ended December 31, 2014 (“Form 10-K”) for a summary of significant accounting policies utilized by the Company and its consolidated subsidiaries and other disclosures, which should be read in conjunction with this Quarterly Report on Form 10-Q (“Form 10-Q”).</w:t>
      </w:r>
    </w:p>
    <w:p>
      <w:pPr>
        <w:spacing w:after="0" w:line="19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The Company’s condensed consolidated financial statements included in this Form 10-Q have been prepared in accordance with accounting principles generally accepted in the United States of America (“GAAP”) and Securities and Exchange Commission (“SEC”) rules and regulations applicable to interim financial reporting. They do not include all the information and footnote disclosures normally included in annual financial statements prepared in accordance with GAAP. The information set forth in these interim condensed consolidated financial statements for the three-months ended March 31, 2015 and 2014 is unaudited and reflects all adjustments, which include only normal recurring adjustments and which in the opinion of management are necessary to make the interim condensed consolidated financial statements not misleading. Results of operations for periods covered by this report may not necessarily be indicative of results of operations for the full year.</w:t>
      </w:r>
    </w:p>
    <w:p>
      <w:pPr>
        <w:sectPr>
          <w:pgSz w:w="11900" w:h="16838" w:orient="portrait"/>
          <w:cols w:equalWidth="0" w:num="1">
            <w:col w:w="11420"/>
          </w:cols>
          <w:pgMar w:left="240" w:top="122" w:right="239" w:bottom="0" w:gutter="0" w:footer="0" w:header="0"/>
        </w:sectPr>
      </w:pPr>
    </w:p>
    <w:bookmarkStart w:id="5" w:name="page6"/>
    <w:bookmarkEnd w:id="5"/>
    <w:p>
      <w:pPr>
        <w:jc w:val="both"/>
        <w:ind w:firstLine="648"/>
        <w:spacing w:after="0" w:line="343" w:lineRule="auto"/>
        <w:rPr>
          <w:sz w:val="20"/>
          <w:szCs w:val="20"/>
          <w:color w:val="auto"/>
        </w:rPr>
      </w:pPr>
      <w:r>
        <w:rPr>
          <w:rFonts w:ascii="Arial" w:cs="Arial" w:eastAsia="Arial" w:hAnsi="Arial"/>
          <w:sz w:val="16"/>
          <w:szCs w:val="16"/>
          <w:color w:val="auto"/>
        </w:rPr>
        <w:t>The preparation of financial statements in conformity with GAAP necessarily requires management to make estimates and assumptions that affect the reported amount of assets and liabilities and disclosure of contingent assets and liabilities at the date of the financial statements and the reported amounts of revenues and expenses during the reporting periods. Actual results could differ from these estimates.</w:t>
      </w:r>
    </w:p>
    <w:p>
      <w:pPr>
        <w:spacing w:after="0" w:line="131" w:lineRule="exact"/>
        <w:rPr>
          <w:sz w:val="20"/>
          <w:szCs w:val="20"/>
          <w:color w:val="auto"/>
        </w:rPr>
      </w:pPr>
    </w:p>
    <w:p>
      <w:pPr>
        <w:ind w:left="640" w:hanging="632"/>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ACQUISITIONS AND DIVESTITURES</w:t>
      </w:r>
    </w:p>
    <w:p>
      <w:pPr>
        <w:spacing w:after="0" w:line="22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On August 14, 2014, the Company and The Coca-Cola Company (“TCCC”) entered into definitive agreements contemplating a long-term strategic relationship in the global energy drink category (the “TCCC Transaction”). In the TCCC Transaction, the Company, New Laser Corporation, a wholly owned subsidiary of the Company (“NewCo”), New Laser Merger Corp., a wholly owned subsidiary of NewCo (“Merger Sub”), TCCC and European Refreshments, an indirect wholly owned subsidiary of TCCC, entered into a transaction agreement, and the Company, TCCC and NewCo entered into an asset transfer agreement. Pursuant to the agreements, the Company will reorganize into a new holding company by merging Merger Sub into the Company, with the Company surviving as a wholly owned subsidiary of NewCo. In the merger, each outstanding share of the Company’s common stock will be converted into one share of NewCo’s common stock.</w:t>
      </w:r>
    </w:p>
    <w:p>
      <w:pPr>
        <w:spacing w:after="0" w:line="1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Subject to the terms and conditions of the agreements, upon the closing of the TCCC Transaction, (1) TCCC will acquire newly issued NewCo common shares representing approximately 16.7% of the total number of outstanding NewCo common shares (giving effect to such issuance) and TCCC will be entitled to appoint two individuals (reduced to one in 36 months or if TCCC’s equity interest in NewCo exceeds 20%) to NewCo’s Board of Directors for a specified period, (2) TCCC will transfer all rights in and to its global energy drink business (including the NOS®, Full Throttle®, Burn®, Mother®, Play® and Power Play®, and Relentless® brands) to NewCo, and the Company will transfer all of its rights in and to its non-energy drink business (including the Hansen’s® Natural Soda, Peace Tea®, Hubert’s® Lemonade and Hansen’s® Juice Product brands) to TCCC, (3) the Company and TCCC will amend the distribution coordination agreements currently existing between them to govern the transition of third parties’ rights to distribute the Company’s energy products in most territories in the U.S. to members of TCCC’s distribution network, which consists of owned or controlled bottlers/distributors and independent bottling/distribution partners, and (4) TCCC or one of its subsidiaries will make a net cash payment to the Company of $2.15 billion, of which up to $625.0 million of which will be held in escrow (the “Escrow Agreement”), subject to release upon achievement of milestones relating to the transfer of distribution rights to TCCC’s distribution network.</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Under the terms of the Escrow Agreement and the transition payment agreement expected to be entered into in connection therewith, if the distribution rights in the U.S. that are transitioned to TCCC’s distribution network represent case sales in excess of the following percentages of a target case sale amount agreed to by the parties, amounts in the escrow fund in excess of the applicable amounts below will be released to the Company:</w:t>
      </w:r>
    </w:p>
    <w:p>
      <w:pPr>
        <w:spacing w:after="0" w:line="181"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1920" w:type="dxa"/>
            <w:vAlign w:val="bottom"/>
          </w:tcPr>
          <w:p>
            <w:pPr>
              <w:jc w:val="right"/>
              <w:spacing w:after="0"/>
              <w:rPr>
                <w:sz w:val="20"/>
                <w:szCs w:val="20"/>
                <w:color w:val="auto"/>
              </w:rPr>
            </w:pPr>
            <w:r>
              <w:rPr>
                <w:rFonts w:ascii="Arial" w:cs="Arial" w:eastAsia="Arial" w:hAnsi="Arial"/>
                <w:sz w:val="20"/>
                <w:szCs w:val="20"/>
                <w:color w:val="auto"/>
                <w:w w:val="87"/>
              </w:rPr>
              <w:t>Percentage Transitioned</w:t>
            </w:r>
          </w:p>
        </w:tc>
        <w:tc>
          <w:tcPr>
            <w:tcW w:w="1060" w:type="dxa"/>
            <w:vAlign w:val="bottom"/>
          </w:tcPr>
          <w:p>
            <w:pPr>
              <w:spacing w:after="0"/>
              <w:rPr>
                <w:sz w:val="19"/>
                <w:szCs w:val="19"/>
                <w:color w:val="auto"/>
              </w:rPr>
            </w:pPr>
          </w:p>
        </w:tc>
        <w:tc>
          <w:tcPr>
            <w:tcW w:w="3980" w:type="dxa"/>
            <w:vAlign w:val="bottom"/>
            <w:gridSpan w:val="3"/>
          </w:tcPr>
          <w:p>
            <w:pPr>
              <w:ind w:left="1180"/>
              <w:spacing w:after="0"/>
              <w:rPr>
                <w:sz w:val="20"/>
                <w:szCs w:val="20"/>
                <w:color w:val="auto"/>
              </w:rPr>
            </w:pPr>
            <w:r>
              <w:rPr>
                <w:rFonts w:ascii="Arial" w:cs="Arial" w:eastAsia="Arial" w:hAnsi="Arial"/>
                <w:sz w:val="20"/>
                <w:szCs w:val="20"/>
                <w:color w:val="auto"/>
              </w:rPr>
              <w:t>Escrow Release</w:t>
            </w:r>
          </w:p>
        </w:tc>
      </w:tr>
      <w:tr>
        <w:trPr>
          <w:trHeight w:val="20"/>
        </w:trPr>
        <w:tc>
          <w:tcPr>
            <w:tcW w:w="192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33"/>
        </w:trPr>
        <w:tc>
          <w:tcPr>
            <w:tcW w:w="1920" w:type="dxa"/>
            <w:vAlign w:val="bottom"/>
          </w:tcPr>
          <w:p>
            <w:pPr>
              <w:jc w:val="right"/>
              <w:ind w:right="1201"/>
              <w:spacing w:after="0"/>
              <w:rPr>
                <w:sz w:val="20"/>
                <w:szCs w:val="20"/>
                <w:color w:val="auto"/>
              </w:rPr>
            </w:pPr>
            <w:r>
              <w:rPr>
                <w:rFonts w:ascii="Arial" w:cs="Arial" w:eastAsia="Arial" w:hAnsi="Arial"/>
                <w:sz w:val="20"/>
                <w:szCs w:val="20"/>
                <w:color w:val="auto"/>
              </w:rPr>
              <w:t>40%</w:t>
            </w:r>
          </w:p>
        </w:tc>
        <w:tc>
          <w:tcPr>
            <w:tcW w:w="1060" w:type="dxa"/>
            <w:vAlign w:val="bottom"/>
          </w:tcPr>
          <w:p>
            <w:pPr>
              <w:spacing w:after="0"/>
              <w:rPr>
                <w:sz w:val="20"/>
                <w:szCs w:val="20"/>
                <w:color w:val="auto"/>
              </w:rPr>
            </w:pPr>
          </w:p>
        </w:tc>
        <w:tc>
          <w:tcPr>
            <w:tcW w:w="3980" w:type="dxa"/>
            <w:vAlign w:val="bottom"/>
            <w:gridSpan w:val="3"/>
          </w:tcPr>
          <w:p>
            <w:pPr>
              <w:ind w:left="1040"/>
              <w:spacing w:after="0"/>
              <w:rPr>
                <w:sz w:val="20"/>
                <w:szCs w:val="20"/>
                <w:color w:val="auto"/>
              </w:rPr>
            </w:pPr>
            <w:r>
              <w:rPr>
                <w:rFonts w:ascii="Arial" w:cs="Arial" w:eastAsia="Arial" w:hAnsi="Arial"/>
                <w:sz w:val="20"/>
                <w:szCs w:val="20"/>
                <w:color w:val="auto"/>
                <w:w w:val="96"/>
              </w:rPr>
              <w:t>Amounts in excess of $375 million</w:t>
            </w:r>
          </w:p>
        </w:tc>
      </w:tr>
      <w:tr>
        <w:trPr>
          <w:trHeight w:val="230"/>
        </w:trPr>
        <w:tc>
          <w:tcPr>
            <w:tcW w:w="1920" w:type="dxa"/>
            <w:vAlign w:val="bottom"/>
          </w:tcPr>
          <w:p>
            <w:pPr>
              <w:jc w:val="right"/>
              <w:ind w:right="1201"/>
              <w:spacing w:after="0"/>
              <w:rPr>
                <w:sz w:val="20"/>
                <w:szCs w:val="20"/>
                <w:color w:val="auto"/>
              </w:rPr>
            </w:pPr>
            <w:r>
              <w:rPr>
                <w:rFonts w:ascii="Arial" w:cs="Arial" w:eastAsia="Arial" w:hAnsi="Arial"/>
                <w:sz w:val="20"/>
                <w:szCs w:val="20"/>
                <w:color w:val="auto"/>
              </w:rPr>
              <w:t>50%</w:t>
            </w:r>
          </w:p>
        </w:tc>
        <w:tc>
          <w:tcPr>
            <w:tcW w:w="1060" w:type="dxa"/>
            <w:vAlign w:val="bottom"/>
          </w:tcPr>
          <w:p>
            <w:pPr>
              <w:spacing w:after="0"/>
              <w:rPr>
                <w:sz w:val="19"/>
                <w:szCs w:val="19"/>
                <w:color w:val="auto"/>
              </w:rPr>
            </w:pPr>
          </w:p>
        </w:tc>
        <w:tc>
          <w:tcPr>
            <w:tcW w:w="3980" w:type="dxa"/>
            <w:vAlign w:val="bottom"/>
            <w:gridSpan w:val="3"/>
          </w:tcPr>
          <w:p>
            <w:pPr>
              <w:ind w:left="1040"/>
              <w:spacing w:after="0"/>
              <w:rPr>
                <w:sz w:val="20"/>
                <w:szCs w:val="20"/>
                <w:color w:val="auto"/>
              </w:rPr>
            </w:pPr>
            <w:r>
              <w:rPr>
                <w:rFonts w:ascii="Arial" w:cs="Arial" w:eastAsia="Arial" w:hAnsi="Arial"/>
                <w:sz w:val="20"/>
                <w:szCs w:val="20"/>
                <w:color w:val="auto"/>
                <w:w w:val="91"/>
              </w:rPr>
              <w:t>Amounts in excess of $312.5 million</w:t>
            </w:r>
          </w:p>
        </w:tc>
      </w:tr>
      <w:tr>
        <w:trPr>
          <w:trHeight w:val="230"/>
        </w:trPr>
        <w:tc>
          <w:tcPr>
            <w:tcW w:w="1920" w:type="dxa"/>
            <w:vAlign w:val="bottom"/>
          </w:tcPr>
          <w:p>
            <w:pPr>
              <w:jc w:val="right"/>
              <w:ind w:right="1201"/>
              <w:spacing w:after="0"/>
              <w:rPr>
                <w:sz w:val="20"/>
                <w:szCs w:val="20"/>
                <w:color w:val="auto"/>
              </w:rPr>
            </w:pPr>
            <w:r>
              <w:rPr>
                <w:rFonts w:ascii="Arial" w:cs="Arial" w:eastAsia="Arial" w:hAnsi="Arial"/>
                <w:sz w:val="20"/>
                <w:szCs w:val="20"/>
                <w:color w:val="auto"/>
              </w:rPr>
              <w:t>60%</w:t>
            </w:r>
          </w:p>
        </w:tc>
        <w:tc>
          <w:tcPr>
            <w:tcW w:w="1060" w:type="dxa"/>
            <w:vAlign w:val="bottom"/>
          </w:tcPr>
          <w:p>
            <w:pPr>
              <w:spacing w:after="0"/>
              <w:rPr>
                <w:sz w:val="19"/>
                <w:szCs w:val="19"/>
                <w:color w:val="auto"/>
              </w:rPr>
            </w:pPr>
          </w:p>
        </w:tc>
        <w:tc>
          <w:tcPr>
            <w:tcW w:w="3980" w:type="dxa"/>
            <w:vAlign w:val="bottom"/>
            <w:gridSpan w:val="3"/>
          </w:tcPr>
          <w:p>
            <w:pPr>
              <w:ind w:left="1040"/>
              <w:spacing w:after="0"/>
              <w:rPr>
                <w:sz w:val="20"/>
                <w:szCs w:val="20"/>
                <w:color w:val="auto"/>
              </w:rPr>
            </w:pPr>
            <w:r>
              <w:rPr>
                <w:rFonts w:ascii="Arial" w:cs="Arial" w:eastAsia="Arial" w:hAnsi="Arial"/>
                <w:sz w:val="20"/>
                <w:szCs w:val="20"/>
                <w:color w:val="auto"/>
                <w:w w:val="96"/>
              </w:rPr>
              <w:t>Amounts in excess of $250 million</w:t>
            </w:r>
          </w:p>
        </w:tc>
      </w:tr>
      <w:tr>
        <w:trPr>
          <w:trHeight w:val="230"/>
        </w:trPr>
        <w:tc>
          <w:tcPr>
            <w:tcW w:w="1920" w:type="dxa"/>
            <w:vAlign w:val="bottom"/>
          </w:tcPr>
          <w:p>
            <w:pPr>
              <w:jc w:val="right"/>
              <w:ind w:right="1201"/>
              <w:spacing w:after="0"/>
              <w:rPr>
                <w:sz w:val="20"/>
                <w:szCs w:val="20"/>
                <w:color w:val="auto"/>
              </w:rPr>
            </w:pPr>
            <w:r>
              <w:rPr>
                <w:rFonts w:ascii="Arial" w:cs="Arial" w:eastAsia="Arial" w:hAnsi="Arial"/>
                <w:sz w:val="20"/>
                <w:szCs w:val="20"/>
                <w:color w:val="auto"/>
              </w:rPr>
              <w:t>70%</w:t>
            </w:r>
          </w:p>
        </w:tc>
        <w:tc>
          <w:tcPr>
            <w:tcW w:w="1060" w:type="dxa"/>
            <w:vAlign w:val="bottom"/>
          </w:tcPr>
          <w:p>
            <w:pPr>
              <w:spacing w:after="0"/>
              <w:rPr>
                <w:sz w:val="19"/>
                <w:szCs w:val="19"/>
                <w:color w:val="auto"/>
              </w:rPr>
            </w:pPr>
          </w:p>
        </w:tc>
        <w:tc>
          <w:tcPr>
            <w:tcW w:w="3980" w:type="dxa"/>
            <w:vAlign w:val="bottom"/>
            <w:gridSpan w:val="3"/>
          </w:tcPr>
          <w:p>
            <w:pPr>
              <w:ind w:left="1040"/>
              <w:spacing w:after="0"/>
              <w:rPr>
                <w:sz w:val="20"/>
                <w:szCs w:val="20"/>
                <w:color w:val="auto"/>
              </w:rPr>
            </w:pPr>
            <w:r>
              <w:rPr>
                <w:rFonts w:ascii="Arial" w:cs="Arial" w:eastAsia="Arial" w:hAnsi="Arial"/>
                <w:sz w:val="20"/>
                <w:szCs w:val="20"/>
                <w:color w:val="auto"/>
                <w:w w:val="91"/>
              </w:rPr>
              <w:t>Amounts in excess of $187.5 million</w:t>
            </w:r>
          </w:p>
        </w:tc>
      </w:tr>
      <w:tr>
        <w:trPr>
          <w:trHeight w:val="230"/>
        </w:trPr>
        <w:tc>
          <w:tcPr>
            <w:tcW w:w="1920" w:type="dxa"/>
            <w:vAlign w:val="bottom"/>
          </w:tcPr>
          <w:p>
            <w:pPr>
              <w:jc w:val="right"/>
              <w:ind w:right="1201"/>
              <w:spacing w:after="0"/>
              <w:rPr>
                <w:sz w:val="20"/>
                <w:szCs w:val="20"/>
                <w:color w:val="auto"/>
              </w:rPr>
            </w:pPr>
            <w:r>
              <w:rPr>
                <w:rFonts w:ascii="Arial" w:cs="Arial" w:eastAsia="Arial" w:hAnsi="Arial"/>
                <w:sz w:val="20"/>
                <w:szCs w:val="20"/>
                <w:color w:val="auto"/>
              </w:rPr>
              <w:t>80%</w:t>
            </w:r>
          </w:p>
        </w:tc>
        <w:tc>
          <w:tcPr>
            <w:tcW w:w="1060" w:type="dxa"/>
            <w:vAlign w:val="bottom"/>
          </w:tcPr>
          <w:p>
            <w:pPr>
              <w:spacing w:after="0"/>
              <w:rPr>
                <w:sz w:val="19"/>
                <w:szCs w:val="19"/>
                <w:color w:val="auto"/>
              </w:rPr>
            </w:pPr>
          </w:p>
        </w:tc>
        <w:tc>
          <w:tcPr>
            <w:tcW w:w="3980" w:type="dxa"/>
            <w:vAlign w:val="bottom"/>
            <w:gridSpan w:val="3"/>
          </w:tcPr>
          <w:p>
            <w:pPr>
              <w:ind w:left="1040"/>
              <w:spacing w:after="0"/>
              <w:rPr>
                <w:sz w:val="20"/>
                <w:szCs w:val="20"/>
                <w:color w:val="auto"/>
              </w:rPr>
            </w:pPr>
            <w:r>
              <w:rPr>
                <w:rFonts w:ascii="Arial" w:cs="Arial" w:eastAsia="Arial" w:hAnsi="Arial"/>
                <w:sz w:val="20"/>
                <w:szCs w:val="20"/>
                <w:color w:val="auto"/>
                <w:w w:val="96"/>
              </w:rPr>
              <w:t>Amounts in excess of $125 million</w:t>
            </w:r>
          </w:p>
        </w:tc>
      </w:tr>
      <w:tr>
        <w:trPr>
          <w:trHeight w:val="230"/>
        </w:trPr>
        <w:tc>
          <w:tcPr>
            <w:tcW w:w="1920" w:type="dxa"/>
            <w:vAlign w:val="bottom"/>
          </w:tcPr>
          <w:p>
            <w:pPr>
              <w:jc w:val="right"/>
              <w:ind w:right="1201"/>
              <w:spacing w:after="0"/>
              <w:rPr>
                <w:sz w:val="20"/>
                <w:szCs w:val="20"/>
                <w:color w:val="auto"/>
              </w:rPr>
            </w:pPr>
            <w:r>
              <w:rPr>
                <w:rFonts w:ascii="Arial" w:cs="Arial" w:eastAsia="Arial" w:hAnsi="Arial"/>
                <w:sz w:val="20"/>
                <w:szCs w:val="20"/>
                <w:color w:val="auto"/>
              </w:rPr>
              <w:t>90%</w:t>
            </w:r>
          </w:p>
        </w:tc>
        <w:tc>
          <w:tcPr>
            <w:tcW w:w="1060" w:type="dxa"/>
            <w:vAlign w:val="bottom"/>
          </w:tcPr>
          <w:p>
            <w:pPr>
              <w:spacing w:after="0"/>
              <w:rPr>
                <w:sz w:val="19"/>
                <w:szCs w:val="19"/>
                <w:color w:val="auto"/>
              </w:rPr>
            </w:pPr>
          </w:p>
        </w:tc>
        <w:tc>
          <w:tcPr>
            <w:tcW w:w="3980" w:type="dxa"/>
            <w:vAlign w:val="bottom"/>
            <w:gridSpan w:val="3"/>
          </w:tcPr>
          <w:p>
            <w:pPr>
              <w:ind w:left="1040"/>
              <w:spacing w:after="0"/>
              <w:rPr>
                <w:sz w:val="20"/>
                <w:szCs w:val="20"/>
                <w:color w:val="auto"/>
              </w:rPr>
            </w:pPr>
            <w:r>
              <w:rPr>
                <w:rFonts w:ascii="Arial" w:cs="Arial" w:eastAsia="Arial" w:hAnsi="Arial"/>
                <w:sz w:val="20"/>
                <w:szCs w:val="20"/>
                <w:color w:val="auto"/>
                <w:w w:val="94"/>
              </w:rPr>
              <w:t>Amounts in excess of $62.5 million</w:t>
            </w:r>
          </w:p>
        </w:tc>
      </w:tr>
      <w:tr>
        <w:trPr>
          <w:trHeight w:val="250"/>
        </w:trPr>
        <w:tc>
          <w:tcPr>
            <w:tcW w:w="1920" w:type="dxa"/>
            <w:vAlign w:val="bottom"/>
          </w:tcPr>
          <w:p>
            <w:pPr>
              <w:jc w:val="right"/>
              <w:ind w:right="1201"/>
              <w:spacing w:after="0"/>
              <w:rPr>
                <w:sz w:val="20"/>
                <w:szCs w:val="20"/>
                <w:color w:val="auto"/>
              </w:rPr>
            </w:pPr>
            <w:r>
              <w:rPr>
                <w:rFonts w:ascii="Arial" w:cs="Arial" w:eastAsia="Arial" w:hAnsi="Arial"/>
                <w:sz w:val="20"/>
                <w:szCs w:val="20"/>
                <w:color w:val="auto"/>
              </w:rPr>
              <w:t>95%</w:t>
            </w:r>
          </w:p>
        </w:tc>
        <w:tc>
          <w:tcPr>
            <w:tcW w:w="1060" w:type="dxa"/>
            <w:vAlign w:val="bottom"/>
          </w:tcPr>
          <w:p>
            <w:pPr>
              <w:spacing w:after="0"/>
              <w:rPr>
                <w:sz w:val="21"/>
                <w:szCs w:val="21"/>
                <w:color w:val="auto"/>
              </w:rPr>
            </w:pPr>
          </w:p>
        </w:tc>
        <w:tc>
          <w:tcPr>
            <w:tcW w:w="3980" w:type="dxa"/>
            <w:vAlign w:val="bottom"/>
            <w:gridSpan w:val="3"/>
          </w:tcPr>
          <w:p>
            <w:pPr>
              <w:ind w:left="1040"/>
              <w:spacing w:after="0"/>
              <w:rPr>
                <w:sz w:val="20"/>
                <w:szCs w:val="20"/>
                <w:color w:val="auto"/>
              </w:rPr>
            </w:pPr>
            <w:r>
              <w:rPr>
                <w:rFonts w:ascii="Arial" w:cs="Arial" w:eastAsia="Arial" w:hAnsi="Arial"/>
                <w:sz w:val="20"/>
                <w:szCs w:val="20"/>
                <w:color w:val="auto"/>
              </w:rPr>
              <w:t>All remaining amounts</w:t>
            </w:r>
          </w:p>
        </w:tc>
      </w:tr>
    </w:tbl>
    <w:p>
      <w:pPr>
        <w:spacing w:after="0" w:line="20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On the one-year anniversary of the closing of the TCCC Transaction, the then-remaining escrow amount, less an amount sufficient to cover any unresolved claims, will be released to TCCC. Any severance or other release amount described above that becomes payable following the one-year anniversary will be paid directly from TCCC to the Company.</w:t>
      </w:r>
    </w:p>
    <w:p>
      <w:pPr>
        <w:spacing w:after="0" w:line="20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TCCC is contractually obligated to authorize payment to the Company of the funds in escrow upon achievement of the milestones referred to above. As of April 6, 2015, distribution rights in the U.S. representing approximately 84% of the target case sales have been transitioned to TCCC’s distribution network. In addition, the Company has sent notices of termination representing an additional 5% of the affected third-party distributors, and the associated distribution rights for those territories will be transitioned to TCCC’s distribution network effective as of May 11, 2015. As a result, it is anticipated that $125 million will be held in escrow at the closing, with the remaining $500 million to be paid to the Company at closing. The Company expects to commence steps to transition sufficient additional distribution rights following the closing of the TCCC Transaction, which will, in due course, result in the release of all remaining amounts held in escrow. Therefore, the Company believes that achievement of the milestones is probable.</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closing of the TCCC Transaction is subject to customary closing conditions and is now expected to close in the second quarter of</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2015.</w:t>
      </w:r>
    </w:p>
    <w:p>
      <w:pPr>
        <w:spacing w:after="0" w:line="213" w:lineRule="exact"/>
        <w:rPr>
          <w:sz w:val="20"/>
          <w:szCs w:val="20"/>
          <w:color w:val="auto"/>
        </w:rPr>
      </w:pPr>
    </w:p>
    <w:p>
      <w:pPr>
        <w:ind w:left="640" w:hanging="632"/>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RECENT ACCOUNTING PRONOUNCEMENTS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In September 2014, the Company elected to early adopt FASB ASU No. 2014-08, “Presentation of Financial Statements and Property, Plant, and Equipment - Reporting Discontinued Operations and Disclosures of Disposals of Components of an Entity”. ASU 2014-08 provides new guidance related to the definition of a discontinued operation and requires new disclosures of both discontinued operations and certain</w:t>
      </w:r>
    </w:p>
    <w:p>
      <w:pPr>
        <w:sectPr>
          <w:pgSz w:w="11900" w:h="16838" w:orient="portrait"/>
          <w:cols w:equalWidth="0" w:num="1">
            <w:col w:w="11420"/>
          </w:cols>
          <w:pgMar w:left="240" w:top="121" w:right="239" w:bottom="0" w:gutter="0" w:footer="0" w:header="0"/>
        </w:sectPr>
      </w:pPr>
    </w:p>
    <w:bookmarkStart w:id="6" w:name="page7"/>
    <w:bookmarkEnd w:id="6"/>
    <w:p>
      <w:pPr>
        <w:jc w:val="both"/>
        <w:spacing w:after="0" w:line="262" w:lineRule="auto"/>
        <w:rPr>
          <w:sz w:val="20"/>
          <w:szCs w:val="20"/>
          <w:color w:val="auto"/>
        </w:rPr>
      </w:pPr>
      <w:r>
        <w:rPr>
          <w:rFonts w:ascii="Arial" w:cs="Arial" w:eastAsia="Arial" w:hAnsi="Arial"/>
          <w:sz w:val="20"/>
          <w:szCs w:val="20"/>
          <w:color w:val="auto"/>
        </w:rPr>
        <w:t>other disposals that do not meet the definition of a discontinued operation. The adoption of ASU 2014-08 did not have a material impact on the Company’s financial position, results of operations or liquidity.</w:t>
      </w:r>
    </w:p>
    <w:p>
      <w:pPr>
        <w:spacing w:after="0" w:line="1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In June 2014, the Financial Accounting Standards Board (the “FASB”) issued Accounting Standards Update (“ASU”) No. 2014-12, “Compensation—Stock Compensation (Topic 718): Accounting for Share-Based Payments When the Terms of an Award Provide That a Performance Target Could Be Achieved after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Requisite Service Period (a consensus of the FASB Emerging Issues Task Force)”. ASU 2014-12 clarifies that a performance target that affects vesting and that could be achieved after the requisite service period be treated as a performance condition. A reporting entity should apply existing guidance in Topic 718 as it relates to awards with performance conditions that affect vesting to account for such awards. As such, the performance target should not be reflected in estimating the grant-date fair value of the award. Compensation cost should be recognized in the period in which it becomes probable that the performance target will be achieved and should represent the compensation cost attributable to the period(s) for which the requisite service has already been rendered. ASU 2014-12 is effective for annual periods, and interim periods within those years, beginning after December 15, 2015. Early adoption is permitted. ASU 2014-12 may be applied either</w:t>
      </w:r>
    </w:p>
    <w:p>
      <w:pPr>
        <w:spacing w:after="0" w:line="5" w:lineRule="exact"/>
        <w:rPr>
          <w:sz w:val="20"/>
          <w:szCs w:val="20"/>
          <w:color w:val="auto"/>
        </w:rPr>
      </w:pPr>
    </w:p>
    <w:p>
      <w:pPr>
        <w:jc w:val="both"/>
        <w:ind w:firstLine="8"/>
        <w:spacing w:after="0" w:line="282" w:lineRule="auto"/>
        <w:tabs>
          <w:tab w:leader="none" w:pos="275"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prospectively to all awards granted or modified after the effective date or (b) retrospectively to all awards with performance targets that are outstanding as of the beginning of the earliest annual period presented in the financial statements and to all new or modified awards thereafter. The adoption of ASU 2014-12 is not expected to have a material impact on the Company’s financial position, results of operations or liquidity.</w:t>
      </w:r>
    </w:p>
    <w:p>
      <w:pPr>
        <w:spacing w:after="0" w:line="17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In May 2014, the FASB issued ASU No. 2014-09, “Revenue from Contracts with Customers”, which supersedes previous revenue recognition guidance. ASU 2014-09 requires that a company recognize revenue at an amount that reflects the consideration to which the company expects to be entitled in exchange for transferring goods or services to a customer. In applying the new guidance, a company will</w:t>
      </w:r>
    </w:p>
    <w:p>
      <w:pPr>
        <w:spacing w:after="0" w:line="1"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9"/>
          <w:szCs w:val="19"/>
          <w:color w:val="auto"/>
        </w:rPr>
      </w:pPr>
      <w:r>
        <w:rPr>
          <w:rFonts w:ascii="Arial" w:cs="Arial" w:eastAsia="Arial" w:hAnsi="Arial"/>
          <w:sz w:val="19"/>
          <w:szCs w:val="19"/>
          <w:color w:val="auto"/>
        </w:rPr>
        <w:t>identify the contract(s) with a customer; (2) identify the performance obligations in the contract; (3) determine the transaction price;</w:t>
      </w:r>
    </w:p>
    <w:p>
      <w:pPr>
        <w:spacing w:after="0" w:line="11" w:lineRule="exact"/>
        <w:rPr>
          <w:rFonts w:ascii="Arial" w:cs="Arial" w:eastAsia="Arial" w:hAnsi="Arial"/>
          <w:sz w:val="19"/>
          <w:szCs w:val="19"/>
          <w:color w:val="auto"/>
        </w:rPr>
      </w:pPr>
    </w:p>
    <w:p>
      <w:pPr>
        <w:jc w:val="both"/>
        <w:ind w:firstLine="8"/>
        <w:spacing w:after="0" w:line="241" w:lineRule="auto"/>
        <w:tabs>
          <w:tab w:leader="none" w:pos="317" w:val="left"/>
        </w:tabs>
        <w:numPr>
          <w:ilvl w:val="0"/>
          <w:numId w:val="6"/>
        </w:numPr>
        <w:rPr>
          <w:rFonts w:ascii="Arial" w:cs="Arial" w:eastAsia="Arial" w:hAnsi="Arial"/>
          <w:sz w:val="20"/>
          <w:szCs w:val="20"/>
          <w:color w:val="auto"/>
        </w:rPr>
      </w:pPr>
      <w:r>
        <w:rPr>
          <w:rFonts w:ascii="Arial" w:cs="Arial" w:eastAsia="Arial" w:hAnsi="Arial"/>
          <w:sz w:val="20"/>
          <w:szCs w:val="20"/>
          <w:color w:val="auto"/>
        </w:rPr>
        <w:t>allocate the transaction price to the contract’s performance obligations; and (5) recognize revenue when (or as) the entity satisfies a performance obligation. ASU 2014-09 is effective for reporting periods beginning after December 15, 2016 and can be adopted using either a full retrospective or modified approach. The Company is currently evaluating the impact of ASU 2014-09 on its financial position, results of operations and liquidity.</w:t>
      </w:r>
    </w:p>
    <w:p>
      <w:pPr>
        <w:spacing w:after="0" w:line="208" w:lineRule="exact"/>
        <w:rPr>
          <w:sz w:val="20"/>
          <w:szCs w:val="20"/>
          <w:color w:val="auto"/>
        </w:rPr>
      </w:pPr>
    </w:p>
    <w:p>
      <w:pPr>
        <w:ind w:left="640" w:hanging="632"/>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20"/>
          <w:szCs w:val="20"/>
          <w:color w:val="auto"/>
        </w:rPr>
        <w:t>INVESTMENTS</w:t>
      </w:r>
    </w:p>
    <w:p>
      <w:pPr>
        <w:spacing w:after="0" w:line="22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The following table summarizes the Company’s investments at:</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center"/>
              <w:ind w:left="88"/>
              <w:spacing w:after="0"/>
              <w:rPr>
                <w:sz w:val="20"/>
                <w:szCs w:val="20"/>
                <w:color w:val="auto"/>
              </w:rPr>
            </w:pPr>
            <w:r>
              <w:rPr>
                <w:rFonts w:ascii="Arial" w:cs="Arial" w:eastAsia="Arial" w:hAnsi="Arial"/>
                <w:sz w:val="14"/>
                <w:szCs w:val="14"/>
                <w:color w:val="auto"/>
                <w:w w:val="93"/>
              </w:rPr>
              <w:t>Continuous</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88"/>
              <w:spacing w:after="0"/>
              <w:rPr>
                <w:sz w:val="20"/>
                <w:szCs w:val="20"/>
                <w:color w:val="auto"/>
              </w:rPr>
            </w:pPr>
            <w:r>
              <w:rPr>
                <w:rFonts w:ascii="Arial" w:cs="Arial" w:eastAsia="Arial" w:hAnsi="Arial"/>
                <w:sz w:val="14"/>
                <w:szCs w:val="14"/>
                <w:color w:val="auto"/>
                <w:w w:val="95"/>
              </w:rPr>
              <w:t>Continuous</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center"/>
              <w:ind w:left="168"/>
              <w:spacing w:after="0"/>
              <w:rPr>
                <w:sz w:val="20"/>
                <w:szCs w:val="20"/>
                <w:color w:val="auto"/>
              </w:rPr>
            </w:pPr>
            <w:r>
              <w:rPr>
                <w:rFonts w:ascii="Arial" w:cs="Arial" w:eastAsia="Arial" w:hAnsi="Arial"/>
                <w:sz w:val="14"/>
                <w:szCs w:val="14"/>
                <w:color w:val="auto"/>
                <w:w w:val="90"/>
              </w:rPr>
              <w:t>Gross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center"/>
              <w:ind w:left="128"/>
              <w:spacing w:after="0"/>
              <w:rPr>
                <w:sz w:val="20"/>
                <w:szCs w:val="20"/>
                <w:color w:val="auto"/>
              </w:rPr>
            </w:pPr>
            <w:r>
              <w:rPr>
                <w:rFonts w:ascii="Arial" w:cs="Arial" w:eastAsia="Arial" w:hAnsi="Arial"/>
                <w:sz w:val="14"/>
                <w:szCs w:val="14"/>
                <w:color w:val="auto"/>
                <w:w w:val="85"/>
              </w:rPr>
              <w:t>Gross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center"/>
              <w:ind w:left="88"/>
              <w:spacing w:after="0"/>
              <w:rPr>
                <w:sz w:val="20"/>
                <w:szCs w:val="20"/>
                <w:color w:val="auto"/>
              </w:rPr>
            </w:pPr>
            <w:r>
              <w:rPr>
                <w:rFonts w:ascii="Arial" w:cs="Arial" w:eastAsia="Arial" w:hAnsi="Arial"/>
                <w:sz w:val="14"/>
                <w:szCs w:val="14"/>
                <w:color w:val="auto"/>
                <w:w w:val="92"/>
              </w:rPr>
              <w:t>Unrealized</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88"/>
              <w:spacing w:after="0"/>
              <w:rPr>
                <w:sz w:val="20"/>
                <w:szCs w:val="20"/>
                <w:color w:val="auto"/>
              </w:rPr>
            </w:pPr>
            <w:r>
              <w:rPr>
                <w:rFonts w:ascii="Arial" w:cs="Arial" w:eastAsia="Arial" w:hAnsi="Arial"/>
                <w:sz w:val="14"/>
                <w:szCs w:val="14"/>
                <w:color w:val="auto"/>
                <w:w w:val="95"/>
              </w:rPr>
              <w:t>Unrealized</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center"/>
              <w:ind w:left="168"/>
              <w:spacing w:after="0"/>
              <w:rPr>
                <w:sz w:val="20"/>
                <w:szCs w:val="20"/>
                <w:color w:val="auto"/>
              </w:rPr>
            </w:pPr>
            <w:r>
              <w:rPr>
                <w:rFonts w:ascii="Arial" w:cs="Arial" w:eastAsia="Arial" w:hAnsi="Arial"/>
                <w:sz w:val="14"/>
                <w:szCs w:val="14"/>
                <w:color w:val="auto"/>
                <w:w w:val="92"/>
              </w:rPr>
              <w:t>Unrealized</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center"/>
              <w:ind w:left="128"/>
              <w:spacing w:after="0"/>
              <w:rPr>
                <w:sz w:val="20"/>
                <w:szCs w:val="20"/>
                <w:color w:val="auto"/>
              </w:rPr>
            </w:pPr>
            <w:r>
              <w:rPr>
                <w:rFonts w:ascii="Arial" w:cs="Arial" w:eastAsia="Arial" w:hAnsi="Arial"/>
                <w:sz w:val="14"/>
                <w:szCs w:val="14"/>
                <w:color w:val="auto"/>
                <w:w w:val="95"/>
              </w:rPr>
              <w:t>Unrealized</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center"/>
              <w:ind w:left="88"/>
              <w:spacing w:after="0"/>
              <w:rPr>
                <w:sz w:val="20"/>
                <w:szCs w:val="20"/>
                <w:color w:val="auto"/>
              </w:rPr>
            </w:pPr>
            <w:r>
              <w:rPr>
                <w:rFonts w:ascii="Arial" w:cs="Arial" w:eastAsia="Arial" w:hAnsi="Arial"/>
                <w:sz w:val="14"/>
                <w:szCs w:val="14"/>
                <w:color w:val="auto"/>
                <w:w w:val="93"/>
              </w:rPr>
              <w:t>Loss Position</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08"/>
              <w:spacing w:after="0"/>
              <w:rPr>
                <w:sz w:val="20"/>
                <w:szCs w:val="20"/>
                <w:color w:val="auto"/>
              </w:rPr>
            </w:pPr>
            <w:r>
              <w:rPr>
                <w:rFonts w:ascii="Arial" w:cs="Arial" w:eastAsia="Arial" w:hAnsi="Arial"/>
                <w:sz w:val="14"/>
                <w:szCs w:val="14"/>
                <w:color w:val="auto"/>
                <w:w w:val="93"/>
              </w:rPr>
              <w:t>Loss Position</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center"/>
              <w:ind w:left="168"/>
              <w:spacing w:after="0"/>
              <w:rPr>
                <w:sz w:val="20"/>
                <w:szCs w:val="20"/>
                <w:color w:val="auto"/>
              </w:rPr>
            </w:pPr>
            <w:r>
              <w:rPr>
                <w:rFonts w:ascii="Arial" w:cs="Arial" w:eastAsia="Arial" w:hAnsi="Arial"/>
                <w:sz w:val="14"/>
                <w:szCs w:val="14"/>
                <w:color w:val="auto"/>
                <w:w w:val="96"/>
              </w:rPr>
              <w:t>Holding</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center"/>
              <w:ind w:left="128"/>
              <w:spacing w:after="0"/>
              <w:rPr>
                <w:sz w:val="20"/>
                <w:szCs w:val="20"/>
                <w:color w:val="auto"/>
              </w:rPr>
            </w:pPr>
            <w:r>
              <w:rPr>
                <w:rFonts w:ascii="Arial" w:cs="Arial" w:eastAsia="Arial" w:hAnsi="Arial"/>
                <w:sz w:val="14"/>
                <w:szCs w:val="14"/>
                <w:color w:val="auto"/>
              </w:rPr>
              <w:t>Holding</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center"/>
              <w:ind w:right="208"/>
              <w:spacing w:after="0"/>
              <w:rPr>
                <w:sz w:val="20"/>
                <w:szCs w:val="20"/>
                <w:color w:val="auto"/>
              </w:rPr>
            </w:pPr>
            <w:r>
              <w:rPr>
                <w:rFonts w:ascii="Arial" w:cs="Arial" w:eastAsia="Arial" w:hAnsi="Arial"/>
                <w:sz w:val="14"/>
                <w:szCs w:val="14"/>
                <w:color w:val="auto"/>
                <w:w w:val="99"/>
              </w:rPr>
              <w:t>Fair</w:t>
            </w:r>
          </w:p>
        </w:tc>
        <w:tc>
          <w:tcPr>
            <w:tcW w:w="220" w:type="dxa"/>
            <w:vAlign w:val="bottom"/>
          </w:tcPr>
          <w:p>
            <w:pPr>
              <w:spacing w:after="0"/>
              <w:rPr>
                <w:sz w:val="18"/>
                <w:szCs w:val="18"/>
                <w:color w:val="auto"/>
              </w:rPr>
            </w:pPr>
          </w:p>
        </w:tc>
        <w:tc>
          <w:tcPr>
            <w:tcW w:w="1060" w:type="dxa"/>
            <w:vAlign w:val="bottom"/>
          </w:tcPr>
          <w:p>
            <w:pPr>
              <w:jc w:val="center"/>
              <w:ind w:left="68"/>
              <w:spacing w:after="0"/>
              <w:rPr>
                <w:sz w:val="20"/>
                <w:szCs w:val="20"/>
                <w:color w:val="auto"/>
              </w:rPr>
            </w:pPr>
            <w:r>
              <w:rPr>
                <w:rFonts w:ascii="Arial" w:cs="Arial" w:eastAsia="Arial" w:hAnsi="Arial"/>
                <w:sz w:val="14"/>
                <w:szCs w:val="14"/>
                <w:color w:val="auto"/>
                <w:w w:val="90"/>
              </w:rPr>
              <w:t>less than 12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88"/>
              <w:spacing w:after="0"/>
              <w:rPr>
                <w:sz w:val="20"/>
                <w:szCs w:val="20"/>
                <w:color w:val="auto"/>
              </w:rPr>
            </w:pPr>
            <w:r>
              <w:rPr>
                <w:rFonts w:ascii="Arial" w:cs="Arial" w:eastAsia="Arial" w:hAnsi="Arial"/>
                <w:sz w:val="14"/>
                <w:szCs w:val="14"/>
                <w:color w:val="auto"/>
                <w:w w:val="92"/>
              </w:rPr>
              <w:t>greater than 12</w:t>
            </w:r>
          </w:p>
        </w:tc>
        <w:tc>
          <w:tcPr>
            <w:tcW w:w="0" w:type="dxa"/>
            <w:vAlign w:val="bottom"/>
          </w:tcPr>
          <w:p>
            <w:pPr>
              <w:spacing w:after="0"/>
              <w:rPr>
                <w:sz w:val="1"/>
                <w:szCs w:val="1"/>
                <w:color w:val="auto"/>
              </w:rPr>
            </w:pPr>
          </w:p>
        </w:tc>
      </w:tr>
      <w:tr>
        <w:trPr>
          <w:trHeight w:val="216"/>
        </w:trPr>
        <w:tc>
          <w:tcPr>
            <w:tcW w:w="3200" w:type="dxa"/>
            <w:vAlign w:val="bottom"/>
          </w:tcPr>
          <w:p>
            <w:pPr>
              <w:ind w:left="40"/>
              <w:spacing w:after="0"/>
              <w:rPr>
                <w:sz w:val="20"/>
                <w:szCs w:val="20"/>
                <w:color w:val="auto"/>
              </w:rPr>
            </w:pPr>
            <w:r>
              <w:rPr>
                <w:rFonts w:ascii="Arial" w:cs="Arial" w:eastAsia="Arial" w:hAnsi="Arial"/>
                <w:sz w:val="14"/>
                <w:szCs w:val="14"/>
                <w:color w:val="auto"/>
              </w:rPr>
              <w:t>March 31, 2015</w:t>
            </w:r>
          </w:p>
        </w:tc>
        <w:tc>
          <w:tcPr>
            <w:tcW w:w="1380" w:type="dxa"/>
            <w:vAlign w:val="bottom"/>
            <w:gridSpan w:val="3"/>
          </w:tcPr>
          <w:p>
            <w:pPr>
              <w:ind w:left="120"/>
              <w:spacing w:after="0"/>
              <w:rPr>
                <w:sz w:val="20"/>
                <w:szCs w:val="20"/>
                <w:color w:val="auto"/>
              </w:rPr>
            </w:pPr>
            <w:r>
              <w:rPr>
                <w:rFonts w:ascii="Arial" w:cs="Arial" w:eastAsia="Arial" w:hAnsi="Arial"/>
                <w:sz w:val="14"/>
                <w:szCs w:val="14"/>
                <w:color w:val="auto"/>
              </w:rPr>
              <w:t>Amortized Cost</w:t>
            </w:r>
          </w:p>
        </w:tc>
        <w:tc>
          <w:tcPr>
            <w:tcW w:w="940" w:type="dxa"/>
            <w:vAlign w:val="bottom"/>
          </w:tcPr>
          <w:p>
            <w:pPr>
              <w:jc w:val="center"/>
              <w:ind w:left="168"/>
              <w:spacing w:after="0"/>
              <w:rPr>
                <w:sz w:val="20"/>
                <w:szCs w:val="20"/>
                <w:color w:val="auto"/>
              </w:rPr>
            </w:pPr>
            <w:r>
              <w:rPr>
                <w:rFonts w:ascii="Arial" w:cs="Arial" w:eastAsia="Arial" w:hAnsi="Arial"/>
                <w:sz w:val="14"/>
                <w:szCs w:val="14"/>
                <w:color w:val="auto"/>
                <w:w w:val="92"/>
              </w:rPr>
              <w:t>Gains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center"/>
              <w:ind w:left="128"/>
              <w:spacing w:after="0"/>
              <w:rPr>
                <w:sz w:val="20"/>
                <w:szCs w:val="20"/>
                <w:color w:val="auto"/>
              </w:rPr>
            </w:pPr>
            <w:r>
              <w:rPr>
                <w:rFonts w:ascii="Arial" w:cs="Arial" w:eastAsia="Arial" w:hAnsi="Arial"/>
                <w:sz w:val="14"/>
                <w:szCs w:val="14"/>
                <w:color w:val="auto"/>
                <w:w w:val="90"/>
              </w:rPr>
              <w:t>Losses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center"/>
              <w:ind w:right="208"/>
              <w:spacing w:after="0"/>
              <w:rPr>
                <w:sz w:val="20"/>
                <w:szCs w:val="20"/>
                <w:color w:val="auto"/>
              </w:rPr>
            </w:pPr>
            <w:r>
              <w:rPr>
                <w:rFonts w:ascii="Arial" w:cs="Arial" w:eastAsia="Arial" w:hAnsi="Arial"/>
                <w:sz w:val="14"/>
                <w:szCs w:val="14"/>
                <w:color w:val="auto"/>
                <w:w w:val="89"/>
              </w:rPr>
              <w:t>Value</w:t>
            </w:r>
          </w:p>
        </w:tc>
        <w:tc>
          <w:tcPr>
            <w:tcW w:w="220" w:type="dxa"/>
            <w:vAlign w:val="bottom"/>
          </w:tcPr>
          <w:p>
            <w:pPr>
              <w:spacing w:after="0"/>
              <w:rPr>
                <w:sz w:val="18"/>
                <w:szCs w:val="18"/>
                <w:color w:val="auto"/>
              </w:rPr>
            </w:pPr>
          </w:p>
        </w:tc>
        <w:tc>
          <w:tcPr>
            <w:tcW w:w="1060" w:type="dxa"/>
            <w:vAlign w:val="bottom"/>
          </w:tcPr>
          <w:p>
            <w:pPr>
              <w:jc w:val="center"/>
              <w:ind w:left="68"/>
              <w:spacing w:after="0"/>
              <w:rPr>
                <w:sz w:val="20"/>
                <w:szCs w:val="20"/>
                <w:color w:val="auto"/>
              </w:rPr>
            </w:pPr>
            <w:r>
              <w:rPr>
                <w:rFonts w:ascii="Arial" w:cs="Arial" w:eastAsia="Arial" w:hAnsi="Arial"/>
                <w:sz w:val="14"/>
                <w:szCs w:val="14"/>
                <w:color w:val="auto"/>
                <w:w w:val="95"/>
              </w:rPr>
              <w:t>Months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88"/>
              <w:spacing w:after="0"/>
              <w:rPr>
                <w:sz w:val="20"/>
                <w:szCs w:val="20"/>
                <w:color w:val="auto"/>
              </w:rPr>
            </w:pPr>
            <w:r>
              <w:rPr>
                <w:rFonts w:ascii="Arial" w:cs="Arial" w:eastAsia="Arial" w:hAnsi="Arial"/>
                <w:sz w:val="14"/>
                <w:szCs w:val="14"/>
                <w:color w:val="auto"/>
                <w:w w:val="95"/>
              </w:rPr>
              <w:t>Months</w:t>
            </w:r>
          </w:p>
        </w:tc>
        <w:tc>
          <w:tcPr>
            <w:tcW w:w="0" w:type="dxa"/>
            <w:vAlign w:val="bottom"/>
          </w:tcPr>
          <w:p>
            <w:pPr>
              <w:spacing w:after="0"/>
              <w:rPr>
                <w:sz w:val="1"/>
                <w:szCs w:val="1"/>
                <w:color w:val="auto"/>
              </w:rPr>
            </w:pPr>
          </w:p>
        </w:tc>
      </w:tr>
      <w:tr>
        <w:trPr>
          <w:trHeight w:val="33"/>
        </w:trPr>
        <w:tc>
          <w:tcPr>
            <w:tcW w:w="3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200" w:type="dxa"/>
            <w:vAlign w:val="bottom"/>
          </w:tcPr>
          <w:p>
            <w:pPr>
              <w:ind w:left="40"/>
              <w:spacing w:after="0"/>
              <w:rPr>
                <w:sz w:val="20"/>
                <w:szCs w:val="20"/>
                <w:color w:val="auto"/>
              </w:rPr>
            </w:pPr>
            <w:r>
              <w:rPr>
                <w:rFonts w:ascii="Arial" w:cs="Arial" w:eastAsia="Arial" w:hAnsi="Arial"/>
                <w:sz w:val="14"/>
                <w:szCs w:val="14"/>
                <w:b w:val="1"/>
                <w:bCs w:val="1"/>
                <w:color w:val="auto"/>
              </w:rPr>
              <w:t>Held-to-Maturity</w:t>
            </w: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200" w:type="dxa"/>
            <w:vAlign w:val="bottom"/>
          </w:tcPr>
          <w:p>
            <w:pPr>
              <w:ind w:left="40"/>
              <w:spacing w:after="0"/>
              <w:rPr>
                <w:sz w:val="20"/>
                <w:szCs w:val="20"/>
                <w:color w:val="auto"/>
              </w:rPr>
            </w:pPr>
            <w:r>
              <w:rPr>
                <w:rFonts w:ascii="Arial" w:cs="Arial" w:eastAsia="Arial" w:hAnsi="Arial"/>
                <w:sz w:val="14"/>
                <w:szCs w:val="14"/>
                <w:color w:val="auto"/>
              </w:rPr>
              <w:t>Short-term:</w:t>
            </w: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00" w:type="dxa"/>
            <w:vAlign w:val="bottom"/>
          </w:tcPr>
          <w:p>
            <w:pPr>
              <w:ind w:left="220"/>
              <w:spacing w:after="0"/>
              <w:rPr>
                <w:sz w:val="20"/>
                <w:szCs w:val="20"/>
                <w:color w:val="auto"/>
              </w:rPr>
            </w:pPr>
            <w:r>
              <w:rPr>
                <w:rFonts w:ascii="Arial" w:cs="Arial" w:eastAsia="Arial" w:hAnsi="Arial"/>
                <w:sz w:val="14"/>
                <w:szCs w:val="14"/>
                <w:color w:val="auto"/>
              </w:rPr>
              <w:t>Commercial paper</w:t>
            </w:r>
          </w:p>
        </w:tc>
        <w:tc>
          <w:tcPr>
            <w:tcW w:w="3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15,991</w:t>
            </w:r>
          </w:p>
        </w:tc>
        <w:tc>
          <w:tcPr>
            <w:tcW w:w="220" w:type="dxa"/>
            <w:vAlign w:val="bottom"/>
          </w:tcPr>
          <w:p>
            <w:pPr>
              <w:spacing w:after="0"/>
              <w:rPr>
                <w:sz w:val="16"/>
                <w:szCs w:val="16"/>
                <w:color w:val="auto"/>
              </w:rPr>
            </w:pPr>
          </w:p>
        </w:tc>
        <w:tc>
          <w:tcPr>
            <w:tcW w:w="94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6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6"/>
                <w:szCs w:val="16"/>
                <w:color w:val="auto"/>
              </w:rPr>
            </w:pP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15,990</w:t>
            </w:r>
          </w:p>
        </w:tc>
        <w:tc>
          <w:tcPr>
            <w:tcW w:w="1280" w:type="dxa"/>
            <w:vAlign w:val="bottom"/>
            <w:gridSpan w:val="2"/>
          </w:tcPr>
          <w:p>
            <w:pPr>
              <w:jc w:val="right"/>
              <w:ind w:right="868"/>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200" w:type="dxa"/>
            <w:vAlign w:val="bottom"/>
          </w:tcPr>
          <w:p>
            <w:pPr>
              <w:ind w:left="220"/>
              <w:spacing w:after="0"/>
              <w:rPr>
                <w:sz w:val="20"/>
                <w:szCs w:val="20"/>
                <w:color w:val="auto"/>
              </w:rPr>
            </w:pPr>
            <w:r>
              <w:rPr>
                <w:rFonts w:ascii="Arial" w:cs="Arial" w:eastAsia="Arial" w:hAnsi="Arial"/>
                <w:sz w:val="14"/>
                <w:szCs w:val="14"/>
                <w:color w:val="auto"/>
              </w:rPr>
              <w:t>Municipal securities</w:t>
            </w:r>
          </w:p>
        </w:tc>
        <w:tc>
          <w:tcPr>
            <w:tcW w:w="3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622,082</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89"/>
              </w:rPr>
              <w:t>48</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622,130</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200" w:type="dxa"/>
            <w:vAlign w:val="bottom"/>
          </w:tcPr>
          <w:p>
            <w:pPr>
              <w:ind w:left="220"/>
              <w:spacing w:after="0"/>
              <w:rPr>
                <w:sz w:val="20"/>
                <w:szCs w:val="20"/>
                <w:color w:val="auto"/>
              </w:rPr>
            </w:pPr>
            <w:r>
              <w:rPr>
                <w:rFonts w:ascii="Arial" w:cs="Arial" w:eastAsia="Arial" w:hAnsi="Arial"/>
                <w:sz w:val="14"/>
                <w:szCs w:val="14"/>
                <w:color w:val="auto"/>
              </w:rPr>
              <w:t>U.S. Government Agencies</w:t>
            </w:r>
          </w:p>
        </w:tc>
        <w:tc>
          <w:tcPr>
            <w:tcW w:w="3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1,401</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1,401</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200" w:type="dxa"/>
            <w:vAlign w:val="bottom"/>
          </w:tcPr>
          <w:p>
            <w:pPr>
              <w:ind w:left="40"/>
              <w:spacing w:after="0"/>
              <w:rPr>
                <w:sz w:val="20"/>
                <w:szCs w:val="20"/>
                <w:color w:val="auto"/>
              </w:rPr>
            </w:pPr>
            <w:r>
              <w:rPr>
                <w:rFonts w:ascii="Arial" w:cs="Arial" w:eastAsia="Arial" w:hAnsi="Arial"/>
                <w:sz w:val="14"/>
                <w:szCs w:val="14"/>
                <w:color w:val="auto"/>
              </w:rPr>
              <w:t>Long-term:</w:t>
            </w: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00" w:type="dxa"/>
            <w:vAlign w:val="bottom"/>
          </w:tcPr>
          <w:p>
            <w:pPr>
              <w:ind w:left="220"/>
              <w:spacing w:after="0"/>
              <w:rPr>
                <w:sz w:val="20"/>
                <w:szCs w:val="20"/>
                <w:color w:val="auto"/>
              </w:rPr>
            </w:pPr>
            <w:r>
              <w:rPr>
                <w:rFonts w:ascii="Arial" w:cs="Arial" w:eastAsia="Arial" w:hAnsi="Arial"/>
                <w:sz w:val="14"/>
                <w:szCs w:val="14"/>
                <w:color w:val="auto"/>
              </w:rPr>
              <w:t>Municipal securities</w:t>
            </w:r>
          </w:p>
        </w:tc>
        <w:tc>
          <w:tcPr>
            <w:tcW w:w="3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33,662</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8</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33,670</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200" w:type="dxa"/>
            <w:vAlign w:val="bottom"/>
          </w:tcPr>
          <w:p>
            <w:pPr>
              <w:ind w:left="220"/>
              <w:spacing w:after="0"/>
              <w:rPr>
                <w:sz w:val="20"/>
                <w:szCs w:val="20"/>
                <w:color w:val="auto"/>
              </w:rPr>
            </w:pPr>
            <w:r>
              <w:rPr>
                <w:rFonts w:ascii="Arial" w:cs="Arial" w:eastAsia="Arial" w:hAnsi="Arial"/>
                <w:sz w:val="14"/>
                <w:szCs w:val="14"/>
                <w:color w:val="auto"/>
              </w:rPr>
              <w:t>U.S. Government Agencies</w:t>
            </w:r>
          </w:p>
        </w:tc>
        <w:tc>
          <w:tcPr>
            <w:tcW w:w="3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7,578</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7,571</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200" w:type="dxa"/>
            <w:vAlign w:val="bottom"/>
          </w:tcPr>
          <w:p>
            <w:pPr>
              <w:ind w:left="40"/>
              <w:spacing w:after="0"/>
              <w:rPr>
                <w:sz w:val="20"/>
                <w:szCs w:val="20"/>
                <w:color w:val="auto"/>
              </w:rPr>
            </w:pPr>
            <w:r>
              <w:rPr>
                <w:rFonts w:ascii="Arial" w:cs="Arial" w:eastAsia="Arial" w:hAnsi="Arial"/>
                <w:sz w:val="14"/>
                <w:szCs w:val="14"/>
                <w:b w:val="1"/>
                <w:bCs w:val="1"/>
                <w:color w:val="auto"/>
              </w:rPr>
              <w:t>Available-for-sale</w:t>
            </w: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200" w:type="dxa"/>
            <w:vAlign w:val="bottom"/>
          </w:tcPr>
          <w:p>
            <w:pPr>
              <w:ind w:left="220"/>
              <w:spacing w:after="0"/>
              <w:rPr>
                <w:sz w:val="20"/>
                <w:szCs w:val="20"/>
                <w:color w:val="auto"/>
              </w:rPr>
            </w:pPr>
            <w:r>
              <w:rPr>
                <w:rFonts w:ascii="Arial" w:cs="Arial" w:eastAsia="Arial" w:hAnsi="Arial"/>
                <w:sz w:val="14"/>
                <w:szCs w:val="14"/>
                <w:color w:val="auto"/>
              </w:rPr>
              <w:t>Variable rate demand notes</w:t>
            </w:r>
          </w:p>
        </w:tc>
        <w:tc>
          <w:tcPr>
            <w:tcW w:w="3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3,900</w:t>
            </w:r>
          </w:p>
        </w:tc>
        <w:tc>
          <w:tcPr>
            <w:tcW w:w="2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3,900</w:t>
            </w:r>
          </w:p>
        </w:tc>
        <w:tc>
          <w:tcPr>
            <w:tcW w:w="22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3200" w:type="dxa"/>
            <w:vAlign w:val="bottom"/>
          </w:tcPr>
          <w:p>
            <w:pPr>
              <w:ind w:left="600"/>
              <w:spacing w:after="0"/>
              <w:rPr>
                <w:sz w:val="20"/>
                <w:szCs w:val="20"/>
                <w:color w:val="auto"/>
              </w:rPr>
            </w:pPr>
            <w:r>
              <w:rPr>
                <w:rFonts w:ascii="Arial" w:cs="Arial" w:eastAsia="Arial" w:hAnsi="Arial"/>
                <w:sz w:val="14"/>
                <w:szCs w:val="14"/>
                <w:color w:val="auto"/>
              </w:rPr>
              <w:t>Total</w:t>
            </w:r>
          </w:p>
        </w:tc>
        <w:tc>
          <w:tcPr>
            <w:tcW w:w="3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684,614</w:t>
            </w:r>
          </w:p>
        </w:tc>
        <w:tc>
          <w:tcPr>
            <w:tcW w:w="220" w:type="dxa"/>
            <w:vAlign w:val="bottom"/>
          </w:tcPr>
          <w:p>
            <w:pPr>
              <w:spacing w:after="0"/>
              <w:rPr>
                <w:sz w:val="15"/>
                <w:szCs w:val="15"/>
                <w:color w:val="auto"/>
              </w:rPr>
            </w:pPr>
          </w:p>
        </w:tc>
        <w:tc>
          <w:tcPr>
            <w:tcW w:w="94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w w:val="89"/>
              </w:rPr>
              <w:t>56</w:t>
            </w:r>
          </w:p>
        </w:tc>
        <w:tc>
          <w:tcPr>
            <w:tcW w:w="240" w:type="dxa"/>
            <w:vAlign w:val="bottom"/>
          </w:tcPr>
          <w:p>
            <w:pPr>
              <w:spacing w:after="0"/>
              <w:rPr>
                <w:sz w:val="15"/>
                <w:szCs w:val="15"/>
                <w:color w:val="auto"/>
              </w:rPr>
            </w:pPr>
          </w:p>
        </w:tc>
        <w:tc>
          <w:tcPr>
            <w:tcW w:w="96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8</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684,662</w:t>
            </w:r>
          </w:p>
        </w:tc>
        <w:tc>
          <w:tcPr>
            <w:tcW w:w="1280" w:type="dxa"/>
            <w:vAlign w:val="bottom"/>
            <w:gridSpan w:val="2"/>
          </w:tcPr>
          <w:p>
            <w:pPr>
              <w:jc w:val="right"/>
              <w:ind w:right="868"/>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Trading</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20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200" w:type="dxa"/>
            <w:vAlign w:val="bottom"/>
          </w:tcPr>
          <w:p>
            <w:pPr>
              <w:ind w:left="40"/>
              <w:spacing w:after="0"/>
              <w:rPr>
                <w:sz w:val="20"/>
                <w:szCs w:val="20"/>
                <w:color w:val="auto"/>
              </w:rPr>
            </w:pPr>
            <w:r>
              <w:rPr>
                <w:rFonts w:ascii="Arial" w:cs="Arial" w:eastAsia="Arial" w:hAnsi="Arial"/>
                <w:sz w:val="14"/>
                <w:szCs w:val="14"/>
                <w:color w:val="auto"/>
              </w:rPr>
              <w:t>Short-term:</w:t>
            </w: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00" w:type="dxa"/>
            <w:vAlign w:val="bottom"/>
          </w:tcPr>
          <w:p>
            <w:pPr>
              <w:ind w:left="220"/>
              <w:spacing w:after="0"/>
              <w:rPr>
                <w:sz w:val="20"/>
                <w:szCs w:val="20"/>
                <w:color w:val="auto"/>
              </w:rPr>
            </w:pPr>
            <w:r>
              <w:rPr>
                <w:rFonts w:ascii="Arial" w:cs="Arial" w:eastAsia="Arial" w:hAnsi="Arial"/>
                <w:sz w:val="14"/>
                <w:szCs w:val="14"/>
                <w:color w:val="auto"/>
              </w:rPr>
              <w:t>Auction rate securities</w:t>
            </w: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3,910</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00" w:type="dxa"/>
            <w:vAlign w:val="bottom"/>
          </w:tcPr>
          <w:p>
            <w:pPr>
              <w:ind w:left="40"/>
              <w:spacing w:after="0"/>
              <w:rPr>
                <w:sz w:val="20"/>
                <w:szCs w:val="20"/>
                <w:color w:val="auto"/>
              </w:rPr>
            </w:pPr>
            <w:r>
              <w:rPr>
                <w:rFonts w:ascii="Arial" w:cs="Arial" w:eastAsia="Arial" w:hAnsi="Arial"/>
                <w:sz w:val="14"/>
                <w:szCs w:val="14"/>
                <w:color w:val="auto"/>
              </w:rPr>
              <w:t>Long-term:</w:t>
            </w: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200" w:type="dxa"/>
            <w:vAlign w:val="bottom"/>
          </w:tcPr>
          <w:p>
            <w:pPr>
              <w:ind w:left="220"/>
              <w:spacing w:after="0"/>
              <w:rPr>
                <w:sz w:val="20"/>
                <w:szCs w:val="20"/>
                <w:color w:val="auto"/>
              </w:rPr>
            </w:pPr>
            <w:r>
              <w:rPr>
                <w:rFonts w:ascii="Arial" w:cs="Arial" w:eastAsia="Arial" w:hAnsi="Arial"/>
                <w:sz w:val="14"/>
                <w:szCs w:val="14"/>
                <w:color w:val="auto"/>
              </w:rPr>
              <w:t>Auction rate securities</w:t>
            </w: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00" w:type="dxa"/>
            <w:vAlign w:val="bottom"/>
          </w:tcPr>
          <w:p>
            <w:pPr>
              <w:ind w:left="600"/>
              <w:spacing w:after="0"/>
              <w:rPr>
                <w:sz w:val="20"/>
                <w:szCs w:val="20"/>
                <w:color w:val="auto"/>
              </w:rPr>
            </w:pPr>
            <w:r>
              <w:rPr>
                <w:rFonts w:ascii="Arial" w:cs="Arial" w:eastAsia="Arial" w:hAnsi="Arial"/>
                <w:sz w:val="14"/>
                <w:szCs w:val="14"/>
                <w:color w:val="auto"/>
              </w:rPr>
              <w:t>Total</w:t>
            </w: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688,572</w:t>
            </w: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3200" w:type="dxa"/>
            <w:vAlign w:val="bottom"/>
          </w:tcPr>
          <w:p>
            <w:pPr>
              <w:ind w:left="40"/>
              <w:spacing w:after="0"/>
              <w:rPr>
                <w:sz w:val="20"/>
                <w:szCs w:val="20"/>
                <w:color w:val="auto"/>
              </w:rPr>
            </w:pPr>
            <w:r>
              <w:rPr>
                <w:rFonts w:ascii="Arial" w:cs="Arial" w:eastAsia="Arial" w:hAnsi="Arial"/>
                <w:sz w:val="14"/>
                <w:szCs w:val="14"/>
                <w:color w:val="auto"/>
              </w:rPr>
              <w:t>December 31, 2014</w:t>
            </w:r>
          </w:p>
        </w:tc>
        <w:tc>
          <w:tcPr>
            <w:tcW w:w="1380" w:type="dxa"/>
            <w:vAlign w:val="bottom"/>
            <w:gridSpan w:val="3"/>
          </w:tcPr>
          <w:p>
            <w:pPr>
              <w:ind w:left="120"/>
              <w:spacing w:after="0"/>
              <w:rPr>
                <w:sz w:val="20"/>
                <w:szCs w:val="20"/>
                <w:color w:val="auto"/>
              </w:rPr>
            </w:pPr>
            <w:r>
              <w:rPr>
                <w:rFonts w:ascii="Arial" w:cs="Arial" w:eastAsia="Arial" w:hAnsi="Arial"/>
                <w:sz w:val="14"/>
                <w:szCs w:val="14"/>
                <w:color w:val="auto"/>
              </w:rPr>
              <w:t>Amortized Cost</w:t>
            </w:r>
          </w:p>
        </w:tc>
        <w:tc>
          <w:tcPr>
            <w:tcW w:w="940" w:type="dxa"/>
            <w:vAlign w:val="bottom"/>
          </w:tcPr>
          <w:p>
            <w:pPr>
              <w:jc w:val="center"/>
              <w:ind w:left="168"/>
              <w:spacing w:after="0"/>
              <w:rPr>
                <w:sz w:val="20"/>
                <w:szCs w:val="20"/>
                <w:color w:val="auto"/>
              </w:rPr>
            </w:pPr>
            <w:r>
              <w:rPr>
                <w:rFonts w:ascii="Arial" w:cs="Arial" w:eastAsia="Arial" w:hAnsi="Arial"/>
                <w:sz w:val="14"/>
                <w:szCs w:val="14"/>
                <w:color w:val="auto"/>
                <w:w w:val="90"/>
              </w:rPr>
              <w:t>Gross</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center"/>
              <w:ind w:left="128"/>
              <w:spacing w:after="0"/>
              <w:rPr>
                <w:sz w:val="20"/>
                <w:szCs w:val="20"/>
                <w:color w:val="auto"/>
              </w:rPr>
            </w:pPr>
            <w:r>
              <w:rPr>
                <w:rFonts w:ascii="Arial" w:cs="Arial" w:eastAsia="Arial" w:hAnsi="Arial"/>
                <w:sz w:val="14"/>
                <w:szCs w:val="14"/>
                <w:color w:val="auto"/>
                <w:w w:val="85"/>
              </w:rPr>
              <w:t>Gross</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center"/>
              <w:ind w:right="208"/>
              <w:spacing w:after="0"/>
              <w:rPr>
                <w:sz w:val="20"/>
                <w:szCs w:val="20"/>
                <w:color w:val="auto"/>
              </w:rPr>
            </w:pPr>
            <w:r>
              <w:rPr>
                <w:rFonts w:ascii="Arial" w:cs="Arial" w:eastAsia="Arial" w:hAnsi="Arial"/>
                <w:sz w:val="14"/>
                <w:szCs w:val="14"/>
                <w:color w:val="auto"/>
                <w:w w:val="99"/>
              </w:rPr>
              <w:t>Fair</w:t>
            </w:r>
          </w:p>
        </w:tc>
        <w:tc>
          <w:tcPr>
            <w:tcW w:w="220" w:type="dxa"/>
            <w:vAlign w:val="bottom"/>
          </w:tcPr>
          <w:p>
            <w:pPr>
              <w:spacing w:after="0"/>
              <w:rPr>
                <w:sz w:val="24"/>
                <w:szCs w:val="24"/>
                <w:color w:val="auto"/>
              </w:rPr>
            </w:pPr>
          </w:p>
        </w:tc>
        <w:tc>
          <w:tcPr>
            <w:tcW w:w="1060" w:type="dxa"/>
            <w:vAlign w:val="bottom"/>
          </w:tcPr>
          <w:p>
            <w:pPr>
              <w:jc w:val="center"/>
              <w:ind w:left="88"/>
              <w:spacing w:after="0"/>
              <w:rPr>
                <w:sz w:val="20"/>
                <w:szCs w:val="20"/>
                <w:color w:val="auto"/>
              </w:rPr>
            </w:pPr>
            <w:r>
              <w:rPr>
                <w:rFonts w:ascii="Arial" w:cs="Arial" w:eastAsia="Arial" w:hAnsi="Arial"/>
                <w:sz w:val="14"/>
                <w:szCs w:val="14"/>
                <w:color w:val="auto"/>
                <w:w w:val="93"/>
              </w:rPr>
              <w:t>Continuous</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268"/>
              <w:spacing w:after="0"/>
              <w:rPr>
                <w:sz w:val="20"/>
                <w:szCs w:val="20"/>
                <w:color w:val="auto"/>
              </w:rPr>
            </w:pPr>
            <w:r>
              <w:rPr>
                <w:rFonts w:ascii="Arial" w:cs="Arial" w:eastAsia="Arial" w:hAnsi="Arial"/>
                <w:sz w:val="14"/>
                <w:szCs w:val="14"/>
                <w:color w:val="auto"/>
              </w:rPr>
              <w:t>Continuous</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center"/>
              <w:ind w:left="168"/>
              <w:spacing w:after="0"/>
              <w:rPr>
                <w:sz w:val="20"/>
                <w:szCs w:val="20"/>
                <w:color w:val="auto"/>
              </w:rPr>
            </w:pPr>
            <w:r>
              <w:rPr>
                <w:rFonts w:ascii="Arial" w:cs="Arial" w:eastAsia="Arial" w:hAnsi="Arial"/>
                <w:sz w:val="14"/>
                <w:szCs w:val="14"/>
                <w:color w:val="auto"/>
                <w:w w:val="92"/>
              </w:rPr>
              <w:t>Unrealized</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center"/>
              <w:ind w:left="128"/>
              <w:spacing w:after="0"/>
              <w:rPr>
                <w:sz w:val="20"/>
                <w:szCs w:val="20"/>
                <w:color w:val="auto"/>
              </w:rPr>
            </w:pPr>
            <w:r>
              <w:rPr>
                <w:rFonts w:ascii="Arial" w:cs="Arial" w:eastAsia="Arial" w:hAnsi="Arial"/>
                <w:sz w:val="14"/>
                <w:szCs w:val="14"/>
                <w:color w:val="auto"/>
                <w:w w:val="95"/>
              </w:rPr>
              <w:t>Unrealized</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center"/>
              <w:ind w:right="208"/>
              <w:spacing w:after="0"/>
              <w:rPr>
                <w:sz w:val="20"/>
                <w:szCs w:val="20"/>
                <w:color w:val="auto"/>
              </w:rPr>
            </w:pPr>
            <w:r>
              <w:rPr>
                <w:rFonts w:ascii="Arial" w:cs="Arial" w:eastAsia="Arial" w:hAnsi="Arial"/>
                <w:sz w:val="14"/>
                <w:szCs w:val="14"/>
                <w:color w:val="auto"/>
                <w:w w:val="89"/>
              </w:rPr>
              <w:t>Value</w:t>
            </w:r>
          </w:p>
        </w:tc>
        <w:tc>
          <w:tcPr>
            <w:tcW w:w="220" w:type="dxa"/>
            <w:vAlign w:val="bottom"/>
          </w:tcPr>
          <w:p>
            <w:pPr>
              <w:spacing w:after="0"/>
              <w:rPr>
                <w:sz w:val="18"/>
                <w:szCs w:val="18"/>
                <w:color w:val="auto"/>
              </w:rPr>
            </w:pPr>
          </w:p>
        </w:tc>
        <w:tc>
          <w:tcPr>
            <w:tcW w:w="1060" w:type="dxa"/>
            <w:vAlign w:val="bottom"/>
          </w:tcPr>
          <w:p>
            <w:pPr>
              <w:jc w:val="center"/>
              <w:ind w:left="88"/>
              <w:spacing w:after="0"/>
              <w:rPr>
                <w:sz w:val="20"/>
                <w:szCs w:val="20"/>
                <w:color w:val="auto"/>
              </w:rPr>
            </w:pPr>
            <w:r>
              <w:rPr>
                <w:rFonts w:ascii="Arial" w:cs="Arial" w:eastAsia="Arial" w:hAnsi="Arial"/>
                <w:sz w:val="14"/>
                <w:szCs w:val="14"/>
                <w:color w:val="auto"/>
                <w:w w:val="92"/>
              </w:rPr>
              <w:t>Unrealized</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288"/>
              <w:spacing w:after="0"/>
              <w:rPr>
                <w:sz w:val="20"/>
                <w:szCs w:val="20"/>
                <w:color w:val="auto"/>
              </w:rPr>
            </w:pPr>
            <w:r>
              <w:rPr>
                <w:rFonts w:ascii="Arial" w:cs="Arial" w:eastAsia="Arial" w:hAnsi="Arial"/>
                <w:sz w:val="14"/>
                <w:szCs w:val="14"/>
                <w:color w:val="auto"/>
              </w:rPr>
              <w:t>Unrealized</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Holding</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Holding</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center"/>
              <w:ind w:left="88"/>
              <w:spacing w:after="0"/>
              <w:rPr>
                <w:sz w:val="20"/>
                <w:szCs w:val="20"/>
                <w:color w:val="auto"/>
              </w:rPr>
            </w:pPr>
            <w:r>
              <w:rPr>
                <w:rFonts w:ascii="Arial" w:cs="Arial" w:eastAsia="Arial" w:hAnsi="Arial"/>
                <w:sz w:val="14"/>
                <w:szCs w:val="14"/>
                <w:color w:val="auto"/>
                <w:w w:val="93"/>
              </w:rPr>
              <w:t>Loss Position</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center"/>
              <w:ind w:right="168"/>
              <w:spacing w:after="0"/>
              <w:rPr>
                <w:sz w:val="20"/>
                <w:szCs w:val="20"/>
                <w:color w:val="auto"/>
              </w:rPr>
            </w:pPr>
            <w:r>
              <w:rPr>
                <w:rFonts w:ascii="Arial" w:cs="Arial" w:eastAsia="Arial" w:hAnsi="Arial"/>
                <w:sz w:val="14"/>
                <w:szCs w:val="14"/>
                <w:color w:val="auto"/>
                <w:w w:val="93"/>
              </w:rPr>
              <w:t>Loss Position</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Gains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Losses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center"/>
              <w:ind w:left="68"/>
              <w:spacing w:after="0"/>
              <w:rPr>
                <w:sz w:val="20"/>
                <w:szCs w:val="20"/>
                <w:color w:val="auto"/>
              </w:rPr>
            </w:pPr>
            <w:r>
              <w:rPr>
                <w:rFonts w:ascii="Arial" w:cs="Arial" w:eastAsia="Arial" w:hAnsi="Arial"/>
                <w:sz w:val="14"/>
                <w:szCs w:val="14"/>
                <w:color w:val="auto"/>
                <w:w w:val="90"/>
              </w:rPr>
              <w:t>less than 12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168"/>
              <w:spacing w:after="0"/>
              <w:rPr>
                <w:sz w:val="20"/>
                <w:szCs w:val="20"/>
                <w:color w:val="auto"/>
              </w:rPr>
            </w:pPr>
            <w:r>
              <w:rPr>
                <w:rFonts w:ascii="Arial" w:cs="Arial" w:eastAsia="Arial" w:hAnsi="Arial"/>
                <w:sz w:val="14"/>
                <w:szCs w:val="14"/>
                <w:color w:val="auto"/>
                <w:w w:val="90"/>
              </w:rPr>
              <w:t>greater than 12</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center"/>
              <w:ind w:left="68"/>
              <w:spacing w:after="0"/>
              <w:rPr>
                <w:sz w:val="20"/>
                <w:szCs w:val="20"/>
                <w:color w:val="auto"/>
              </w:rPr>
            </w:pPr>
            <w:r>
              <w:rPr>
                <w:rFonts w:ascii="Arial" w:cs="Arial" w:eastAsia="Arial" w:hAnsi="Arial"/>
                <w:sz w:val="14"/>
                <w:szCs w:val="14"/>
                <w:color w:val="auto"/>
                <w:w w:val="95"/>
              </w:rPr>
              <w:t>Months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188"/>
              <w:spacing w:after="0"/>
              <w:rPr>
                <w:sz w:val="20"/>
                <w:szCs w:val="20"/>
                <w:color w:val="auto"/>
              </w:rPr>
            </w:pPr>
            <w:r>
              <w:rPr>
                <w:rFonts w:ascii="Arial" w:cs="Arial" w:eastAsia="Arial" w:hAnsi="Arial"/>
                <w:sz w:val="14"/>
                <w:szCs w:val="14"/>
                <w:color w:val="auto"/>
                <w:w w:val="95"/>
              </w:rPr>
              <w:t>Months</w:t>
            </w:r>
          </w:p>
        </w:tc>
        <w:tc>
          <w:tcPr>
            <w:tcW w:w="0" w:type="dxa"/>
            <w:vAlign w:val="bottom"/>
          </w:tcPr>
          <w:p>
            <w:pPr>
              <w:spacing w:after="0"/>
              <w:rPr>
                <w:sz w:val="1"/>
                <w:szCs w:val="1"/>
                <w:color w:val="auto"/>
              </w:rPr>
            </w:pPr>
          </w:p>
        </w:tc>
      </w:tr>
      <w:tr>
        <w:trPr>
          <w:trHeight w:val="33"/>
        </w:trPr>
        <w:tc>
          <w:tcPr>
            <w:tcW w:w="3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200" w:type="dxa"/>
            <w:vAlign w:val="bottom"/>
          </w:tcPr>
          <w:p>
            <w:pPr>
              <w:ind w:left="40"/>
              <w:spacing w:after="0"/>
              <w:rPr>
                <w:sz w:val="20"/>
                <w:szCs w:val="20"/>
                <w:color w:val="auto"/>
              </w:rPr>
            </w:pPr>
            <w:r>
              <w:rPr>
                <w:rFonts w:ascii="Arial" w:cs="Arial" w:eastAsia="Arial" w:hAnsi="Arial"/>
                <w:sz w:val="14"/>
                <w:szCs w:val="14"/>
                <w:b w:val="1"/>
                <w:bCs w:val="1"/>
                <w:color w:val="auto"/>
              </w:rPr>
              <w:t>Held-to-Maturity</w:t>
            </w: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200" w:type="dxa"/>
            <w:vAlign w:val="bottom"/>
          </w:tcPr>
          <w:p>
            <w:pPr>
              <w:ind w:left="40"/>
              <w:spacing w:after="0"/>
              <w:rPr>
                <w:sz w:val="20"/>
                <w:szCs w:val="20"/>
                <w:color w:val="auto"/>
              </w:rPr>
            </w:pPr>
            <w:r>
              <w:rPr>
                <w:rFonts w:ascii="Arial" w:cs="Arial" w:eastAsia="Arial" w:hAnsi="Arial"/>
                <w:sz w:val="14"/>
                <w:szCs w:val="14"/>
                <w:color w:val="auto"/>
              </w:rPr>
              <w:t>Short-term:</w:t>
            </w: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00" w:type="dxa"/>
            <w:vAlign w:val="bottom"/>
          </w:tcPr>
          <w:p>
            <w:pPr>
              <w:ind w:left="220"/>
              <w:spacing w:after="0"/>
              <w:rPr>
                <w:sz w:val="20"/>
                <w:szCs w:val="20"/>
                <w:color w:val="auto"/>
              </w:rPr>
            </w:pPr>
            <w:r>
              <w:rPr>
                <w:rFonts w:ascii="Arial" w:cs="Arial" w:eastAsia="Arial" w:hAnsi="Arial"/>
                <w:sz w:val="14"/>
                <w:szCs w:val="14"/>
                <w:color w:val="auto"/>
              </w:rPr>
              <w:t>Commercial paper</w:t>
            </w:r>
          </w:p>
        </w:tc>
        <w:tc>
          <w:tcPr>
            <w:tcW w:w="3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19,482</w:t>
            </w:r>
          </w:p>
        </w:tc>
        <w:tc>
          <w:tcPr>
            <w:tcW w:w="220" w:type="dxa"/>
            <w:vAlign w:val="bottom"/>
          </w:tcPr>
          <w:p>
            <w:pPr>
              <w:spacing w:after="0"/>
              <w:rPr>
                <w:sz w:val="16"/>
                <w:szCs w:val="16"/>
                <w:color w:val="auto"/>
              </w:rPr>
            </w:pPr>
          </w:p>
        </w:tc>
        <w:tc>
          <w:tcPr>
            <w:tcW w:w="86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6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16"/>
                <w:szCs w:val="16"/>
                <w:color w:val="auto"/>
              </w:rPr>
            </w:pPr>
          </w:p>
        </w:tc>
        <w:tc>
          <w:tcPr>
            <w:tcW w:w="3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19,480</w:t>
            </w:r>
          </w:p>
        </w:tc>
        <w:tc>
          <w:tcPr>
            <w:tcW w:w="1280" w:type="dxa"/>
            <w:vAlign w:val="bottom"/>
            <w:gridSpan w:val="2"/>
          </w:tcPr>
          <w:p>
            <w:pPr>
              <w:jc w:val="right"/>
              <w:ind w:right="868"/>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200" w:type="dxa"/>
            <w:vAlign w:val="bottom"/>
          </w:tcPr>
          <w:p>
            <w:pPr>
              <w:ind w:left="220"/>
              <w:spacing w:after="0"/>
              <w:rPr>
                <w:sz w:val="20"/>
                <w:szCs w:val="20"/>
                <w:color w:val="auto"/>
              </w:rPr>
            </w:pPr>
            <w:r>
              <w:rPr>
                <w:rFonts w:ascii="Arial" w:cs="Arial" w:eastAsia="Arial" w:hAnsi="Arial"/>
                <w:sz w:val="14"/>
                <w:szCs w:val="14"/>
                <w:color w:val="auto"/>
              </w:rPr>
              <w:t>Municipal securities</w:t>
            </w:r>
          </w:p>
        </w:tc>
        <w:tc>
          <w:tcPr>
            <w:tcW w:w="3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744,542</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w w:val="94"/>
              </w:rPr>
              <w:t>105</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744,647</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200" w:type="dxa"/>
            <w:vAlign w:val="bottom"/>
          </w:tcPr>
          <w:p>
            <w:pPr>
              <w:ind w:left="220"/>
              <w:spacing w:after="0"/>
              <w:rPr>
                <w:sz w:val="20"/>
                <w:szCs w:val="20"/>
                <w:color w:val="auto"/>
              </w:rPr>
            </w:pPr>
            <w:r>
              <w:rPr>
                <w:rFonts w:ascii="Arial" w:cs="Arial" w:eastAsia="Arial" w:hAnsi="Arial"/>
                <w:sz w:val="14"/>
                <w:szCs w:val="14"/>
                <w:color w:val="auto"/>
              </w:rPr>
              <w:t>U.S. Government Agencies</w:t>
            </w:r>
          </w:p>
        </w:tc>
        <w:tc>
          <w:tcPr>
            <w:tcW w:w="3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9,199</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9,198</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200" w:type="dxa"/>
            <w:vAlign w:val="bottom"/>
          </w:tcPr>
          <w:p>
            <w:pPr>
              <w:ind w:left="40"/>
              <w:spacing w:after="0"/>
              <w:rPr>
                <w:sz w:val="20"/>
                <w:szCs w:val="20"/>
                <w:color w:val="auto"/>
              </w:rPr>
            </w:pPr>
            <w:r>
              <w:rPr>
                <w:rFonts w:ascii="Arial" w:cs="Arial" w:eastAsia="Arial" w:hAnsi="Arial"/>
                <w:sz w:val="14"/>
                <w:szCs w:val="14"/>
                <w:color w:val="auto"/>
              </w:rPr>
              <w:t>Long-term:</w:t>
            </w: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00" w:type="dxa"/>
            <w:vAlign w:val="bottom"/>
          </w:tcPr>
          <w:p>
            <w:pPr>
              <w:ind w:left="220"/>
              <w:spacing w:after="0"/>
              <w:rPr>
                <w:sz w:val="20"/>
                <w:szCs w:val="20"/>
                <w:color w:val="auto"/>
              </w:rPr>
            </w:pPr>
            <w:r>
              <w:rPr>
                <w:rFonts w:ascii="Arial" w:cs="Arial" w:eastAsia="Arial" w:hAnsi="Arial"/>
                <w:sz w:val="14"/>
                <w:szCs w:val="14"/>
                <w:color w:val="auto"/>
              </w:rPr>
              <w:t>Municipal securities</w:t>
            </w:r>
          </w:p>
        </w:tc>
        <w:tc>
          <w:tcPr>
            <w:tcW w:w="3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42,940</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10</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42,950</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200" w:type="dxa"/>
            <w:vAlign w:val="bottom"/>
          </w:tcPr>
          <w:p>
            <w:pPr>
              <w:ind w:left="40"/>
              <w:spacing w:after="0"/>
              <w:rPr>
                <w:sz w:val="20"/>
                <w:szCs w:val="20"/>
                <w:color w:val="auto"/>
              </w:rPr>
            </w:pPr>
            <w:r>
              <w:rPr>
                <w:rFonts w:ascii="Arial" w:cs="Arial" w:eastAsia="Arial" w:hAnsi="Arial"/>
                <w:sz w:val="14"/>
                <w:szCs w:val="14"/>
                <w:b w:val="1"/>
                <w:bCs w:val="1"/>
                <w:color w:val="auto"/>
              </w:rPr>
              <w:t>Available-for-sale</w:t>
            </w: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200" w:type="dxa"/>
            <w:vAlign w:val="bottom"/>
          </w:tcPr>
          <w:p>
            <w:pPr>
              <w:ind w:left="220"/>
              <w:spacing w:after="0"/>
              <w:rPr>
                <w:sz w:val="20"/>
                <w:szCs w:val="20"/>
                <w:color w:val="auto"/>
              </w:rPr>
            </w:pPr>
            <w:r>
              <w:rPr>
                <w:rFonts w:ascii="Arial" w:cs="Arial" w:eastAsia="Arial" w:hAnsi="Arial"/>
                <w:sz w:val="14"/>
                <w:szCs w:val="14"/>
                <w:color w:val="auto"/>
              </w:rPr>
              <w:t>Variable rate demand notes</w:t>
            </w:r>
          </w:p>
        </w:tc>
        <w:tc>
          <w:tcPr>
            <w:tcW w:w="3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4,001</w:t>
            </w:r>
          </w:p>
        </w:tc>
        <w:tc>
          <w:tcPr>
            <w:tcW w:w="2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4,001</w:t>
            </w:r>
          </w:p>
        </w:tc>
        <w:tc>
          <w:tcPr>
            <w:tcW w:w="22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3200" w:type="dxa"/>
            <w:vAlign w:val="bottom"/>
          </w:tcPr>
          <w:p>
            <w:pPr>
              <w:ind w:left="600"/>
              <w:spacing w:after="0"/>
              <w:rPr>
                <w:sz w:val="20"/>
                <w:szCs w:val="20"/>
                <w:color w:val="auto"/>
              </w:rPr>
            </w:pPr>
            <w:r>
              <w:rPr>
                <w:rFonts w:ascii="Arial" w:cs="Arial" w:eastAsia="Arial" w:hAnsi="Arial"/>
                <w:sz w:val="14"/>
                <w:szCs w:val="14"/>
                <w:color w:val="auto"/>
              </w:rPr>
              <w:t>Total</w:t>
            </w:r>
          </w:p>
        </w:tc>
        <w:tc>
          <w:tcPr>
            <w:tcW w:w="3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820,164</w:t>
            </w:r>
          </w:p>
        </w:tc>
        <w:tc>
          <w:tcPr>
            <w:tcW w:w="220" w:type="dxa"/>
            <w:vAlign w:val="bottom"/>
          </w:tcPr>
          <w:p>
            <w:pPr>
              <w:spacing w:after="0"/>
              <w:rPr>
                <w:sz w:val="15"/>
                <w:szCs w:val="15"/>
                <w:color w:val="auto"/>
              </w:rPr>
            </w:pPr>
          </w:p>
        </w:tc>
        <w:tc>
          <w:tcPr>
            <w:tcW w:w="86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w w:val="94"/>
              </w:rPr>
              <w:t>115</w:t>
            </w:r>
          </w:p>
        </w:tc>
        <w:tc>
          <w:tcPr>
            <w:tcW w:w="240" w:type="dxa"/>
            <w:vAlign w:val="bottom"/>
          </w:tcPr>
          <w:p>
            <w:pPr>
              <w:spacing w:after="0"/>
              <w:rPr>
                <w:sz w:val="15"/>
                <w:szCs w:val="15"/>
                <w:color w:val="auto"/>
              </w:rPr>
            </w:pPr>
          </w:p>
        </w:tc>
        <w:tc>
          <w:tcPr>
            <w:tcW w:w="96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3</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820,276</w:t>
            </w:r>
          </w:p>
        </w:tc>
        <w:tc>
          <w:tcPr>
            <w:tcW w:w="1280" w:type="dxa"/>
            <w:vAlign w:val="bottom"/>
            <w:gridSpan w:val="2"/>
          </w:tcPr>
          <w:p>
            <w:pPr>
              <w:jc w:val="right"/>
              <w:ind w:right="868"/>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Trading</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20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200" w:type="dxa"/>
            <w:vAlign w:val="bottom"/>
          </w:tcPr>
          <w:p>
            <w:pPr>
              <w:ind w:left="40"/>
              <w:spacing w:after="0"/>
              <w:rPr>
                <w:sz w:val="20"/>
                <w:szCs w:val="20"/>
                <w:color w:val="auto"/>
              </w:rPr>
            </w:pPr>
            <w:r>
              <w:rPr>
                <w:rFonts w:ascii="Arial" w:cs="Arial" w:eastAsia="Arial" w:hAnsi="Arial"/>
                <w:sz w:val="14"/>
                <w:szCs w:val="14"/>
                <w:color w:val="auto"/>
              </w:rPr>
              <w:t>Short-term:</w:t>
            </w: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00" w:type="dxa"/>
            <w:vAlign w:val="bottom"/>
          </w:tcPr>
          <w:p>
            <w:pPr>
              <w:ind w:left="220"/>
              <w:spacing w:after="0"/>
              <w:rPr>
                <w:sz w:val="20"/>
                <w:szCs w:val="20"/>
                <w:color w:val="auto"/>
              </w:rPr>
            </w:pPr>
            <w:r>
              <w:rPr>
                <w:rFonts w:ascii="Arial" w:cs="Arial" w:eastAsia="Arial" w:hAnsi="Arial"/>
                <w:sz w:val="14"/>
                <w:szCs w:val="14"/>
                <w:color w:val="auto"/>
              </w:rPr>
              <w:t>Auction rate securities</w:t>
            </w: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3,910</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00" w:type="dxa"/>
            <w:vAlign w:val="bottom"/>
          </w:tcPr>
          <w:p>
            <w:pPr>
              <w:ind w:left="40"/>
              <w:spacing w:after="0"/>
              <w:rPr>
                <w:sz w:val="20"/>
                <w:szCs w:val="20"/>
                <w:color w:val="auto"/>
              </w:rPr>
            </w:pPr>
            <w:r>
              <w:rPr>
                <w:rFonts w:ascii="Arial" w:cs="Arial" w:eastAsia="Arial" w:hAnsi="Arial"/>
                <w:sz w:val="14"/>
                <w:szCs w:val="14"/>
                <w:color w:val="auto"/>
              </w:rPr>
              <w:t>Long-term:</w:t>
            </w: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200" w:type="dxa"/>
            <w:vAlign w:val="bottom"/>
          </w:tcPr>
          <w:p>
            <w:pPr>
              <w:ind w:left="220"/>
              <w:spacing w:after="0"/>
              <w:rPr>
                <w:sz w:val="20"/>
                <w:szCs w:val="20"/>
                <w:color w:val="auto"/>
              </w:rPr>
            </w:pPr>
            <w:r>
              <w:rPr>
                <w:rFonts w:ascii="Arial" w:cs="Arial" w:eastAsia="Arial" w:hAnsi="Arial"/>
                <w:sz w:val="14"/>
                <w:szCs w:val="14"/>
                <w:color w:val="auto"/>
              </w:rPr>
              <w:t>Auction rate securities</w:t>
            </w: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00" w:type="dxa"/>
            <w:vAlign w:val="bottom"/>
          </w:tcPr>
          <w:p>
            <w:pPr>
              <w:ind w:left="600"/>
              <w:spacing w:after="0"/>
              <w:rPr>
                <w:sz w:val="20"/>
                <w:szCs w:val="20"/>
                <w:color w:val="auto"/>
              </w:rPr>
            </w:pPr>
            <w:r>
              <w:rPr>
                <w:rFonts w:ascii="Arial" w:cs="Arial" w:eastAsia="Arial" w:hAnsi="Arial"/>
                <w:sz w:val="14"/>
                <w:szCs w:val="14"/>
                <w:color w:val="auto"/>
              </w:rPr>
              <w:t>Total</w:t>
            </w: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824,186</w:t>
            </w: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During the three-months ended March 31, 2015 and 2014, realized gains or losses recognized on the sale of investments were not significant. During the three-months ended March 31, 2015 and 2014, the net gains recognized on the Company’s trading securities was not significant.</w:t>
      </w:r>
    </w:p>
    <w:p>
      <w:pPr>
        <w:spacing w:after="0" w:line="20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Company’s investments at March 31, 2015 and December 31, 2014 in commercial paper, municipal securities, U.S. government agency securities and/or variable rate demand notes (“VRDNs”) carried investment grade credit ratings. VRDNs are floating rate municipal bonds with embedded put options that allow the bondholder to sell the security at par plus accrued interest. All of the put options are secured by a pledged liquidity source. While they are classified as marketable investment securities, the put option allows the VRDNs to be liquidated at par on a same day, or more generally on a seven day, settlement basis. All of the Company’s investments at March 31, 2015 and December 31, 2014 in municipal, educational or other public body securities with an auction reset feature (“auction rate securities”) also carried investment grade credit ratings.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summarizes the underlying contractual maturities of the Company’s investments at: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9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420" w:type="dxa"/>
            <w:vAlign w:val="bottom"/>
            <w:tcBorders>
              <w:bottom w:val="single" w:sz="8" w:color="auto"/>
            </w:tcBorders>
            <w:gridSpan w:val="4"/>
          </w:tcPr>
          <w:p>
            <w:pPr>
              <w:jc w:val="right"/>
              <w:ind w:right="1081"/>
              <w:spacing w:after="0"/>
              <w:rPr>
                <w:sz w:val="20"/>
                <w:szCs w:val="20"/>
                <w:color w:val="auto"/>
              </w:rPr>
            </w:pPr>
            <w:r>
              <w:rPr>
                <w:rFonts w:ascii="Arial" w:cs="Arial" w:eastAsia="Arial" w:hAnsi="Arial"/>
                <w:sz w:val="20"/>
                <w:szCs w:val="20"/>
                <w:color w:val="auto"/>
              </w:rPr>
              <w:t>March 31, 2015</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360" w:type="dxa"/>
            <w:vAlign w:val="bottom"/>
            <w:tcBorders>
              <w:bottom w:val="single" w:sz="8" w:color="auto"/>
            </w:tcBorders>
            <w:gridSpan w:val="4"/>
          </w:tcPr>
          <w:p>
            <w:pPr>
              <w:jc w:val="right"/>
              <w:ind w:right="901"/>
              <w:spacing w:after="0"/>
              <w:rPr>
                <w:sz w:val="20"/>
                <w:szCs w:val="20"/>
                <w:color w:val="auto"/>
              </w:rPr>
            </w:pPr>
            <w:r>
              <w:rPr>
                <w:rFonts w:ascii="Arial" w:cs="Arial" w:eastAsia="Arial" w:hAnsi="Arial"/>
                <w:sz w:val="20"/>
                <w:szCs w:val="20"/>
                <w:color w:val="auto"/>
              </w:rPr>
              <w:t>December 31, 2014</w:t>
            </w:r>
          </w:p>
        </w:tc>
        <w:tc>
          <w:tcPr>
            <w:tcW w:w="0" w:type="dxa"/>
            <w:vAlign w:val="bottom"/>
          </w:tcPr>
          <w:p>
            <w:pPr>
              <w:spacing w:after="0"/>
              <w:rPr>
                <w:sz w:val="1"/>
                <w:szCs w:val="1"/>
                <w:color w:val="auto"/>
              </w:rPr>
            </w:pPr>
          </w:p>
        </w:tc>
      </w:tr>
      <w:tr>
        <w:trPr>
          <w:trHeight w:val="453"/>
        </w:trPr>
        <w:tc>
          <w:tcPr>
            <w:tcW w:w="3960" w:type="dxa"/>
            <w:vAlign w:val="bottom"/>
            <w:vMerge w:val="restart"/>
          </w:tcPr>
          <w:p>
            <w:pPr>
              <w:spacing w:after="0"/>
              <w:rPr>
                <w:sz w:val="20"/>
                <w:szCs w:val="20"/>
                <w:color w:val="auto"/>
              </w:rPr>
            </w:pPr>
            <w:r>
              <w:rPr>
                <w:rFonts w:ascii="Arial" w:cs="Arial" w:eastAsia="Arial" w:hAnsi="Arial"/>
                <w:sz w:val="20"/>
                <w:szCs w:val="20"/>
                <w:color w:val="auto"/>
              </w:rPr>
              <w:t>Less than 1 year:</w:t>
            </w:r>
          </w:p>
        </w:tc>
        <w:tc>
          <w:tcPr>
            <w:tcW w:w="200" w:type="dxa"/>
            <w:vAlign w:val="bottom"/>
          </w:tcPr>
          <w:p>
            <w:pPr>
              <w:spacing w:after="0"/>
              <w:rPr>
                <w:sz w:val="24"/>
                <w:szCs w:val="24"/>
                <w:color w:val="auto"/>
              </w:rPr>
            </w:pPr>
          </w:p>
        </w:tc>
        <w:tc>
          <w:tcPr>
            <w:tcW w:w="1840" w:type="dxa"/>
            <w:vAlign w:val="bottom"/>
            <w:gridSpan w:val="2"/>
          </w:tcPr>
          <w:p>
            <w:pPr>
              <w:ind w:left="40"/>
              <w:spacing w:after="0"/>
              <w:rPr>
                <w:sz w:val="20"/>
                <w:szCs w:val="20"/>
                <w:color w:val="auto"/>
              </w:rPr>
            </w:pPr>
            <w:r>
              <w:rPr>
                <w:rFonts w:ascii="Arial" w:cs="Arial" w:eastAsia="Arial" w:hAnsi="Arial"/>
                <w:sz w:val="20"/>
                <w:szCs w:val="20"/>
                <w:color w:val="auto"/>
              </w:rPr>
              <w:t>Amortized Cost</w:t>
            </w:r>
          </w:p>
        </w:tc>
        <w:tc>
          <w:tcPr>
            <w:tcW w:w="260" w:type="dxa"/>
            <w:vAlign w:val="bottom"/>
          </w:tcPr>
          <w:p>
            <w:pPr>
              <w:spacing w:after="0"/>
              <w:rPr>
                <w:sz w:val="24"/>
                <w:szCs w:val="24"/>
                <w:color w:val="auto"/>
              </w:rPr>
            </w:pPr>
          </w:p>
        </w:tc>
        <w:tc>
          <w:tcPr>
            <w:tcW w:w="1600" w:type="dxa"/>
            <w:vAlign w:val="bottom"/>
            <w:gridSpan w:val="2"/>
          </w:tcPr>
          <w:p>
            <w:pPr>
              <w:ind w:left="120"/>
              <w:spacing w:after="0"/>
              <w:rPr>
                <w:sz w:val="20"/>
                <w:szCs w:val="20"/>
                <w:color w:val="auto"/>
              </w:rPr>
            </w:pPr>
            <w:r>
              <w:rPr>
                <w:rFonts w:ascii="Arial" w:cs="Arial" w:eastAsia="Arial" w:hAnsi="Arial"/>
                <w:sz w:val="20"/>
                <w:szCs w:val="20"/>
                <w:color w:val="auto"/>
              </w:rPr>
              <w:t>Fair Value</w:t>
            </w:r>
          </w:p>
        </w:tc>
        <w:tc>
          <w:tcPr>
            <w:tcW w:w="200" w:type="dxa"/>
            <w:vAlign w:val="bottom"/>
          </w:tcPr>
          <w:p>
            <w:pPr>
              <w:spacing w:after="0"/>
              <w:rPr>
                <w:sz w:val="24"/>
                <w:szCs w:val="24"/>
                <w:color w:val="auto"/>
              </w:rPr>
            </w:pPr>
          </w:p>
        </w:tc>
        <w:tc>
          <w:tcPr>
            <w:tcW w:w="1800" w:type="dxa"/>
            <w:vAlign w:val="bottom"/>
            <w:gridSpan w:val="2"/>
          </w:tcPr>
          <w:p>
            <w:pPr>
              <w:ind w:left="20"/>
              <w:spacing w:after="0"/>
              <w:rPr>
                <w:sz w:val="20"/>
                <w:szCs w:val="20"/>
                <w:color w:val="auto"/>
              </w:rPr>
            </w:pPr>
            <w:r>
              <w:rPr>
                <w:rFonts w:ascii="Arial" w:cs="Arial" w:eastAsia="Arial" w:hAnsi="Arial"/>
                <w:sz w:val="20"/>
                <w:szCs w:val="20"/>
                <w:color w:val="auto"/>
              </w:rPr>
              <w:t>Amortized Cost</w:t>
            </w:r>
          </w:p>
        </w:tc>
        <w:tc>
          <w:tcPr>
            <w:tcW w:w="260" w:type="dxa"/>
            <w:vAlign w:val="bottom"/>
          </w:tcPr>
          <w:p>
            <w:pPr>
              <w:spacing w:after="0"/>
              <w:rPr>
                <w:sz w:val="24"/>
                <w:szCs w:val="24"/>
                <w:color w:val="auto"/>
              </w:rPr>
            </w:pPr>
          </w:p>
        </w:tc>
        <w:tc>
          <w:tcPr>
            <w:tcW w:w="1300" w:type="dxa"/>
            <w:vAlign w:val="bottom"/>
          </w:tcPr>
          <w:p>
            <w:pPr>
              <w:jc w:val="right"/>
              <w:ind w:right="281"/>
              <w:spacing w:after="0"/>
              <w:rPr>
                <w:sz w:val="20"/>
                <w:szCs w:val="20"/>
                <w:color w:val="auto"/>
              </w:rPr>
            </w:pPr>
            <w:r>
              <w:rPr>
                <w:rFonts w:ascii="Arial" w:cs="Arial" w:eastAsia="Arial" w:hAnsi="Arial"/>
                <w:sz w:val="20"/>
                <w:szCs w:val="20"/>
                <w:color w:val="auto"/>
                <w:w w:val="98"/>
              </w:rPr>
              <w:t>Fair Value</w:t>
            </w:r>
          </w:p>
        </w:tc>
        <w:tc>
          <w:tcPr>
            <w:tcW w:w="0" w:type="dxa"/>
            <w:vAlign w:val="bottom"/>
          </w:tcPr>
          <w:p>
            <w:pPr>
              <w:spacing w:after="0"/>
              <w:rPr>
                <w:sz w:val="1"/>
                <w:szCs w:val="1"/>
                <w:color w:val="auto"/>
              </w:rPr>
            </w:pPr>
          </w:p>
        </w:tc>
      </w:tr>
      <w:tr>
        <w:trPr>
          <w:trHeight w:val="193"/>
        </w:trPr>
        <w:tc>
          <w:tcPr>
            <w:tcW w:w="3960" w:type="dxa"/>
            <w:vAlign w:val="bottom"/>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340"/>
              <w:spacing w:after="0"/>
              <w:rPr>
                <w:sz w:val="20"/>
                <w:szCs w:val="20"/>
                <w:color w:val="auto"/>
              </w:rPr>
            </w:pPr>
            <w:r>
              <w:rPr>
                <w:rFonts w:ascii="Arial" w:cs="Arial" w:eastAsia="Arial" w:hAnsi="Arial"/>
                <w:sz w:val="20"/>
                <w:szCs w:val="20"/>
                <w:color w:val="auto"/>
              </w:rPr>
              <w:t>Commercial paper</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540" w:type="dxa"/>
            <w:vAlign w:val="bottom"/>
          </w:tcPr>
          <w:p>
            <w:pPr>
              <w:jc w:val="right"/>
              <w:ind w:right="1"/>
              <w:spacing w:after="0"/>
              <w:rPr>
                <w:sz w:val="20"/>
                <w:szCs w:val="20"/>
                <w:color w:val="auto"/>
              </w:rPr>
            </w:pPr>
            <w:r>
              <w:rPr>
                <w:rFonts w:ascii="Arial" w:cs="Arial" w:eastAsia="Arial" w:hAnsi="Arial"/>
                <w:sz w:val="20"/>
                <w:szCs w:val="20"/>
                <w:color w:val="auto"/>
              </w:rPr>
              <w:t>15,991</w:t>
            </w:r>
          </w:p>
        </w:tc>
        <w:tc>
          <w:tcPr>
            <w:tcW w:w="300" w:type="dxa"/>
            <w:vAlign w:val="bottom"/>
          </w:tcPr>
          <w:p>
            <w:pPr>
              <w:spacing w:after="0"/>
              <w:rPr>
                <w:sz w:val="19"/>
                <w:szCs w:val="19"/>
                <w:color w:val="auto"/>
              </w:rPr>
            </w:pPr>
          </w:p>
        </w:tc>
        <w:tc>
          <w:tcPr>
            <w:tcW w:w="2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15,990</w:t>
            </w:r>
          </w:p>
        </w:tc>
        <w:tc>
          <w:tcPr>
            <w:tcW w:w="2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500" w:type="dxa"/>
            <w:vAlign w:val="bottom"/>
          </w:tcPr>
          <w:p>
            <w:pPr>
              <w:jc w:val="right"/>
              <w:spacing w:after="0"/>
              <w:rPr>
                <w:sz w:val="20"/>
                <w:szCs w:val="20"/>
                <w:color w:val="auto"/>
              </w:rPr>
            </w:pPr>
            <w:r>
              <w:rPr>
                <w:rFonts w:ascii="Arial" w:cs="Arial" w:eastAsia="Arial" w:hAnsi="Arial"/>
                <w:sz w:val="20"/>
                <w:szCs w:val="20"/>
                <w:color w:val="auto"/>
              </w:rPr>
              <w:t>19,482</w:t>
            </w:r>
          </w:p>
        </w:tc>
        <w:tc>
          <w:tcPr>
            <w:tcW w:w="300" w:type="dxa"/>
            <w:vAlign w:val="bottom"/>
          </w:tcPr>
          <w:p>
            <w:pPr>
              <w:spacing w:after="0"/>
              <w:rPr>
                <w:sz w:val="19"/>
                <w:szCs w:val="19"/>
                <w:color w:val="auto"/>
              </w:rPr>
            </w:pPr>
          </w:p>
        </w:tc>
        <w:tc>
          <w:tcPr>
            <w:tcW w:w="2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300" w:type="dxa"/>
            <w:vAlign w:val="bottom"/>
          </w:tcPr>
          <w:p>
            <w:pPr>
              <w:jc w:val="right"/>
              <w:ind w:right="1"/>
              <w:spacing w:after="0"/>
              <w:rPr>
                <w:sz w:val="20"/>
                <w:szCs w:val="20"/>
                <w:color w:val="auto"/>
              </w:rPr>
            </w:pPr>
            <w:r>
              <w:rPr>
                <w:rFonts w:ascii="Arial" w:cs="Arial" w:eastAsia="Arial" w:hAnsi="Arial"/>
                <w:sz w:val="20"/>
                <w:szCs w:val="20"/>
                <w:color w:val="auto"/>
              </w:rPr>
              <w:t>19,480</w:t>
            </w:r>
          </w:p>
        </w:tc>
        <w:tc>
          <w:tcPr>
            <w:tcW w:w="0" w:type="dxa"/>
            <w:vAlign w:val="bottom"/>
          </w:tcPr>
          <w:p>
            <w:pPr>
              <w:spacing w:after="0"/>
              <w:rPr>
                <w:sz w:val="1"/>
                <w:szCs w:val="1"/>
                <w:color w:val="auto"/>
              </w:rPr>
            </w:pPr>
          </w:p>
        </w:tc>
      </w:tr>
      <w:tr>
        <w:trPr>
          <w:trHeight w:val="230"/>
        </w:trPr>
        <w:tc>
          <w:tcPr>
            <w:tcW w:w="3960" w:type="dxa"/>
            <w:vAlign w:val="bottom"/>
          </w:tcPr>
          <w:p>
            <w:pPr>
              <w:ind w:left="340"/>
              <w:spacing w:after="0"/>
              <w:rPr>
                <w:sz w:val="20"/>
                <w:szCs w:val="20"/>
                <w:color w:val="auto"/>
              </w:rPr>
            </w:pPr>
            <w:r>
              <w:rPr>
                <w:rFonts w:ascii="Arial" w:cs="Arial" w:eastAsia="Arial" w:hAnsi="Arial"/>
                <w:sz w:val="20"/>
                <w:szCs w:val="20"/>
                <w:color w:val="auto"/>
              </w:rPr>
              <w:t>Municipal securities</w:t>
            </w:r>
          </w:p>
        </w:tc>
        <w:tc>
          <w:tcPr>
            <w:tcW w:w="200" w:type="dxa"/>
            <w:vAlign w:val="bottom"/>
          </w:tcPr>
          <w:p>
            <w:pPr>
              <w:spacing w:after="0"/>
              <w:rPr>
                <w:sz w:val="19"/>
                <w:szCs w:val="19"/>
                <w:color w:val="auto"/>
              </w:rPr>
            </w:pPr>
          </w:p>
        </w:tc>
        <w:tc>
          <w:tcPr>
            <w:tcW w:w="1540" w:type="dxa"/>
            <w:vAlign w:val="bottom"/>
          </w:tcPr>
          <w:p>
            <w:pPr>
              <w:jc w:val="right"/>
              <w:ind w:right="1"/>
              <w:spacing w:after="0"/>
              <w:rPr>
                <w:sz w:val="20"/>
                <w:szCs w:val="20"/>
                <w:color w:val="auto"/>
              </w:rPr>
            </w:pPr>
            <w:r>
              <w:rPr>
                <w:rFonts w:ascii="Arial" w:cs="Arial" w:eastAsia="Arial" w:hAnsi="Arial"/>
                <w:sz w:val="20"/>
                <w:szCs w:val="20"/>
                <w:color w:val="auto"/>
              </w:rPr>
              <w:t>622,082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622,130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744,542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1"/>
              <w:spacing w:after="0"/>
              <w:rPr>
                <w:sz w:val="20"/>
                <w:szCs w:val="20"/>
                <w:color w:val="auto"/>
              </w:rPr>
            </w:pPr>
            <w:r>
              <w:rPr>
                <w:rFonts w:ascii="Arial" w:cs="Arial" w:eastAsia="Arial" w:hAnsi="Arial"/>
                <w:sz w:val="20"/>
                <w:szCs w:val="20"/>
                <w:color w:val="auto"/>
              </w:rPr>
              <w:t>744,647</w:t>
            </w:r>
          </w:p>
        </w:tc>
        <w:tc>
          <w:tcPr>
            <w:tcW w:w="0" w:type="dxa"/>
            <w:vAlign w:val="bottom"/>
          </w:tcPr>
          <w:p>
            <w:pPr>
              <w:spacing w:after="0"/>
              <w:rPr>
                <w:sz w:val="1"/>
                <w:szCs w:val="1"/>
                <w:color w:val="auto"/>
              </w:rPr>
            </w:pPr>
          </w:p>
        </w:tc>
      </w:tr>
      <w:tr>
        <w:trPr>
          <w:trHeight w:val="230"/>
        </w:trPr>
        <w:tc>
          <w:tcPr>
            <w:tcW w:w="3960" w:type="dxa"/>
            <w:vAlign w:val="bottom"/>
          </w:tcPr>
          <w:p>
            <w:pPr>
              <w:ind w:left="340"/>
              <w:spacing w:after="0"/>
              <w:rPr>
                <w:sz w:val="20"/>
                <w:szCs w:val="20"/>
                <w:color w:val="auto"/>
              </w:rPr>
            </w:pPr>
            <w:r>
              <w:rPr>
                <w:rFonts w:ascii="Arial" w:cs="Arial" w:eastAsia="Arial" w:hAnsi="Arial"/>
                <w:sz w:val="20"/>
                <w:szCs w:val="20"/>
                <w:color w:val="auto"/>
              </w:rPr>
              <w:t>U.S. government agency securities</w:t>
            </w:r>
          </w:p>
        </w:tc>
        <w:tc>
          <w:tcPr>
            <w:tcW w:w="200" w:type="dxa"/>
            <w:vAlign w:val="bottom"/>
          </w:tcPr>
          <w:p>
            <w:pPr>
              <w:spacing w:after="0"/>
              <w:rPr>
                <w:sz w:val="19"/>
                <w:szCs w:val="19"/>
                <w:color w:val="auto"/>
              </w:rPr>
            </w:pPr>
          </w:p>
        </w:tc>
        <w:tc>
          <w:tcPr>
            <w:tcW w:w="1540" w:type="dxa"/>
            <w:vAlign w:val="bottom"/>
          </w:tcPr>
          <w:p>
            <w:pPr>
              <w:jc w:val="right"/>
              <w:ind w:right="1"/>
              <w:spacing w:after="0"/>
              <w:rPr>
                <w:sz w:val="20"/>
                <w:szCs w:val="20"/>
                <w:color w:val="auto"/>
              </w:rPr>
            </w:pPr>
            <w:r>
              <w:rPr>
                <w:rFonts w:ascii="Arial" w:cs="Arial" w:eastAsia="Arial" w:hAnsi="Arial"/>
                <w:sz w:val="20"/>
                <w:szCs w:val="20"/>
                <w:color w:val="auto"/>
              </w:rPr>
              <w:t>1,401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1,401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9,199</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1"/>
              <w:spacing w:after="0"/>
              <w:rPr>
                <w:sz w:val="20"/>
                <w:szCs w:val="20"/>
                <w:color w:val="auto"/>
              </w:rPr>
            </w:pPr>
            <w:r>
              <w:rPr>
                <w:rFonts w:ascii="Arial" w:cs="Arial" w:eastAsia="Arial" w:hAnsi="Arial"/>
                <w:sz w:val="20"/>
                <w:szCs w:val="20"/>
                <w:color w:val="auto"/>
              </w:rPr>
              <w:t>9,198</w:t>
            </w: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20"/>
                <w:szCs w:val="20"/>
                <w:color w:val="auto"/>
              </w:rPr>
              <w:t>Due 1 - 10 years:</w:t>
            </w: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340"/>
              <w:spacing w:after="0"/>
              <w:rPr>
                <w:sz w:val="20"/>
                <w:szCs w:val="20"/>
                <w:color w:val="auto"/>
              </w:rPr>
            </w:pPr>
            <w:r>
              <w:rPr>
                <w:rFonts w:ascii="Arial" w:cs="Arial" w:eastAsia="Arial" w:hAnsi="Arial"/>
                <w:sz w:val="20"/>
                <w:szCs w:val="20"/>
                <w:color w:val="auto"/>
              </w:rPr>
              <w:t>Municipal securities</w:t>
            </w:r>
          </w:p>
        </w:tc>
        <w:tc>
          <w:tcPr>
            <w:tcW w:w="200" w:type="dxa"/>
            <w:vAlign w:val="bottom"/>
          </w:tcPr>
          <w:p>
            <w:pPr>
              <w:spacing w:after="0"/>
              <w:rPr>
                <w:sz w:val="19"/>
                <w:szCs w:val="19"/>
                <w:color w:val="auto"/>
              </w:rPr>
            </w:pPr>
          </w:p>
        </w:tc>
        <w:tc>
          <w:tcPr>
            <w:tcW w:w="1540" w:type="dxa"/>
            <w:vAlign w:val="bottom"/>
          </w:tcPr>
          <w:p>
            <w:pPr>
              <w:jc w:val="right"/>
              <w:ind w:right="1"/>
              <w:spacing w:after="0"/>
              <w:rPr>
                <w:sz w:val="20"/>
                <w:szCs w:val="20"/>
                <w:color w:val="auto"/>
              </w:rPr>
            </w:pPr>
            <w:r>
              <w:rPr>
                <w:rFonts w:ascii="Arial" w:cs="Arial" w:eastAsia="Arial" w:hAnsi="Arial"/>
                <w:sz w:val="20"/>
                <w:szCs w:val="20"/>
                <w:color w:val="auto"/>
              </w:rPr>
              <w:t>33,662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33,670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42,940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1"/>
              <w:spacing w:after="0"/>
              <w:rPr>
                <w:sz w:val="20"/>
                <w:szCs w:val="20"/>
                <w:color w:val="auto"/>
              </w:rPr>
            </w:pPr>
            <w:r>
              <w:rPr>
                <w:rFonts w:ascii="Arial" w:cs="Arial" w:eastAsia="Arial" w:hAnsi="Arial"/>
                <w:sz w:val="20"/>
                <w:szCs w:val="20"/>
                <w:color w:val="auto"/>
              </w:rPr>
              <w:t>42,950</w:t>
            </w:r>
          </w:p>
        </w:tc>
        <w:tc>
          <w:tcPr>
            <w:tcW w:w="0" w:type="dxa"/>
            <w:vAlign w:val="bottom"/>
          </w:tcPr>
          <w:p>
            <w:pPr>
              <w:spacing w:after="0"/>
              <w:rPr>
                <w:sz w:val="1"/>
                <w:szCs w:val="1"/>
                <w:color w:val="auto"/>
              </w:rPr>
            </w:pPr>
          </w:p>
        </w:tc>
      </w:tr>
      <w:tr>
        <w:trPr>
          <w:trHeight w:val="230"/>
        </w:trPr>
        <w:tc>
          <w:tcPr>
            <w:tcW w:w="3960" w:type="dxa"/>
            <w:vAlign w:val="bottom"/>
          </w:tcPr>
          <w:p>
            <w:pPr>
              <w:ind w:left="340"/>
              <w:spacing w:after="0"/>
              <w:rPr>
                <w:sz w:val="20"/>
                <w:szCs w:val="20"/>
                <w:color w:val="auto"/>
              </w:rPr>
            </w:pPr>
            <w:r>
              <w:rPr>
                <w:rFonts w:ascii="Arial" w:cs="Arial" w:eastAsia="Arial" w:hAnsi="Arial"/>
                <w:sz w:val="20"/>
                <w:szCs w:val="20"/>
                <w:color w:val="auto"/>
              </w:rPr>
              <w:t>U.S. government agency securities</w:t>
            </w:r>
          </w:p>
        </w:tc>
        <w:tc>
          <w:tcPr>
            <w:tcW w:w="200" w:type="dxa"/>
            <w:vAlign w:val="bottom"/>
          </w:tcPr>
          <w:p>
            <w:pPr>
              <w:spacing w:after="0"/>
              <w:rPr>
                <w:sz w:val="19"/>
                <w:szCs w:val="19"/>
                <w:color w:val="auto"/>
              </w:rPr>
            </w:pPr>
          </w:p>
        </w:tc>
        <w:tc>
          <w:tcPr>
            <w:tcW w:w="1540" w:type="dxa"/>
            <w:vAlign w:val="bottom"/>
          </w:tcPr>
          <w:p>
            <w:pPr>
              <w:jc w:val="right"/>
              <w:ind w:right="1"/>
              <w:spacing w:after="0"/>
              <w:rPr>
                <w:sz w:val="20"/>
                <w:szCs w:val="20"/>
                <w:color w:val="auto"/>
              </w:rPr>
            </w:pPr>
            <w:r>
              <w:rPr>
                <w:rFonts w:ascii="Arial" w:cs="Arial" w:eastAsia="Arial" w:hAnsi="Arial"/>
                <w:sz w:val="20"/>
                <w:szCs w:val="20"/>
                <w:color w:val="auto"/>
              </w:rPr>
              <w:t>7,578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7,571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20"/>
                <w:szCs w:val="20"/>
                <w:color w:val="auto"/>
              </w:rPr>
              <w:t>Due 11 - 20 years:</w:t>
            </w: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340"/>
              <w:spacing w:after="0"/>
              <w:rPr>
                <w:sz w:val="20"/>
                <w:szCs w:val="20"/>
                <w:color w:val="auto"/>
              </w:rPr>
            </w:pPr>
            <w:r>
              <w:rPr>
                <w:rFonts w:ascii="Arial" w:cs="Arial" w:eastAsia="Arial" w:hAnsi="Arial"/>
                <w:sz w:val="20"/>
                <w:szCs w:val="20"/>
                <w:color w:val="auto"/>
              </w:rPr>
              <w:t>Auction rate securities</w:t>
            </w:r>
          </w:p>
        </w:tc>
        <w:tc>
          <w:tcPr>
            <w:tcW w:w="200" w:type="dxa"/>
            <w:vAlign w:val="bottom"/>
          </w:tcPr>
          <w:p>
            <w:pPr>
              <w:spacing w:after="0"/>
              <w:rPr>
                <w:sz w:val="19"/>
                <w:szCs w:val="19"/>
                <w:color w:val="auto"/>
              </w:rPr>
            </w:pPr>
          </w:p>
        </w:tc>
        <w:tc>
          <w:tcPr>
            <w:tcW w:w="1540" w:type="dxa"/>
            <w:vAlign w:val="bottom"/>
          </w:tcPr>
          <w:p>
            <w:pPr>
              <w:jc w:val="right"/>
              <w:ind w:right="1"/>
              <w:spacing w:after="0"/>
              <w:rPr>
                <w:sz w:val="20"/>
                <w:szCs w:val="20"/>
                <w:color w:val="auto"/>
              </w:rPr>
            </w:pPr>
            <w:r>
              <w:rPr>
                <w:rFonts w:ascii="Arial" w:cs="Arial" w:eastAsia="Arial" w:hAnsi="Arial"/>
                <w:sz w:val="20"/>
                <w:szCs w:val="20"/>
                <w:color w:val="auto"/>
              </w:rPr>
              <w:t>3,910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3,910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3,910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1"/>
              <w:spacing w:after="0"/>
              <w:rPr>
                <w:sz w:val="20"/>
                <w:szCs w:val="20"/>
                <w:color w:val="auto"/>
              </w:rPr>
            </w:pPr>
            <w:r>
              <w:rPr>
                <w:rFonts w:ascii="Arial" w:cs="Arial" w:eastAsia="Arial" w:hAnsi="Arial"/>
                <w:sz w:val="20"/>
                <w:szCs w:val="20"/>
                <w:color w:val="auto"/>
              </w:rPr>
              <w:t>3,910</w:t>
            </w: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20"/>
                <w:szCs w:val="20"/>
                <w:color w:val="auto"/>
              </w:rPr>
              <w:t>Due 21 - 30 years:</w:t>
            </w: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960" w:type="dxa"/>
            <w:vAlign w:val="bottom"/>
          </w:tcPr>
          <w:p>
            <w:pPr>
              <w:ind w:left="340"/>
              <w:spacing w:after="0"/>
              <w:rPr>
                <w:sz w:val="20"/>
                <w:szCs w:val="20"/>
                <w:color w:val="auto"/>
              </w:rPr>
            </w:pPr>
            <w:r>
              <w:rPr>
                <w:rFonts w:ascii="Arial" w:cs="Arial" w:eastAsia="Arial" w:hAnsi="Arial"/>
                <w:sz w:val="20"/>
                <w:szCs w:val="20"/>
                <w:color w:val="auto"/>
              </w:rPr>
              <w:t>Variable rate demand notes</w:t>
            </w:r>
          </w:p>
        </w:tc>
        <w:tc>
          <w:tcPr>
            <w:tcW w:w="2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3,900</w:t>
            </w:r>
          </w:p>
        </w:tc>
        <w:tc>
          <w:tcPr>
            <w:tcW w:w="3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3,900</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4,001</w:t>
            </w:r>
          </w:p>
        </w:tc>
        <w:tc>
          <w:tcPr>
            <w:tcW w:w="3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4,001</w:t>
            </w:r>
          </w:p>
        </w:tc>
        <w:tc>
          <w:tcPr>
            <w:tcW w:w="0" w:type="dxa"/>
            <w:vAlign w:val="bottom"/>
          </w:tcPr>
          <w:p>
            <w:pPr>
              <w:spacing w:after="0"/>
              <w:rPr>
                <w:sz w:val="1"/>
                <w:szCs w:val="1"/>
                <w:color w:val="auto"/>
              </w:rPr>
            </w:pPr>
          </w:p>
        </w:tc>
      </w:tr>
      <w:tr>
        <w:trPr>
          <w:trHeight w:val="223"/>
        </w:trPr>
        <w:tc>
          <w:tcPr>
            <w:tcW w:w="3960" w:type="dxa"/>
            <w:vAlign w:val="bottom"/>
          </w:tcPr>
          <w:p>
            <w:pPr>
              <w:ind w:left="180"/>
              <w:spacing w:after="0" w:line="223" w:lineRule="exact"/>
              <w:rPr>
                <w:sz w:val="20"/>
                <w:szCs w:val="20"/>
                <w:color w:val="auto"/>
              </w:rPr>
            </w:pPr>
            <w:r>
              <w:rPr>
                <w:rFonts w:ascii="Arial" w:cs="Arial" w:eastAsia="Arial" w:hAnsi="Arial"/>
                <w:sz w:val="20"/>
                <w:szCs w:val="20"/>
                <w:color w:val="auto"/>
              </w:rPr>
              <w:t>Total</w:t>
            </w:r>
          </w:p>
        </w:tc>
        <w:tc>
          <w:tcPr>
            <w:tcW w:w="2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54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688,524</w:t>
            </w:r>
          </w:p>
        </w:tc>
        <w:tc>
          <w:tcPr>
            <w:tcW w:w="300" w:type="dxa"/>
            <w:vAlign w:val="bottom"/>
          </w:tcPr>
          <w:p>
            <w:pPr>
              <w:spacing w:after="0"/>
              <w:rPr>
                <w:sz w:val="19"/>
                <w:szCs w:val="19"/>
                <w:color w:val="auto"/>
              </w:rPr>
            </w:pPr>
          </w:p>
        </w:tc>
        <w:tc>
          <w:tcPr>
            <w:tcW w:w="26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w:t>
            </w:r>
          </w:p>
        </w:tc>
        <w:tc>
          <w:tcPr>
            <w:tcW w:w="13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688,572</w:t>
            </w:r>
          </w:p>
        </w:tc>
        <w:tc>
          <w:tcPr>
            <w:tcW w:w="280" w:type="dxa"/>
            <w:vAlign w:val="bottom"/>
          </w:tcPr>
          <w:p>
            <w:pPr>
              <w:spacing w:after="0"/>
              <w:rPr>
                <w:sz w:val="19"/>
                <w:szCs w:val="19"/>
                <w:color w:val="auto"/>
              </w:rPr>
            </w:pPr>
          </w:p>
        </w:tc>
        <w:tc>
          <w:tcPr>
            <w:tcW w:w="2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5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824,074</w:t>
            </w:r>
          </w:p>
        </w:tc>
        <w:tc>
          <w:tcPr>
            <w:tcW w:w="300" w:type="dxa"/>
            <w:vAlign w:val="bottom"/>
          </w:tcPr>
          <w:p>
            <w:pPr>
              <w:spacing w:after="0"/>
              <w:rPr>
                <w:sz w:val="19"/>
                <w:szCs w:val="19"/>
                <w:color w:val="auto"/>
              </w:rPr>
            </w:pPr>
          </w:p>
        </w:tc>
        <w:tc>
          <w:tcPr>
            <w:tcW w:w="26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w:t>
            </w:r>
          </w:p>
        </w:tc>
        <w:tc>
          <w:tcPr>
            <w:tcW w:w="130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824,186</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4" w:lineRule="exact"/>
        <w:rPr>
          <w:sz w:val="20"/>
          <w:szCs w:val="20"/>
          <w:color w:val="auto"/>
        </w:rPr>
      </w:pPr>
    </w:p>
    <w:p>
      <w:pPr>
        <w:ind w:left="640" w:hanging="632"/>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FAIR VALUE OF CERTAIN FINANCIAL ASSETS AND LIABILITIES</w:t>
      </w:r>
    </w:p>
    <w:p>
      <w:pPr>
        <w:spacing w:after="0" w:line="22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Accounting Standards Codification (“ASC”) 820 provides a framework for measuring fair value and requires disclosures regarding fair value measurements. ASC 820 defines fair value as the price that would be received on the sale of an asset or paid to transfer a liability in an orderly transaction between market participants at the measurement date. ASC 820 also establishes a fair value hierarchy which requires an entity to maximize the use of observable inputs, where available. The three levels of inputs required by the standard that the Company uses to measure fair value are summarized below.</w:t>
      </w:r>
    </w:p>
    <w:p>
      <w:pPr>
        <w:spacing w:after="0" w:line="202" w:lineRule="exact"/>
        <w:rPr>
          <w:sz w:val="20"/>
          <w:szCs w:val="20"/>
          <w:color w:val="auto"/>
        </w:rPr>
      </w:pPr>
    </w:p>
    <w:p>
      <w:pPr>
        <w:ind w:left="620" w:hanging="288"/>
        <w:spacing w:after="0"/>
        <w:tabs>
          <w:tab w:leader="none" w:pos="620" w:val="left"/>
        </w:tabs>
        <w:numPr>
          <w:ilvl w:val="0"/>
          <w:numId w:val="9"/>
        </w:numPr>
        <w:rPr>
          <w:rFonts w:ascii="Arial" w:cs="Arial" w:eastAsia="Arial" w:hAnsi="Arial"/>
          <w:sz w:val="20"/>
          <w:szCs w:val="20"/>
          <w:color w:val="auto"/>
        </w:rPr>
      </w:pPr>
      <w:r>
        <w:rPr>
          <w:rFonts w:ascii="Arial" w:cs="Arial" w:eastAsia="Arial" w:hAnsi="Arial"/>
          <w:sz w:val="20"/>
          <w:szCs w:val="20"/>
          <w:b w:val="1"/>
          <w:bCs w:val="1"/>
          <w:color w:val="auto"/>
        </w:rPr>
        <w:t xml:space="preserve">Level 1: </w:t>
      </w:r>
      <w:r>
        <w:rPr>
          <w:rFonts w:ascii="Arial" w:cs="Arial" w:eastAsia="Arial" w:hAnsi="Arial"/>
          <w:sz w:val="20"/>
          <w:szCs w:val="20"/>
          <w:color w:val="auto"/>
        </w:rPr>
        <w:t>Quoted prices in active markets for identical assets or liabilities.</w:t>
      </w:r>
    </w:p>
    <w:p>
      <w:pPr>
        <w:spacing w:after="0" w:line="229" w:lineRule="exact"/>
        <w:rPr>
          <w:rFonts w:ascii="Arial" w:cs="Arial" w:eastAsia="Arial" w:hAnsi="Arial"/>
          <w:sz w:val="20"/>
          <w:szCs w:val="20"/>
          <w:color w:val="auto"/>
        </w:rPr>
      </w:pPr>
    </w:p>
    <w:p>
      <w:pPr>
        <w:jc w:val="both"/>
        <w:ind w:left="660" w:hanging="328"/>
        <w:spacing w:after="0" w:line="253" w:lineRule="auto"/>
        <w:tabs>
          <w:tab w:leader="none" w:pos="642" w:val="left"/>
        </w:tabs>
        <w:numPr>
          <w:ilvl w:val="0"/>
          <w:numId w:val="9"/>
        </w:numPr>
        <w:rPr>
          <w:rFonts w:ascii="Arial" w:cs="Arial" w:eastAsia="Arial" w:hAnsi="Arial"/>
          <w:sz w:val="20"/>
          <w:szCs w:val="20"/>
          <w:color w:val="auto"/>
        </w:rPr>
      </w:pPr>
      <w:r>
        <w:rPr>
          <w:rFonts w:ascii="Arial" w:cs="Arial" w:eastAsia="Arial" w:hAnsi="Arial"/>
          <w:sz w:val="20"/>
          <w:szCs w:val="20"/>
          <w:b w:val="1"/>
          <w:bCs w:val="1"/>
          <w:color w:val="auto"/>
        </w:rPr>
        <w:t xml:space="preserve">Level 2: </w:t>
      </w:r>
      <w:r>
        <w:rPr>
          <w:rFonts w:ascii="Arial" w:cs="Arial" w:eastAsia="Arial" w:hAnsi="Arial"/>
          <w:sz w:val="20"/>
          <w:szCs w:val="20"/>
          <w:color w:val="auto"/>
        </w:rPr>
        <w:t>Observable inputs other than Level 1 prices, such as quoted prices for similar assets or liabilities; quoted prices in markets that</w:t>
      </w:r>
      <w:r>
        <w:rPr>
          <w:rFonts w:ascii="Arial" w:cs="Arial" w:eastAsia="Arial" w:hAnsi="Arial"/>
          <w:sz w:val="20"/>
          <w:szCs w:val="20"/>
          <w:b w:val="1"/>
          <w:bCs w:val="1"/>
          <w:color w:val="auto"/>
        </w:rPr>
        <w:t xml:space="preserve"> </w:t>
      </w:r>
      <w:r>
        <w:rPr>
          <w:rFonts w:ascii="Arial" w:cs="Arial" w:eastAsia="Arial" w:hAnsi="Arial"/>
          <w:sz w:val="20"/>
          <w:szCs w:val="20"/>
          <w:color w:val="auto"/>
        </w:rPr>
        <w:t>are not active; or other inputs that are observable or can be corroborated by observable market data for substantially the full term of the related assets or liabilities.</w:t>
      </w:r>
    </w:p>
    <w:p>
      <w:pPr>
        <w:sectPr>
          <w:pgSz w:w="11900" w:h="16838" w:orient="portrait"/>
          <w:cols w:equalWidth="0" w:num="1">
            <w:col w:w="11420"/>
          </w:cols>
          <w:pgMar w:left="240" w:top="148" w:right="239" w:bottom="0" w:gutter="0" w:footer="0" w:header="0"/>
        </w:sectPr>
      </w:pPr>
    </w:p>
    <w:bookmarkStart w:id="8" w:name="page9"/>
    <w:bookmarkEnd w:id="8"/>
    <w:p>
      <w:pPr>
        <w:ind w:left="660" w:hanging="328"/>
        <w:spacing w:after="0" w:line="268" w:lineRule="auto"/>
        <w:tabs>
          <w:tab w:leader="none" w:pos="709" w:val="left"/>
        </w:tabs>
        <w:numPr>
          <w:ilvl w:val="0"/>
          <w:numId w:val="10"/>
        </w:numPr>
        <w:rPr>
          <w:rFonts w:ascii="Arial" w:cs="Arial" w:eastAsia="Arial" w:hAnsi="Arial"/>
          <w:sz w:val="20"/>
          <w:szCs w:val="20"/>
          <w:color w:val="auto"/>
        </w:rPr>
      </w:pPr>
      <w:r>
        <w:rPr>
          <w:rFonts w:ascii="Arial" w:cs="Arial" w:eastAsia="Arial" w:hAnsi="Arial"/>
          <w:sz w:val="20"/>
          <w:szCs w:val="20"/>
          <w:b w:val="1"/>
          <w:bCs w:val="1"/>
          <w:color w:val="auto"/>
        </w:rPr>
        <w:t xml:space="preserve">Level 3: </w:t>
      </w:r>
      <w:r>
        <w:rPr>
          <w:rFonts w:ascii="Arial" w:cs="Arial" w:eastAsia="Arial" w:hAnsi="Arial"/>
          <w:sz w:val="20"/>
          <w:szCs w:val="20"/>
          <w:color w:val="auto"/>
        </w:rPr>
        <w:t>Unobservable inputs that are supported by little or no market activity and that are significant to the fair value of the assets or</w:t>
      </w:r>
      <w:r>
        <w:rPr>
          <w:rFonts w:ascii="Arial" w:cs="Arial" w:eastAsia="Arial" w:hAnsi="Arial"/>
          <w:sz w:val="20"/>
          <w:szCs w:val="20"/>
          <w:b w:val="1"/>
          <w:bCs w:val="1"/>
          <w:color w:val="auto"/>
        </w:rPr>
        <w:t xml:space="preserve"> </w:t>
      </w:r>
      <w:r>
        <w:rPr>
          <w:rFonts w:ascii="Arial" w:cs="Arial" w:eastAsia="Arial" w:hAnsi="Arial"/>
          <w:sz w:val="20"/>
          <w:szCs w:val="20"/>
          <w:color w:val="auto"/>
        </w:rPr>
        <w:t>liabilities.</w:t>
      </w:r>
    </w:p>
    <w:p>
      <w:pPr>
        <w:spacing w:after="0" w:line="18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ASC 820 requires the use of observable market inputs (quoted market prices) when measuring fair value and requires a Level 1 quoted price to be used to measure fair value whenever possible.</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following tables present the Company’s held-to-maturity investments at amortized cost as well as the fair value of the Company’s financial assets and liabilities that are recorded at fair value on a recurring basis, segregated among the appropriate levels within the fair value hierarchy at: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23"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left="40" w:right="490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30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March 31, 2015</w:t>
            </w: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21"/>
              <w:spacing w:after="0"/>
              <w:rPr>
                <w:sz w:val="20"/>
                <w:szCs w:val="20"/>
                <w:color w:val="auto"/>
              </w:rPr>
            </w:pPr>
            <w:r>
              <w:rPr>
                <w:rFonts w:ascii="Arial" w:cs="Arial" w:eastAsia="Arial" w:hAnsi="Arial"/>
                <w:sz w:val="20"/>
                <w:szCs w:val="20"/>
                <w:color w:val="auto"/>
              </w:rPr>
              <w:t>Level 1</w:t>
            </w: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21"/>
              <w:spacing w:after="0"/>
              <w:rPr>
                <w:sz w:val="20"/>
                <w:szCs w:val="20"/>
                <w:color w:val="auto"/>
              </w:rPr>
            </w:pPr>
            <w:r>
              <w:rPr>
                <w:rFonts w:ascii="Arial" w:cs="Arial" w:eastAsia="Arial" w:hAnsi="Arial"/>
                <w:sz w:val="20"/>
                <w:szCs w:val="20"/>
                <w:color w:val="auto"/>
              </w:rPr>
              <w:t>Level 2</w:t>
            </w: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21"/>
              <w:spacing w:after="0"/>
              <w:rPr>
                <w:sz w:val="20"/>
                <w:szCs w:val="20"/>
                <w:color w:val="auto"/>
              </w:rPr>
            </w:pPr>
            <w:r>
              <w:rPr>
                <w:rFonts w:ascii="Arial" w:cs="Arial" w:eastAsia="Arial" w:hAnsi="Arial"/>
                <w:sz w:val="20"/>
                <w:szCs w:val="20"/>
                <w:color w:val="auto"/>
              </w:rPr>
              <w:t>Level 3</w:t>
            </w:r>
          </w:p>
        </w:tc>
        <w:tc>
          <w:tcPr>
            <w:tcW w:w="4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color w:val="auto"/>
              </w:rPr>
              <w:t>Total</w:t>
            </w:r>
          </w:p>
        </w:tc>
      </w:tr>
      <w:tr>
        <w:trPr>
          <w:trHeight w:val="206"/>
        </w:trPr>
        <w:tc>
          <w:tcPr>
            <w:tcW w:w="5300" w:type="dxa"/>
            <w:vAlign w:val="bottom"/>
          </w:tcPr>
          <w:p>
            <w:pPr>
              <w:ind w:left="40"/>
              <w:spacing w:after="0" w:line="207" w:lineRule="exact"/>
              <w:rPr>
                <w:sz w:val="20"/>
                <w:szCs w:val="20"/>
                <w:color w:val="auto"/>
              </w:rPr>
            </w:pPr>
            <w:r>
              <w:rPr>
                <w:rFonts w:ascii="Arial" w:cs="Arial" w:eastAsia="Arial" w:hAnsi="Arial"/>
                <w:sz w:val="20"/>
                <w:szCs w:val="20"/>
                <w:color w:val="auto"/>
              </w:rPr>
              <w:t>Cash</w:t>
            </w:r>
          </w:p>
        </w:tc>
        <w:tc>
          <w:tcPr>
            <w:tcW w:w="280" w:type="dxa"/>
            <w:vAlign w:val="bottom"/>
          </w:tcPr>
          <w:p>
            <w:pPr>
              <w:jc w:val="right"/>
              <w:ind w:right="21"/>
              <w:spacing w:after="0" w:line="207" w:lineRule="exact"/>
              <w:rPr>
                <w:sz w:val="20"/>
                <w:szCs w:val="20"/>
                <w:color w:val="auto"/>
              </w:rPr>
            </w:pPr>
            <w:r>
              <w:rPr>
                <w:rFonts w:ascii="Arial" w:cs="Arial" w:eastAsia="Arial" w:hAnsi="Arial"/>
                <w:sz w:val="20"/>
                <w:szCs w:val="20"/>
                <w:color w:val="auto"/>
              </w:rPr>
              <w:t>$</w:t>
            </w:r>
          </w:p>
        </w:tc>
        <w:tc>
          <w:tcPr>
            <w:tcW w:w="1160" w:type="dxa"/>
            <w:vAlign w:val="bottom"/>
          </w:tcPr>
          <w:p>
            <w:pPr>
              <w:jc w:val="right"/>
              <w:ind w:right="21"/>
              <w:spacing w:after="0" w:line="207" w:lineRule="exact"/>
              <w:rPr>
                <w:sz w:val="20"/>
                <w:szCs w:val="20"/>
                <w:color w:val="auto"/>
              </w:rPr>
            </w:pPr>
            <w:r>
              <w:rPr>
                <w:rFonts w:ascii="Arial" w:cs="Arial" w:eastAsia="Arial" w:hAnsi="Arial"/>
                <w:sz w:val="20"/>
                <w:szCs w:val="20"/>
                <w:color w:val="auto"/>
              </w:rPr>
              <w:t>162,105</w:t>
            </w:r>
          </w:p>
        </w:tc>
        <w:tc>
          <w:tcPr>
            <w:tcW w:w="380" w:type="dxa"/>
            <w:vAlign w:val="bottom"/>
          </w:tcPr>
          <w:p>
            <w:pPr>
              <w:jc w:val="right"/>
              <w:ind w:right="61"/>
              <w:spacing w:after="0" w:line="207" w:lineRule="exact"/>
              <w:rPr>
                <w:sz w:val="20"/>
                <w:szCs w:val="20"/>
                <w:color w:val="auto"/>
              </w:rPr>
            </w:pPr>
            <w:r>
              <w:rPr>
                <w:rFonts w:ascii="Arial" w:cs="Arial" w:eastAsia="Arial" w:hAnsi="Arial"/>
                <w:sz w:val="20"/>
                <w:szCs w:val="20"/>
                <w:color w:val="auto"/>
              </w:rPr>
              <w:t>$</w:t>
            </w:r>
          </w:p>
        </w:tc>
        <w:tc>
          <w:tcPr>
            <w:tcW w:w="1180" w:type="dxa"/>
            <w:vAlign w:val="bottom"/>
          </w:tcPr>
          <w:p>
            <w:pPr>
              <w:jc w:val="right"/>
              <w:ind w:right="21"/>
              <w:spacing w:after="0" w:line="207" w:lineRule="exact"/>
              <w:rPr>
                <w:sz w:val="20"/>
                <w:szCs w:val="20"/>
                <w:color w:val="auto"/>
              </w:rPr>
            </w:pPr>
            <w:r>
              <w:rPr>
                <w:rFonts w:ascii="Arial" w:cs="Arial" w:eastAsia="Arial" w:hAnsi="Arial"/>
                <w:sz w:val="20"/>
                <w:szCs w:val="20"/>
                <w:color w:val="auto"/>
              </w:rPr>
              <w:t>-</w:t>
            </w:r>
          </w:p>
        </w:tc>
        <w:tc>
          <w:tcPr>
            <w:tcW w:w="36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1180" w:type="dxa"/>
            <w:vAlign w:val="bottom"/>
          </w:tcPr>
          <w:p>
            <w:pPr>
              <w:jc w:val="right"/>
              <w:ind w:right="21"/>
              <w:spacing w:after="0" w:line="207" w:lineRule="exact"/>
              <w:rPr>
                <w:sz w:val="20"/>
                <w:szCs w:val="20"/>
                <w:color w:val="auto"/>
              </w:rPr>
            </w:pPr>
            <w:r>
              <w:rPr>
                <w:rFonts w:ascii="Arial" w:cs="Arial" w:eastAsia="Arial" w:hAnsi="Arial"/>
                <w:sz w:val="20"/>
                <w:szCs w:val="20"/>
                <w:color w:val="auto"/>
              </w:rPr>
              <w:t>-</w:t>
            </w:r>
          </w:p>
        </w:tc>
        <w:tc>
          <w:tcPr>
            <w:tcW w:w="420" w:type="dxa"/>
            <w:vAlign w:val="bottom"/>
          </w:tcPr>
          <w:p>
            <w:pPr>
              <w:jc w:val="right"/>
              <w:ind w:right="101"/>
              <w:spacing w:after="0" w:line="207" w:lineRule="exact"/>
              <w:rPr>
                <w:sz w:val="20"/>
                <w:szCs w:val="20"/>
                <w:color w:val="auto"/>
              </w:rPr>
            </w:pPr>
            <w:r>
              <w:rPr>
                <w:rFonts w:ascii="Arial" w:cs="Arial" w:eastAsia="Arial" w:hAnsi="Arial"/>
                <w:sz w:val="20"/>
                <w:szCs w:val="20"/>
                <w:color w:val="auto"/>
              </w:rPr>
              <w:t>$</w:t>
            </w:r>
          </w:p>
        </w:tc>
        <w:tc>
          <w:tcPr>
            <w:tcW w:w="1160" w:type="dxa"/>
            <w:vAlign w:val="bottom"/>
          </w:tcPr>
          <w:p>
            <w:pPr>
              <w:jc w:val="right"/>
              <w:ind w:right="41"/>
              <w:spacing w:after="0" w:line="207" w:lineRule="exact"/>
              <w:rPr>
                <w:sz w:val="20"/>
                <w:szCs w:val="20"/>
                <w:color w:val="auto"/>
              </w:rPr>
            </w:pPr>
            <w:r>
              <w:rPr>
                <w:rFonts w:ascii="Arial" w:cs="Arial" w:eastAsia="Arial" w:hAnsi="Arial"/>
                <w:sz w:val="20"/>
                <w:szCs w:val="20"/>
                <w:color w:val="auto"/>
              </w:rPr>
              <w:t>162,105</w:t>
            </w:r>
          </w:p>
        </w:tc>
      </w:tr>
      <w:tr>
        <w:trPr>
          <w:trHeight w:val="230"/>
        </w:trPr>
        <w:tc>
          <w:tcPr>
            <w:tcW w:w="5300" w:type="dxa"/>
            <w:vAlign w:val="bottom"/>
          </w:tcPr>
          <w:p>
            <w:pPr>
              <w:ind w:left="40"/>
              <w:spacing w:after="0"/>
              <w:rPr>
                <w:sz w:val="20"/>
                <w:szCs w:val="20"/>
                <w:color w:val="auto"/>
              </w:rPr>
            </w:pPr>
            <w:r>
              <w:rPr>
                <w:rFonts w:ascii="Arial" w:cs="Arial" w:eastAsia="Arial" w:hAnsi="Arial"/>
                <w:sz w:val="20"/>
                <w:szCs w:val="20"/>
                <w:color w:val="auto"/>
              </w:rPr>
              <w:t>Money market funds</w:t>
            </w:r>
          </w:p>
        </w:tc>
        <w:tc>
          <w:tcPr>
            <w:tcW w:w="28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197,887</w:t>
            </w:r>
          </w:p>
        </w:tc>
        <w:tc>
          <w:tcPr>
            <w:tcW w:w="38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160" w:type="dxa"/>
            <w:vAlign w:val="bottom"/>
          </w:tcPr>
          <w:p>
            <w:pPr>
              <w:jc w:val="right"/>
              <w:ind w:right="41"/>
              <w:spacing w:after="0"/>
              <w:rPr>
                <w:sz w:val="20"/>
                <w:szCs w:val="20"/>
                <w:color w:val="auto"/>
              </w:rPr>
            </w:pPr>
            <w:r>
              <w:rPr>
                <w:rFonts w:ascii="Arial" w:cs="Arial" w:eastAsia="Arial" w:hAnsi="Arial"/>
                <w:sz w:val="20"/>
                <w:szCs w:val="20"/>
                <w:color w:val="auto"/>
              </w:rPr>
              <w:t>197,887</w:t>
            </w:r>
          </w:p>
        </w:tc>
      </w:tr>
      <w:tr>
        <w:trPr>
          <w:trHeight w:val="230"/>
        </w:trPr>
        <w:tc>
          <w:tcPr>
            <w:tcW w:w="5300" w:type="dxa"/>
            <w:vAlign w:val="bottom"/>
          </w:tcPr>
          <w:p>
            <w:pPr>
              <w:ind w:left="40"/>
              <w:spacing w:after="0"/>
              <w:rPr>
                <w:sz w:val="20"/>
                <w:szCs w:val="20"/>
                <w:color w:val="auto"/>
              </w:rPr>
            </w:pPr>
            <w:r>
              <w:rPr>
                <w:rFonts w:ascii="Arial" w:cs="Arial" w:eastAsia="Arial" w:hAnsi="Arial"/>
                <w:sz w:val="20"/>
                <w:szCs w:val="20"/>
                <w:color w:val="auto"/>
              </w:rPr>
              <w:t>Commercial paper</w:t>
            </w:r>
          </w:p>
        </w:tc>
        <w:tc>
          <w:tcPr>
            <w:tcW w:w="28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Arial" w:cs="Arial" w:eastAsia="Arial" w:hAnsi="Arial"/>
                <w:sz w:val="20"/>
                <w:szCs w:val="20"/>
                <w:color w:val="auto"/>
              </w:rPr>
              <w:t>15,991</w:t>
            </w:r>
          </w:p>
        </w:tc>
        <w:tc>
          <w:tcPr>
            <w:tcW w:w="36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160" w:type="dxa"/>
            <w:vAlign w:val="bottom"/>
          </w:tcPr>
          <w:p>
            <w:pPr>
              <w:jc w:val="right"/>
              <w:ind w:right="41"/>
              <w:spacing w:after="0"/>
              <w:rPr>
                <w:sz w:val="20"/>
                <w:szCs w:val="20"/>
                <w:color w:val="auto"/>
              </w:rPr>
            </w:pPr>
            <w:r>
              <w:rPr>
                <w:rFonts w:ascii="Arial" w:cs="Arial" w:eastAsia="Arial" w:hAnsi="Arial"/>
                <w:sz w:val="20"/>
                <w:szCs w:val="20"/>
                <w:color w:val="auto"/>
              </w:rPr>
              <w:t>15,991</w:t>
            </w:r>
          </w:p>
        </w:tc>
      </w:tr>
      <w:tr>
        <w:trPr>
          <w:trHeight w:val="230"/>
        </w:trPr>
        <w:tc>
          <w:tcPr>
            <w:tcW w:w="5300" w:type="dxa"/>
            <w:vAlign w:val="bottom"/>
          </w:tcPr>
          <w:p>
            <w:pPr>
              <w:ind w:left="40"/>
              <w:spacing w:after="0"/>
              <w:rPr>
                <w:sz w:val="20"/>
                <w:szCs w:val="20"/>
                <w:color w:val="auto"/>
              </w:rPr>
            </w:pPr>
            <w:r>
              <w:rPr>
                <w:rFonts w:ascii="Arial" w:cs="Arial" w:eastAsia="Arial" w:hAnsi="Arial"/>
                <w:sz w:val="20"/>
                <w:szCs w:val="20"/>
                <w:color w:val="auto"/>
              </w:rPr>
              <w:t>Municipal securities</w:t>
            </w:r>
          </w:p>
        </w:tc>
        <w:tc>
          <w:tcPr>
            <w:tcW w:w="28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Arial" w:cs="Arial" w:eastAsia="Arial" w:hAnsi="Arial"/>
                <w:sz w:val="20"/>
                <w:szCs w:val="20"/>
                <w:color w:val="auto"/>
              </w:rPr>
              <w:t>658,539</w:t>
            </w:r>
          </w:p>
        </w:tc>
        <w:tc>
          <w:tcPr>
            <w:tcW w:w="36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160" w:type="dxa"/>
            <w:vAlign w:val="bottom"/>
          </w:tcPr>
          <w:p>
            <w:pPr>
              <w:jc w:val="right"/>
              <w:ind w:right="41"/>
              <w:spacing w:after="0"/>
              <w:rPr>
                <w:sz w:val="20"/>
                <w:szCs w:val="20"/>
                <w:color w:val="auto"/>
              </w:rPr>
            </w:pPr>
            <w:r>
              <w:rPr>
                <w:rFonts w:ascii="Arial" w:cs="Arial" w:eastAsia="Arial" w:hAnsi="Arial"/>
                <w:sz w:val="20"/>
                <w:szCs w:val="20"/>
                <w:color w:val="auto"/>
              </w:rPr>
              <w:t>658,539</w:t>
            </w:r>
          </w:p>
        </w:tc>
      </w:tr>
      <w:tr>
        <w:trPr>
          <w:trHeight w:val="230"/>
        </w:trPr>
        <w:tc>
          <w:tcPr>
            <w:tcW w:w="5300" w:type="dxa"/>
            <w:vAlign w:val="bottom"/>
          </w:tcPr>
          <w:p>
            <w:pPr>
              <w:ind w:left="40"/>
              <w:spacing w:after="0"/>
              <w:rPr>
                <w:sz w:val="20"/>
                <w:szCs w:val="20"/>
                <w:color w:val="auto"/>
              </w:rPr>
            </w:pPr>
            <w:r>
              <w:rPr>
                <w:rFonts w:ascii="Arial" w:cs="Arial" w:eastAsia="Arial" w:hAnsi="Arial"/>
                <w:sz w:val="20"/>
                <w:szCs w:val="20"/>
                <w:color w:val="auto"/>
              </w:rPr>
              <w:t>U.S. government agency securities</w:t>
            </w:r>
          </w:p>
        </w:tc>
        <w:tc>
          <w:tcPr>
            <w:tcW w:w="28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Arial" w:cs="Arial" w:eastAsia="Arial" w:hAnsi="Arial"/>
                <w:sz w:val="20"/>
                <w:szCs w:val="20"/>
                <w:color w:val="auto"/>
              </w:rPr>
              <w:t>8,979</w:t>
            </w:r>
          </w:p>
        </w:tc>
        <w:tc>
          <w:tcPr>
            <w:tcW w:w="36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160" w:type="dxa"/>
            <w:vAlign w:val="bottom"/>
          </w:tcPr>
          <w:p>
            <w:pPr>
              <w:jc w:val="right"/>
              <w:ind w:right="41"/>
              <w:spacing w:after="0"/>
              <w:rPr>
                <w:sz w:val="20"/>
                <w:szCs w:val="20"/>
                <w:color w:val="auto"/>
              </w:rPr>
            </w:pPr>
            <w:r>
              <w:rPr>
                <w:rFonts w:ascii="Arial" w:cs="Arial" w:eastAsia="Arial" w:hAnsi="Arial"/>
                <w:sz w:val="20"/>
                <w:szCs w:val="20"/>
                <w:color w:val="auto"/>
              </w:rPr>
              <w:t>8,979</w:t>
            </w:r>
          </w:p>
        </w:tc>
      </w:tr>
      <w:tr>
        <w:trPr>
          <w:trHeight w:val="230"/>
        </w:trPr>
        <w:tc>
          <w:tcPr>
            <w:tcW w:w="5300" w:type="dxa"/>
            <w:vAlign w:val="bottom"/>
          </w:tcPr>
          <w:p>
            <w:pPr>
              <w:ind w:left="40"/>
              <w:spacing w:after="0"/>
              <w:rPr>
                <w:sz w:val="20"/>
                <w:szCs w:val="20"/>
                <w:color w:val="auto"/>
              </w:rPr>
            </w:pPr>
            <w:r>
              <w:rPr>
                <w:rFonts w:ascii="Arial" w:cs="Arial" w:eastAsia="Arial" w:hAnsi="Arial"/>
                <w:sz w:val="20"/>
                <w:szCs w:val="20"/>
                <w:color w:val="auto"/>
              </w:rPr>
              <w:t>Variable rate demand notes</w:t>
            </w:r>
          </w:p>
        </w:tc>
        <w:tc>
          <w:tcPr>
            <w:tcW w:w="28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Arial" w:cs="Arial" w:eastAsia="Arial" w:hAnsi="Arial"/>
                <w:sz w:val="20"/>
                <w:szCs w:val="20"/>
                <w:color w:val="auto"/>
              </w:rPr>
              <w:t>3,900</w:t>
            </w:r>
          </w:p>
        </w:tc>
        <w:tc>
          <w:tcPr>
            <w:tcW w:w="36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160" w:type="dxa"/>
            <w:vAlign w:val="bottom"/>
          </w:tcPr>
          <w:p>
            <w:pPr>
              <w:jc w:val="right"/>
              <w:ind w:right="41"/>
              <w:spacing w:after="0"/>
              <w:rPr>
                <w:sz w:val="20"/>
                <w:szCs w:val="20"/>
                <w:color w:val="auto"/>
              </w:rPr>
            </w:pPr>
            <w:r>
              <w:rPr>
                <w:rFonts w:ascii="Arial" w:cs="Arial" w:eastAsia="Arial" w:hAnsi="Arial"/>
                <w:sz w:val="20"/>
                <w:szCs w:val="20"/>
                <w:color w:val="auto"/>
              </w:rPr>
              <w:t>3,900</w:t>
            </w:r>
          </w:p>
        </w:tc>
      </w:tr>
      <w:tr>
        <w:trPr>
          <w:trHeight w:val="230"/>
        </w:trPr>
        <w:tc>
          <w:tcPr>
            <w:tcW w:w="5300" w:type="dxa"/>
            <w:vAlign w:val="bottom"/>
          </w:tcPr>
          <w:p>
            <w:pPr>
              <w:ind w:left="40"/>
              <w:spacing w:after="0"/>
              <w:rPr>
                <w:sz w:val="20"/>
                <w:szCs w:val="20"/>
                <w:color w:val="auto"/>
              </w:rPr>
            </w:pPr>
            <w:r>
              <w:rPr>
                <w:rFonts w:ascii="Arial" w:cs="Arial" w:eastAsia="Arial" w:hAnsi="Arial"/>
                <w:sz w:val="20"/>
                <w:szCs w:val="20"/>
                <w:color w:val="auto"/>
              </w:rPr>
              <w:t>Auction rate securities</w:t>
            </w:r>
          </w:p>
        </w:tc>
        <w:tc>
          <w:tcPr>
            <w:tcW w:w="28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Arial" w:cs="Arial" w:eastAsia="Arial" w:hAnsi="Arial"/>
                <w:sz w:val="20"/>
                <w:szCs w:val="20"/>
                <w:color w:val="auto"/>
              </w:rPr>
              <w:t>3,910</w:t>
            </w:r>
          </w:p>
        </w:tc>
        <w:tc>
          <w:tcPr>
            <w:tcW w:w="420" w:type="dxa"/>
            <w:vAlign w:val="bottom"/>
          </w:tcPr>
          <w:p>
            <w:pPr>
              <w:spacing w:after="0"/>
              <w:rPr>
                <w:sz w:val="19"/>
                <w:szCs w:val="19"/>
                <w:color w:val="auto"/>
              </w:rPr>
            </w:pPr>
          </w:p>
        </w:tc>
        <w:tc>
          <w:tcPr>
            <w:tcW w:w="1160" w:type="dxa"/>
            <w:vAlign w:val="bottom"/>
          </w:tcPr>
          <w:p>
            <w:pPr>
              <w:jc w:val="right"/>
              <w:ind w:right="41"/>
              <w:spacing w:after="0"/>
              <w:rPr>
                <w:sz w:val="20"/>
                <w:szCs w:val="20"/>
                <w:color w:val="auto"/>
              </w:rPr>
            </w:pPr>
            <w:r>
              <w:rPr>
                <w:rFonts w:ascii="Arial" w:cs="Arial" w:eastAsia="Arial" w:hAnsi="Arial"/>
                <w:sz w:val="20"/>
                <w:szCs w:val="20"/>
                <w:color w:val="auto"/>
              </w:rPr>
              <w:t>3,910</w:t>
            </w:r>
          </w:p>
        </w:tc>
      </w:tr>
      <w:tr>
        <w:trPr>
          <w:trHeight w:val="230"/>
        </w:trPr>
        <w:tc>
          <w:tcPr>
            <w:tcW w:w="5300" w:type="dxa"/>
            <w:vAlign w:val="bottom"/>
          </w:tcPr>
          <w:p>
            <w:pPr>
              <w:ind w:left="40"/>
              <w:spacing w:after="0"/>
              <w:rPr>
                <w:sz w:val="20"/>
                <w:szCs w:val="20"/>
                <w:color w:val="auto"/>
              </w:rPr>
            </w:pPr>
            <w:r>
              <w:rPr>
                <w:rFonts w:ascii="Arial" w:cs="Arial" w:eastAsia="Arial" w:hAnsi="Arial"/>
                <w:sz w:val="20"/>
                <w:szCs w:val="20"/>
                <w:color w:val="auto"/>
              </w:rPr>
              <w:t>Put option related to auction rate securities</w:t>
            </w:r>
          </w:p>
        </w:tc>
        <w:tc>
          <w:tcPr>
            <w:tcW w:w="28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Arial" w:cs="Arial" w:eastAsia="Arial" w:hAnsi="Arial"/>
                <w:sz w:val="20"/>
                <w:szCs w:val="20"/>
                <w:color w:val="auto"/>
              </w:rPr>
              <w:t>250</w:t>
            </w:r>
          </w:p>
        </w:tc>
        <w:tc>
          <w:tcPr>
            <w:tcW w:w="420" w:type="dxa"/>
            <w:vAlign w:val="bottom"/>
          </w:tcPr>
          <w:p>
            <w:pPr>
              <w:spacing w:after="0"/>
              <w:rPr>
                <w:sz w:val="19"/>
                <w:szCs w:val="19"/>
                <w:color w:val="auto"/>
              </w:rPr>
            </w:pPr>
          </w:p>
        </w:tc>
        <w:tc>
          <w:tcPr>
            <w:tcW w:w="1160" w:type="dxa"/>
            <w:vAlign w:val="bottom"/>
          </w:tcPr>
          <w:p>
            <w:pPr>
              <w:jc w:val="right"/>
              <w:ind w:right="41"/>
              <w:spacing w:after="0"/>
              <w:rPr>
                <w:sz w:val="20"/>
                <w:szCs w:val="20"/>
                <w:color w:val="auto"/>
              </w:rPr>
            </w:pPr>
            <w:r>
              <w:rPr>
                <w:rFonts w:ascii="Arial" w:cs="Arial" w:eastAsia="Arial" w:hAnsi="Arial"/>
                <w:sz w:val="20"/>
                <w:szCs w:val="20"/>
                <w:color w:val="auto"/>
              </w:rPr>
              <w:t>250</w:t>
            </w:r>
          </w:p>
        </w:tc>
      </w:tr>
      <w:tr>
        <w:trPr>
          <w:trHeight w:val="246"/>
        </w:trPr>
        <w:tc>
          <w:tcPr>
            <w:tcW w:w="5300" w:type="dxa"/>
            <w:vAlign w:val="bottom"/>
          </w:tcPr>
          <w:p>
            <w:pPr>
              <w:ind w:left="40"/>
              <w:spacing w:after="0"/>
              <w:rPr>
                <w:sz w:val="20"/>
                <w:szCs w:val="20"/>
                <w:color w:val="auto"/>
              </w:rPr>
            </w:pPr>
            <w:r>
              <w:rPr>
                <w:rFonts w:ascii="Arial" w:cs="Arial" w:eastAsia="Arial" w:hAnsi="Arial"/>
                <w:sz w:val="20"/>
                <w:szCs w:val="20"/>
                <w:color w:val="auto"/>
              </w:rPr>
              <w:t>Foreign currency derivatives</w:t>
            </w: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216</w:t>
            </w: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4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216</w:t>
            </w:r>
          </w:p>
        </w:tc>
      </w:tr>
      <w:tr>
        <w:trPr>
          <w:trHeight w:val="223"/>
        </w:trPr>
        <w:tc>
          <w:tcPr>
            <w:tcW w:w="5300" w:type="dxa"/>
            <w:vAlign w:val="bottom"/>
          </w:tcPr>
          <w:p>
            <w:pPr>
              <w:ind w:left="200"/>
              <w:spacing w:after="0" w:line="223" w:lineRule="exact"/>
              <w:rPr>
                <w:sz w:val="20"/>
                <w:szCs w:val="20"/>
                <w:color w:val="auto"/>
              </w:rPr>
            </w:pPr>
            <w:r>
              <w:rPr>
                <w:rFonts w:ascii="Arial" w:cs="Arial" w:eastAsia="Arial" w:hAnsi="Arial"/>
                <w:sz w:val="20"/>
                <w:szCs w:val="20"/>
                <w:color w:val="auto"/>
              </w:rPr>
              <w:t>Total</w:t>
            </w:r>
          </w:p>
        </w:tc>
        <w:tc>
          <w:tcPr>
            <w:tcW w:w="28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359,992</w:t>
            </w:r>
          </w:p>
        </w:tc>
        <w:tc>
          <w:tcPr>
            <w:tcW w:w="38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687,625</w:t>
            </w:r>
          </w:p>
        </w:tc>
        <w:tc>
          <w:tcPr>
            <w:tcW w:w="36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4,160</w:t>
            </w:r>
          </w:p>
        </w:tc>
        <w:tc>
          <w:tcPr>
            <w:tcW w:w="420" w:type="dxa"/>
            <w:vAlign w:val="bottom"/>
            <w:tcBorders>
              <w:bottom w:val="single" w:sz="8" w:color="auto"/>
            </w:tcBorders>
          </w:tcPr>
          <w:p>
            <w:pPr>
              <w:jc w:val="right"/>
              <w:ind w:right="101"/>
              <w:spacing w:after="0" w:line="223" w:lineRule="exact"/>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1,051,777</w:t>
            </w:r>
          </w:p>
        </w:tc>
      </w:tr>
      <w:tr>
        <w:trPr>
          <w:trHeight w:val="20"/>
        </w:trPr>
        <w:tc>
          <w:tcPr>
            <w:tcW w:w="5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5" w:right="239" w:bottom="0" w:gutter="0" w:footer="0" w:header="0"/>
        </w:sectPr>
      </w:pPr>
    </w:p>
    <w:p>
      <w:pPr>
        <w:spacing w:after="0" w:line="13" w:lineRule="exact"/>
        <w:rPr>
          <w:sz w:val="20"/>
          <w:szCs w:val="20"/>
          <w:color w:val="auto"/>
        </w:rPr>
      </w:pPr>
    </w:p>
    <w:p>
      <w:pPr>
        <w:ind w:left="40"/>
        <w:spacing w:after="0"/>
        <w:rPr>
          <w:sz w:val="20"/>
          <w:szCs w:val="20"/>
          <w:color w:val="auto"/>
        </w:rPr>
      </w:pPr>
      <w:r>
        <w:rPr>
          <w:rFonts w:ascii="Arial" w:cs="Arial" w:eastAsia="Arial" w:hAnsi="Arial"/>
          <w:sz w:val="20"/>
          <w:szCs w:val="20"/>
          <w:color w:val="auto"/>
        </w:rPr>
        <w:t>Amounts included in:</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20"/>
          <w:szCs w:val="20"/>
          <w:color w:val="auto"/>
        </w:rPr>
        <w:t>Cash and cash equivalents</w:t>
      </w:r>
    </w:p>
    <w:p>
      <w:pPr>
        <w:ind w:left="100"/>
        <w:spacing w:after="0"/>
        <w:rPr>
          <w:sz w:val="20"/>
          <w:szCs w:val="20"/>
          <w:color w:val="auto"/>
        </w:rPr>
      </w:pPr>
      <w:r>
        <w:rPr>
          <w:rFonts w:ascii="Arial" w:cs="Arial" w:eastAsia="Arial" w:hAnsi="Arial"/>
          <w:sz w:val="20"/>
          <w:szCs w:val="20"/>
          <w:color w:val="auto"/>
        </w:rPr>
        <w:t>Short-term investments</w:t>
      </w:r>
    </w:p>
    <w:p>
      <w:pPr>
        <w:ind w:left="100"/>
        <w:spacing w:after="0"/>
        <w:rPr>
          <w:sz w:val="20"/>
          <w:szCs w:val="20"/>
          <w:color w:val="auto"/>
        </w:rPr>
      </w:pPr>
      <w:r>
        <w:rPr>
          <w:rFonts w:ascii="Arial" w:cs="Arial" w:eastAsia="Arial" w:hAnsi="Arial"/>
          <w:sz w:val="20"/>
          <w:szCs w:val="20"/>
          <w:color w:val="auto"/>
        </w:rPr>
        <w:t>Accounts receivable, net</w:t>
      </w:r>
    </w:p>
    <w:p>
      <w:pPr>
        <w:ind w:left="100"/>
        <w:spacing w:after="0"/>
        <w:rPr>
          <w:sz w:val="20"/>
          <w:szCs w:val="20"/>
          <w:color w:val="auto"/>
        </w:rPr>
      </w:pPr>
      <w:r>
        <w:rPr>
          <w:rFonts w:ascii="Arial" w:cs="Arial" w:eastAsia="Arial" w:hAnsi="Arial"/>
          <w:sz w:val="20"/>
          <w:szCs w:val="20"/>
          <w:color w:val="auto"/>
        </w:rPr>
        <w:t>Investments</w:t>
      </w:r>
    </w:p>
    <w:p>
      <w:pPr>
        <w:ind w:left="100" w:right="1200"/>
        <w:spacing w:after="0" w:line="244" w:lineRule="auto"/>
        <w:rPr>
          <w:sz w:val="20"/>
          <w:szCs w:val="20"/>
          <w:color w:val="auto"/>
        </w:rPr>
      </w:pPr>
      <w:r>
        <w:rPr>
          <w:rFonts w:ascii="Arial" w:cs="Arial" w:eastAsia="Arial" w:hAnsi="Arial"/>
          <w:sz w:val="20"/>
          <w:szCs w:val="20"/>
          <w:color w:val="auto"/>
        </w:rPr>
        <w:t>Prepaid expenses and other current assets Accrued liabilities</w:t>
      </w:r>
    </w:p>
    <w:p>
      <w:pPr>
        <w:spacing w:after="0" w:line="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Total</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2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21"/>
              <w:spacing w:after="0"/>
              <w:rPr>
                <w:sz w:val="20"/>
                <w:szCs w:val="20"/>
                <w:color w:val="auto"/>
              </w:rPr>
            </w:pPr>
            <w:r>
              <w:rPr>
                <w:rFonts w:ascii="Arial" w:cs="Arial" w:eastAsia="Arial" w:hAnsi="Arial"/>
                <w:sz w:val="20"/>
                <w:szCs w:val="20"/>
                <w:color w:val="auto"/>
              </w:rPr>
              <w:t>359,992</w:t>
            </w:r>
          </w:p>
        </w:tc>
        <w:tc>
          <w:tcPr>
            <w:tcW w:w="52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1080" w:type="dxa"/>
            <w:vAlign w:val="bottom"/>
          </w:tcPr>
          <w:p>
            <w:pPr>
              <w:jc w:val="right"/>
              <w:ind w:right="61"/>
              <w:spacing w:after="0"/>
              <w:rPr>
                <w:sz w:val="20"/>
                <w:szCs w:val="20"/>
                <w:color w:val="auto"/>
              </w:rPr>
            </w:pPr>
            <w:r>
              <w:rPr>
                <w:rFonts w:ascii="Arial" w:cs="Arial" w:eastAsia="Arial" w:hAnsi="Arial"/>
                <w:sz w:val="20"/>
                <w:szCs w:val="20"/>
                <w:color w:val="auto"/>
              </w:rPr>
              <w:t>2,795</w:t>
            </w:r>
          </w:p>
        </w:tc>
        <w:tc>
          <w:tcPr>
            <w:tcW w:w="560" w:type="dxa"/>
            <w:vAlign w:val="bottom"/>
          </w:tcPr>
          <w:p>
            <w:pPr>
              <w:jc w:val="right"/>
              <w:ind w:right="281"/>
              <w:spacing w:after="0"/>
              <w:rPr>
                <w:sz w:val="20"/>
                <w:szCs w:val="20"/>
                <w:color w:val="auto"/>
              </w:rPr>
            </w:pPr>
            <w:r>
              <w:rPr>
                <w:rFonts w:ascii="Arial" w:cs="Arial" w:eastAsia="Arial" w:hAnsi="Arial"/>
                <w:sz w:val="20"/>
                <w:szCs w:val="20"/>
                <w:color w:val="auto"/>
              </w:rPr>
              <w:t>$</w:t>
            </w:r>
          </w:p>
        </w:tc>
        <w:tc>
          <w:tcPr>
            <w:tcW w:w="9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44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41"/>
              <w:spacing w:after="0"/>
              <w:rPr>
                <w:sz w:val="20"/>
                <w:szCs w:val="20"/>
                <w:color w:val="auto"/>
              </w:rPr>
            </w:pPr>
            <w:r>
              <w:rPr>
                <w:rFonts w:ascii="Arial" w:cs="Arial" w:eastAsia="Arial" w:hAnsi="Arial"/>
                <w:sz w:val="20"/>
                <w:szCs w:val="20"/>
                <w:color w:val="auto"/>
              </w:rPr>
              <w:t>362,787</w:t>
            </w:r>
          </w:p>
        </w:tc>
      </w:tr>
      <w:tr>
        <w:trPr>
          <w:trHeight w:val="230"/>
        </w:trPr>
        <w:tc>
          <w:tcPr>
            <w:tcW w:w="42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520" w:type="dxa"/>
            <w:vAlign w:val="bottom"/>
          </w:tcPr>
          <w:p>
            <w:pPr>
              <w:spacing w:after="0"/>
              <w:rPr>
                <w:sz w:val="19"/>
                <w:szCs w:val="19"/>
                <w:color w:val="auto"/>
              </w:rPr>
            </w:pPr>
          </w:p>
        </w:tc>
        <w:tc>
          <w:tcPr>
            <w:tcW w:w="1080" w:type="dxa"/>
            <w:vAlign w:val="bottom"/>
          </w:tcPr>
          <w:p>
            <w:pPr>
              <w:jc w:val="right"/>
              <w:ind w:right="61"/>
              <w:spacing w:after="0"/>
              <w:rPr>
                <w:sz w:val="20"/>
                <w:szCs w:val="20"/>
                <w:color w:val="auto"/>
              </w:rPr>
            </w:pPr>
            <w:r>
              <w:rPr>
                <w:rFonts w:ascii="Arial" w:cs="Arial" w:eastAsia="Arial" w:hAnsi="Arial"/>
                <w:sz w:val="20"/>
                <w:szCs w:val="20"/>
                <w:color w:val="auto"/>
              </w:rPr>
              <w:t>643,374</w:t>
            </w:r>
          </w:p>
        </w:tc>
        <w:tc>
          <w:tcPr>
            <w:tcW w:w="560" w:type="dxa"/>
            <w:vAlign w:val="bottom"/>
          </w:tcPr>
          <w:p>
            <w:pPr>
              <w:spacing w:after="0"/>
              <w:rPr>
                <w:sz w:val="19"/>
                <w:szCs w:val="19"/>
                <w:color w:val="auto"/>
              </w:rPr>
            </w:pPr>
          </w:p>
        </w:tc>
        <w:tc>
          <w:tcPr>
            <w:tcW w:w="940" w:type="dxa"/>
            <w:vAlign w:val="bottom"/>
          </w:tcPr>
          <w:p>
            <w:pPr>
              <w:jc w:val="right"/>
              <w:ind w:right="21"/>
              <w:spacing w:after="0"/>
              <w:rPr>
                <w:sz w:val="20"/>
                <w:szCs w:val="20"/>
                <w:color w:val="auto"/>
              </w:rPr>
            </w:pPr>
            <w:r>
              <w:rPr>
                <w:rFonts w:ascii="Arial" w:cs="Arial" w:eastAsia="Arial" w:hAnsi="Arial"/>
                <w:sz w:val="20"/>
                <w:szCs w:val="20"/>
                <w:color w:val="auto"/>
              </w:rPr>
              <w:t>3,910</w:t>
            </w:r>
          </w:p>
        </w:tc>
        <w:tc>
          <w:tcPr>
            <w:tcW w:w="440" w:type="dxa"/>
            <w:vAlign w:val="bottom"/>
          </w:tcPr>
          <w:p>
            <w:pPr>
              <w:spacing w:after="0"/>
              <w:rPr>
                <w:sz w:val="19"/>
                <w:szCs w:val="19"/>
                <w:color w:val="auto"/>
              </w:rPr>
            </w:pPr>
          </w:p>
        </w:tc>
        <w:tc>
          <w:tcPr>
            <w:tcW w:w="1140" w:type="dxa"/>
            <w:vAlign w:val="bottom"/>
          </w:tcPr>
          <w:p>
            <w:pPr>
              <w:jc w:val="right"/>
              <w:ind w:right="41"/>
              <w:spacing w:after="0"/>
              <w:rPr>
                <w:sz w:val="20"/>
                <w:szCs w:val="20"/>
                <w:color w:val="auto"/>
              </w:rPr>
            </w:pPr>
            <w:r>
              <w:rPr>
                <w:rFonts w:ascii="Arial" w:cs="Arial" w:eastAsia="Arial" w:hAnsi="Arial"/>
                <w:sz w:val="20"/>
                <w:szCs w:val="20"/>
                <w:color w:val="auto"/>
              </w:rPr>
              <w:t>647,284</w:t>
            </w:r>
          </w:p>
        </w:tc>
      </w:tr>
      <w:tr>
        <w:trPr>
          <w:trHeight w:val="230"/>
        </w:trPr>
        <w:tc>
          <w:tcPr>
            <w:tcW w:w="42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520" w:type="dxa"/>
            <w:vAlign w:val="bottom"/>
          </w:tcPr>
          <w:p>
            <w:pPr>
              <w:spacing w:after="0"/>
              <w:rPr>
                <w:sz w:val="19"/>
                <w:szCs w:val="19"/>
                <w:color w:val="auto"/>
              </w:rPr>
            </w:pPr>
          </w:p>
        </w:tc>
        <w:tc>
          <w:tcPr>
            <w:tcW w:w="1080" w:type="dxa"/>
            <w:vAlign w:val="bottom"/>
          </w:tcPr>
          <w:p>
            <w:pPr>
              <w:jc w:val="right"/>
              <w:ind w:right="61"/>
              <w:spacing w:after="0"/>
              <w:rPr>
                <w:sz w:val="20"/>
                <w:szCs w:val="20"/>
                <w:color w:val="auto"/>
              </w:rPr>
            </w:pPr>
            <w:r>
              <w:rPr>
                <w:rFonts w:ascii="Arial" w:cs="Arial" w:eastAsia="Arial" w:hAnsi="Arial"/>
                <w:sz w:val="20"/>
                <w:szCs w:val="20"/>
                <w:color w:val="auto"/>
              </w:rPr>
              <w:t>393</w:t>
            </w:r>
          </w:p>
        </w:tc>
        <w:tc>
          <w:tcPr>
            <w:tcW w:w="560" w:type="dxa"/>
            <w:vAlign w:val="bottom"/>
          </w:tcPr>
          <w:p>
            <w:pPr>
              <w:spacing w:after="0"/>
              <w:rPr>
                <w:sz w:val="19"/>
                <w:szCs w:val="19"/>
                <w:color w:val="auto"/>
              </w:rPr>
            </w:pPr>
          </w:p>
        </w:tc>
        <w:tc>
          <w:tcPr>
            <w:tcW w:w="9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19"/>
                <w:szCs w:val="19"/>
                <w:color w:val="auto"/>
              </w:rPr>
            </w:pPr>
          </w:p>
        </w:tc>
        <w:tc>
          <w:tcPr>
            <w:tcW w:w="1140" w:type="dxa"/>
            <w:vAlign w:val="bottom"/>
          </w:tcPr>
          <w:p>
            <w:pPr>
              <w:jc w:val="right"/>
              <w:ind w:right="41"/>
              <w:spacing w:after="0"/>
              <w:rPr>
                <w:sz w:val="20"/>
                <w:szCs w:val="20"/>
                <w:color w:val="auto"/>
              </w:rPr>
            </w:pPr>
            <w:r>
              <w:rPr>
                <w:rFonts w:ascii="Arial" w:cs="Arial" w:eastAsia="Arial" w:hAnsi="Arial"/>
                <w:sz w:val="20"/>
                <w:szCs w:val="20"/>
                <w:color w:val="auto"/>
              </w:rPr>
              <w:t>393</w:t>
            </w:r>
          </w:p>
        </w:tc>
      </w:tr>
      <w:tr>
        <w:trPr>
          <w:trHeight w:val="230"/>
        </w:trPr>
        <w:tc>
          <w:tcPr>
            <w:tcW w:w="42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520" w:type="dxa"/>
            <w:vAlign w:val="bottom"/>
          </w:tcPr>
          <w:p>
            <w:pPr>
              <w:spacing w:after="0"/>
              <w:rPr>
                <w:sz w:val="19"/>
                <w:szCs w:val="19"/>
                <w:color w:val="auto"/>
              </w:rPr>
            </w:pPr>
          </w:p>
        </w:tc>
        <w:tc>
          <w:tcPr>
            <w:tcW w:w="1080" w:type="dxa"/>
            <w:vAlign w:val="bottom"/>
          </w:tcPr>
          <w:p>
            <w:pPr>
              <w:jc w:val="right"/>
              <w:ind w:right="61"/>
              <w:spacing w:after="0"/>
              <w:rPr>
                <w:sz w:val="20"/>
                <w:szCs w:val="20"/>
                <w:color w:val="auto"/>
              </w:rPr>
            </w:pPr>
            <w:r>
              <w:rPr>
                <w:rFonts w:ascii="Arial" w:cs="Arial" w:eastAsia="Arial" w:hAnsi="Arial"/>
                <w:sz w:val="20"/>
                <w:szCs w:val="20"/>
                <w:color w:val="auto"/>
              </w:rPr>
              <w:t>41,240</w:t>
            </w:r>
          </w:p>
        </w:tc>
        <w:tc>
          <w:tcPr>
            <w:tcW w:w="560" w:type="dxa"/>
            <w:vAlign w:val="bottom"/>
          </w:tcPr>
          <w:p>
            <w:pPr>
              <w:spacing w:after="0"/>
              <w:rPr>
                <w:sz w:val="19"/>
                <w:szCs w:val="19"/>
                <w:color w:val="auto"/>
              </w:rPr>
            </w:pPr>
          </w:p>
        </w:tc>
        <w:tc>
          <w:tcPr>
            <w:tcW w:w="9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19"/>
                <w:szCs w:val="19"/>
                <w:color w:val="auto"/>
              </w:rPr>
            </w:pPr>
          </w:p>
        </w:tc>
        <w:tc>
          <w:tcPr>
            <w:tcW w:w="1140" w:type="dxa"/>
            <w:vAlign w:val="bottom"/>
          </w:tcPr>
          <w:p>
            <w:pPr>
              <w:jc w:val="right"/>
              <w:ind w:right="41"/>
              <w:spacing w:after="0"/>
              <w:rPr>
                <w:sz w:val="20"/>
                <w:szCs w:val="20"/>
                <w:color w:val="auto"/>
              </w:rPr>
            </w:pPr>
            <w:r>
              <w:rPr>
                <w:rFonts w:ascii="Arial" w:cs="Arial" w:eastAsia="Arial" w:hAnsi="Arial"/>
                <w:sz w:val="20"/>
                <w:szCs w:val="20"/>
                <w:color w:val="auto"/>
              </w:rPr>
              <w:t>41,240</w:t>
            </w:r>
          </w:p>
        </w:tc>
      </w:tr>
      <w:tr>
        <w:trPr>
          <w:trHeight w:val="230"/>
        </w:trPr>
        <w:tc>
          <w:tcPr>
            <w:tcW w:w="42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520" w:type="dxa"/>
            <w:vAlign w:val="bottom"/>
          </w:tcPr>
          <w:p>
            <w:pPr>
              <w:spacing w:after="0"/>
              <w:rPr>
                <w:sz w:val="19"/>
                <w:szCs w:val="19"/>
                <w:color w:val="auto"/>
              </w:rPr>
            </w:pPr>
          </w:p>
        </w:tc>
        <w:tc>
          <w:tcPr>
            <w:tcW w:w="108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60" w:type="dxa"/>
            <w:vAlign w:val="bottom"/>
          </w:tcPr>
          <w:p>
            <w:pPr>
              <w:spacing w:after="0"/>
              <w:rPr>
                <w:sz w:val="19"/>
                <w:szCs w:val="19"/>
                <w:color w:val="auto"/>
              </w:rPr>
            </w:pPr>
          </w:p>
        </w:tc>
        <w:tc>
          <w:tcPr>
            <w:tcW w:w="940" w:type="dxa"/>
            <w:vAlign w:val="bottom"/>
          </w:tcPr>
          <w:p>
            <w:pPr>
              <w:jc w:val="right"/>
              <w:ind w:right="21"/>
              <w:spacing w:after="0"/>
              <w:rPr>
                <w:sz w:val="20"/>
                <w:szCs w:val="20"/>
                <w:color w:val="auto"/>
              </w:rPr>
            </w:pPr>
            <w:r>
              <w:rPr>
                <w:rFonts w:ascii="Arial" w:cs="Arial" w:eastAsia="Arial" w:hAnsi="Arial"/>
                <w:sz w:val="20"/>
                <w:szCs w:val="20"/>
                <w:color w:val="auto"/>
              </w:rPr>
              <w:t>250</w:t>
            </w:r>
          </w:p>
        </w:tc>
        <w:tc>
          <w:tcPr>
            <w:tcW w:w="440" w:type="dxa"/>
            <w:vAlign w:val="bottom"/>
          </w:tcPr>
          <w:p>
            <w:pPr>
              <w:spacing w:after="0"/>
              <w:rPr>
                <w:sz w:val="19"/>
                <w:szCs w:val="19"/>
                <w:color w:val="auto"/>
              </w:rPr>
            </w:pPr>
          </w:p>
        </w:tc>
        <w:tc>
          <w:tcPr>
            <w:tcW w:w="1140" w:type="dxa"/>
            <w:vAlign w:val="bottom"/>
          </w:tcPr>
          <w:p>
            <w:pPr>
              <w:jc w:val="right"/>
              <w:ind w:right="41"/>
              <w:spacing w:after="0"/>
              <w:rPr>
                <w:sz w:val="20"/>
                <w:szCs w:val="20"/>
                <w:color w:val="auto"/>
              </w:rPr>
            </w:pPr>
            <w:r>
              <w:rPr>
                <w:rFonts w:ascii="Arial" w:cs="Arial" w:eastAsia="Arial" w:hAnsi="Arial"/>
                <w:sz w:val="20"/>
                <w:szCs w:val="20"/>
                <w:color w:val="auto"/>
              </w:rPr>
              <w:t>250</w:t>
            </w:r>
          </w:p>
        </w:tc>
      </w:tr>
      <w:tr>
        <w:trPr>
          <w:trHeight w:val="246"/>
        </w:trPr>
        <w:tc>
          <w:tcPr>
            <w:tcW w:w="4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5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(177)</w:t>
            </w:r>
          </w:p>
        </w:tc>
        <w:tc>
          <w:tcPr>
            <w:tcW w:w="5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(177)</w:t>
            </w:r>
          </w:p>
        </w:tc>
      </w:tr>
      <w:tr>
        <w:trPr>
          <w:trHeight w:val="223"/>
        </w:trPr>
        <w:tc>
          <w:tcPr>
            <w:tcW w:w="420" w:type="dxa"/>
            <w:vAlign w:val="bottom"/>
            <w:tcBorders>
              <w:bottom w:val="single" w:sz="8" w:color="auto"/>
            </w:tcBorders>
          </w:tcPr>
          <w:p>
            <w:pPr>
              <w:jc w:val="right"/>
              <w:ind w:right="161"/>
              <w:spacing w:after="0" w:line="223" w:lineRule="exact"/>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359,992</w:t>
            </w:r>
          </w:p>
        </w:tc>
        <w:tc>
          <w:tcPr>
            <w:tcW w:w="520" w:type="dxa"/>
            <w:vAlign w:val="bottom"/>
            <w:tcBorders>
              <w:bottom w:val="single" w:sz="8" w:color="auto"/>
            </w:tcBorders>
          </w:tcPr>
          <w:p>
            <w:pPr>
              <w:jc w:val="right"/>
              <w:ind w:right="201"/>
              <w:spacing w:after="0" w:line="223" w:lineRule="exact"/>
              <w:rPr>
                <w:sz w:val="20"/>
                <w:szCs w:val="20"/>
                <w:color w:val="auto"/>
              </w:rPr>
            </w:pPr>
            <w:r>
              <w:rPr>
                <w:rFonts w:ascii="Arial" w:cs="Arial" w:eastAsia="Arial" w:hAnsi="Arial"/>
                <w:sz w:val="20"/>
                <w:szCs w:val="20"/>
                <w:color w:val="auto"/>
              </w:rPr>
              <w:t>$</w:t>
            </w:r>
          </w:p>
        </w:tc>
        <w:tc>
          <w:tcPr>
            <w:tcW w:w="108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687,625</w:t>
            </w:r>
          </w:p>
        </w:tc>
        <w:tc>
          <w:tcPr>
            <w:tcW w:w="560" w:type="dxa"/>
            <w:vAlign w:val="bottom"/>
            <w:tcBorders>
              <w:bottom w:val="single" w:sz="8" w:color="auto"/>
            </w:tcBorders>
          </w:tcPr>
          <w:p>
            <w:pPr>
              <w:jc w:val="right"/>
              <w:ind w:right="281"/>
              <w:spacing w:after="0" w:line="223" w:lineRule="exact"/>
              <w:rPr>
                <w:sz w:val="20"/>
                <w:szCs w:val="20"/>
                <w:color w:val="auto"/>
              </w:rPr>
            </w:pPr>
            <w:r>
              <w:rPr>
                <w:rFonts w:ascii="Arial" w:cs="Arial" w:eastAsia="Arial" w:hAnsi="Arial"/>
                <w:sz w:val="20"/>
                <w:szCs w:val="20"/>
                <w:color w:val="auto"/>
              </w:rPr>
              <w:t>$</w:t>
            </w:r>
          </w:p>
        </w:tc>
        <w:tc>
          <w:tcPr>
            <w:tcW w:w="94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4,160</w:t>
            </w:r>
          </w:p>
        </w:tc>
        <w:tc>
          <w:tcPr>
            <w:tcW w:w="440" w:type="dxa"/>
            <w:vAlign w:val="bottom"/>
            <w:tcBorders>
              <w:bottom w:val="single" w:sz="8" w:color="auto"/>
            </w:tcBorders>
          </w:tcPr>
          <w:p>
            <w:pPr>
              <w:jc w:val="right"/>
              <w:ind w:right="121"/>
              <w:spacing w:after="0" w:line="223" w:lineRule="exact"/>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1,051,777</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580" w:space="720"/>
            <w:col w:w="6120"/>
          </w:cols>
          <w:pgMar w:left="240" w:top="115" w:right="239" w:bottom="0" w:gutter="0" w:footer="0" w:header="0"/>
          <w:type w:val="continuous"/>
        </w:sectPr>
      </w:pP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30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December 31, 2014</w:t>
            </w: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21"/>
              <w:spacing w:after="0"/>
              <w:rPr>
                <w:sz w:val="20"/>
                <w:szCs w:val="20"/>
                <w:color w:val="auto"/>
              </w:rPr>
            </w:pPr>
            <w:r>
              <w:rPr>
                <w:rFonts w:ascii="Arial" w:cs="Arial" w:eastAsia="Arial" w:hAnsi="Arial"/>
                <w:sz w:val="20"/>
                <w:szCs w:val="20"/>
                <w:color w:val="auto"/>
              </w:rPr>
              <w:t>Level 1</w:t>
            </w: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color w:val="auto"/>
              </w:rPr>
              <w:t>Level 2</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21"/>
              <w:spacing w:after="0"/>
              <w:rPr>
                <w:sz w:val="20"/>
                <w:szCs w:val="20"/>
                <w:color w:val="auto"/>
              </w:rPr>
            </w:pPr>
            <w:r>
              <w:rPr>
                <w:rFonts w:ascii="Arial" w:cs="Arial" w:eastAsia="Arial" w:hAnsi="Arial"/>
                <w:sz w:val="20"/>
                <w:szCs w:val="20"/>
                <w:color w:val="auto"/>
              </w:rPr>
              <w:t>Level 3</w:t>
            </w:r>
          </w:p>
        </w:tc>
        <w:tc>
          <w:tcPr>
            <w:tcW w:w="4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color w:val="auto"/>
              </w:rPr>
              <w:t>Total</w:t>
            </w:r>
          </w:p>
        </w:tc>
      </w:tr>
      <w:tr>
        <w:trPr>
          <w:trHeight w:val="206"/>
        </w:trPr>
        <w:tc>
          <w:tcPr>
            <w:tcW w:w="5300" w:type="dxa"/>
            <w:vAlign w:val="bottom"/>
          </w:tcPr>
          <w:p>
            <w:pPr>
              <w:ind w:left="40"/>
              <w:spacing w:after="0" w:line="207" w:lineRule="exact"/>
              <w:rPr>
                <w:sz w:val="20"/>
                <w:szCs w:val="20"/>
                <w:color w:val="auto"/>
              </w:rPr>
            </w:pPr>
            <w:r>
              <w:rPr>
                <w:rFonts w:ascii="Arial" w:cs="Arial" w:eastAsia="Arial" w:hAnsi="Arial"/>
                <w:sz w:val="20"/>
                <w:szCs w:val="20"/>
                <w:color w:val="auto"/>
              </w:rPr>
              <w:t>Cash</w:t>
            </w:r>
          </w:p>
        </w:tc>
        <w:tc>
          <w:tcPr>
            <w:tcW w:w="280" w:type="dxa"/>
            <w:vAlign w:val="bottom"/>
          </w:tcPr>
          <w:p>
            <w:pPr>
              <w:jc w:val="right"/>
              <w:ind w:right="21"/>
              <w:spacing w:after="0" w:line="207" w:lineRule="exact"/>
              <w:rPr>
                <w:sz w:val="20"/>
                <w:szCs w:val="20"/>
                <w:color w:val="auto"/>
              </w:rPr>
            </w:pPr>
            <w:r>
              <w:rPr>
                <w:rFonts w:ascii="Arial" w:cs="Arial" w:eastAsia="Arial" w:hAnsi="Arial"/>
                <w:sz w:val="20"/>
                <w:szCs w:val="20"/>
                <w:color w:val="auto"/>
              </w:rPr>
              <w:t>$</w:t>
            </w:r>
          </w:p>
        </w:tc>
        <w:tc>
          <w:tcPr>
            <w:tcW w:w="1160" w:type="dxa"/>
            <w:vAlign w:val="bottom"/>
          </w:tcPr>
          <w:p>
            <w:pPr>
              <w:jc w:val="right"/>
              <w:ind w:right="21"/>
              <w:spacing w:after="0" w:line="207" w:lineRule="exact"/>
              <w:rPr>
                <w:sz w:val="20"/>
                <w:szCs w:val="20"/>
                <w:color w:val="auto"/>
              </w:rPr>
            </w:pPr>
            <w:r>
              <w:rPr>
                <w:rFonts w:ascii="Arial" w:cs="Arial" w:eastAsia="Arial" w:hAnsi="Arial"/>
                <w:sz w:val="20"/>
                <w:szCs w:val="20"/>
                <w:color w:val="auto"/>
              </w:rPr>
              <w:t>196,090</w:t>
            </w:r>
          </w:p>
        </w:tc>
        <w:tc>
          <w:tcPr>
            <w:tcW w:w="380" w:type="dxa"/>
            <w:vAlign w:val="bottom"/>
          </w:tcPr>
          <w:p>
            <w:pPr>
              <w:jc w:val="right"/>
              <w:ind w:right="61"/>
              <w:spacing w:after="0" w:line="207" w:lineRule="exact"/>
              <w:rPr>
                <w:sz w:val="20"/>
                <w:szCs w:val="20"/>
                <w:color w:val="auto"/>
              </w:rPr>
            </w:pPr>
            <w:r>
              <w:rPr>
                <w:rFonts w:ascii="Arial" w:cs="Arial" w:eastAsia="Arial" w:hAnsi="Arial"/>
                <w:sz w:val="20"/>
                <w:szCs w:val="20"/>
                <w:color w:val="auto"/>
              </w:rPr>
              <w:t>$</w:t>
            </w:r>
          </w:p>
        </w:tc>
        <w:tc>
          <w:tcPr>
            <w:tcW w:w="1220" w:type="dxa"/>
            <w:vAlign w:val="bottom"/>
          </w:tcPr>
          <w:p>
            <w:pPr>
              <w:jc w:val="right"/>
              <w:ind w:right="61"/>
              <w:spacing w:after="0" w:line="207" w:lineRule="exact"/>
              <w:rPr>
                <w:sz w:val="20"/>
                <w:szCs w:val="20"/>
                <w:color w:val="auto"/>
              </w:rPr>
            </w:pPr>
            <w:r>
              <w:rPr>
                <w:rFonts w:ascii="Arial" w:cs="Arial" w:eastAsia="Arial" w:hAnsi="Arial"/>
                <w:sz w:val="20"/>
                <w:szCs w:val="20"/>
                <w:color w:val="auto"/>
              </w:rPr>
              <w:t>-</w:t>
            </w:r>
          </w:p>
        </w:tc>
        <w:tc>
          <w:tcPr>
            <w:tcW w:w="32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1180" w:type="dxa"/>
            <w:vAlign w:val="bottom"/>
          </w:tcPr>
          <w:p>
            <w:pPr>
              <w:jc w:val="right"/>
              <w:ind w:right="21"/>
              <w:spacing w:after="0" w:line="207" w:lineRule="exact"/>
              <w:rPr>
                <w:sz w:val="20"/>
                <w:szCs w:val="20"/>
                <w:color w:val="auto"/>
              </w:rPr>
            </w:pPr>
            <w:r>
              <w:rPr>
                <w:rFonts w:ascii="Arial" w:cs="Arial" w:eastAsia="Arial" w:hAnsi="Arial"/>
                <w:sz w:val="20"/>
                <w:szCs w:val="20"/>
                <w:color w:val="auto"/>
              </w:rPr>
              <w:t>-</w:t>
            </w:r>
          </w:p>
        </w:tc>
        <w:tc>
          <w:tcPr>
            <w:tcW w:w="420" w:type="dxa"/>
            <w:vAlign w:val="bottom"/>
          </w:tcPr>
          <w:p>
            <w:pPr>
              <w:jc w:val="right"/>
              <w:ind w:right="101"/>
              <w:spacing w:after="0" w:line="207" w:lineRule="exact"/>
              <w:rPr>
                <w:sz w:val="20"/>
                <w:szCs w:val="20"/>
                <w:color w:val="auto"/>
              </w:rPr>
            </w:pPr>
            <w:r>
              <w:rPr>
                <w:rFonts w:ascii="Arial" w:cs="Arial" w:eastAsia="Arial" w:hAnsi="Arial"/>
                <w:sz w:val="20"/>
                <w:szCs w:val="20"/>
                <w:color w:val="auto"/>
              </w:rPr>
              <w:t>$</w:t>
            </w:r>
          </w:p>
        </w:tc>
        <w:tc>
          <w:tcPr>
            <w:tcW w:w="1160" w:type="dxa"/>
            <w:vAlign w:val="bottom"/>
          </w:tcPr>
          <w:p>
            <w:pPr>
              <w:jc w:val="right"/>
              <w:ind w:right="41"/>
              <w:spacing w:after="0" w:line="207" w:lineRule="exact"/>
              <w:rPr>
                <w:sz w:val="20"/>
                <w:szCs w:val="20"/>
                <w:color w:val="auto"/>
              </w:rPr>
            </w:pPr>
            <w:r>
              <w:rPr>
                <w:rFonts w:ascii="Arial" w:cs="Arial" w:eastAsia="Arial" w:hAnsi="Arial"/>
                <w:sz w:val="20"/>
                <w:szCs w:val="20"/>
                <w:color w:val="auto"/>
              </w:rPr>
              <w:t>196,090</w:t>
            </w:r>
          </w:p>
        </w:tc>
      </w:tr>
      <w:tr>
        <w:trPr>
          <w:trHeight w:val="230"/>
        </w:trPr>
        <w:tc>
          <w:tcPr>
            <w:tcW w:w="5300" w:type="dxa"/>
            <w:vAlign w:val="bottom"/>
          </w:tcPr>
          <w:p>
            <w:pPr>
              <w:ind w:left="40"/>
              <w:spacing w:after="0"/>
              <w:rPr>
                <w:sz w:val="20"/>
                <w:szCs w:val="20"/>
                <w:color w:val="auto"/>
              </w:rPr>
            </w:pPr>
            <w:r>
              <w:rPr>
                <w:rFonts w:ascii="Arial" w:cs="Arial" w:eastAsia="Arial" w:hAnsi="Arial"/>
                <w:sz w:val="20"/>
                <w:szCs w:val="20"/>
                <w:color w:val="auto"/>
              </w:rPr>
              <w:t>Money market funds</w:t>
            </w:r>
          </w:p>
        </w:tc>
        <w:tc>
          <w:tcPr>
            <w:tcW w:w="28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106,928</w:t>
            </w:r>
          </w:p>
        </w:tc>
        <w:tc>
          <w:tcPr>
            <w:tcW w:w="38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160" w:type="dxa"/>
            <w:vAlign w:val="bottom"/>
          </w:tcPr>
          <w:p>
            <w:pPr>
              <w:jc w:val="right"/>
              <w:ind w:right="41"/>
              <w:spacing w:after="0"/>
              <w:rPr>
                <w:sz w:val="20"/>
                <w:szCs w:val="20"/>
                <w:color w:val="auto"/>
              </w:rPr>
            </w:pPr>
            <w:r>
              <w:rPr>
                <w:rFonts w:ascii="Arial" w:cs="Arial" w:eastAsia="Arial" w:hAnsi="Arial"/>
                <w:sz w:val="20"/>
                <w:szCs w:val="20"/>
                <w:color w:val="auto"/>
              </w:rPr>
              <w:t>106,928</w:t>
            </w:r>
          </w:p>
        </w:tc>
      </w:tr>
      <w:tr>
        <w:trPr>
          <w:trHeight w:val="230"/>
        </w:trPr>
        <w:tc>
          <w:tcPr>
            <w:tcW w:w="5300" w:type="dxa"/>
            <w:vAlign w:val="bottom"/>
          </w:tcPr>
          <w:p>
            <w:pPr>
              <w:ind w:left="40"/>
              <w:spacing w:after="0"/>
              <w:rPr>
                <w:sz w:val="20"/>
                <w:szCs w:val="20"/>
                <w:color w:val="auto"/>
              </w:rPr>
            </w:pPr>
            <w:r>
              <w:rPr>
                <w:rFonts w:ascii="Arial" w:cs="Arial" w:eastAsia="Arial" w:hAnsi="Arial"/>
                <w:sz w:val="20"/>
                <w:szCs w:val="20"/>
                <w:color w:val="auto"/>
              </w:rPr>
              <w:t>Commercial paper</w:t>
            </w:r>
          </w:p>
        </w:tc>
        <w:tc>
          <w:tcPr>
            <w:tcW w:w="28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19,482</w:t>
            </w:r>
          </w:p>
        </w:tc>
        <w:tc>
          <w:tcPr>
            <w:tcW w:w="32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160" w:type="dxa"/>
            <w:vAlign w:val="bottom"/>
          </w:tcPr>
          <w:p>
            <w:pPr>
              <w:jc w:val="right"/>
              <w:ind w:right="41"/>
              <w:spacing w:after="0"/>
              <w:rPr>
                <w:sz w:val="20"/>
                <w:szCs w:val="20"/>
                <w:color w:val="auto"/>
              </w:rPr>
            </w:pPr>
            <w:r>
              <w:rPr>
                <w:rFonts w:ascii="Arial" w:cs="Arial" w:eastAsia="Arial" w:hAnsi="Arial"/>
                <w:sz w:val="20"/>
                <w:szCs w:val="20"/>
                <w:color w:val="auto"/>
              </w:rPr>
              <w:t>19,482</w:t>
            </w:r>
          </w:p>
        </w:tc>
      </w:tr>
      <w:tr>
        <w:trPr>
          <w:trHeight w:val="230"/>
        </w:trPr>
        <w:tc>
          <w:tcPr>
            <w:tcW w:w="5300" w:type="dxa"/>
            <w:vAlign w:val="bottom"/>
          </w:tcPr>
          <w:p>
            <w:pPr>
              <w:ind w:left="40"/>
              <w:spacing w:after="0"/>
              <w:rPr>
                <w:sz w:val="20"/>
                <w:szCs w:val="20"/>
                <w:color w:val="auto"/>
              </w:rPr>
            </w:pPr>
            <w:r>
              <w:rPr>
                <w:rFonts w:ascii="Arial" w:cs="Arial" w:eastAsia="Arial" w:hAnsi="Arial"/>
                <w:sz w:val="20"/>
                <w:szCs w:val="20"/>
                <w:color w:val="auto"/>
              </w:rPr>
              <w:t>Municipal securities</w:t>
            </w:r>
          </w:p>
        </w:tc>
        <w:tc>
          <w:tcPr>
            <w:tcW w:w="28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854,787</w:t>
            </w:r>
          </w:p>
        </w:tc>
        <w:tc>
          <w:tcPr>
            <w:tcW w:w="32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160" w:type="dxa"/>
            <w:vAlign w:val="bottom"/>
          </w:tcPr>
          <w:p>
            <w:pPr>
              <w:jc w:val="right"/>
              <w:ind w:right="41"/>
              <w:spacing w:after="0"/>
              <w:rPr>
                <w:sz w:val="20"/>
                <w:szCs w:val="20"/>
                <w:color w:val="auto"/>
              </w:rPr>
            </w:pPr>
            <w:r>
              <w:rPr>
                <w:rFonts w:ascii="Arial" w:cs="Arial" w:eastAsia="Arial" w:hAnsi="Arial"/>
                <w:sz w:val="20"/>
                <w:szCs w:val="20"/>
                <w:color w:val="auto"/>
              </w:rPr>
              <w:t>854,787</w:t>
            </w:r>
          </w:p>
        </w:tc>
      </w:tr>
      <w:tr>
        <w:trPr>
          <w:trHeight w:val="230"/>
        </w:trPr>
        <w:tc>
          <w:tcPr>
            <w:tcW w:w="5300" w:type="dxa"/>
            <w:vAlign w:val="bottom"/>
          </w:tcPr>
          <w:p>
            <w:pPr>
              <w:ind w:left="40"/>
              <w:spacing w:after="0"/>
              <w:rPr>
                <w:sz w:val="20"/>
                <w:szCs w:val="20"/>
                <w:color w:val="auto"/>
              </w:rPr>
            </w:pPr>
            <w:r>
              <w:rPr>
                <w:rFonts w:ascii="Arial" w:cs="Arial" w:eastAsia="Arial" w:hAnsi="Arial"/>
                <w:sz w:val="20"/>
                <w:szCs w:val="20"/>
                <w:color w:val="auto"/>
              </w:rPr>
              <w:t>U.S. government agency securities</w:t>
            </w:r>
          </w:p>
        </w:tc>
        <w:tc>
          <w:tcPr>
            <w:tcW w:w="28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9,199</w:t>
            </w:r>
          </w:p>
        </w:tc>
        <w:tc>
          <w:tcPr>
            <w:tcW w:w="32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160" w:type="dxa"/>
            <w:vAlign w:val="bottom"/>
          </w:tcPr>
          <w:p>
            <w:pPr>
              <w:jc w:val="right"/>
              <w:ind w:right="41"/>
              <w:spacing w:after="0"/>
              <w:rPr>
                <w:sz w:val="20"/>
                <w:szCs w:val="20"/>
                <w:color w:val="auto"/>
              </w:rPr>
            </w:pPr>
            <w:r>
              <w:rPr>
                <w:rFonts w:ascii="Arial" w:cs="Arial" w:eastAsia="Arial" w:hAnsi="Arial"/>
                <w:sz w:val="20"/>
                <w:szCs w:val="20"/>
                <w:color w:val="auto"/>
              </w:rPr>
              <w:t>9,199</w:t>
            </w:r>
          </w:p>
        </w:tc>
      </w:tr>
      <w:tr>
        <w:trPr>
          <w:trHeight w:val="230"/>
        </w:trPr>
        <w:tc>
          <w:tcPr>
            <w:tcW w:w="5300" w:type="dxa"/>
            <w:vAlign w:val="bottom"/>
          </w:tcPr>
          <w:p>
            <w:pPr>
              <w:ind w:left="40"/>
              <w:spacing w:after="0"/>
              <w:rPr>
                <w:sz w:val="20"/>
                <w:szCs w:val="20"/>
                <w:color w:val="auto"/>
              </w:rPr>
            </w:pPr>
            <w:r>
              <w:rPr>
                <w:rFonts w:ascii="Arial" w:cs="Arial" w:eastAsia="Arial" w:hAnsi="Arial"/>
                <w:sz w:val="20"/>
                <w:szCs w:val="20"/>
                <w:color w:val="auto"/>
              </w:rPr>
              <w:t>Variable rate demand notes</w:t>
            </w:r>
          </w:p>
        </w:tc>
        <w:tc>
          <w:tcPr>
            <w:tcW w:w="28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4,001</w:t>
            </w:r>
          </w:p>
        </w:tc>
        <w:tc>
          <w:tcPr>
            <w:tcW w:w="32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160" w:type="dxa"/>
            <w:vAlign w:val="bottom"/>
          </w:tcPr>
          <w:p>
            <w:pPr>
              <w:jc w:val="right"/>
              <w:ind w:right="41"/>
              <w:spacing w:after="0"/>
              <w:rPr>
                <w:sz w:val="20"/>
                <w:szCs w:val="20"/>
                <w:color w:val="auto"/>
              </w:rPr>
            </w:pPr>
            <w:r>
              <w:rPr>
                <w:rFonts w:ascii="Arial" w:cs="Arial" w:eastAsia="Arial" w:hAnsi="Arial"/>
                <w:sz w:val="20"/>
                <w:szCs w:val="20"/>
                <w:color w:val="auto"/>
              </w:rPr>
              <w:t>4,001</w:t>
            </w:r>
          </w:p>
        </w:tc>
      </w:tr>
      <w:tr>
        <w:trPr>
          <w:trHeight w:val="230"/>
        </w:trPr>
        <w:tc>
          <w:tcPr>
            <w:tcW w:w="5300" w:type="dxa"/>
            <w:vAlign w:val="bottom"/>
          </w:tcPr>
          <w:p>
            <w:pPr>
              <w:ind w:left="40"/>
              <w:spacing w:after="0"/>
              <w:rPr>
                <w:sz w:val="20"/>
                <w:szCs w:val="20"/>
                <w:color w:val="auto"/>
              </w:rPr>
            </w:pPr>
            <w:r>
              <w:rPr>
                <w:rFonts w:ascii="Arial" w:cs="Arial" w:eastAsia="Arial" w:hAnsi="Arial"/>
                <w:sz w:val="20"/>
                <w:szCs w:val="20"/>
                <w:color w:val="auto"/>
              </w:rPr>
              <w:t>Auction rate securities</w:t>
            </w:r>
          </w:p>
        </w:tc>
        <w:tc>
          <w:tcPr>
            <w:tcW w:w="28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Arial" w:cs="Arial" w:eastAsia="Arial" w:hAnsi="Arial"/>
                <w:sz w:val="20"/>
                <w:szCs w:val="20"/>
                <w:color w:val="auto"/>
              </w:rPr>
              <w:t>3,910</w:t>
            </w:r>
          </w:p>
        </w:tc>
        <w:tc>
          <w:tcPr>
            <w:tcW w:w="420" w:type="dxa"/>
            <w:vAlign w:val="bottom"/>
          </w:tcPr>
          <w:p>
            <w:pPr>
              <w:spacing w:after="0"/>
              <w:rPr>
                <w:sz w:val="19"/>
                <w:szCs w:val="19"/>
                <w:color w:val="auto"/>
              </w:rPr>
            </w:pPr>
          </w:p>
        </w:tc>
        <w:tc>
          <w:tcPr>
            <w:tcW w:w="1160" w:type="dxa"/>
            <w:vAlign w:val="bottom"/>
          </w:tcPr>
          <w:p>
            <w:pPr>
              <w:jc w:val="right"/>
              <w:ind w:right="41"/>
              <w:spacing w:after="0"/>
              <w:rPr>
                <w:sz w:val="20"/>
                <w:szCs w:val="20"/>
                <w:color w:val="auto"/>
              </w:rPr>
            </w:pPr>
            <w:r>
              <w:rPr>
                <w:rFonts w:ascii="Arial" w:cs="Arial" w:eastAsia="Arial" w:hAnsi="Arial"/>
                <w:sz w:val="20"/>
                <w:szCs w:val="20"/>
                <w:color w:val="auto"/>
              </w:rPr>
              <w:t>3,910</w:t>
            </w:r>
          </w:p>
        </w:tc>
      </w:tr>
      <w:tr>
        <w:trPr>
          <w:trHeight w:val="230"/>
        </w:trPr>
        <w:tc>
          <w:tcPr>
            <w:tcW w:w="5300" w:type="dxa"/>
            <w:vAlign w:val="bottom"/>
          </w:tcPr>
          <w:p>
            <w:pPr>
              <w:ind w:left="40"/>
              <w:spacing w:after="0"/>
              <w:rPr>
                <w:sz w:val="20"/>
                <w:szCs w:val="20"/>
                <w:color w:val="auto"/>
              </w:rPr>
            </w:pPr>
            <w:r>
              <w:rPr>
                <w:rFonts w:ascii="Arial" w:cs="Arial" w:eastAsia="Arial" w:hAnsi="Arial"/>
                <w:sz w:val="20"/>
                <w:szCs w:val="20"/>
                <w:color w:val="auto"/>
              </w:rPr>
              <w:t>Put option related to auction rate securities</w:t>
            </w:r>
          </w:p>
        </w:tc>
        <w:tc>
          <w:tcPr>
            <w:tcW w:w="28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2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Arial" w:cs="Arial" w:eastAsia="Arial" w:hAnsi="Arial"/>
                <w:sz w:val="20"/>
                <w:szCs w:val="20"/>
                <w:color w:val="auto"/>
              </w:rPr>
              <w:t>250</w:t>
            </w:r>
          </w:p>
        </w:tc>
        <w:tc>
          <w:tcPr>
            <w:tcW w:w="420" w:type="dxa"/>
            <w:vAlign w:val="bottom"/>
          </w:tcPr>
          <w:p>
            <w:pPr>
              <w:spacing w:after="0"/>
              <w:rPr>
                <w:sz w:val="19"/>
                <w:szCs w:val="19"/>
                <w:color w:val="auto"/>
              </w:rPr>
            </w:pPr>
          </w:p>
        </w:tc>
        <w:tc>
          <w:tcPr>
            <w:tcW w:w="1160" w:type="dxa"/>
            <w:vAlign w:val="bottom"/>
          </w:tcPr>
          <w:p>
            <w:pPr>
              <w:jc w:val="right"/>
              <w:ind w:right="41"/>
              <w:spacing w:after="0"/>
              <w:rPr>
                <w:sz w:val="20"/>
                <w:szCs w:val="20"/>
                <w:color w:val="auto"/>
              </w:rPr>
            </w:pPr>
            <w:r>
              <w:rPr>
                <w:rFonts w:ascii="Arial" w:cs="Arial" w:eastAsia="Arial" w:hAnsi="Arial"/>
                <w:sz w:val="20"/>
                <w:szCs w:val="20"/>
                <w:color w:val="auto"/>
              </w:rPr>
              <w:t>250</w:t>
            </w:r>
          </w:p>
        </w:tc>
      </w:tr>
      <w:tr>
        <w:trPr>
          <w:trHeight w:val="246"/>
        </w:trPr>
        <w:tc>
          <w:tcPr>
            <w:tcW w:w="5300" w:type="dxa"/>
            <w:vAlign w:val="bottom"/>
          </w:tcPr>
          <w:p>
            <w:pPr>
              <w:ind w:left="40"/>
              <w:spacing w:after="0"/>
              <w:rPr>
                <w:sz w:val="20"/>
                <w:szCs w:val="20"/>
                <w:color w:val="auto"/>
              </w:rPr>
            </w:pPr>
            <w:r>
              <w:rPr>
                <w:rFonts w:ascii="Arial" w:cs="Arial" w:eastAsia="Arial" w:hAnsi="Arial"/>
                <w:sz w:val="20"/>
                <w:szCs w:val="20"/>
                <w:color w:val="auto"/>
              </w:rPr>
              <w:t>Foreign currency derivatives</w:t>
            </w: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(252)</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4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(252)</w:t>
            </w:r>
          </w:p>
        </w:tc>
      </w:tr>
      <w:tr>
        <w:trPr>
          <w:trHeight w:val="223"/>
        </w:trPr>
        <w:tc>
          <w:tcPr>
            <w:tcW w:w="5300" w:type="dxa"/>
            <w:vAlign w:val="bottom"/>
          </w:tcPr>
          <w:p>
            <w:pPr>
              <w:ind w:left="200"/>
              <w:spacing w:after="0" w:line="223" w:lineRule="exact"/>
              <w:rPr>
                <w:sz w:val="20"/>
                <w:szCs w:val="20"/>
                <w:color w:val="auto"/>
              </w:rPr>
            </w:pPr>
            <w:r>
              <w:rPr>
                <w:rFonts w:ascii="Arial" w:cs="Arial" w:eastAsia="Arial" w:hAnsi="Arial"/>
                <w:sz w:val="20"/>
                <w:szCs w:val="20"/>
                <w:color w:val="auto"/>
              </w:rPr>
              <w:t>Total</w:t>
            </w:r>
          </w:p>
        </w:tc>
        <w:tc>
          <w:tcPr>
            <w:tcW w:w="28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303,018</w:t>
            </w:r>
          </w:p>
        </w:tc>
        <w:tc>
          <w:tcPr>
            <w:tcW w:w="38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22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887,217</w:t>
            </w:r>
          </w:p>
        </w:tc>
        <w:tc>
          <w:tcPr>
            <w:tcW w:w="32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4,160</w:t>
            </w:r>
          </w:p>
        </w:tc>
        <w:tc>
          <w:tcPr>
            <w:tcW w:w="420" w:type="dxa"/>
            <w:vAlign w:val="bottom"/>
            <w:tcBorders>
              <w:bottom w:val="single" w:sz="8" w:color="auto"/>
            </w:tcBorders>
          </w:tcPr>
          <w:p>
            <w:pPr>
              <w:jc w:val="right"/>
              <w:ind w:right="101"/>
              <w:spacing w:after="0" w:line="223" w:lineRule="exact"/>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1,194,395</w:t>
            </w:r>
          </w:p>
        </w:tc>
      </w:tr>
      <w:tr>
        <w:trPr>
          <w:trHeight w:val="20"/>
        </w:trPr>
        <w:tc>
          <w:tcPr>
            <w:tcW w:w="5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5" w:right="239" w:bottom="0" w:gutter="0" w:footer="0" w:header="0"/>
          <w:type w:val="continuous"/>
        </w:sectPr>
      </w:pPr>
    </w:p>
    <w:p>
      <w:pPr>
        <w:spacing w:after="0" w:line="13" w:lineRule="exact"/>
        <w:rPr>
          <w:sz w:val="20"/>
          <w:szCs w:val="20"/>
          <w:color w:val="auto"/>
        </w:rPr>
      </w:pPr>
    </w:p>
    <w:p>
      <w:pPr>
        <w:ind w:left="40"/>
        <w:spacing w:after="0"/>
        <w:rPr>
          <w:sz w:val="20"/>
          <w:szCs w:val="20"/>
          <w:color w:val="auto"/>
        </w:rPr>
      </w:pPr>
      <w:r>
        <w:rPr>
          <w:rFonts w:ascii="Arial" w:cs="Arial" w:eastAsia="Arial" w:hAnsi="Arial"/>
          <w:sz w:val="20"/>
          <w:szCs w:val="20"/>
          <w:color w:val="auto"/>
        </w:rPr>
        <w:t>Amounts included in:</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20"/>
          <w:szCs w:val="20"/>
          <w:color w:val="auto"/>
        </w:rPr>
        <w:t>Cash and cash equivalents</w:t>
      </w:r>
    </w:p>
    <w:p>
      <w:pPr>
        <w:ind w:left="100"/>
        <w:spacing w:after="0"/>
        <w:rPr>
          <w:sz w:val="20"/>
          <w:szCs w:val="20"/>
          <w:color w:val="auto"/>
        </w:rPr>
      </w:pPr>
      <w:r>
        <w:rPr>
          <w:rFonts w:ascii="Arial" w:cs="Arial" w:eastAsia="Arial" w:hAnsi="Arial"/>
          <w:sz w:val="20"/>
          <w:szCs w:val="20"/>
          <w:color w:val="auto"/>
        </w:rPr>
        <w:t>Short-term investments</w:t>
      </w:r>
    </w:p>
    <w:p>
      <w:pPr>
        <w:ind w:left="100"/>
        <w:spacing w:after="0"/>
        <w:rPr>
          <w:sz w:val="20"/>
          <w:szCs w:val="20"/>
          <w:color w:val="auto"/>
        </w:rPr>
      </w:pPr>
      <w:r>
        <w:rPr>
          <w:rFonts w:ascii="Arial" w:cs="Arial" w:eastAsia="Arial" w:hAnsi="Arial"/>
          <w:sz w:val="20"/>
          <w:szCs w:val="20"/>
          <w:color w:val="auto"/>
        </w:rPr>
        <w:t>Accounts receivable, net</w:t>
      </w:r>
    </w:p>
    <w:p>
      <w:pPr>
        <w:ind w:left="100"/>
        <w:spacing w:after="0"/>
        <w:rPr>
          <w:sz w:val="20"/>
          <w:szCs w:val="20"/>
          <w:color w:val="auto"/>
        </w:rPr>
      </w:pPr>
      <w:r>
        <w:rPr>
          <w:rFonts w:ascii="Arial" w:cs="Arial" w:eastAsia="Arial" w:hAnsi="Arial"/>
          <w:sz w:val="20"/>
          <w:szCs w:val="20"/>
          <w:color w:val="auto"/>
        </w:rPr>
        <w:t>Investments</w:t>
      </w:r>
    </w:p>
    <w:p>
      <w:pPr>
        <w:ind w:left="100" w:right="1200"/>
        <w:spacing w:after="0" w:line="244" w:lineRule="auto"/>
        <w:rPr>
          <w:sz w:val="20"/>
          <w:szCs w:val="20"/>
          <w:color w:val="auto"/>
        </w:rPr>
      </w:pPr>
      <w:r>
        <w:rPr>
          <w:rFonts w:ascii="Arial" w:cs="Arial" w:eastAsia="Arial" w:hAnsi="Arial"/>
          <w:sz w:val="20"/>
          <w:szCs w:val="20"/>
          <w:color w:val="auto"/>
        </w:rPr>
        <w:t>Prepaid expenses and other current assets Accrued liabilities</w:t>
      </w:r>
    </w:p>
    <w:p>
      <w:pPr>
        <w:spacing w:after="0" w:line="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Total</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2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21"/>
              <w:spacing w:after="0"/>
              <w:rPr>
                <w:sz w:val="20"/>
                <w:szCs w:val="20"/>
                <w:color w:val="auto"/>
              </w:rPr>
            </w:pPr>
            <w:r>
              <w:rPr>
                <w:rFonts w:ascii="Arial" w:cs="Arial" w:eastAsia="Arial" w:hAnsi="Arial"/>
                <w:sz w:val="20"/>
                <w:szCs w:val="20"/>
                <w:color w:val="auto"/>
              </w:rPr>
              <w:t>303,018</w:t>
            </w:r>
          </w:p>
        </w:tc>
        <w:tc>
          <w:tcPr>
            <w:tcW w:w="52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1080" w:type="dxa"/>
            <w:vAlign w:val="bottom"/>
          </w:tcPr>
          <w:p>
            <w:pPr>
              <w:jc w:val="right"/>
              <w:ind w:right="61"/>
              <w:spacing w:after="0"/>
              <w:rPr>
                <w:sz w:val="20"/>
                <w:szCs w:val="20"/>
                <w:color w:val="auto"/>
              </w:rPr>
            </w:pPr>
            <w:r>
              <w:rPr>
                <w:rFonts w:ascii="Arial" w:cs="Arial" w:eastAsia="Arial" w:hAnsi="Arial"/>
                <w:sz w:val="20"/>
                <w:szCs w:val="20"/>
                <w:color w:val="auto"/>
              </w:rPr>
              <w:t>67,305</w:t>
            </w:r>
          </w:p>
        </w:tc>
        <w:tc>
          <w:tcPr>
            <w:tcW w:w="560" w:type="dxa"/>
            <w:vAlign w:val="bottom"/>
          </w:tcPr>
          <w:p>
            <w:pPr>
              <w:jc w:val="right"/>
              <w:ind w:right="281"/>
              <w:spacing w:after="0"/>
              <w:rPr>
                <w:sz w:val="20"/>
                <w:szCs w:val="20"/>
                <w:color w:val="auto"/>
              </w:rPr>
            </w:pPr>
            <w:r>
              <w:rPr>
                <w:rFonts w:ascii="Arial" w:cs="Arial" w:eastAsia="Arial" w:hAnsi="Arial"/>
                <w:sz w:val="20"/>
                <w:szCs w:val="20"/>
                <w:color w:val="auto"/>
              </w:rPr>
              <w:t>$</w:t>
            </w:r>
          </w:p>
        </w:tc>
        <w:tc>
          <w:tcPr>
            <w:tcW w:w="9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44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41"/>
              <w:spacing w:after="0"/>
              <w:rPr>
                <w:sz w:val="20"/>
                <w:szCs w:val="20"/>
                <w:color w:val="auto"/>
              </w:rPr>
            </w:pPr>
            <w:r>
              <w:rPr>
                <w:rFonts w:ascii="Arial" w:cs="Arial" w:eastAsia="Arial" w:hAnsi="Arial"/>
                <w:sz w:val="20"/>
                <w:szCs w:val="20"/>
                <w:color w:val="auto"/>
              </w:rPr>
              <w:t>370,323</w:t>
            </w:r>
          </w:p>
        </w:tc>
      </w:tr>
      <w:tr>
        <w:trPr>
          <w:trHeight w:val="230"/>
        </w:trPr>
        <w:tc>
          <w:tcPr>
            <w:tcW w:w="42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520" w:type="dxa"/>
            <w:vAlign w:val="bottom"/>
          </w:tcPr>
          <w:p>
            <w:pPr>
              <w:spacing w:after="0"/>
              <w:rPr>
                <w:sz w:val="19"/>
                <w:szCs w:val="19"/>
                <w:color w:val="auto"/>
              </w:rPr>
            </w:pPr>
          </w:p>
        </w:tc>
        <w:tc>
          <w:tcPr>
            <w:tcW w:w="1080" w:type="dxa"/>
            <w:vAlign w:val="bottom"/>
          </w:tcPr>
          <w:p>
            <w:pPr>
              <w:jc w:val="right"/>
              <w:ind w:right="61"/>
              <w:spacing w:after="0"/>
              <w:rPr>
                <w:sz w:val="20"/>
                <w:szCs w:val="20"/>
                <w:color w:val="auto"/>
              </w:rPr>
            </w:pPr>
            <w:r>
              <w:rPr>
                <w:rFonts w:ascii="Arial" w:cs="Arial" w:eastAsia="Arial" w:hAnsi="Arial"/>
                <w:sz w:val="20"/>
                <w:szCs w:val="20"/>
                <w:color w:val="auto"/>
              </w:rPr>
              <w:t>777,224</w:t>
            </w:r>
          </w:p>
        </w:tc>
        <w:tc>
          <w:tcPr>
            <w:tcW w:w="560" w:type="dxa"/>
            <w:vAlign w:val="bottom"/>
          </w:tcPr>
          <w:p>
            <w:pPr>
              <w:spacing w:after="0"/>
              <w:rPr>
                <w:sz w:val="19"/>
                <w:szCs w:val="19"/>
                <w:color w:val="auto"/>
              </w:rPr>
            </w:pPr>
          </w:p>
        </w:tc>
        <w:tc>
          <w:tcPr>
            <w:tcW w:w="940" w:type="dxa"/>
            <w:vAlign w:val="bottom"/>
          </w:tcPr>
          <w:p>
            <w:pPr>
              <w:jc w:val="right"/>
              <w:ind w:right="21"/>
              <w:spacing w:after="0"/>
              <w:rPr>
                <w:sz w:val="20"/>
                <w:szCs w:val="20"/>
                <w:color w:val="auto"/>
              </w:rPr>
            </w:pPr>
            <w:r>
              <w:rPr>
                <w:rFonts w:ascii="Arial" w:cs="Arial" w:eastAsia="Arial" w:hAnsi="Arial"/>
                <w:sz w:val="20"/>
                <w:szCs w:val="20"/>
                <w:color w:val="auto"/>
              </w:rPr>
              <w:t>3,910</w:t>
            </w:r>
          </w:p>
        </w:tc>
        <w:tc>
          <w:tcPr>
            <w:tcW w:w="440" w:type="dxa"/>
            <w:vAlign w:val="bottom"/>
          </w:tcPr>
          <w:p>
            <w:pPr>
              <w:spacing w:after="0"/>
              <w:rPr>
                <w:sz w:val="19"/>
                <w:szCs w:val="19"/>
                <w:color w:val="auto"/>
              </w:rPr>
            </w:pPr>
          </w:p>
        </w:tc>
        <w:tc>
          <w:tcPr>
            <w:tcW w:w="1140" w:type="dxa"/>
            <w:vAlign w:val="bottom"/>
          </w:tcPr>
          <w:p>
            <w:pPr>
              <w:jc w:val="right"/>
              <w:ind w:right="41"/>
              <w:spacing w:after="0"/>
              <w:rPr>
                <w:sz w:val="20"/>
                <w:szCs w:val="20"/>
                <w:color w:val="auto"/>
              </w:rPr>
            </w:pPr>
            <w:r>
              <w:rPr>
                <w:rFonts w:ascii="Arial" w:cs="Arial" w:eastAsia="Arial" w:hAnsi="Arial"/>
                <w:sz w:val="20"/>
                <w:szCs w:val="20"/>
                <w:color w:val="auto"/>
              </w:rPr>
              <w:t>781,134</w:t>
            </w:r>
          </w:p>
        </w:tc>
      </w:tr>
      <w:tr>
        <w:trPr>
          <w:trHeight w:val="230"/>
        </w:trPr>
        <w:tc>
          <w:tcPr>
            <w:tcW w:w="42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520" w:type="dxa"/>
            <w:vAlign w:val="bottom"/>
          </w:tcPr>
          <w:p>
            <w:pPr>
              <w:spacing w:after="0"/>
              <w:rPr>
                <w:sz w:val="19"/>
                <w:szCs w:val="19"/>
                <w:color w:val="auto"/>
              </w:rPr>
            </w:pPr>
          </w:p>
        </w:tc>
        <w:tc>
          <w:tcPr>
            <w:tcW w:w="1080" w:type="dxa"/>
            <w:vAlign w:val="bottom"/>
          </w:tcPr>
          <w:p>
            <w:pPr>
              <w:jc w:val="right"/>
              <w:ind w:right="61"/>
              <w:spacing w:after="0"/>
              <w:rPr>
                <w:sz w:val="20"/>
                <w:szCs w:val="20"/>
                <w:color w:val="auto"/>
              </w:rPr>
            </w:pPr>
            <w:r>
              <w:rPr>
                <w:rFonts w:ascii="Arial" w:cs="Arial" w:eastAsia="Arial" w:hAnsi="Arial"/>
                <w:sz w:val="20"/>
                <w:szCs w:val="20"/>
                <w:color w:val="auto"/>
              </w:rPr>
              <w:t>83</w:t>
            </w:r>
          </w:p>
        </w:tc>
        <w:tc>
          <w:tcPr>
            <w:tcW w:w="560" w:type="dxa"/>
            <w:vAlign w:val="bottom"/>
          </w:tcPr>
          <w:p>
            <w:pPr>
              <w:spacing w:after="0"/>
              <w:rPr>
                <w:sz w:val="19"/>
                <w:szCs w:val="19"/>
                <w:color w:val="auto"/>
              </w:rPr>
            </w:pPr>
          </w:p>
        </w:tc>
        <w:tc>
          <w:tcPr>
            <w:tcW w:w="9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19"/>
                <w:szCs w:val="19"/>
                <w:color w:val="auto"/>
              </w:rPr>
            </w:pPr>
          </w:p>
        </w:tc>
        <w:tc>
          <w:tcPr>
            <w:tcW w:w="1140" w:type="dxa"/>
            <w:vAlign w:val="bottom"/>
          </w:tcPr>
          <w:p>
            <w:pPr>
              <w:jc w:val="right"/>
              <w:ind w:right="41"/>
              <w:spacing w:after="0"/>
              <w:rPr>
                <w:sz w:val="20"/>
                <w:szCs w:val="20"/>
                <w:color w:val="auto"/>
              </w:rPr>
            </w:pPr>
            <w:r>
              <w:rPr>
                <w:rFonts w:ascii="Arial" w:cs="Arial" w:eastAsia="Arial" w:hAnsi="Arial"/>
                <w:sz w:val="20"/>
                <w:szCs w:val="20"/>
                <w:color w:val="auto"/>
              </w:rPr>
              <w:t>83</w:t>
            </w:r>
          </w:p>
        </w:tc>
      </w:tr>
      <w:tr>
        <w:trPr>
          <w:trHeight w:val="230"/>
        </w:trPr>
        <w:tc>
          <w:tcPr>
            <w:tcW w:w="42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520" w:type="dxa"/>
            <w:vAlign w:val="bottom"/>
          </w:tcPr>
          <w:p>
            <w:pPr>
              <w:spacing w:after="0"/>
              <w:rPr>
                <w:sz w:val="19"/>
                <w:szCs w:val="19"/>
                <w:color w:val="auto"/>
              </w:rPr>
            </w:pPr>
          </w:p>
        </w:tc>
        <w:tc>
          <w:tcPr>
            <w:tcW w:w="1080" w:type="dxa"/>
            <w:vAlign w:val="bottom"/>
          </w:tcPr>
          <w:p>
            <w:pPr>
              <w:jc w:val="right"/>
              <w:ind w:right="61"/>
              <w:spacing w:after="0"/>
              <w:rPr>
                <w:sz w:val="20"/>
                <w:szCs w:val="20"/>
                <w:color w:val="auto"/>
              </w:rPr>
            </w:pPr>
            <w:r>
              <w:rPr>
                <w:rFonts w:ascii="Arial" w:cs="Arial" w:eastAsia="Arial" w:hAnsi="Arial"/>
                <w:sz w:val="20"/>
                <w:szCs w:val="20"/>
                <w:color w:val="auto"/>
              </w:rPr>
              <w:t>42,940</w:t>
            </w:r>
          </w:p>
        </w:tc>
        <w:tc>
          <w:tcPr>
            <w:tcW w:w="560" w:type="dxa"/>
            <w:vAlign w:val="bottom"/>
          </w:tcPr>
          <w:p>
            <w:pPr>
              <w:spacing w:after="0"/>
              <w:rPr>
                <w:sz w:val="19"/>
                <w:szCs w:val="19"/>
                <w:color w:val="auto"/>
              </w:rPr>
            </w:pPr>
          </w:p>
        </w:tc>
        <w:tc>
          <w:tcPr>
            <w:tcW w:w="9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19"/>
                <w:szCs w:val="19"/>
                <w:color w:val="auto"/>
              </w:rPr>
            </w:pPr>
          </w:p>
        </w:tc>
        <w:tc>
          <w:tcPr>
            <w:tcW w:w="1140" w:type="dxa"/>
            <w:vAlign w:val="bottom"/>
          </w:tcPr>
          <w:p>
            <w:pPr>
              <w:jc w:val="right"/>
              <w:ind w:right="41"/>
              <w:spacing w:after="0"/>
              <w:rPr>
                <w:sz w:val="20"/>
                <w:szCs w:val="20"/>
                <w:color w:val="auto"/>
              </w:rPr>
            </w:pPr>
            <w:r>
              <w:rPr>
                <w:rFonts w:ascii="Arial" w:cs="Arial" w:eastAsia="Arial" w:hAnsi="Arial"/>
                <w:sz w:val="20"/>
                <w:szCs w:val="20"/>
                <w:color w:val="auto"/>
              </w:rPr>
              <w:t>42,940</w:t>
            </w:r>
          </w:p>
        </w:tc>
      </w:tr>
      <w:tr>
        <w:trPr>
          <w:trHeight w:val="230"/>
        </w:trPr>
        <w:tc>
          <w:tcPr>
            <w:tcW w:w="42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520" w:type="dxa"/>
            <w:vAlign w:val="bottom"/>
          </w:tcPr>
          <w:p>
            <w:pPr>
              <w:spacing w:after="0"/>
              <w:rPr>
                <w:sz w:val="19"/>
                <w:szCs w:val="19"/>
                <w:color w:val="auto"/>
              </w:rPr>
            </w:pPr>
          </w:p>
        </w:tc>
        <w:tc>
          <w:tcPr>
            <w:tcW w:w="108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560" w:type="dxa"/>
            <w:vAlign w:val="bottom"/>
          </w:tcPr>
          <w:p>
            <w:pPr>
              <w:spacing w:after="0"/>
              <w:rPr>
                <w:sz w:val="19"/>
                <w:szCs w:val="19"/>
                <w:color w:val="auto"/>
              </w:rPr>
            </w:pPr>
          </w:p>
        </w:tc>
        <w:tc>
          <w:tcPr>
            <w:tcW w:w="940" w:type="dxa"/>
            <w:vAlign w:val="bottom"/>
          </w:tcPr>
          <w:p>
            <w:pPr>
              <w:jc w:val="right"/>
              <w:ind w:right="21"/>
              <w:spacing w:after="0"/>
              <w:rPr>
                <w:sz w:val="20"/>
                <w:szCs w:val="20"/>
                <w:color w:val="auto"/>
              </w:rPr>
            </w:pPr>
            <w:r>
              <w:rPr>
                <w:rFonts w:ascii="Arial" w:cs="Arial" w:eastAsia="Arial" w:hAnsi="Arial"/>
                <w:sz w:val="20"/>
                <w:szCs w:val="20"/>
                <w:color w:val="auto"/>
              </w:rPr>
              <w:t>250</w:t>
            </w:r>
          </w:p>
        </w:tc>
        <w:tc>
          <w:tcPr>
            <w:tcW w:w="440" w:type="dxa"/>
            <w:vAlign w:val="bottom"/>
          </w:tcPr>
          <w:p>
            <w:pPr>
              <w:spacing w:after="0"/>
              <w:rPr>
                <w:sz w:val="19"/>
                <w:szCs w:val="19"/>
                <w:color w:val="auto"/>
              </w:rPr>
            </w:pPr>
          </w:p>
        </w:tc>
        <w:tc>
          <w:tcPr>
            <w:tcW w:w="1140" w:type="dxa"/>
            <w:vAlign w:val="bottom"/>
          </w:tcPr>
          <w:p>
            <w:pPr>
              <w:jc w:val="right"/>
              <w:ind w:right="41"/>
              <w:spacing w:after="0"/>
              <w:rPr>
                <w:sz w:val="20"/>
                <w:szCs w:val="20"/>
                <w:color w:val="auto"/>
              </w:rPr>
            </w:pPr>
            <w:r>
              <w:rPr>
                <w:rFonts w:ascii="Arial" w:cs="Arial" w:eastAsia="Arial" w:hAnsi="Arial"/>
                <w:sz w:val="20"/>
                <w:szCs w:val="20"/>
                <w:color w:val="auto"/>
              </w:rPr>
              <w:t>250</w:t>
            </w:r>
          </w:p>
        </w:tc>
      </w:tr>
      <w:tr>
        <w:trPr>
          <w:trHeight w:val="246"/>
        </w:trPr>
        <w:tc>
          <w:tcPr>
            <w:tcW w:w="4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5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(335)</w:t>
            </w:r>
          </w:p>
        </w:tc>
        <w:tc>
          <w:tcPr>
            <w:tcW w:w="5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(335)</w:t>
            </w:r>
          </w:p>
        </w:tc>
      </w:tr>
      <w:tr>
        <w:trPr>
          <w:trHeight w:val="223"/>
        </w:trPr>
        <w:tc>
          <w:tcPr>
            <w:tcW w:w="420" w:type="dxa"/>
            <w:vAlign w:val="bottom"/>
            <w:tcBorders>
              <w:bottom w:val="single" w:sz="8" w:color="auto"/>
            </w:tcBorders>
          </w:tcPr>
          <w:p>
            <w:pPr>
              <w:jc w:val="right"/>
              <w:ind w:right="161"/>
              <w:spacing w:after="0" w:line="223" w:lineRule="exact"/>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303,018</w:t>
            </w:r>
          </w:p>
        </w:tc>
        <w:tc>
          <w:tcPr>
            <w:tcW w:w="520" w:type="dxa"/>
            <w:vAlign w:val="bottom"/>
            <w:tcBorders>
              <w:bottom w:val="single" w:sz="8" w:color="auto"/>
            </w:tcBorders>
          </w:tcPr>
          <w:p>
            <w:pPr>
              <w:jc w:val="right"/>
              <w:ind w:right="201"/>
              <w:spacing w:after="0" w:line="223" w:lineRule="exact"/>
              <w:rPr>
                <w:sz w:val="20"/>
                <w:szCs w:val="20"/>
                <w:color w:val="auto"/>
              </w:rPr>
            </w:pPr>
            <w:r>
              <w:rPr>
                <w:rFonts w:ascii="Arial" w:cs="Arial" w:eastAsia="Arial" w:hAnsi="Arial"/>
                <w:sz w:val="20"/>
                <w:szCs w:val="20"/>
                <w:color w:val="auto"/>
              </w:rPr>
              <w:t>$</w:t>
            </w:r>
          </w:p>
        </w:tc>
        <w:tc>
          <w:tcPr>
            <w:tcW w:w="108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887,217</w:t>
            </w:r>
          </w:p>
        </w:tc>
        <w:tc>
          <w:tcPr>
            <w:tcW w:w="560" w:type="dxa"/>
            <w:vAlign w:val="bottom"/>
            <w:tcBorders>
              <w:bottom w:val="single" w:sz="8" w:color="auto"/>
            </w:tcBorders>
          </w:tcPr>
          <w:p>
            <w:pPr>
              <w:jc w:val="right"/>
              <w:ind w:right="281"/>
              <w:spacing w:after="0" w:line="223" w:lineRule="exact"/>
              <w:rPr>
                <w:sz w:val="20"/>
                <w:szCs w:val="20"/>
                <w:color w:val="auto"/>
              </w:rPr>
            </w:pPr>
            <w:r>
              <w:rPr>
                <w:rFonts w:ascii="Arial" w:cs="Arial" w:eastAsia="Arial" w:hAnsi="Arial"/>
                <w:sz w:val="20"/>
                <w:szCs w:val="20"/>
                <w:color w:val="auto"/>
              </w:rPr>
              <w:t>$</w:t>
            </w:r>
          </w:p>
        </w:tc>
        <w:tc>
          <w:tcPr>
            <w:tcW w:w="94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4,160</w:t>
            </w:r>
          </w:p>
        </w:tc>
        <w:tc>
          <w:tcPr>
            <w:tcW w:w="440" w:type="dxa"/>
            <w:vAlign w:val="bottom"/>
            <w:tcBorders>
              <w:bottom w:val="single" w:sz="8" w:color="auto"/>
            </w:tcBorders>
          </w:tcPr>
          <w:p>
            <w:pPr>
              <w:jc w:val="right"/>
              <w:ind w:right="121"/>
              <w:spacing w:after="0" w:line="223" w:lineRule="exact"/>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1,194,395</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580" w:space="720"/>
            <w:col w:w="6120"/>
          </w:cols>
          <w:pgMar w:left="240" w:top="115" w:right="239" w:bottom="0" w:gutter="0" w:footer="0" w:header="0"/>
          <w:type w:val="continuous"/>
        </w:sectPr>
      </w:pPr>
    </w:p>
    <w:p>
      <w:pPr>
        <w:spacing w:after="0" w:line="1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The majority of the Company’s short-term investments are classified within Level 1 or Level 2 of the fair value hierarchy. The Company’s valuation of its Level 1 investments, which include money market funds, is based on quoted market prices in active markets for identical securities. The Company’s valuation of its Level 2 investments, which include commercial paper, municipal securities, U.S. government agency securities and VRDNs, is based on other observable inputs, specifically a market approach which utilizes valuation models, pricing systems, mathematical tools and other relevant information for the same or similar securities. The Company’s valuation of its Level 2 foreign exchange contracts is based on quoted market prices of the same or similar instruments, adjusted for counterparty risk. There were no transfers between Level 1 and Level 2 measurements during the three-months ended March 31, 2015 or the year ended December 31, 2014, and there were no changes in the Company’s valuation techniques.</w:t>
      </w:r>
    </w:p>
    <w:p>
      <w:pPr>
        <w:sectPr>
          <w:pgSz w:w="11900" w:h="16838" w:orient="portrait"/>
          <w:cols w:equalWidth="0" w:num="1">
            <w:col w:w="11420"/>
          </w:cols>
          <w:pgMar w:left="240" w:top="115" w:right="239" w:bottom="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0"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left="40" w:right="490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The Company’s Level 3 assets are comprised of auction rate securities and put options. The Company’s Level 3 valuation utilized a mark-to-model approach which included estimates for interest rates, timing and amount of cash flows, credit and liquidity premiums, as well as expected holding periods for the auction rate securities. These assumptions are typically volatile and subject to change as the underlying data sources and market conditions evolve. A significant change in any single input could have a significant valuation impact; however, no single input has a more significant impact on valuation than another. There were no changes in the Company’s valuation techniques of its Level 3 assets during the three-months ended March 31, 2015.</w:t>
      </w:r>
    </w:p>
    <w:p>
      <w:pPr>
        <w:spacing w:after="0" w:line="19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At March 31, 2015, the Company held auction rate securities with a face value of $4.2 million (amortized cost basis of $3.9 million). A Level 3 valuation was performed on the Company’s auction rate securities as of March 31, 2015 resulting in a fair value of $3.9 million for the Company’s trading auction rate securities (after a $0.3 million impairment), which are included in short-term investments.</w:t>
      </w:r>
    </w:p>
    <w:p>
      <w:pPr>
        <w:spacing w:after="0" w:line="16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In June 2011, the Company entered into an agreement (the “2011 ARS Agreement”), related to $24.5 million of par value auction rate securities (the “2011 ARS Securities”). Under the 2011 ARS Agreement, the Company has the right to sell the 2011 ARS Securities including all accrued but unpaid interest thereon (the “2011 Put Option”) as follows: (i) on or after July 1, 2013, up to $1.0 million aggregate par value;</w:t>
      </w:r>
    </w:p>
    <w:p>
      <w:pPr>
        <w:spacing w:after="0" w:line="1" w:lineRule="exact"/>
        <w:rPr>
          <w:sz w:val="20"/>
          <w:szCs w:val="20"/>
          <w:color w:val="auto"/>
        </w:rPr>
      </w:pPr>
    </w:p>
    <w:p>
      <w:pPr>
        <w:jc w:val="both"/>
        <w:ind w:firstLine="8"/>
        <w:spacing w:after="0" w:line="253" w:lineRule="auto"/>
        <w:tabs>
          <w:tab w:leader="none" w:pos="307" w:val="left"/>
        </w:tabs>
        <w:numPr>
          <w:ilvl w:val="0"/>
          <w:numId w:val="11"/>
        </w:numPr>
        <w:rPr>
          <w:rFonts w:ascii="Arial" w:cs="Arial" w:eastAsia="Arial" w:hAnsi="Arial"/>
          <w:sz w:val="19"/>
          <w:szCs w:val="19"/>
          <w:color w:val="auto"/>
        </w:rPr>
      </w:pPr>
      <w:r>
        <w:rPr>
          <w:rFonts w:ascii="Arial" w:cs="Arial" w:eastAsia="Arial" w:hAnsi="Arial"/>
          <w:sz w:val="19"/>
          <w:szCs w:val="19"/>
          <w:color w:val="auto"/>
        </w:rPr>
        <w:t>on or after October 1, 2013, up to an additional $1.0 million aggregate par value; and (iii) in quarterly installments thereafter based on a formula of the then outstanding 2011 ARS Securities, as adjusted for normal market redemptions, with full sale rights available on or after April 1, 2016. The 2011 ARS Securities will continue to accrue interest until redeemed through the 2011 Put Option, or as determined by the auction process, or should the auction process fail, the terms outlined in the prospectus of the respective 2011 ARS Securities. Under the 2011 ARS Agreement, the Company has the obligation, should it receive written notification from the put issuer, to sell the 2011 ARS Securities at par plus all accrued but unpaid interest. During the three-months ended March 31, 2015, no 2011 ARS Securities were redeemed ($13.1 million, $2.3 million, $1.3 million and $3.7 million of par value 2011 ARS Securities were redeemed at par during the years ended December 31, 2014, 2013, 2012 and 2011, respectively). Subsequent to March 31, 2015, $0.7 million of 2011 ARS Securities were redeemed at par through the exercise of a portion of the 2011 Put Option. The 2011 Put Option does not meet the definition of derivative instruments under ASC 815. Therefore, the Company elected the fair value option under ASC 825-10 in accounting for the 2011 Put Option. As of March 31, 2015, the Company recorded $0.3 million as the fair market value of the 2011 Put Option, included in prepaid expenses and other current assets.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0"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left="40" w:right="490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0"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following table provides a summary reconciliation of the Company’s financial assets that are recorded at fair value on a recurring basis using significant unobservable inputs (Level 3):</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40" w:type="dxa"/>
            <w:vAlign w:val="bottom"/>
            <w:gridSpan w:val="3"/>
          </w:tcPr>
          <w:p>
            <w:pPr>
              <w:jc w:val="right"/>
              <w:ind w:right="61"/>
              <w:spacing w:after="0"/>
              <w:rPr>
                <w:sz w:val="20"/>
                <w:szCs w:val="20"/>
                <w:color w:val="auto"/>
              </w:rPr>
            </w:pPr>
            <w:r>
              <w:rPr>
                <w:rFonts w:ascii="Arial" w:cs="Arial" w:eastAsia="Arial" w:hAnsi="Arial"/>
                <w:sz w:val="20"/>
                <w:szCs w:val="20"/>
                <w:color w:val="auto"/>
              </w:rPr>
              <w:t>Three-Months Ended</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0" w:type="dxa"/>
            <w:vAlign w:val="bottom"/>
            <w:gridSpan w:val="3"/>
          </w:tcPr>
          <w:p>
            <w:pPr>
              <w:jc w:val="right"/>
              <w:spacing w:after="0"/>
              <w:rPr>
                <w:sz w:val="20"/>
                <w:szCs w:val="20"/>
                <w:color w:val="auto"/>
              </w:rPr>
            </w:pPr>
            <w:r>
              <w:rPr>
                <w:rFonts w:ascii="Arial" w:cs="Arial" w:eastAsia="Arial" w:hAnsi="Arial"/>
                <w:sz w:val="20"/>
                <w:szCs w:val="20"/>
                <w:color w:val="auto"/>
              </w:rPr>
              <w:t>Three-Months Ended</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0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3"/>
          </w:tcPr>
          <w:p>
            <w:pPr>
              <w:jc w:val="right"/>
              <w:ind w:right="241"/>
              <w:spacing w:after="0"/>
              <w:rPr>
                <w:sz w:val="20"/>
                <w:szCs w:val="20"/>
                <w:color w:val="auto"/>
              </w:rPr>
            </w:pPr>
            <w:r>
              <w:rPr>
                <w:rFonts w:ascii="Arial" w:cs="Arial" w:eastAsia="Arial" w:hAnsi="Arial"/>
                <w:sz w:val="20"/>
                <w:szCs w:val="20"/>
                <w:color w:val="auto"/>
              </w:rPr>
              <w:t>March 31, 2015</w:t>
            </w:r>
          </w:p>
        </w:tc>
        <w:tc>
          <w:tcPr>
            <w:tcW w:w="5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3"/>
          </w:tcPr>
          <w:p>
            <w:pPr>
              <w:jc w:val="right"/>
              <w:ind w:right="181"/>
              <w:spacing w:after="0"/>
              <w:rPr>
                <w:sz w:val="20"/>
                <w:szCs w:val="20"/>
                <w:color w:val="auto"/>
              </w:rPr>
            </w:pPr>
            <w:r>
              <w:rPr>
                <w:rFonts w:ascii="Arial" w:cs="Arial" w:eastAsia="Arial" w:hAnsi="Arial"/>
                <w:sz w:val="20"/>
                <w:szCs w:val="20"/>
                <w:color w:val="auto"/>
              </w:rPr>
              <w:t>March 31, 2014</w:t>
            </w:r>
          </w:p>
        </w:tc>
        <w:tc>
          <w:tcPr>
            <w:tcW w:w="6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5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2"/>
          </w:tcPr>
          <w:p>
            <w:pPr>
              <w:jc w:val="center"/>
              <w:ind w:right="600"/>
              <w:spacing w:after="0" w:line="207" w:lineRule="exact"/>
              <w:rPr>
                <w:sz w:val="20"/>
                <w:szCs w:val="20"/>
                <w:color w:val="auto"/>
              </w:rPr>
            </w:pPr>
            <w:r>
              <w:rPr>
                <w:rFonts w:ascii="Arial" w:cs="Arial" w:eastAsia="Arial" w:hAnsi="Arial"/>
                <w:sz w:val="20"/>
                <w:szCs w:val="20"/>
                <w:color w:val="auto"/>
                <w:w w:val="95"/>
              </w:rPr>
              <w:t>Auction</w:t>
            </w: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2"/>
          </w:tcPr>
          <w:p>
            <w:pPr>
              <w:jc w:val="center"/>
              <w:ind w:right="500"/>
              <w:spacing w:after="0" w:line="207" w:lineRule="exact"/>
              <w:rPr>
                <w:sz w:val="20"/>
                <w:szCs w:val="20"/>
                <w:color w:val="auto"/>
              </w:rPr>
            </w:pPr>
            <w:r>
              <w:rPr>
                <w:rFonts w:ascii="Arial" w:cs="Arial" w:eastAsia="Arial" w:hAnsi="Arial"/>
                <w:sz w:val="20"/>
                <w:szCs w:val="20"/>
                <w:color w:val="auto"/>
                <w:w w:val="95"/>
              </w:rPr>
              <w:t>Auction</w:t>
            </w: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center"/>
              <w:ind w:right="600"/>
              <w:spacing w:after="0"/>
              <w:rPr>
                <w:sz w:val="20"/>
                <w:szCs w:val="20"/>
                <w:color w:val="auto"/>
              </w:rPr>
            </w:pPr>
            <w:r>
              <w:rPr>
                <w:rFonts w:ascii="Arial" w:cs="Arial" w:eastAsia="Arial" w:hAnsi="Arial"/>
                <w:sz w:val="20"/>
                <w:szCs w:val="20"/>
                <w:color w:val="auto"/>
                <w:w w:val="85"/>
              </w:rPr>
              <w:t>Rate</w:t>
            </w: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jc w:val="center"/>
              <w:ind w:right="500"/>
              <w:spacing w:after="0"/>
              <w:rPr>
                <w:sz w:val="20"/>
                <w:szCs w:val="20"/>
                <w:color w:val="auto"/>
              </w:rPr>
            </w:pPr>
            <w:r>
              <w:rPr>
                <w:rFonts w:ascii="Arial" w:cs="Arial" w:eastAsia="Arial" w:hAnsi="Arial"/>
                <w:sz w:val="20"/>
                <w:szCs w:val="20"/>
                <w:color w:val="auto"/>
                <w:w w:val="85"/>
              </w:rPr>
              <w:t>Rate</w:t>
            </w: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040" w:type="dxa"/>
            <w:vAlign w:val="bottom"/>
            <w:vMerge w:val="restart"/>
          </w:tcPr>
          <w:p>
            <w:pPr>
              <w:spacing w:after="0"/>
              <w:rPr>
                <w:sz w:val="20"/>
                <w:szCs w:val="20"/>
                <w:color w:val="auto"/>
              </w:rPr>
            </w:pPr>
            <w:r>
              <w:rPr>
                <w:rFonts w:ascii="Arial" w:cs="Arial" w:eastAsia="Arial" w:hAnsi="Arial"/>
                <w:sz w:val="20"/>
                <w:szCs w:val="20"/>
                <w:color w:val="auto"/>
              </w:rPr>
              <w:t>Opening Balance</w:t>
            </w:r>
          </w:p>
        </w:tc>
        <w:tc>
          <w:tcPr>
            <w:tcW w:w="240" w:type="dxa"/>
            <w:vAlign w:val="bottom"/>
          </w:tcPr>
          <w:p>
            <w:pPr>
              <w:spacing w:after="0"/>
              <w:rPr>
                <w:sz w:val="21"/>
                <w:szCs w:val="21"/>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20"/>
                <w:szCs w:val="20"/>
                <w:color w:val="auto"/>
                <w:w w:val="88"/>
              </w:rPr>
              <w:t>Securities</w:t>
            </w:r>
          </w:p>
        </w:tc>
        <w:tc>
          <w:tcPr>
            <w:tcW w:w="1560" w:type="dxa"/>
            <w:vAlign w:val="bottom"/>
            <w:gridSpan w:val="3"/>
          </w:tcPr>
          <w:p>
            <w:pPr>
              <w:ind w:left="200"/>
              <w:spacing w:after="0"/>
              <w:rPr>
                <w:sz w:val="20"/>
                <w:szCs w:val="20"/>
                <w:color w:val="auto"/>
              </w:rPr>
            </w:pPr>
            <w:r>
              <w:rPr>
                <w:rFonts w:ascii="Arial" w:cs="Arial" w:eastAsia="Arial" w:hAnsi="Arial"/>
                <w:sz w:val="20"/>
                <w:szCs w:val="20"/>
                <w:color w:val="auto"/>
              </w:rPr>
              <w:t>Put Options</w:t>
            </w:r>
          </w:p>
        </w:tc>
        <w:tc>
          <w:tcPr>
            <w:tcW w:w="240" w:type="dxa"/>
            <w:vAlign w:val="bottom"/>
          </w:tcPr>
          <w:p>
            <w:pPr>
              <w:spacing w:after="0"/>
              <w:rPr>
                <w:sz w:val="21"/>
                <w:szCs w:val="21"/>
                <w:color w:val="auto"/>
              </w:rPr>
            </w:pPr>
          </w:p>
        </w:tc>
        <w:tc>
          <w:tcPr>
            <w:tcW w:w="1460" w:type="dxa"/>
            <w:vAlign w:val="bottom"/>
            <w:gridSpan w:val="2"/>
          </w:tcPr>
          <w:p>
            <w:pPr>
              <w:jc w:val="center"/>
              <w:ind w:right="520"/>
              <w:spacing w:after="0"/>
              <w:rPr>
                <w:sz w:val="20"/>
                <w:szCs w:val="20"/>
                <w:color w:val="auto"/>
              </w:rPr>
            </w:pPr>
            <w:r>
              <w:rPr>
                <w:rFonts w:ascii="Arial" w:cs="Arial" w:eastAsia="Arial" w:hAnsi="Arial"/>
                <w:sz w:val="20"/>
                <w:szCs w:val="20"/>
                <w:color w:val="auto"/>
                <w:w w:val="88"/>
              </w:rPr>
              <w:t>Securities</w:t>
            </w:r>
          </w:p>
        </w:tc>
        <w:tc>
          <w:tcPr>
            <w:tcW w:w="1380" w:type="dxa"/>
            <w:vAlign w:val="bottom"/>
            <w:gridSpan w:val="2"/>
          </w:tcPr>
          <w:p>
            <w:pPr>
              <w:jc w:val="right"/>
              <w:ind w:right="121"/>
              <w:spacing w:after="0"/>
              <w:rPr>
                <w:sz w:val="20"/>
                <w:szCs w:val="20"/>
                <w:color w:val="auto"/>
              </w:rPr>
            </w:pPr>
            <w:r>
              <w:rPr>
                <w:rFonts w:ascii="Arial" w:cs="Arial" w:eastAsia="Arial" w:hAnsi="Arial"/>
                <w:sz w:val="20"/>
                <w:szCs w:val="20"/>
                <w:color w:val="auto"/>
              </w:rPr>
              <w:t>Put Options</w:t>
            </w:r>
          </w:p>
        </w:tc>
        <w:tc>
          <w:tcPr>
            <w:tcW w:w="0" w:type="dxa"/>
            <w:vAlign w:val="bottom"/>
          </w:tcPr>
          <w:p>
            <w:pPr>
              <w:spacing w:after="0"/>
              <w:rPr>
                <w:sz w:val="1"/>
                <w:szCs w:val="1"/>
                <w:color w:val="auto"/>
              </w:rPr>
            </w:pPr>
          </w:p>
        </w:tc>
      </w:tr>
      <w:tr>
        <w:trPr>
          <w:trHeight w:val="206"/>
        </w:trPr>
        <w:tc>
          <w:tcPr>
            <w:tcW w:w="5040" w:type="dxa"/>
            <w:vAlign w:val="bottom"/>
            <w:vMerge w:val="continue"/>
          </w:tcPr>
          <w:p>
            <w:pPr>
              <w:spacing w:after="0"/>
              <w:rPr>
                <w:sz w:val="17"/>
                <w:szCs w:val="17"/>
                <w:color w:val="auto"/>
              </w:rPr>
            </w:pPr>
          </w:p>
        </w:tc>
        <w:tc>
          <w:tcPr>
            <w:tcW w:w="24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14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3,910</w:t>
            </w:r>
          </w:p>
        </w:tc>
        <w:tc>
          <w:tcPr>
            <w:tcW w:w="300" w:type="dxa"/>
            <w:vAlign w:val="bottom"/>
          </w:tcPr>
          <w:p>
            <w:pPr>
              <w:spacing w:after="0"/>
              <w:rPr>
                <w:sz w:val="17"/>
                <w:szCs w:val="17"/>
                <w:color w:val="auto"/>
              </w:rPr>
            </w:pPr>
          </w:p>
        </w:tc>
        <w:tc>
          <w:tcPr>
            <w:tcW w:w="800" w:type="dxa"/>
            <w:vAlign w:val="bottom"/>
            <w:tcBorders>
              <w:top w:val="single" w:sz="8" w:color="auto"/>
            </w:tcBorders>
          </w:tcPr>
          <w:p>
            <w:pPr>
              <w:jc w:val="right"/>
              <w:ind w:right="541"/>
              <w:spacing w:after="0" w:line="207" w:lineRule="exact"/>
              <w:rPr>
                <w:sz w:val="20"/>
                <w:szCs w:val="20"/>
                <w:color w:val="auto"/>
              </w:rPr>
            </w:pPr>
            <w:r>
              <w:rPr>
                <w:rFonts w:ascii="Arial" w:cs="Arial" w:eastAsia="Arial" w:hAnsi="Arial"/>
                <w:sz w:val="20"/>
                <w:szCs w:val="20"/>
                <w:color w:val="auto"/>
              </w:rPr>
              <w:t>$</w:t>
            </w:r>
          </w:p>
        </w:tc>
        <w:tc>
          <w:tcPr>
            <w:tcW w:w="54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250</w:t>
            </w:r>
          </w:p>
        </w:tc>
        <w:tc>
          <w:tcPr>
            <w:tcW w:w="220" w:type="dxa"/>
            <w:vAlign w:val="bottom"/>
          </w:tcPr>
          <w:p>
            <w:pPr>
              <w:spacing w:after="0"/>
              <w:rPr>
                <w:sz w:val="17"/>
                <w:szCs w:val="17"/>
                <w:color w:val="auto"/>
              </w:rPr>
            </w:pPr>
          </w:p>
        </w:tc>
        <w:tc>
          <w:tcPr>
            <w:tcW w:w="24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18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16,184</w:t>
            </w:r>
          </w:p>
        </w:tc>
        <w:tc>
          <w:tcPr>
            <w:tcW w:w="280" w:type="dxa"/>
            <w:vAlign w:val="bottom"/>
          </w:tcPr>
          <w:p>
            <w:pPr>
              <w:spacing w:after="0"/>
              <w:rPr>
                <w:sz w:val="17"/>
                <w:szCs w:val="17"/>
                <w:color w:val="auto"/>
              </w:rPr>
            </w:pPr>
          </w:p>
        </w:tc>
        <w:tc>
          <w:tcPr>
            <w:tcW w:w="740" w:type="dxa"/>
            <w:vAlign w:val="bottom"/>
            <w:tcBorders>
              <w:top w:val="single" w:sz="8" w:color="auto"/>
            </w:tcBorders>
          </w:tcPr>
          <w:p>
            <w:pPr>
              <w:jc w:val="right"/>
              <w:ind w:right="461"/>
              <w:spacing w:after="0" w:line="207" w:lineRule="exact"/>
              <w:rPr>
                <w:sz w:val="20"/>
                <w:szCs w:val="20"/>
                <w:color w:val="auto"/>
              </w:rPr>
            </w:pPr>
            <w:r>
              <w:rPr>
                <w:rFonts w:ascii="Arial" w:cs="Arial" w:eastAsia="Arial" w:hAnsi="Arial"/>
                <w:sz w:val="20"/>
                <w:szCs w:val="20"/>
                <w:color w:val="auto"/>
              </w:rPr>
              <w:t>$</w:t>
            </w:r>
          </w:p>
        </w:tc>
        <w:tc>
          <w:tcPr>
            <w:tcW w:w="640" w:type="dxa"/>
            <w:vAlign w:val="bottom"/>
            <w:tcBorders>
              <w:top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w w:val="99"/>
              </w:rPr>
              <w:t>1,092</w:t>
            </w:r>
          </w:p>
        </w:tc>
        <w:tc>
          <w:tcPr>
            <w:tcW w:w="0" w:type="dxa"/>
            <w:vAlign w:val="bottom"/>
          </w:tcPr>
          <w:p>
            <w:pPr>
              <w:spacing w:after="0"/>
              <w:rPr>
                <w:sz w:val="1"/>
                <w:szCs w:val="1"/>
                <w:color w:val="auto"/>
              </w:rPr>
            </w:pPr>
          </w:p>
        </w:tc>
      </w:tr>
      <w:tr>
        <w:trPr>
          <w:trHeight w:val="230"/>
        </w:trPr>
        <w:tc>
          <w:tcPr>
            <w:tcW w:w="5040" w:type="dxa"/>
            <w:vAlign w:val="bottom"/>
          </w:tcPr>
          <w:p>
            <w:pPr>
              <w:ind w:left="260"/>
              <w:spacing w:after="0"/>
              <w:rPr>
                <w:sz w:val="20"/>
                <w:szCs w:val="20"/>
                <w:color w:val="auto"/>
              </w:rPr>
            </w:pPr>
            <w:r>
              <w:rPr>
                <w:rFonts w:ascii="Arial" w:cs="Arial" w:eastAsia="Arial" w:hAnsi="Arial"/>
                <w:sz w:val="20"/>
                <w:szCs w:val="20"/>
                <w:color w:val="auto"/>
              </w:rPr>
              <w:t>Transfers into Level 3</w:t>
            </w:r>
          </w:p>
        </w:tc>
        <w:tc>
          <w:tcPr>
            <w:tcW w:w="24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5040" w:type="dxa"/>
            <w:vAlign w:val="bottom"/>
          </w:tcPr>
          <w:p>
            <w:pPr>
              <w:ind w:left="260"/>
              <w:spacing w:after="0"/>
              <w:rPr>
                <w:sz w:val="20"/>
                <w:szCs w:val="20"/>
                <w:color w:val="auto"/>
              </w:rPr>
            </w:pPr>
            <w:r>
              <w:rPr>
                <w:rFonts w:ascii="Arial" w:cs="Arial" w:eastAsia="Arial" w:hAnsi="Arial"/>
                <w:sz w:val="20"/>
                <w:szCs w:val="20"/>
                <w:color w:val="auto"/>
              </w:rPr>
              <w:t>Transfers out of Level 3</w:t>
            </w:r>
          </w:p>
        </w:tc>
        <w:tc>
          <w:tcPr>
            <w:tcW w:w="24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5040" w:type="dxa"/>
            <w:vAlign w:val="bottom"/>
          </w:tcPr>
          <w:p>
            <w:pPr>
              <w:ind w:left="260"/>
              <w:spacing w:after="0"/>
              <w:rPr>
                <w:sz w:val="20"/>
                <w:szCs w:val="20"/>
                <w:color w:val="auto"/>
              </w:rPr>
            </w:pPr>
            <w:r>
              <w:rPr>
                <w:rFonts w:ascii="Arial" w:cs="Arial" w:eastAsia="Arial" w:hAnsi="Arial"/>
                <w:sz w:val="20"/>
                <w:szCs w:val="20"/>
                <w:color w:val="auto"/>
              </w:rPr>
              <w:t>Total gains (losses) for the period:</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460"/>
              <w:spacing w:after="0"/>
              <w:rPr>
                <w:sz w:val="20"/>
                <w:szCs w:val="20"/>
                <w:color w:val="auto"/>
              </w:rPr>
            </w:pPr>
            <w:r>
              <w:rPr>
                <w:rFonts w:ascii="Arial" w:cs="Arial" w:eastAsia="Arial" w:hAnsi="Arial"/>
                <w:sz w:val="20"/>
                <w:szCs w:val="20"/>
                <w:color w:val="auto"/>
              </w:rPr>
              <w:t>Included in earnings</w:t>
            </w:r>
          </w:p>
        </w:tc>
        <w:tc>
          <w:tcPr>
            <w:tcW w:w="24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67</w:t>
            </w: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(68)</w:t>
            </w:r>
          </w:p>
        </w:tc>
        <w:tc>
          <w:tcPr>
            <w:tcW w:w="0" w:type="dxa"/>
            <w:vAlign w:val="bottom"/>
          </w:tcPr>
          <w:p>
            <w:pPr>
              <w:spacing w:after="0"/>
              <w:rPr>
                <w:sz w:val="1"/>
                <w:szCs w:val="1"/>
                <w:color w:val="auto"/>
              </w:rPr>
            </w:pPr>
          </w:p>
        </w:tc>
      </w:tr>
      <w:tr>
        <w:trPr>
          <w:trHeight w:val="230"/>
        </w:trPr>
        <w:tc>
          <w:tcPr>
            <w:tcW w:w="5040" w:type="dxa"/>
            <w:vAlign w:val="bottom"/>
          </w:tcPr>
          <w:p>
            <w:pPr>
              <w:ind w:left="460"/>
              <w:spacing w:after="0"/>
              <w:rPr>
                <w:sz w:val="20"/>
                <w:szCs w:val="20"/>
                <w:color w:val="auto"/>
              </w:rPr>
            </w:pPr>
            <w:r>
              <w:rPr>
                <w:rFonts w:ascii="Arial" w:cs="Arial" w:eastAsia="Arial" w:hAnsi="Arial"/>
                <w:sz w:val="20"/>
                <w:szCs w:val="20"/>
                <w:color w:val="auto"/>
              </w:rPr>
              <w:t>Included in other comprehensive income</w:t>
            </w:r>
          </w:p>
        </w:tc>
        <w:tc>
          <w:tcPr>
            <w:tcW w:w="24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6"/>
        </w:trPr>
        <w:tc>
          <w:tcPr>
            <w:tcW w:w="5040" w:type="dxa"/>
            <w:vAlign w:val="bottom"/>
          </w:tcPr>
          <w:p>
            <w:pPr>
              <w:ind w:left="260"/>
              <w:spacing w:after="0"/>
              <w:rPr>
                <w:sz w:val="20"/>
                <w:szCs w:val="20"/>
                <w:color w:val="auto"/>
              </w:rPr>
            </w:pPr>
            <w:r>
              <w:rPr>
                <w:rFonts w:ascii="Arial" w:cs="Arial" w:eastAsia="Arial" w:hAnsi="Arial"/>
                <w:sz w:val="20"/>
                <w:szCs w:val="20"/>
                <w:color w:val="auto"/>
              </w:rPr>
              <w:t>Settlements</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(1,725)</w:t>
            </w:r>
          </w:p>
        </w:tc>
        <w:tc>
          <w:tcPr>
            <w:tcW w:w="28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3"/>
        </w:trPr>
        <w:tc>
          <w:tcPr>
            <w:tcW w:w="5040" w:type="dxa"/>
            <w:vAlign w:val="bottom"/>
          </w:tcPr>
          <w:p>
            <w:pPr>
              <w:spacing w:after="0" w:line="223" w:lineRule="exact"/>
              <w:rPr>
                <w:sz w:val="20"/>
                <w:szCs w:val="20"/>
                <w:color w:val="auto"/>
              </w:rPr>
            </w:pPr>
            <w:r>
              <w:rPr>
                <w:rFonts w:ascii="Arial" w:cs="Arial" w:eastAsia="Arial" w:hAnsi="Arial"/>
                <w:sz w:val="20"/>
                <w:szCs w:val="20"/>
                <w:color w:val="auto"/>
              </w:rPr>
              <w:t>Closing Balance</w:t>
            </w:r>
          </w:p>
        </w:tc>
        <w:tc>
          <w:tcPr>
            <w:tcW w:w="2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3,910</w:t>
            </w:r>
          </w:p>
        </w:tc>
        <w:tc>
          <w:tcPr>
            <w:tcW w:w="300" w:type="dxa"/>
            <w:vAlign w:val="bottom"/>
          </w:tcPr>
          <w:p>
            <w:pPr>
              <w:spacing w:after="0"/>
              <w:rPr>
                <w:sz w:val="19"/>
                <w:szCs w:val="19"/>
                <w:color w:val="auto"/>
              </w:rPr>
            </w:pPr>
          </w:p>
        </w:tc>
        <w:tc>
          <w:tcPr>
            <w:tcW w:w="800" w:type="dxa"/>
            <w:vAlign w:val="bottom"/>
            <w:tcBorders>
              <w:bottom w:val="single" w:sz="8" w:color="auto"/>
            </w:tcBorders>
          </w:tcPr>
          <w:p>
            <w:pPr>
              <w:jc w:val="right"/>
              <w:ind w:right="541"/>
              <w:spacing w:after="0" w:line="223" w:lineRule="exact"/>
              <w:rPr>
                <w:sz w:val="20"/>
                <w:szCs w:val="20"/>
                <w:color w:val="auto"/>
              </w:rPr>
            </w:pPr>
            <w:r>
              <w:rPr>
                <w:rFonts w:ascii="Arial" w:cs="Arial" w:eastAsia="Arial" w:hAnsi="Arial"/>
                <w:sz w:val="20"/>
                <w:szCs w:val="20"/>
                <w:color w:val="auto"/>
              </w:rPr>
              <w:t>$</w:t>
            </w:r>
          </w:p>
        </w:tc>
        <w:tc>
          <w:tcPr>
            <w:tcW w:w="54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250</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14,526</w:t>
            </w:r>
          </w:p>
        </w:tc>
        <w:tc>
          <w:tcPr>
            <w:tcW w:w="280" w:type="dxa"/>
            <w:vAlign w:val="bottom"/>
          </w:tcPr>
          <w:p>
            <w:pPr>
              <w:spacing w:after="0"/>
              <w:rPr>
                <w:sz w:val="19"/>
                <w:szCs w:val="19"/>
                <w:color w:val="auto"/>
              </w:rPr>
            </w:pPr>
          </w:p>
        </w:tc>
        <w:tc>
          <w:tcPr>
            <w:tcW w:w="740" w:type="dxa"/>
            <w:vAlign w:val="bottom"/>
            <w:tcBorders>
              <w:bottom w:val="single" w:sz="8" w:color="auto"/>
            </w:tcBorders>
          </w:tcPr>
          <w:p>
            <w:pPr>
              <w:jc w:val="right"/>
              <w:ind w:right="461"/>
              <w:spacing w:after="0" w:line="223" w:lineRule="exact"/>
              <w:rPr>
                <w:sz w:val="20"/>
                <w:szCs w:val="20"/>
                <w:color w:val="auto"/>
              </w:rPr>
            </w:pPr>
            <w:r>
              <w:rPr>
                <w:rFonts w:ascii="Arial" w:cs="Arial" w:eastAsia="Arial" w:hAnsi="Arial"/>
                <w:sz w:val="20"/>
                <w:szCs w:val="20"/>
                <w:color w:val="auto"/>
              </w:rPr>
              <w:t>$</w:t>
            </w:r>
          </w:p>
        </w:tc>
        <w:tc>
          <w:tcPr>
            <w:tcW w:w="64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w w:val="99"/>
              </w:rPr>
              <w:t>1,024</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ind w:left="640" w:hanging="632"/>
        <w:spacing w:after="0"/>
        <w:tabs>
          <w:tab w:leader="none" w:pos="640" w:val="left"/>
        </w:tabs>
        <w:numPr>
          <w:ilvl w:val="0"/>
          <w:numId w:val="12"/>
        </w:numPr>
        <w:rPr>
          <w:rFonts w:ascii="Arial" w:cs="Arial" w:eastAsia="Arial" w:hAnsi="Arial"/>
          <w:sz w:val="20"/>
          <w:szCs w:val="20"/>
          <w:color w:val="auto"/>
        </w:rPr>
      </w:pPr>
      <w:r>
        <w:rPr>
          <w:rFonts w:ascii="Arial" w:cs="Arial" w:eastAsia="Arial" w:hAnsi="Arial"/>
          <w:sz w:val="20"/>
          <w:szCs w:val="20"/>
          <w:color w:val="auto"/>
        </w:rPr>
        <w:t>DERIVATIVE INSTRUMENTS AND HEDGING ACTIVITIES</w:t>
      </w:r>
    </w:p>
    <w:p>
      <w:pPr>
        <w:spacing w:after="0" w:line="22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Company is exposed to foreign currency exchange rate risks related primarily to its foreign business operations. During the three-months ended March 31, 2015 and the year ended December 31, 2014, the Company entered into forward currency exchange contracts with financial institutions to create an economic hedge to specifically manage a portion of the foreign exchange risk exposure associated with certain consolidated subsidiaries’ non-functional currency denominated assets and liabilities. All foreign currency exchange contracts of the Company that were outstanding as of March 31, 2015 have terms of one month or less. The Company does not enter into forward currency exchange contracts for speculation or trading purposes.</w:t>
      </w:r>
    </w:p>
    <w:p>
      <w:pPr>
        <w:sectPr>
          <w:pgSz w:w="11900" w:h="16838" w:orient="portrait"/>
          <w:cols w:equalWidth="0" w:num="1">
            <w:col w:w="11420"/>
          </w:cols>
          <w:pgMar w:left="240" w:top="125" w:right="239" w:bottom="0" w:gutter="0" w:footer="0" w:header="0"/>
        </w:sectPr>
      </w:pPr>
    </w:p>
    <w:bookmarkStart w:id="10" w:name="page11"/>
    <w:bookmarkEnd w:id="10"/>
    <w:p>
      <w:pPr>
        <w:jc w:val="both"/>
        <w:ind w:right="40" w:firstLine="648"/>
        <w:spacing w:after="0" w:line="291" w:lineRule="auto"/>
        <w:rPr>
          <w:sz w:val="20"/>
          <w:szCs w:val="20"/>
          <w:color w:val="auto"/>
        </w:rPr>
      </w:pPr>
      <w:r>
        <w:rPr>
          <w:rFonts w:ascii="Arial" w:cs="Arial" w:eastAsia="Arial" w:hAnsi="Arial"/>
          <w:sz w:val="18"/>
          <w:szCs w:val="18"/>
          <w:color w:val="auto"/>
        </w:rPr>
        <w:t>The Company has not designated its foreign currency exchange contracts as hedge transactions under ASC 815. Therefore, gains and losses on the Company’s foreign currency exchange contracts are recognized in interest and other income, net, in the condensed consolidated statements of income, and are largely offset by the changes in the fair value of the underlying economically hedged item.</w:t>
      </w:r>
    </w:p>
    <w:p>
      <w:pPr>
        <w:spacing w:after="0" w:line="15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23"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left="40"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0" w:lineRule="exact"/>
        <w:rPr>
          <w:sz w:val="20"/>
          <w:szCs w:val="20"/>
          <w:color w:val="auto"/>
        </w:rPr>
      </w:pPr>
    </w:p>
    <w:p>
      <w:pPr>
        <w:ind w:right="60" w:firstLine="648"/>
        <w:spacing w:after="0" w:line="260" w:lineRule="auto"/>
        <w:rPr>
          <w:sz w:val="20"/>
          <w:szCs w:val="20"/>
          <w:color w:val="auto"/>
        </w:rPr>
      </w:pPr>
      <w:r>
        <w:rPr>
          <w:rFonts w:ascii="Arial" w:cs="Arial" w:eastAsia="Arial" w:hAnsi="Arial"/>
          <w:sz w:val="20"/>
          <w:szCs w:val="20"/>
          <w:color w:val="auto"/>
        </w:rPr>
        <w:t>The notional amount and fair value of all outstanding foreign currency derivative instruments in the condensed consolidated balance sheets consist of the following at:</w:t>
      </w: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March 31, 2015</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340" w:type="dxa"/>
            <w:vAlign w:val="bottom"/>
            <w:tcBorders>
              <w:top w:val="single" w:sz="8" w:color="auto"/>
            </w:tcBorders>
          </w:tcPr>
          <w:p>
            <w:pPr>
              <w:ind w:left="1420"/>
              <w:spacing w:after="0" w:line="207" w:lineRule="exact"/>
              <w:rPr>
                <w:sz w:val="20"/>
                <w:szCs w:val="20"/>
                <w:color w:val="auto"/>
              </w:rPr>
            </w:pPr>
            <w:r>
              <w:rPr>
                <w:rFonts w:ascii="Arial" w:cs="Arial" w:eastAsia="Arial" w:hAnsi="Arial"/>
                <w:sz w:val="20"/>
                <w:szCs w:val="20"/>
                <w:color w:val="auto"/>
              </w:rPr>
              <w:t>Derivatives not designated as</w:t>
            </w:r>
          </w:p>
        </w:tc>
        <w:tc>
          <w:tcPr>
            <w:tcW w:w="8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5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r>
      <w:tr>
        <w:trPr>
          <w:trHeight w:val="230"/>
        </w:trPr>
        <w:tc>
          <w:tcPr>
            <w:tcW w:w="4340" w:type="dxa"/>
            <w:vAlign w:val="bottom"/>
          </w:tcPr>
          <w:p>
            <w:pPr>
              <w:jc w:val="center"/>
              <w:ind w:left="901"/>
              <w:spacing w:after="0"/>
              <w:rPr>
                <w:sz w:val="20"/>
                <w:szCs w:val="20"/>
                <w:color w:val="auto"/>
              </w:rPr>
            </w:pPr>
            <w:r>
              <w:rPr>
                <w:rFonts w:ascii="Arial" w:cs="Arial" w:eastAsia="Arial" w:hAnsi="Arial"/>
                <w:sz w:val="20"/>
                <w:szCs w:val="20"/>
                <w:color w:val="auto"/>
                <w:w w:val="88"/>
              </w:rPr>
              <w:t>hedging instruments under</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gridSpan w:val="2"/>
          </w:tcPr>
          <w:p>
            <w:pPr>
              <w:ind w:left="100"/>
              <w:spacing w:after="0"/>
              <w:rPr>
                <w:sz w:val="20"/>
                <w:szCs w:val="20"/>
                <w:color w:val="auto"/>
              </w:rPr>
            </w:pPr>
            <w:r>
              <w:rPr>
                <w:rFonts w:ascii="Arial" w:cs="Arial" w:eastAsia="Arial" w:hAnsi="Arial"/>
                <w:sz w:val="20"/>
                <w:szCs w:val="20"/>
                <w:color w:val="auto"/>
              </w:rPr>
              <w:t>Notional</w:t>
            </w:r>
          </w:p>
        </w:tc>
        <w:tc>
          <w:tcPr>
            <w:tcW w:w="320" w:type="dxa"/>
            <w:vAlign w:val="bottom"/>
          </w:tcPr>
          <w:p>
            <w:pPr>
              <w:spacing w:after="0"/>
              <w:rPr>
                <w:sz w:val="19"/>
                <w:szCs w:val="19"/>
                <w:color w:val="auto"/>
              </w:rPr>
            </w:pPr>
          </w:p>
        </w:tc>
        <w:tc>
          <w:tcPr>
            <w:tcW w:w="1300" w:type="dxa"/>
            <w:vAlign w:val="bottom"/>
            <w:gridSpan w:val="2"/>
          </w:tcPr>
          <w:p>
            <w:pPr>
              <w:jc w:val="center"/>
              <w:ind w:right="580"/>
              <w:spacing w:after="0"/>
              <w:rPr>
                <w:sz w:val="20"/>
                <w:szCs w:val="20"/>
                <w:color w:val="auto"/>
              </w:rPr>
            </w:pPr>
            <w:r>
              <w:rPr>
                <w:rFonts w:ascii="Arial" w:cs="Arial" w:eastAsia="Arial" w:hAnsi="Arial"/>
                <w:sz w:val="20"/>
                <w:szCs w:val="20"/>
                <w:color w:val="auto"/>
                <w:w w:val="92"/>
              </w:rPr>
              <w:t>Fair</w:t>
            </w:r>
          </w:p>
        </w:tc>
        <w:tc>
          <w:tcPr>
            <w:tcW w:w="25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6"/>
        </w:trPr>
        <w:tc>
          <w:tcPr>
            <w:tcW w:w="4340" w:type="dxa"/>
            <w:vAlign w:val="bottom"/>
          </w:tcPr>
          <w:p>
            <w:pPr>
              <w:jc w:val="center"/>
              <w:ind w:left="961"/>
              <w:spacing w:after="0"/>
              <w:rPr>
                <w:sz w:val="20"/>
                <w:szCs w:val="20"/>
                <w:color w:val="auto"/>
              </w:rPr>
            </w:pPr>
            <w:r>
              <w:rPr>
                <w:rFonts w:ascii="Arial" w:cs="Arial" w:eastAsia="Arial" w:hAnsi="Arial"/>
                <w:sz w:val="20"/>
                <w:szCs w:val="20"/>
                <w:color w:val="auto"/>
                <w:w w:val="91"/>
              </w:rPr>
              <w:t>FASB ASC 815-20</w:t>
            </w: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gridSpan w:val="2"/>
          </w:tcPr>
          <w:p>
            <w:pPr>
              <w:ind w:left="120"/>
              <w:spacing w:after="0"/>
              <w:rPr>
                <w:sz w:val="20"/>
                <w:szCs w:val="20"/>
                <w:color w:val="auto"/>
              </w:rPr>
            </w:pPr>
            <w:r>
              <w:rPr>
                <w:rFonts w:ascii="Arial" w:cs="Arial" w:eastAsia="Arial" w:hAnsi="Arial"/>
                <w:sz w:val="20"/>
                <w:szCs w:val="20"/>
                <w:color w:val="auto"/>
              </w:rPr>
              <w:t>Amount</w:t>
            </w:r>
          </w:p>
        </w:tc>
        <w:tc>
          <w:tcPr>
            <w:tcW w:w="320" w:type="dxa"/>
            <w:vAlign w:val="bottom"/>
          </w:tcPr>
          <w:p>
            <w:pPr>
              <w:spacing w:after="0"/>
              <w:rPr>
                <w:sz w:val="21"/>
                <w:szCs w:val="21"/>
                <w:color w:val="auto"/>
              </w:rPr>
            </w:pPr>
          </w:p>
        </w:tc>
        <w:tc>
          <w:tcPr>
            <w:tcW w:w="1300" w:type="dxa"/>
            <w:vAlign w:val="bottom"/>
            <w:gridSpan w:val="2"/>
          </w:tcPr>
          <w:p>
            <w:pPr>
              <w:jc w:val="center"/>
              <w:ind w:right="600"/>
              <w:spacing w:after="0"/>
              <w:rPr>
                <w:sz w:val="20"/>
                <w:szCs w:val="20"/>
                <w:color w:val="auto"/>
              </w:rPr>
            </w:pPr>
            <w:r>
              <w:rPr>
                <w:rFonts w:ascii="Arial" w:cs="Arial" w:eastAsia="Arial" w:hAnsi="Arial"/>
                <w:sz w:val="20"/>
                <w:szCs w:val="20"/>
                <w:color w:val="auto"/>
                <w:w w:val="89"/>
              </w:rPr>
              <w:t>Value</w:t>
            </w:r>
          </w:p>
        </w:tc>
        <w:tc>
          <w:tcPr>
            <w:tcW w:w="2520" w:type="dxa"/>
            <w:vAlign w:val="bottom"/>
          </w:tcPr>
          <w:p>
            <w:pPr>
              <w:ind w:left="320"/>
              <w:spacing w:after="0"/>
              <w:rPr>
                <w:sz w:val="20"/>
                <w:szCs w:val="20"/>
                <w:color w:val="auto"/>
              </w:rPr>
            </w:pPr>
            <w:r>
              <w:rPr>
                <w:rFonts w:ascii="Arial" w:cs="Arial" w:eastAsia="Arial" w:hAnsi="Arial"/>
                <w:sz w:val="20"/>
                <w:szCs w:val="20"/>
                <w:color w:val="auto"/>
              </w:rPr>
              <w:t>Balance Sheet Location</w:t>
            </w:r>
          </w:p>
        </w:tc>
        <w:tc>
          <w:tcPr>
            <w:tcW w:w="60" w:type="dxa"/>
            <w:vAlign w:val="bottom"/>
          </w:tcPr>
          <w:p>
            <w:pPr>
              <w:spacing w:after="0"/>
              <w:rPr>
                <w:sz w:val="21"/>
                <w:szCs w:val="21"/>
                <w:color w:val="auto"/>
              </w:rPr>
            </w:pPr>
          </w:p>
        </w:tc>
      </w:tr>
      <w:tr>
        <w:trPr>
          <w:trHeight w:val="341"/>
        </w:trPr>
        <w:tc>
          <w:tcPr>
            <w:tcW w:w="4340" w:type="dxa"/>
            <w:vAlign w:val="bottom"/>
            <w:tcBorders>
              <w:top w:val="single" w:sz="8" w:color="auto"/>
            </w:tcBorders>
          </w:tcPr>
          <w:p>
            <w:pPr>
              <w:ind w:left="40"/>
              <w:spacing w:after="0"/>
              <w:rPr>
                <w:sz w:val="20"/>
                <w:szCs w:val="20"/>
                <w:color w:val="auto"/>
              </w:rPr>
            </w:pPr>
            <w:r>
              <w:rPr>
                <w:rFonts w:ascii="Arial" w:cs="Arial" w:eastAsia="Arial" w:hAnsi="Arial"/>
                <w:sz w:val="20"/>
                <w:szCs w:val="20"/>
                <w:color w:val="auto"/>
              </w:rPr>
              <w:t>Assets:</w:t>
            </w:r>
          </w:p>
        </w:tc>
        <w:tc>
          <w:tcPr>
            <w:tcW w:w="8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5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4340" w:type="dxa"/>
            <w:vAlign w:val="bottom"/>
          </w:tcPr>
          <w:p>
            <w:pPr>
              <w:ind w:left="380"/>
              <w:spacing w:after="0"/>
              <w:rPr>
                <w:sz w:val="20"/>
                <w:szCs w:val="20"/>
                <w:color w:val="auto"/>
              </w:rPr>
            </w:pPr>
            <w:r>
              <w:rPr>
                <w:rFonts w:ascii="Arial" w:cs="Arial" w:eastAsia="Arial" w:hAnsi="Arial"/>
                <w:sz w:val="20"/>
                <w:szCs w:val="20"/>
                <w:color w:val="auto"/>
              </w:rPr>
              <w:t>Foreign currency exchange contracts:</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4340" w:type="dxa"/>
            <w:vAlign w:val="bottom"/>
          </w:tcPr>
          <w:p>
            <w:pPr>
              <w:ind w:left="860"/>
              <w:spacing w:after="0"/>
              <w:rPr>
                <w:sz w:val="20"/>
                <w:szCs w:val="20"/>
                <w:color w:val="auto"/>
              </w:rPr>
            </w:pPr>
            <w:r>
              <w:rPr>
                <w:rFonts w:ascii="Arial" w:cs="Arial" w:eastAsia="Arial" w:hAnsi="Arial"/>
                <w:sz w:val="20"/>
                <w:szCs w:val="20"/>
                <w:color w:val="auto"/>
              </w:rPr>
              <w:t>Receive USD/pay AUD</w:t>
            </w:r>
          </w:p>
        </w:tc>
        <w:tc>
          <w:tcPr>
            <w:tcW w:w="1420" w:type="dxa"/>
            <w:vAlign w:val="bottom"/>
            <w:gridSpan w:val="3"/>
          </w:tcPr>
          <w:p>
            <w:pPr>
              <w:jc w:val="right"/>
              <w:ind w:right="100"/>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8,069</w:t>
            </w:r>
          </w:p>
        </w:tc>
        <w:tc>
          <w:tcPr>
            <w:tcW w:w="280" w:type="dxa"/>
            <w:vAlign w:val="bottom"/>
          </w:tcPr>
          <w:p>
            <w:pPr>
              <w:spacing w:after="0"/>
              <w:rPr>
                <w:sz w:val="19"/>
                <w:szCs w:val="19"/>
                <w:color w:val="auto"/>
              </w:rPr>
            </w:pPr>
          </w:p>
        </w:tc>
        <w:tc>
          <w:tcPr>
            <w:tcW w:w="32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166</w:t>
            </w:r>
          </w:p>
        </w:tc>
        <w:tc>
          <w:tcPr>
            <w:tcW w:w="260" w:type="dxa"/>
            <w:vAlign w:val="bottom"/>
          </w:tcPr>
          <w:p>
            <w:pPr>
              <w:spacing w:after="0"/>
              <w:rPr>
                <w:sz w:val="19"/>
                <w:szCs w:val="19"/>
                <w:color w:val="auto"/>
              </w:rPr>
            </w:pPr>
          </w:p>
        </w:tc>
        <w:tc>
          <w:tcPr>
            <w:tcW w:w="2520" w:type="dxa"/>
            <w:vAlign w:val="bottom"/>
          </w:tcPr>
          <w:p>
            <w:pPr>
              <w:ind w:left="40"/>
              <w:spacing w:after="0"/>
              <w:rPr>
                <w:sz w:val="20"/>
                <w:szCs w:val="20"/>
                <w:color w:val="auto"/>
              </w:rPr>
            </w:pPr>
            <w:r>
              <w:rPr>
                <w:rFonts w:ascii="Arial" w:cs="Arial" w:eastAsia="Arial" w:hAnsi="Arial"/>
                <w:sz w:val="20"/>
                <w:szCs w:val="20"/>
                <w:color w:val="auto"/>
              </w:rPr>
              <w:t>Accounts receivable, net</w:t>
            </w:r>
          </w:p>
        </w:tc>
        <w:tc>
          <w:tcPr>
            <w:tcW w:w="60" w:type="dxa"/>
            <w:vAlign w:val="bottom"/>
          </w:tcPr>
          <w:p>
            <w:pPr>
              <w:spacing w:after="0"/>
              <w:rPr>
                <w:sz w:val="19"/>
                <w:szCs w:val="19"/>
                <w:color w:val="auto"/>
              </w:rPr>
            </w:pPr>
          </w:p>
        </w:tc>
      </w:tr>
      <w:tr>
        <w:trPr>
          <w:trHeight w:val="230"/>
        </w:trPr>
        <w:tc>
          <w:tcPr>
            <w:tcW w:w="4340" w:type="dxa"/>
            <w:vAlign w:val="bottom"/>
          </w:tcPr>
          <w:p>
            <w:pPr>
              <w:ind w:left="860"/>
              <w:spacing w:after="0"/>
              <w:rPr>
                <w:sz w:val="20"/>
                <w:szCs w:val="20"/>
                <w:color w:val="auto"/>
              </w:rPr>
            </w:pPr>
            <w:r>
              <w:rPr>
                <w:rFonts w:ascii="Arial" w:cs="Arial" w:eastAsia="Arial" w:hAnsi="Arial"/>
                <w:sz w:val="20"/>
                <w:szCs w:val="20"/>
                <w:color w:val="auto"/>
              </w:rPr>
              <w:t>Receive USD/pay JPY</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9,367</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60</w:t>
            </w:r>
          </w:p>
        </w:tc>
        <w:tc>
          <w:tcPr>
            <w:tcW w:w="260" w:type="dxa"/>
            <w:vAlign w:val="bottom"/>
          </w:tcPr>
          <w:p>
            <w:pPr>
              <w:spacing w:after="0"/>
              <w:rPr>
                <w:sz w:val="19"/>
                <w:szCs w:val="19"/>
                <w:color w:val="auto"/>
              </w:rPr>
            </w:pPr>
          </w:p>
        </w:tc>
        <w:tc>
          <w:tcPr>
            <w:tcW w:w="2520" w:type="dxa"/>
            <w:vAlign w:val="bottom"/>
          </w:tcPr>
          <w:p>
            <w:pPr>
              <w:ind w:left="40"/>
              <w:spacing w:after="0"/>
              <w:rPr>
                <w:sz w:val="20"/>
                <w:szCs w:val="20"/>
                <w:color w:val="auto"/>
              </w:rPr>
            </w:pPr>
            <w:r>
              <w:rPr>
                <w:rFonts w:ascii="Arial" w:cs="Arial" w:eastAsia="Arial" w:hAnsi="Arial"/>
                <w:sz w:val="20"/>
                <w:szCs w:val="20"/>
                <w:color w:val="auto"/>
              </w:rPr>
              <w:t>Accounts receivable, net</w:t>
            </w:r>
          </w:p>
        </w:tc>
        <w:tc>
          <w:tcPr>
            <w:tcW w:w="60" w:type="dxa"/>
            <w:vAlign w:val="bottom"/>
          </w:tcPr>
          <w:p>
            <w:pPr>
              <w:spacing w:after="0"/>
              <w:rPr>
                <w:sz w:val="19"/>
                <w:szCs w:val="19"/>
                <w:color w:val="auto"/>
              </w:rPr>
            </w:pPr>
          </w:p>
        </w:tc>
      </w:tr>
      <w:tr>
        <w:trPr>
          <w:trHeight w:val="230"/>
        </w:trPr>
        <w:tc>
          <w:tcPr>
            <w:tcW w:w="4340" w:type="dxa"/>
            <w:vAlign w:val="bottom"/>
          </w:tcPr>
          <w:p>
            <w:pPr>
              <w:ind w:left="860"/>
              <w:spacing w:after="0"/>
              <w:rPr>
                <w:sz w:val="20"/>
                <w:szCs w:val="20"/>
                <w:color w:val="auto"/>
              </w:rPr>
            </w:pPr>
            <w:r>
              <w:rPr>
                <w:rFonts w:ascii="Arial" w:cs="Arial" w:eastAsia="Arial" w:hAnsi="Arial"/>
                <w:sz w:val="20"/>
                <w:szCs w:val="20"/>
                <w:color w:val="auto"/>
              </w:rPr>
              <w:t>Receive USD/pay ZAR</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13,161</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101</w:t>
            </w:r>
          </w:p>
        </w:tc>
        <w:tc>
          <w:tcPr>
            <w:tcW w:w="260" w:type="dxa"/>
            <w:vAlign w:val="bottom"/>
          </w:tcPr>
          <w:p>
            <w:pPr>
              <w:spacing w:after="0"/>
              <w:rPr>
                <w:sz w:val="19"/>
                <w:szCs w:val="19"/>
                <w:color w:val="auto"/>
              </w:rPr>
            </w:pPr>
          </w:p>
        </w:tc>
        <w:tc>
          <w:tcPr>
            <w:tcW w:w="2520" w:type="dxa"/>
            <w:vAlign w:val="bottom"/>
          </w:tcPr>
          <w:p>
            <w:pPr>
              <w:ind w:left="40"/>
              <w:spacing w:after="0"/>
              <w:rPr>
                <w:sz w:val="20"/>
                <w:szCs w:val="20"/>
                <w:color w:val="auto"/>
              </w:rPr>
            </w:pPr>
            <w:r>
              <w:rPr>
                <w:rFonts w:ascii="Arial" w:cs="Arial" w:eastAsia="Arial" w:hAnsi="Arial"/>
                <w:sz w:val="20"/>
                <w:szCs w:val="20"/>
                <w:color w:val="auto"/>
              </w:rPr>
              <w:t>Accounts receivable, net</w:t>
            </w:r>
          </w:p>
        </w:tc>
        <w:tc>
          <w:tcPr>
            <w:tcW w:w="60" w:type="dxa"/>
            <w:vAlign w:val="bottom"/>
          </w:tcPr>
          <w:p>
            <w:pPr>
              <w:spacing w:after="0"/>
              <w:rPr>
                <w:sz w:val="19"/>
                <w:szCs w:val="19"/>
                <w:color w:val="auto"/>
              </w:rPr>
            </w:pPr>
          </w:p>
        </w:tc>
      </w:tr>
      <w:tr>
        <w:trPr>
          <w:trHeight w:val="230"/>
        </w:trPr>
        <w:tc>
          <w:tcPr>
            <w:tcW w:w="4340" w:type="dxa"/>
            <w:vAlign w:val="bottom"/>
          </w:tcPr>
          <w:p>
            <w:pPr>
              <w:ind w:left="860"/>
              <w:spacing w:after="0"/>
              <w:rPr>
                <w:sz w:val="20"/>
                <w:szCs w:val="20"/>
                <w:color w:val="auto"/>
              </w:rPr>
            </w:pPr>
            <w:r>
              <w:rPr>
                <w:rFonts w:ascii="Arial" w:cs="Arial" w:eastAsia="Arial" w:hAnsi="Arial"/>
                <w:sz w:val="20"/>
                <w:szCs w:val="20"/>
                <w:color w:val="auto"/>
              </w:rPr>
              <w:t>Receive USD/pay MXN</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6,349</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30</w:t>
            </w:r>
          </w:p>
        </w:tc>
        <w:tc>
          <w:tcPr>
            <w:tcW w:w="260" w:type="dxa"/>
            <w:vAlign w:val="bottom"/>
          </w:tcPr>
          <w:p>
            <w:pPr>
              <w:spacing w:after="0"/>
              <w:rPr>
                <w:sz w:val="19"/>
                <w:szCs w:val="19"/>
                <w:color w:val="auto"/>
              </w:rPr>
            </w:pPr>
          </w:p>
        </w:tc>
        <w:tc>
          <w:tcPr>
            <w:tcW w:w="2520" w:type="dxa"/>
            <w:vAlign w:val="bottom"/>
          </w:tcPr>
          <w:p>
            <w:pPr>
              <w:ind w:left="40"/>
              <w:spacing w:after="0"/>
              <w:rPr>
                <w:sz w:val="20"/>
                <w:szCs w:val="20"/>
                <w:color w:val="auto"/>
              </w:rPr>
            </w:pPr>
            <w:r>
              <w:rPr>
                <w:rFonts w:ascii="Arial" w:cs="Arial" w:eastAsia="Arial" w:hAnsi="Arial"/>
                <w:sz w:val="20"/>
                <w:szCs w:val="20"/>
                <w:color w:val="auto"/>
              </w:rPr>
              <w:t>Accounts receivable, net</w:t>
            </w:r>
          </w:p>
        </w:tc>
        <w:tc>
          <w:tcPr>
            <w:tcW w:w="60" w:type="dxa"/>
            <w:vAlign w:val="bottom"/>
          </w:tcPr>
          <w:p>
            <w:pPr>
              <w:spacing w:after="0"/>
              <w:rPr>
                <w:sz w:val="19"/>
                <w:szCs w:val="19"/>
                <w:color w:val="auto"/>
              </w:rPr>
            </w:pPr>
          </w:p>
        </w:tc>
      </w:tr>
      <w:tr>
        <w:trPr>
          <w:trHeight w:val="230"/>
        </w:trPr>
        <w:tc>
          <w:tcPr>
            <w:tcW w:w="4340" w:type="dxa"/>
            <w:vAlign w:val="bottom"/>
          </w:tcPr>
          <w:p>
            <w:pPr>
              <w:ind w:left="860"/>
              <w:spacing w:after="0"/>
              <w:rPr>
                <w:sz w:val="20"/>
                <w:szCs w:val="20"/>
                <w:color w:val="auto"/>
              </w:rPr>
            </w:pPr>
            <w:r>
              <w:rPr>
                <w:rFonts w:ascii="Arial" w:cs="Arial" w:eastAsia="Arial" w:hAnsi="Arial"/>
                <w:sz w:val="20"/>
                <w:szCs w:val="20"/>
                <w:color w:val="auto"/>
              </w:rPr>
              <w:t>Receive USD/pay CLP</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2,828</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19"/>
                <w:szCs w:val="19"/>
                <w:color w:val="auto"/>
              </w:rPr>
            </w:pPr>
          </w:p>
        </w:tc>
        <w:tc>
          <w:tcPr>
            <w:tcW w:w="2520" w:type="dxa"/>
            <w:vAlign w:val="bottom"/>
          </w:tcPr>
          <w:p>
            <w:pPr>
              <w:ind w:left="40"/>
              <w:spacing w:after="0"/>
              <w:rPr>
                <w:sz w:val="20"/>
                <w:szCs w:val="20"/>
                <w:color w:val="auto"/>
              </w:rPr>
            </w:pPr>
            <w:r>
              <w:rPr>
                <w:rFonts w:ascii="Arial" w:cs="Arial" w:eastAsia="Arial" w:hAnsi="Arial"/>
                <w:sz w:val="20"/>
                <w:szCs w:val="20"/>
                <w:color w:val="auto"/>
              </w:rPr>
              <w:t>Accounts receivable, net</w:t>
            </w:r>
          </w:p>
        </w:tc>
        <w:tc>
          <w:tcPr>
            <w:tcW w:w="60" w:type="dxa"/>
            <w:vAlign w:val="bottom"/>
          </w:tcPr>
          <w:p>
            <w:pPr>
              <w:spacing w:after="0"/>
              <w:rPr>
                <w:sz w:val="19"/>
                <w:szCs w:val="19"/>
                <w:color w:val="auto"/>
              </w:rPr>
            </w:pPr>
          </w:p>
        </w:tc>
      </w:tr>
      <w:tr>
        <w:trPr>
          <w:trHeight w:val="250"/>
        </w:trPr>
        <w:tc>
          <w:tcPr>
            <w:tcW w:w="4340" w:type="dxa"/>
            <w:vAlign w:val="bottom"/>
          </w:tcPr>
          <w:p>
            <w:pPr>
              <w:ind w:left="860"/>
              <w:spacing w:after="0"/>
              <w:rPr>
                <w:sz w:val="20"/>
                <w:szCs w:val="20"/>
                <w:color w:val="auto"/>
              </w:rPr>
            </w:pPr>
            <w:r>
              <w:rPr>
                <w:rFonts w:ascii="Arial" w:cs="Arial" w:eastAsia="Arial" w:hAnsi="Arial"/>
                <w:sz w:val="20"/>
                <w:szCs w:val="20"/>
                <w:color w:val="auto"/>
              </w:rPr>
              <w:t>Receive USD/pay COP</w:t>
            </w: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2,628</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36</w:t>
            </w:r>
          </w:p>
        </w:tc>
        <w:tc>
          <w:tcPr>
            <w:tcW w:w="260" w:type="dxa"/>
            <w:vAlign w:val="bottom"/>
          </w:tcPr>
          <w:p>
            <w:pPr>
              <w:spacing w:after="0"/>
              <w:rPr>
                <w:sz w:val="21"/>
                <w:szCs w:val="21"/>
                <w:color w:val="auto"/>
              </w:rPr>
            </w:pPr>
          </w:p>
        </w:tc>
        <w:tc>
          <w:tcPr>
            <w:tcW w:w="2520" w:type="dxa"/>
            <w:vAlign w:val="bottom"/>
          </w:tcPr>
          <w:p>
            <w:pPr>
              <w:ind w:left="40"/>
              <w:spacing w:after="0"/>
              <w:rPr>
                <w:sz w:val="20"/>
                <w:szCs w:val="20"/>
                <w:color w:val="auto"/>
              </w:rPr>
            </w:pPr>
            <w:r>
              <w:rPr>
                <w:rFonts w:ascii="Arial" w:cs="Arial" w:eastAsia="Arial" w:hAnsi="Arial"/>
                <w:sz w:val="20"/>
                <w:szCs w:val="20"/>
                <w:color w:val="auto"/>
              </w:rPr>
              <w:t>Accounts receivable, net</w:t>
            </w:r>
          </w:p>
        </w:tc>
        <w:tc>
          <w:tcPr>
            <w:tcW w:w="60" w:type="dxa"/>
            <w:vAlign w:val="bottom"/>
          </w:tcPr>
          <w:p>
            <w:pPr>
              <w:spacing w:after="0"/>
              <w:rPr>
                <w:sz w:val="21"/>
                <w:szCs w:val="21"/>
                <w:color w:val="auto"/>
              </w:rPr>
            </w:pPr>
          </w:p>
        </w:tc>
      </w:tr>
      <w:tr>
        <w:trPr>
          <w:trHeight w:val="438"/>
        </w:trPr>
        <w:tc>
          <w:tcPr>
            <w:tcW w:w="4340" w:type="dxa"/>
            <w:vAlign w:val="bottom"/>
          </w:tcPr>
          <w:p>
            <w:pPr>
              <w:ind w:left="40"/>
              <w:spacing w:after="0"/>
              <w:rPr>
                <w:sz w:val="20"/>
                <w:szCs w:val="20"/>
                <w:color w:val="auto"/>
              </w:rPr>
            </w:pPr>
            <w:r>
              <w:rPr>
                <w:rFonts w:ascii="Arial" w:cs="Arial" w:eastAsia="Arial" w:hAnsi="Arial"/>
                <w:sz w:val="20"/>
                <w:szCs w:val="20"/>
                <w:color w:val="auto"/>
              </w:rPr>
              <w:t>Liabilities:</w:t>
            </w: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4340" w:type="dxa"/>
            <w:vAlign w:val="bottom"/>
          </w:tcPr>
          <w:p>
            <w:pPr>
              <w:ind w:left="380"/>
              <w:spacing w:after="0"/>
              <w:rPr>
                <w:sz w:val="20"/>
                <w:szCs w:val="20"/>
                <w:color w:val="auto"/>
              </w:rPr>
            </w:pPr>
            <w:r>
              <w:rPr>
                <w:rFonts w:ascii="Arial" w:cs="Arial" w:eastAsia="Arial" w:hAnsi="Arial"/>
                <w:sz w:val="20"/>
                <w:szCs w:val="20"/>
                <w:color w:val="auto"/>
              </w:rPr>
              <w:t>Foreign currency exchange contracts:</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50"/>
        </w:trPr>
        <w:tc>
          <w:tcPr>
            <w:tcW w:w="4340" w:type="dxa"/>
            <w:vAlign w:val="bottom"/>
          </w:tcPr>
          <w:p>
            <w:pPr>
              <w:ind w:left="860"/>
              <w:spacing w:after="0"/>
              <w:rPr>
                <w:sz w:val="20"/>
                <w:szCs w:val="20"/>
                <w:color w:val="auto"/>
              </w:rPr>
            </w:pPr>
            <w:r>
              <w:rPr>
                <w:rFonts w:ascii="Arial" w:cs="Arial" w:eastAsia="Arial" w:hAnsi="Arial"/>
                <w:sz w:val="20"/>
                <w:szCs w:val="20"/>
                <w:color w:val="auto"/>
              </w:rPr>
              <w:t>Receive EUR/pay USD</w:t>
            </w:r>
          </w:p>
        </w:tc>
        <w:tc>
          <w:tcPr>
            <w:tcW w:w="1420" w:type="dxa"/>
            <w:vAlign w:val="bottom"/>
            <w:gridSpan w:val="3"/>
          </w:tcPr>
          <w:p>
            <w:pPr>
              <w:jc w:val="right"/>
              <w:ind w:right="100"/>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11,252</w:t>
            </w:r>
          </w:p>
        </w:tc>
        <w:tc>
          <w:tcPr>
            <w:tcW w:w="280" w:type="dxa"/>
            <w:vAlign w:val="bottom"/>
          </w:tcPr>
          <w:p>
            <w:pPr>
              <w:spacing w:after="0"/>
              <w:rPr>
                <w:sz w:val="21"/>
                <w:szCs w:val="21"/>
                <w:color w:val="auto"/>
              </w:rPr>
            </w:pPr>
          </w:p>
        </w:tc>
        <w:tc>
          <w:tcPr>
            <w:tcW w:w="32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(177)</w:t>
            </w:r>
          </w:p>
        </w:tc>
        <w:tc>
          <w:tcPr>
            <w:tcW w:w="260" w:type="dxa"/>
            <w:vAlign w:val="bottom"/>
          </w:tcPr>
          <w:p>
            <w:pPr>
              <w:spacing w:after="0"/>
              <w:rPr>
                <w:sz w:val="21"/>
                <w:szCs w:val="21"/>
                <w:color w:val="auto"/>
              </w:rPr>
            </w:pPr>
          </w:p>
        </w:tc>
        <w:tc>
          <w:tcPr>
            <w:tcW w:w="2520" w:type="dxa"/>
            <w:vAlign w:val="bottom"/>
          </w:tcPr>
          <w:p>
            <w:pPr>
              <w:ind w:left="40"/>
              <w:spacing w:after="0"/>
              <w:rPr>
                <w:sz w:val="20"/>
                <w:szCs w:val="20"/>
                <w:color w:val="auto"/>
              </w:rPr>
            </w:pPr>
            <w:r>
              <w:rPr>
                <w:rFonts w:ascii="Arial" w:cs="Arial" w:eastAsia="Arial" w:hAnsi="Arial"/>
                <w:sz w:val="20"/>
                <w:szCs w:val="20"/>
                <w:color w:val="auto"/>
              </w:rPr>
              <w:t>Accrued liabilities</w:t>
            </w:r>
          </w:p>
        </w:tc>
        <w:tc>
          <w:tcPr>
            <w:tcW w:w="60" w:type="dxa"/>
            <w:vAlign w:val="bottom"/>
          </w:tcPr>
          <w:p>
            <w:pPr>
              <w:spacing w:after="0"/>
              <w:rPr>
                <w:sz w:val="21"/>
                <w:szCs w:val="21"/>
                <w:color w:val="auto"/>
              </w:rPr>
            </w:pPr>
          </w:p>
        </w:tc>
      </w:tr>
      <w:tr>
        <w:trPr>
          <w:trHeight w:val="685"/>
        </w:trPr>
        <w:tc>
          <w:tcPr>
            <w:tcW w:w="43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5"/>
          </w:tcPr>
          <w:p>
            <w:pPr>
              <w:ind w:left="600"/>
              <w:spacing w:after="0"/>
              <w:rPr>
                <w:sz w:val="20"/>
                <w:szCs w:val="20"/>
                <w:color w:val="auto"/>
              </w:rPr>
            </w:pPr>
            <w:r>
              <w:rPr>
                <w:rFonts w:ascii="Arial" w:cs="Arial" w:eastAsia="Arial" w:hAnsi="Arial"/>
                <w:sz w:val="20"/>
                <w:szCs w:val="20"/>
                <w:color w:val="auto"/>
              </w:rPr>
              <w:t>December 31, 2014</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206"/>
        </w:trPr>
        <w:tc>
          <w:tcPr>
            <w:tcW w:w="4340" w:type="dxa"/>
            <w:vAlign w:val="bottom"/>
          </w:tcPr>
          <w:p>
            <w:pPr>
              <w:ind w:left="1420"/>
              <w:spacing w:after="0" w:line="207" w:lineRule="exact"/>
              <w:rPr>
                <w:sz w:val="20"/>
                <w:szCs w:val="20"/>
                <w:color w:val="auto"/>
              </w:rPr>
            </w:pPr>
            <w:r>
              <w:rPr>
                <w:rFonts w:ascii="Arial" w:cs="Arial" w:eastAsia="Arial" w:hAnsi="Arial"/>
                <w:sz w:val="20"/>
                <w:szCs w:val="20"/>
                <w:color w:val="auto"/>
              </w:rPr>
              <w:t>Derivatives not designated as</w:t>
            </w: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4340" w:type="dxa"/>
            <w:vAlign w:val="bottom"/>
          </w:tcPr>
          <w:p>
            <w:pPr>
              <w:jc w:val="center"/>
              <w:ind w:left="901"/>
              <w:spacing w:after="0"/>
              <w:rPr>
                <w:sz w:val="20"/>
                <w:szCs w:val="20"/>
                <w:color w:val="auto"/>
              </w:rPr>
            </w:pPr>
            <w:r>
              <w:rPr>
                <w:rFonts w:ascii="Arial" w:cs="Arial" w:eastAsia="Arial" w:hAnsi="Arial"/>
                <w:sz w:val="20"/>
                <w:szCs w:val="20"/>
                <w:color w:val="auto"/>
                <w:w w:val="88"/>
              </w:rPr>
              <w:t>hedging instruments under</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gridSpan w:val="2"/>
          </w:tcPr>
          <w:p>
            <w:pPr>
              <w:ind w:left="100"/>
              <w:spacing w:after="0"/>
              <w:rPr>
                <w:sz w:val="20"/>
                <w:szCs w:val="20"/>
                <w:color w:val="auto"/>
              </w:rPr>
            </w:pPr>
            <w:r>
              <w:rPr>
                <w:rFonts w:ascii="Arial" w:cs="Arial" w:eastAsia="Arial" w:hAnsi="Arial"/>
                <w:sz w:val="20"/>
                <w:szCs w:val="20"/>
                <w:color w:val="auto"/>
              </w:rPr>
              <w:t>Notional</w:t>
            </w:r>
          </w:p>
        </w:tc>
        <w:tc>
          <w:tcPr>
            <w:tcW w:w="320" w:type="dxa"/>
            <w:vAlign w:val="bottom"/>
          </w:tcPr>
          <w:p>
            <w:pPr>
              <w:spacing w:after="0"/>
              <w:rPr>
                <w:sz w:val="19"/>
                <w:szCs w:val="19"/>
                <w:color w:val="auto"/>
              </w:rPr>
            </w:pPr>
          </w:p>
        </w:tc>
        <w:tc>
          <w:tcPr>
            <w:tcW w:w="1300" w:type="dxa"/>
            <w:vAlign w:val="bottom"/>
            <w:gridSpan w:val="2"/>
          </w:tcPr>
          <w:p>
            <w:pPr>
              <w:jc w:val="center"/>
              <w:ind w:right="580"/>
              <w:spacing w:after="0"/>
              <w:rPr>
                <w:sz w:val="20"/>
                <w:szCs w:val="20"/>
                <w:color w:val="auto"/>
              </w:rPr>
            </w:pPr>
            <w:r>
              <w:rPr>
                <w:rFonts w:ascii="Arial" w:cs="Arial" w:eastAsia="Arial" w:hAnsi="Arial"/>
                <w:sz w:val="20"/>
                <w:szCs w:val="20"/>
                <w:color w:val="auto"/>
                <w:w w:val="92"/>
              </w:rPr>
              <w:t>Fair</w:t>
            </w:r>
          </w:p>
        </w:tc>
        <w:tc>
          <w:tcPr>
            <w:tcW w:w="25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6"/>
        </w:trPr>
        <w:tc>
          <w:tcPr>
            <w:tcW w:w="4340" w:type="dxa"/>
            <w:vAlign w:val="bottom"/>
          </w:tcPr>
          <w:p>
            <w:pPr>
              <w:jc w:val="center"/>
              <w:ind w:left="961"/>
              <w:spacing w:after="0"/>
              <w:rPr>
                <w:sz w:val="20"/>
                <w:szCs w:val="20"/>
                <w:color w:val="auto"/>
              </w:rPr>
            </w:pPr>
            <w:r>
              <w:rPr>
                <w:rFonts w:ascii="Arial" w:cs="Arial" w:eastAsia="Arial" w:hAnsi="Arial"/>
                <w:sz w:val="20"/>
                <w:szCs w:val="20"/>
                <w:color w:val="auto"/>
                <w:w w:val="91"/>
              </w:rPr>
              <w:t>FASB ASC 815-20</w:t>
            </w: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gridSpan w:val="2"/>
          </w:tcPr>
          <w:p>
            <w:pPr>
              <w:ind w:left="120"/>
              <w:spacing w:after="0"/>
              <w:rPr>
                <w:sz w:val="20"/>
                <w:szCs w:val="20"/>
                <w:color w:val="auto"/>
              </w:rPr>
            </w:pPr>
            <w:r>
              <w:rPr>
                <w:rFonts w:ascii="Arial" w:cs="Arial" w:eastAsia="Arial" w:hAnsi="Arial"/>
                <w:sz w:val="20"/>
                <w:szCs w:val="20"/>
                <w:color w:val="auto"/>
              </w:rPr>
              <w:t>Amount</w:t>
            </w:r>
          </w:p>
        </w:tc>
        <w:tc>
          <w:tcPr>
            <w:tcW w:w="320" w:type="dxa"/>
            <w:vAlign w:val="bottom"/>
          </w:tcPr>
          <w:p>
            <w:pPr>
              <w:spacing w:after="0"/>
              <w:rPr>
                <w:sz w:val="21"/>
                <w:szCs w:val="21"/>
                <w:color w:val="auto"/>
              </w:rPr>
            </w:pPr>
          </w:p>
        </w:tc>
        <w:tc>
          <w:tcPr>
            <w:tcW w:w="1300" w:type="dxa"/>
            <w:vAlign w:val="bottom"/>
            <w:gridSpan w:val="2"/>
          </w:tcPr>
          <w:p>
            <w:pPr>
              <w:jc w:val="center"/>
              <w:ind w:right="600"/>
              <w:spacing w:after="0"/>
              <w:rPr>
                <w:sz w:val="20"/>
                <w:szCs w:val="20"/>
                <w:color w:val="auto"/>
              </w:rPr>
            </w:pPr>
            <w:r>
              <w:rPr>
                <w:rFonts w:ascii="Arial" w:cs="Arial" w:eastAsia="Arial" w:hAnsi="Arial"/>
                <w:sz w:val="20"/>
                <w:szCs w:val="20"/>
                <w:color w:val="auto"/>
                <w:w w:val="89"/>
              </w:rPr>
              <w:t>Value</w:t>
            </w:r>
          </w:p>
        </w:tc>
        <w:tc>
          <w:tcPr>
            <w:tcW w:w="2520" w:type="dxa"/>
            <w:vAlign w:val="bottom"/>
          </w:tcPr>
          <w:p>
            <w:pPr>
              <w:ind w:left="320"/>
              <w:spacing w:after="0"/>
              <w:rPr>
                <w:sz w:val="20"/>
                <w:szCs w:val="20"/>
                <w:color w:val="auto"/>
              </w:rPr>
            </w:pPr>
            <w:r>
              <w:rPr>
                <w:rFonts w:ascii="Arial" w:cs="Arial" w:eastAsia="Arial" w:hAnsi="Arial"/>
                <w:sz w:val="20"/>
                <w:szCs w:val="20"/>
                <w:color w:val="auto"/>
              </w:rPr>
              <w:t>Balance Sheet Location</w:t>
            </w:r>
          </w:p>
        </w:tc>
        <w:tc>
          <w:tcPr>
            <w:tcW w:w="60" w:type="dxa"/>
            <w:vAlign w:val="bottom"/>
          </w:tcPr>
          <w:p>
            <w:pPr>
              <w:spacing w:after="0"/>
              <w:rPr>
                <w:sz w:val="21"/>
                <w:szCs w:val="21"/>
                <w:color w:val="auto"/>
              </w:rPr>
            </w:pPr>
          </w:p>
        </w:tc>
      </w:tr>
      <w:tr>
        <w:trPr>
          <w:trHeight w:val="328"/>
        </w:trPr>
        <w:tc>
          <w:tcPr>
            <w:tcW w:w="4340" w:type="dxa"/>
            <w:vAlign w:val="bottom"/>
            <w:tcBorders>
              <w:top w:val="single" w:sz="8" w:color="auto"/>
            </w:tcBorders>
          </w:tcPr>
          <w:p>
            <w:pPr>
              <w:ind w:left="40"/>
              <w:spacing w:after="0"/>
              <w:rPr>
                <w:sz w:val="20"/>
                <w:szCs w:val="20"/>
                <w:color w:val="auto"/>
              </w:rPr>
            </w:pPr>
            <w:r>
              <w:rPr>
                <w:rFonts w:ascii="Arial" w:cs="Arial" w:eastAsia="Arial" w:hAnsi="Arial"/>
                <w:sz w:val="20"/>
                <w:szCs w:val="20"/>
                <w:color w:val="auto"/>
              </w:rPr>
              <w:t>Assets:</w:t>
            </w:r>
          </w:p>
        </w:tc>
        <w:tc>
          <w:tcPr>
            <w:tcW w:w="8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5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4340" w:type="dxa"/>
            <w:vAlign w:val="bottom"/>
          </w:tcPr>
          <w:p>
            <w:pPr>
              <w:ind w:left="380"/>
              <w:spacing w:after="0"/>
              <w:rPr>
                <w:sz w:val="20"/>
                <w:szCs w:val="20"/>
                <w:color w:val="auto"/>
              </w:rPr>
            </w:pPr>
            <w:r>
              <w:rPr>
                <w:rFonts w:ascii="Arial" w:cs="Arial" w:eastAsia="Arial" w:hAnsi="Arial"/>
                <w:sz w:val="20"/>
                <w:szCs w:val="20"/>
                <w:color w:val="auto"/>
              </w:rPr>
              <w:t>Foreign currency exchange contracts:</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50"/>
        </w:trPr>
        <w:tc>
          <w:tcPr>
            <w:tcW w:w="4340" w:type="dxa"/>
            <w:vAlign w:val="bottom"/>
          </w:tcPr>
          <w:p>
            <w:pPr>
              <w:ind w:left="860"/>
              <w:spacing w:after="0"/>
              <w:rPr>
                <w:sz w:val="20"/>
                <w:szCs w:val="20"/>
                <w:color w:val="auto"/>
              </w:rPr>
            </w:pPr>
            <w:r>
              <w:rPr>
                <w:rFonts w:ascii="Arial" w:cs="Arial" w:eastAsia="Arial" w:hAnsi="Arial"/>
                <w:sz w:val="20"/>
                <w:szCs w:val="20"/>
                <w:color w:val="auto"/>
              </w:rPr>
              <w:t>Receive CAD/pay USD</w:t>
            </w:r>
          </w:p>
        </w:tc>
        <w:tc>
          <w:tcPr>
            <w:tcW w:w="1420" w:type="dxa"/>
            <w:vAlign w:val="bottom"/>
            <w:gridSpan w:val="3"/>
          </w:tcPr>
          <w:p>
            <w:pPr>
              <w:jc w:val="right"/>
              <w:ind w:right="100"/>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19,940</w:t>
            </w:r>
          </w:p>
        </w:tc>
        <w:tc>
          <w:tcPr>
            <w:tcW w:w="280" w:type="dxa"/>
            <w:vAlign w:val="bottom"/>
          </w:tcPr>
          <w:p>
            <w:pPr>
              <w:spacing w:after="0"/>
              <w:rPr>
                <w:sz w:val="21"/>
                <w:szCs w:val="21"/>
                <w:color w:val="auto"/>
              </w:rPr>
            </w:pPr>
          </w:p>
        </w:tc>
        <w:tc>
          <w:tcPr>
            <w:tcW w:w="32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83</w:t>
            </w:r>
          </w:p>
        </w:tc>
        <w:tc>
          <w:tcPr>
            <w:tcW w:w="260" w:type="dxa"/>
            <w:vAlign w:val="bottom"/>
          </w:tcPr>
          <w:p>
            <w:pPr>
              <w:spacing w:after="0"/>
              <w:rPr>
                <w:sz w:val="21"/>
                <w:szCs w:val="21"/>
                <w:color w:val="auto"/>
              </w:rPr>
            </w:pPr>
          </w:p>
        </w:tc>
        <w:tc>
          <w:tcPr>
            <w:tcW w:w="2520" w:type="dxa"/>
            <w:vAlign w:val="bottom"/>
          </w:tcPr>
          <w:p>
            <w:pPr>
              <w:ind w:left="40"/>
              <w:spacing w:after="0"/>
              <w:rPr>
                <w:sz w:val="20"/>
                <w:szCs w:val="20"/>
                <w:color w:val="auto"/>
              </w:rPr>
            </w:pPr>
            <w:r>
              <w:rPr>
                <w:rFonts w:ascii="Arial" w:cs="Arial" w:eastAsia="Arial" w:hAnsi="Arial"/>
                <w:sz w:val="20"/>
                <w:szCs w:val="20"/>
                <w:color w:val="auto"/>
              </w:rPr>
              <w:t>Accounts receivable, net</w:t>
            </w:r>
          </w:p>
        </w:tc>
        <w:tc>
          <w:tcPr>
            <w:tcW w:w="60" w:type="dxa"/>
            <w:vAlign w:val="bottom"/>
          </w:tcPr>
          <w:p>
            <w:pPr>
              <w:spacing w:after="0"/>
              <w:rPr>
                <w:sz w:val="21"/>
                <w:szCs w:val="21"/>
                <w:color w:val="auto"/>
              </w:rPr>
            </w:pPr>
          </w:p>
        </w:tc>
      </w:tr>
      <w:tr>
        <w:trPr>
          <w:trHeight w:val="438"/>
        </w:trPr>
        <w:tc>
          <w:tcPr>
            <w:tcW w:w="4340" w:type="dxa"/>
            <w:vAlign w:val="bottom"/>
          </w:tcPr>
          <w:p>
            <w:pPr>
              <w:ind w:left="40"/>
              <w:spacing w:after="0"/>
              <w:rPr>
                <w:sz w:val="20"/>
                <w:szCs w:val="20"/>
                <w:color w:val="auto"/>
              </w:rPr>
            </w:pPr>
            <w:r>
              <w:rPr>
                <w:rFonts w:ascii="Arial" w:cs="Arial" w:eastAsia="Arial" w:hAnsi="Arial"/>
                <w:sz w:val="20"/>
                <w:szCs w:val="20"/>
                <w:color w:val="auto"/>
              </w:rPr>
              <w:t>Liabilities:</w:t>
            </w: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4340" w:type="dxa"/>
            <w:vAlign w:val="bottom"/>
          </w:tcPr>
          <w:p>
            <w:pPr>
              <w:ind w:left="380"/>
              <w:spacing w:after="0"/>
              <w:rPr>
                <w:sz w:val="20"/>
                <w:szCs w:val="20"/>
                <w:color w:val="auto"/>
              </w:rPr>
            </w:pPr>
            <w:r>
              <w:rPr>
                <w:rFonts w:ascii="Arial" w:cs="Arial" w:eastAsia="Arial" w:hAnsi="Arial"/>
                <w:sz w:val="20"/>
                <w:szCs w:val="20"/>
                <w:color w:val="auto"/>
              </w:rPr>
              <w:t>Foreign currency exchange contracts:</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4340" w:type="dxa"/>
            <w:vAlign w:val="bottom"/>
          </w:tcPr>
          <w:p>
            <w:pPr>
              <w:ind w:left="860"/>
              <w:spacing w:after="0"/>
              <w:rPr>
                <w:sz w:val="20"/>
                <w:szCs w:val="20"/>
                <w:color w:val="auto"/>
              </w:rPr>
            </w:pPr>
            <w:r>
              <w:rPr>
                <w:rFonts w:ascii="Arial" w:cs="Arial" w:eastAsia="Arial" w:hAnsi="Arial"/>
                <w:sz w:val="20"/>
                <w:szCs w:val="20"/>
                <w:color w:val="auto"/>
              </w:rPr>
              <w:t>Receive EUR/pay USD</w:t>
            </w:r>
          </w:p>
        </w:tc>
        <w:tc>
          <w:tcPr>
            <w:tcW w:w="1420" w:type="dxa"/>
            <w:vAlign w:val="bottom"/>
            <w:gridSpan w:val="3"/>
          </w:tcPr>
          <w:p>
            <w:pPr>
              <w:jc w:val="right"/>
              <w:ind w:right="100"/>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13,265</w:t>
            </w:r>
          </w:p>
        </w:tc>
        <w:tc>
          <w:tcPr>
            <w:tcW w:w="280" w:type="dxa"/>
            <w:vAlign w:val="bottom"/>
          </w:tcPr>
          <w:p>
            <w:pPr>
              <w:spacing w:after="0"/>
              <w:rPr>
                <w:sz w:val="19"/>
                <w:szCs w:val="19"/>
                <w:color w:val="auto"/>
              </w:rPr>
            </w:pPr>
          </w:p>
        </w:tc>
        <w:tc>
          <w:tcPr>
            <w:tcW w:w="32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(75)</w:t>
            </w:r>
          </w:p>
        </w:tc>
        <w:tc>
          <w:tcPr>
            <w:tcW w:w="260" w:type="dxa"/>
            <w:vAlign w:val="bottom"/>
          </w:tcPr>
          <w:p>
            <w:pPr>
              <w:spacing w:after="0"/>
              <w:rPr>
                <w:sz w:val="19"/>
                <w:szCs w:val="19"/>
                <w:color w:val="auto"/>
              </w:rPr>
            </w:pPr>
          </w:p>
        </w:tc>
        <w:tc>
          <w:tcPr>
            <w:tcW w:w="2520" w:type="dxa"/>
            <w:vAlign w:val="bottom"/>
          </w:tcPr>
          <w:p>
            <w:pPr>
              <w:ind w:left="40"/>
              <w:spacing w:after="0"/>
              <w:rPr>
                <w:sz w:val="20"/>
                <w:szCs w:val="20"/>
                <w:color w:val="auto"/>
              </w:rPr>
            </w:pPr>
            <w:r>
              <w:rPr>
                <w:rFonts w:ascii="Arial" w:cs="Arial" w:eastAsia="Arial" w:hAnsi="Arial"/>
                <w:sz w:val="20"/>
                <w:szCs w:val="20"/>
                <w:color w:val="auto"/>
              </w:rPr>
              <w:t>Accrued liabilities</w:t>
            </w:r>
          </w:p>
        </w:tc>
        <w:tc>
          <w:tcPr>
            <w:tcW w:w="60" w:type="dxa"/>
            <w:vAlign w:val="bottom"/>
          </w:tcPr>
          <w:p>
            <w:pPr>
              <w:spacing w:after="0"/>
              <w:rPr>
                <w:sz w:val="19"/>
                <w:szCs w:val="19"/>
                <w:color w:val="auto"/>
              </w:rPr>
            </w:pPr>
          </w:p>
        </w:tc>
      </w:tr>
      <w:tr>
        <w:trPr>
          <w:trHeight w:val="230"/>
        </w:trPr>
        <w:tc>
          <w:tcPr>
            <w:tcW w:w="4340" w:type="dxa"/>
            <w:vAlign w:val="bottom"/>
          </w:tcPr>
          <w:p>
            <w:pPr>
              <w:ind w:left="860"/>
              <w:spacing w:after="0"/>
              <w:rPr>
                <w:sz w:val="20"/>
                <w:szCs w:val="20"/>
                <w:color w:val="auto"/>
              </w:rPr>
            </w:pPr>
            <w:r>
              <w:rPr>
                <w:rFonts w:ascii="Arial" w:cs="Arial" w:eastAsia="Arial" w:hAnsi="Arial"/>
                <w:sz w:val="20"/>
                <w:szCs w:val="20"/>
                <w:color w:val="auto"/>
              </w:rPr>
              <w:t>Receive USD/pay AUD</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8,343</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(48)</w:t>
            </w:r>
          </w:p>
        </w:tc>
        <w:tc>
          <w:tcPr>
            <w:tcW w:w="260" w:type="dxa"/>
            <w:vAlign w:val="bottom"/>
          </w:tcPr>
          <w:p>
            <w:pPr>
              <w:spacing w:after="0"/>
              <w:rPr>
                <w:sz w:val="19"/>
                <w:szCs w:val="19"/>
                <w:color w:val="auto"/>
              </w:rPr>
            </w:pPr>
          </w:p>
        </w:tc>
        <w:tc>
          <w:tcPr>
            <w:tcW w:w="2520" w:type="dxa"/>
            <w:vAlign w:val="bottom"/>
          </w:tcPr>
          <w:p>
            <w:pPr>
              <w:ind w:left="40"/>
              <w:spacing w:after="0"/>
              <w:rPr>
                <w:sz w:val="20"/>
                <w:szCs w:val="20"/>
                <w:color w:val="auto"/>
              </w:rPr>
            </w:pPr>
            <w:r>
              <w:rPr>
                <w:rFonts w:ascii="Arial" w:cs="Arial" w:eastAsia="Arial" w:hAnsi="Arial"/>
                <w:sz w:val="20"/>
                <w:szCs w:val="20"/>
                <w:color w:val="auto"/>
              </w:rPr>
              <w:t>Accrued liabilities</w:t>
            </w:r>
          </w:p>
        </w:tc>
        <w:tc>
          <w:tcPr>
            <w:tcW w:w="60" w:type="dxa"/>
            <w:vAlign w:val="bottom"/>
          </w:tcPr>
          <w:p>
            <w:pPr>
              <w:spacing w:after="0"/>
              <w:rPr>
                <w:sz w:val="19"/>
                <w:szCs w:val="19"/>
                <w:color w:val="auto"/>
              </w:rPr>
            </w:pPr>
          </w:p>
        </w:tc>
      </w:tr>
      <w:tr>
        <w:trPr>
          <w:trHeight w:val="230"/>
        </w:trPr>
        <w:tc>
          <w:tcPr>
            <w:tcW w:w="4340" w:type="dxa"/>
            <w:vAlign w:val="bottom"/>
          </w:tcPr>
          <w:p>
            <w:pPr>
              <w:ind w:left="860"/>
              <w:spacing w:after="0"/>
              <w:rPr>
                <w:sz w:val="20"/>
                <w:szCs w:val="20"/>
                <w:color w:val="auto"/>
              </w:rPr>
            </w:pPr>
            <w:r>
              <w:rPr>
                <w:rFonts w:ascii="Arial" w:cs="Arial" w:eastAsia="Arial" w:hAnsi="Arial"/>
                <w:sz w:val="20"/>
                <w:szCs w:val="20"/>
                <w:color w:val="auto"/>
              </w:rPr>
              <w:t>Receive USD/pay JPY</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10,620</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(84)</w:t>
            </w:r>
          </w:p>
        </w:tc>
        <w:tc>
          <w:tcPr>
            <w:tcW w:w="260" w:type="dxa"/>
            <w:vAlign w:val="bottom"/>
          </w:tcPr>
          <w:p>
            <w:pPr>
              <w:spacing w:after="0"/>
              <w:rPr>
                <w:sz w:val="19"/>
                <w:szCs w:val="19"/>
                <w:color w:val="auto"/>
              </w:rPr>
            </w:pPr>
          </w:p>
        </w:tc>
        <w:tc>
          <w:tcPr>
            <w:tcW w:w="2520" w:type="dxa"/>
            <w:vAlign w:val="bottom"/>
          </w:tcPr>
          <w:p>
            <w:pPr>
              <w:ind w:left="40"/>
              <w:spacing w:after="0"/>
              <w:rPr>
                <w:sz w:val="20"/>
                <w:szCs w:val="20"/>
                <w:color w:val="auto"/>
              </w:rPr>
            </w:pPr>
            <w:r>
              <w:rPr>
                <w:rFonts w:ascii="Arial" w:cs="Arial" w:eastAsia="Arial" w:hAnsi="Arial"/>
                <w:sz w:val="20"/>
                <w:szCs w:val="20"/>
                <w:color w:val="auto"/>
              </w:rPr>
              <w:t>Accrued liabilities</w:t>
            </w:r>
          </w:p>
        </w:tc>
        <w:tc>
          <w:tcPr>
            <w:tcW w:w="60" w:type="dxa"/>
            <w:vAlign w:val="bottom"/>
          </w:tcPr>
          <w:p>
            <w:pPr>
              <w:spacing w:after="0"/>
              <w:rPr>
                <w:sz w:val="19"/>
                <w:szCs w:val="19"/>
                <w:color w:val="auto"/>
              </w:rPr>
            </w:pPr>
          </w:p>
        </w:tc>
      </w:tr>
      <w:tr>
        <w:trPr>
          <w:trHeight w:val="230"/>
        </w:trPr>
        <w:tc>
          <w:tcPr>
            <w:tcW w:w="4340" w:type="dxa"/>
            <w:vAlign w:val="bottom"/>
          </w:tcPr>
          <w:p>
            <w:pPr>
              <w:ind w:left="860"/>
              <w:spacing w:after="0"/>
              <w:rPr>
                <w:sz w:val="20"/>
                <w:szCs w:val="20"/>
                <w:color w:val="auto"/>
              </w:rPr>
            </w:pPr>
            <w:r>
              <w:rPr>
                <w:rFonts w:ascii="Arial" w:cs="Arial" w:eastAsia="Arial" w:hAnsi="Arial"/>
                <w:sz w:val="20"/>
                <w:szCs w:val="20"/>
                <w:color w:val="auto"/>
              </w:rPr>
              <w:t>Receive USD/pay ZAR</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14,760</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(105)</w:t>
            </w:r>
          </w:p>
        </w:tc>
        <w:tc>
          <w:tcPr>
            <w:tcW w:w="260" w:type="dxa"/>
            <w:vAlign w:val="bottom"/>
          </w:tcPr>
          <w:p>
            <w:pPr>
              <w:spacing w:after="0"/>
              <w:rPr>
                <w:sz w:val="19"/>
                <w:szCs w:val="19"/>
                <w:color w:val="auto"/>
              </w:rPr>
            </w:pPr>
          </w:p>
        </w:tc>
        <w:tc>
          <w:tcPr>
            <w:tcW w:w="2520" w:type="dxa"/>
            <w:vAlign w:val="bottom"/>
          </w:tcPr>
          <w:p>
            <w:pPr>
              <w:ind w:left="40"/>
              <w:spacing w:after="0"/>
              <w:rPr>
                <w:sz w:val="20"/>
                <w:szCs w:val="20"/>
                <w:color w:val="auto"/>
              </w:rPr>
            </w:pPr>
            <w:r>
              <w:rPr>
                <w:rFonts w:ascii="Arial" w:cs="Arial" w:eastAsia="Arial" w:hAnsi="Arial"/>
                <w:sz w:val="20"/>
                <w:szCs w:val="20"/>
                <w:color w:val="auto"/>
              </w:rPr>
              <w:t>Accrued liabilities</w:t>
            </w:r>
          </w:p>
        </w:tc>
        <w:tc>
          <w:tcPr>
            <w:tcW w:w="60" w:type="dxa"/>
            <w:vAlign w:val="bottom"/>
          </w:tcPr>
          <w:p>
            <w:pPr>
              <w:spacing w:after="0"/>
              <w:rPr>
                <w:sz w:val="19"/>
                <w:szCs w:val="19"/>
                <w:color w:val="auto"/>
              </w:rPr>
            </w:pPr>
          </w:p>
        </w:tc>
      </w:tr>
      <w:tr>
        <w:trPr>
          <w:trHeight w:val="230"/>
        </w:trPr>
        <w:tc>
          <w:tcPr>
            <w:tcW w:w="4340" w:type="dxa"/>
            <w:vAlign w:val="bottom"/>
          </w:tcPr>
          <w:p>
            <w:pPr>
              <w:ind w:left="860"/>
              <w:spacing w:after="0"/>
              <w:rPr>
                <w:sz w:val="20"/>
                <w:szCs w:val="20"/>
                <w:color w:val="auto"/>
              </w:rPr>
            </w:pPr>
            <w:r>
              <w:rPr>
                <w:rFonts w:ascii="Arial" w:cs="Arial" w:eastAsia="Arial" w:hAnsi="Arial"/>
                <w:sz w:val="20"/>
                <w:szCs w:val="20"/>
                <w:color w:val="auto"/>
              </w:rPr>
              <w:t>Receive USD/pay MXN</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4,961</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(11)</w:t>
            </w:r>
          </w:p>
        </w:tc>
        <w:tc>
          <w:tcPr>
            <w:tcW w:w="260" w:type="dxa"/>
            <w:vAlign w:val="bottom"/>
          </w:tcPr>
          <w:p>
            <w:pPr>
              <w:spacing w:after="0"/>
              <w:rPr>
                <w:sz w:val="19"/>
                <w:szCs w:val="19"/>
                <w:color w:val="auto"/>
              </w:rPr>
            </w:pPr>
          </w:p>
        </w:tc>
        <w:tc>
          <w:tcPr>
            <w:tcW w:w="2520" w:type="dxa"/>
            <w:vAlign w:val="bottom"/>
          </w:tcPr>
          <w:p>
            <w:pPr>
              <w:ind w:left="40"/>
              <w:spacing w:after="0"/>
              <w:rPr>
                <w:sz w:val="20"/>
                <w:szCs w:val="20"/>
                <w:color w:val="auto"/>
              </w:rPr>
            </w:pPr>
            <w:r>
              <w:rPr>
                <w:rFonts w:ascii="Arial" w:cs="Arial" w:eastAsia="Arial" w:hAnsi="Arial"/>
                <w:sz w:val="20"/>
                <w:szCs w:val="20"/>
                <w:color w:val="auto"/>
              </w:rPr>
              <w:t>Accrued liabilities</w:t>
            </w:r>
          </w:p>
        </w:tc>
        <w:tc>
          <w:tcPr>
            <w:tcW w:w="60" w:type="dxa"/>
            <w:vAlign w:val="bottom"/>
          </w:tcPr>
          <w:p>
            <w:pPr>
              <w:spacing w:after="0"/>
              <w:rPr>
                <w:sz w:val="19"/>
                <w:szCs w:val="19"/>
                <w:color w:val="auto"/>
              </w:rPr>
            </w:pPr>
          </w:p>
        </w:tc>
      </w:tr>
      <w:tr>
        <w:trPr>
          <w:trHeight w:val="230"/>
        </w:trPr>
        <w:tc>
          <w:tcPr>
            <w:tcW w:w="4340" w:type="dxa"/>
            <w:vAlign w:val="bottom"/>
          </w:tcPr>
          <w:p>
            <w:pPr>
              <w:ind w:left="860"/>
              <w:spacing w:after="0"/>
              <w:rPr>
                <w:sz w:val="20"/>
                <w:szCs w:val="20"/>
                <w:color w:val="auto"/>
              </w:rPr>
            </w:pPr>
            <w:r>
              <w:rPr>
                <w:rFonts w:ascii="Arial" w:cs="Arial" w:eastAsia="Arial" w:hAnsi="Arial"/>
                <w:sz w:val="20"/>
                <w:szCs w:val="20"/>
                <w:color w:val="auto"/>
              </w:rPr>
              <w:t>Receive USD/pay CLP</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2,685</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(10)</w:t>
            </w:r>
          </w:p>
        </w:tc>
        <w:tc>
          <w:tcPr>
            <w:tcW w:w="260" w:type="dxa"/>
            <w:vAlign w:val="bottom"/>
          </w:tcPr>
          <w:p>
            <w:pPr>
              <w:spacing w:after="0"/>
              <w:rPr>
                <w:sz w:val="19"/>
                <w:szCs w:val="19"/>
                <w:color w:val="auto"/>
              </w:rPr>
            </w:pPr>
          </w:p>
        </w:tc>
        <w:tc>
          <w:tcPr>
            <w:tcW w:w="2520" w:type="dxa"/>
            <w:vAlign w:val="bottom"/>
          </w:tcPr>
          <w:p>
            <w:pPr>
              <w:ind w:left="40"/>
              <w:spacing w:after="0"/>
              <w:rPr>
                <w:sz w:val="20"/>
                <w:szCs w:val="20"/>
                <w:color w:val="auto"/>
              </w:rPr>
            </w:pPr>
            <w:r>
              <w:rPr>
                <w:rFonts w:ascii="Arial" w:cs="Arial" w:eastAsia="Arial" w:hAnsi="Arial"/>
                <w:sz w:val="20"/>
                <w:szCs w:val="20"/>
                <w:color w:val="auto"/>
              </w:rPr>
              <w:t>Accrued liabilities</w:t>
            </w:r>
          </w:p>
        </w:tc>
        <w:tc>
          <w:tcPr>
            <w:tcW w:w="60" w:type="dxa"/>
            <w:vAlign w:val="bottom"/>
          </w:tcPr>
          <w:p>
            <w:pPr>
              <w:spacing w:after="0"/>
              <w:rPr>
                <w:sz w:val="19"/>
                <w:szCs w:val="19"/>
                <w:color w:val="auto"/>
              </w:rPr>
            </w:pPr>
          </w:p>
        </w:tc>
      </w:tr>
      <w:tr>
        <w:trPr>
          <w:trHeight w:val="250"/>
        </w:trPr>
        <w:tc>
          <w:tcPr>
            <w:tcW w:w="4340" w:type="dxa"/>
            <w:vAlign w:val="bottom"/>
          </w:tcPr>
          <w:p>
            <w:pPr>
              <w:ind w:left="860"/>
              <w:spacing w:after="0"/>
              <w:rPr>
                <w:sz w:val="20"/>
                <w:szCs w:val="20"/>
                <w:color w:val="auto"/>
              </w:rPr>
            </w:pPr>
            <w:r>
              <w:rPr>
                <w:rFonts w:ascii="Arial" w:cs="Arial" w:eastAsia="Arial" w:hAnsi="Arial"/>
                <w:sz w:val="20"/>
                <w:szCs w:val="20"/>
                <w:color w:val="auto"/>
              </w:rPr>
              <w:t>Receive USD/pay COP</w:t>
            </w: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2,845</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w:t>
            </w:r>
          </w:p>
        </w:tc>
        <w:tc>
          <w:tcPr>
            <w:tcW w:w="260" w:type="dxa"/>
            <w:vAlign w:val="bottom"/>
          </w:tcPr>
          <w:p>
            <w:pPr>
              <w:spacing w:after="0"/>
              <w:rPr>
                <w:sz w:val="21"/>
                <w:szCs w:val="21"/>
                <w:color w:val="auto"/>
              </w:rPr>
            </w:pPr>
          </w:p>
        </w:tc>
        <w:tc>
          <w:tcPr>
            <w:tcW w:w="2520" w:type="dxa"/>
            <w:vAlign w:val="bottom"/>
          </w:tcPr>
          <w:p>
            <w:pPr>
              <w:ind w:left="40"/>
              <w:spacing w:after="0"/>
              <w:rPr>
                <w:sz w:val="20"/>
                <w:szCs w:val="20"/>
                <w:color w:val="auto"/>
              </w:rPr>
            </w:pPr>
            <w:r>
              <w:rPr>
                <w:rFonts w:ascii="Arial" w:cs="Arial" w:eastAsia="Arial" w:hAnsi="Arial"/>
                <w:sz w:val="20"/>
                <w:szCs w:val="20"/>
                <w:color w:val="auto"/>
              </w:rPr>
              <w:t>Accrued liabilities</w:t>
            </w:r>
          </w:p>
        </w:tc>
        <w:tc>
          <w:tcPr>
            <w:tcW w:w="60" w:type="dxa"/>
            <w:vAlign w:val="bottom"/>
          </w:tcPr>
          <w:p>
            <w:pPr>
              <w:spacing w:after="0"/>
              <w:rPr>
                <w:sz w:val="21"/>
                <w:szCs w:val="21"/>
                <w:color w:val="auto"/>
              </w:rPr>
            </w:pPr>
          </w:p>
        </w:tc>
      </w:tr>
    </w:tbl>
    <w:p>
      <w:pPr>
        <w:spacing w:after="0" w:line="200" w:lineRule="exact"/>
        <w:rPr>
          <w:sz w:val="20"/>
          <w:szCs w:val="20"/>
          <w:color w:val="auto"/>
        </w:rPr>
      </w:pPr>
    </w:p>
    <w:p>
      <w:pPr>
        <w:spacing w:after="0" w:line="23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net losses on derivative instruments in the condensed consolidated statements of income were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00" w:type="dxa"/>
            <w:vAlign w:val="bottom"/>
            <w:gridSpan w:val="4"/>
          </w:tcPr>
          <w:p>
            <w:pPr>
              <w:jc w:val="right"/>
              <w:ind w:right="781"/>
              <w:spacing w:after="0"/>
              <w:rPr>
                <w:sz w:val="20"/>
                <w:szCs w:val="20"/>
                <w:color w:val="auto"/>
              </w:rPr>
            </w:pPr>
            <w:r>
              <w:rPr>
                <w:rFonts w:ascii="Arial" w:cs="Arial" w:eastAsia="Arial" w:hAnsi="Arial"/>
                <w:sz w:val="20"/>
                <w:szCs w:val="20"/>
                <w:color w:val="auto"/>
              </w:rPr>
              <w:t>Amount of loss</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00" w:type="dxa"/>
            <w:vAlign w:val="bottom"/>
            <w:gridSpan w:val="4"/>
          </w:tcPr>
          <w:p>
            <w:pPr>
              <w:jc w:val="center"/>
              <w:ind w:right="121"/>
              <w:spacing w:after="0"/>
              <w:rPr>
                <w:sz w:val="20"/>
                <w:szCs w:val="20"/>
                <w:color w:val="auto"/>
              </w:rPr>
            </w:pPr>
            <w:r>
              <w:rPr>
                <w:rFonts w:ascii="Arial" w:cs="Arial" w:eastAsia="Arial" w:hAnsi="Arial"/>
                <w:sz w:val="20"/>
                <w:szCs w:val="20"/>
                <w:color w:val="auto"/>
                <w:w w:val="90"/>
              </w:rPr>
              <w:t>recognized in income on</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gridSpan w:val="4"/>
          </w:tcPr>
          <w:p>
            <w:pPr>
              <w:jc w:val="center"/>
              <w:ind w:right="121"/>
              <w:spacing w:after="0"/>
              <w:rPr>
                <w:sz w:val="20"/>
                <w:szCs w:val="20"/>
                <w:color w:val="auto"/>
              </w:rPr>
            </w:pPr>
            <w:r>
              <w:rPr>
                <w:rFonts w:ascii="Arial" w:cs="Arial" w:eastAsia="Arial" w:hAnsi="Arial"/>
                <w:sz w:val="20"/>
                <w:szCs w:val="20"/>
                <w:color w:val="auto"/>
                <w:w w:val="92"/>
              </w:rPr>
              <w:t>derivatives</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60" w:type="dxa"/>
            <w:vAlign w:val="bottom"/>
            <w:gridSpan w:val="2"/>
            <w:vMerge w:val="restart"/>
          </w:tcPr>
          <w:p>
            <w:pPr>
              <w:jc w:val="center"/>
              <w:ind w:right="240"/>
              <w:spacing w:after="0"/>
              <w:rPr>
                <w:sz w:val="20"/>
                <w:szCs w:val="20"/>
                <w:color w:val="auto"/>
              </w:rPr>
            </w:pPr>
            <w:r>
              <w:rPr>
                <w:rFonts w:ascii="Arial" w:cs="Arial" w:eastAsia="Arial" w:hAnsi="Arial"/>
                <w:sz w:val="20"/>
                <w:szCs w:val="20"/>
                <w:color w:val="auto"/>
                <w:w w:val="89"/>
              </w:rPr>
              <w:t>Derivatives not designated as</w:t>
            </w:r>
          </w:p>
        </w:tc>
        <w:tc>
          <w:tcPr>
            <w:tcW w:w="4420" w:type="dxa"/>
            <w:vAlign w:val="bottom"/>
            <w:gridSpan w:val="2"/>
            <w:vMerge w:val="restart"/>
          </w:tcPr>
          <w:p>
            <w:pPr>
              <w:ind w:left="1420"/>
              <w:spacing w:after="0"/>
              <w:rPr>
                <w:sz w:val="20"/>
                <w:szCs w:val="20"/>
                <w:color w:val="auto"/>
              </w:rPr>
            </w:pPr>
            <w:r>
              <w:rPr>
                <w:rFonts w:ascii="Arial" w:cs="Arial" w:eastAsia="Arial" w:hAnsi="Arial"/>
                <w:sz w:val="20"/>
                <w:szCs w:val="20"/>
                <w:color w:val="auto"/>
              </w:rPr>
              <w:t>Location of loss</w:t>
            </w:r>
          </w:p>
        </w:tc>
        <w:tc>
          <w:tcPr>
            <w:tcW w:w="22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4"/>
          </w:tcPr>
          <w:p>
            <w:pPr>
              <w:jc w:val="center"/>
              <w:ind w:right="121"/>
              <w:spacing w:after="0" w:line="223" w:lineRule="exact"/>
              <w:rPr>
                <w:sz w:val="20"/>
                <w:szCs w:val="20"/>
                <w:color w:val="auto"/>
              </w:rPr>
            </w:pPr>
            <w:r>
              <w:rPr>
                <w:rFonts w:ascii="Arial" w:cs="Arial" w:eastAsia="Arial" w:hAnsi="Arial"/>
                <w:sz w:val="20"/>
                <w:szCs w:val="20"/>
                <w:color w:val="auto"/>
                <w:w w:val="88"/>
              </w:rPr>
              <w:t>Three-months ended</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4060" w:type="dxa"/>
            <w:vAlign w:val="bottom"/>
            <w:gridSpan w:val="2"/>
            <w:vMerge w:val="continue"/>
          </w:tcPr>
          <w:p>
            <w:pPr>
              <w:spacing w:after="0"/>
              <w:rPr>
                <w:sz w:val="16"/>
                <w:szCs w:val="16"/>
                <w:color w:val="auto"/>
              </w:rPr>
            </w:pPr>
          </w:p>
        </w:tc>
        <w:tc>
          <w:tcPr>
            <w:tcW w:w="44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60" w:type="dxa"/>
            <w:vAlign w:val="bottom"/>
            <w:gridSpan w:val="2"/>
          </w:tcPr>
          <w:p>
            <w:pPr>
              <w:ind w:left="840"/>
              <w:spacing w:after="0"/>
              <w:rPr>
                <w:sz w:val="20"/>
                <w:szCs w:val="20"/>
                <w:color w:val="auto"/>
              </w:rPr>
            </w:pPr>
            <w:r>
              <w:rPr>
                <w:rFonts w:ascii="Arial" w:cs="Arial" w:eastAsia="Arial" w:hAnsi="Arial"/>
                <w:sz w:val="20"/>
                <w:szCs w:val="20"/>
                <w:color w:val="auto"/>
              </w:rPr>
              <w:t>hedging instruments under</w:t>
            </w:r>
          </w:p>
        </w:tc>
        <w:tc>
          <w:tcPr>
            <w:tcW w:w="4420" w:type="dxa"/>
            <w:vAlign w:val="bottom"/>
            <w:gridSpan w:val="2"/>
          </w:tcPr>
          <w:p>
            <w:pPr>
              <w:jc w:val="center"/>
              <w:ind w:right="280"/>
              <w:spacing w:after="0"/>
              <w:rPr>
                <w:sz w:val="20"/>
                <w:szCs w:val="20"/>
                <w:color w:val="auto"/>
              </w:rPr>
            </w:pPr>
            <w:r>
              <w:rPr>
                <w:rFonts w:ascii="Arial" w:cs="Arial" w:eastAsia="Arial" w:hAnsi="Arial"/>
                <w:sz w:val="20"/>
                <w:szCs w:val="20"/>
                <w:color w:val="auto"/>
                <w:w w:val="89"/>
              </w:rPr>
              <w:t>recognized in income on</w:t>
            </w:r>
          </w:p>
        </w:tc>
        <w:tc>
          <w:tcPr>
            <w:tcW w:w="220" w:type="dxa"/>
            <w:vAlign w:val="bottom"/>
          </w:tcPr>
          <w:p>
            <w:pPr>
              <w:spacing w:after="0"/>
              <w:rPr>
                <w:sz w:val="19"/>
                <w:szCs w:val="19"/>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20"/>
                <w:szCs w:val="20"/>
                <w:color w:val="auto"/>
                <w:w w:val="92"/>
              </w:rPr>
              <w:t>March 31,</w:t>
            </w:r>
          </w:p>
        </w:tc>
        <w:tc>
          <w:tcPr>
            <w:tcW w:w="220" w:type="dxa"/>
            <w:vAlign w:val="bottom"/>
          </w:tcPr>
          <w:p>
            <w:pPr>
              <w:spacing w:after="0"/>
              <w:rPr>
                <w:sz w:val="19"/>
                <w:szCs w:val="19"/>
                <w:color w:val="auto"/>
              </w:rPr>
            </w:pPr>
          </w:p>
        </w:tc>
        <w:tc>
          <w:tcPr>
            <w:tcW w:w="1140" w:type="dxa"/>
            <w:vAlign w:val="bottom"/>
          </w:tcPr>
          <w:p>
            <w:pPr>
              <w:jc w:val="center"/>
              <w:ind w:right="121"/>
              <w:spacing w:after="0"/>
              <w:rPr>
                <w:sz w:val="20"/>
                <w:szCs w:val="20"/>
                <w:color w:val="auto"/>
              </w:rPr>
            </w:pPr>
            <w:r>
              <w:rPr>
                <w:rFonts w:ascii="Arial" w:cs="Arial" w:eastAsia="Arial" w:hAnsi="Arial"/>
                <w:sz w:val="20"/>
                <w:szCs w:val="20"/>
                <w:color w:val="auto"/>
                <w:w w:val="89"/>
              </w:rPr>
              <w:t>March 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2"/>
              </w:rPr>
              <w:t>FASB ASC 815-20</w:t>
            </w:r>
          </w:p>
        </w:tc>
        <w:tc>
          <w:tcPr>
            <w:tcW w:w="240" w:type="dxa"/>
            <w:vAlign w:val="bottom"/>
          </w:tcPr>
          <w:p>
            <w:pPr>
              <w:spacing w:after="0"/>
              <w:rPr>
                <w:sz w:val="21"/>
                <w:szCs w:val="21"/>
                <w:color w:val="auto"/>
              </w:rPr>
            </w:pPr>
          </w:p>
        </w:tc>
        <w:tc>
          <w:tcPr>
            <w:tcW w:w="41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9"/>
              </w:rPr>
              <w:t>derivatives</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color w:val="auto"/>
              </w:rPr>
              <w:t>2015</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2014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5"/>
        </w:trPr>
        <w:tc>
          <w:tcPr>
            <w:tcW w:w="4060" w:type="dxa"/>
            <w:vAlign w:val="bottom"/>
            <w:gridSpan w:val="2"/>
          </w:tcPr>
          <w:p>
            <w:pPr>
              <w:jc w:val="center"/>
              <w:ind w:right="220"/>
              <w:spacing w:after="0"/>
              <w:rPr>
                <w:sz w:val="20"/>
                <w:szCs w:val="20"/>
                <w:color w:val="auto"/>
              </w:rPr>
            </w:pPr>
            <w:r>
              <w:rPr>
                <w:rFonts w:ascii="Arial" w:cs="Arial" w:eastAsia="Arial" w:hAnsi="Arial"/>
                <w:sz w:val="20"/>
                <w:szCs w:val="20"/>
                <w:color w:val="auto"/>
                <w:w w:val="88"/>
              </w:rPr>
              <w:t>Foreign currency exchange contracts</w:t>
            </w:r>
          </w:p>
        </w:tc>
        <w:tc>
          <w:tcPr>
            <w:tcW w:w="4420" w:type="dxa"/>
            <w:vAlign w:val="bottom"/>
            <w:gridSpan w:val="2"/>
          </w:tcPr>
          <w:p>
            <w:pPr>
              <w:jc w:val="center"/>
              <w:ind w:right="260"/>
              <w:spacing w:after="0"/>
              <w:rPr>
                <w:sz w:val="20"/>
                <w:szCs w:val="20"/>
                <w:color w:val="auto"/>
              </w:rPr>
            </w:pPr>
            <w:r>
              <w:rPr>
                <w:rFonts w:ascii="Arial" w:cs="Arial" w:eastAsia="Arial" w:hAnsi="Arial"/>
                <w:sz w:val="20"/>
                <w:szCs w:val="20"/>
                <w:color w:val="auto"/>
                <w:w w:val="88"/>
              </w:rPr>
              <w:t>Interest and other income, net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(1,856)</w:t>
            </w:r>
          </w:p>
        </w:tc>
        <w:tc>
          <w:tcPr>
            <w:tcW w:w="240" w:type="dxa"/>
            <w:vAlign w:val="bottom"/>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140" w:type="dxa"/>
            <w:vAlign w:val="bottom"/>
            <w:vMerge w:val="restart"/>
          </w:tcPr>
          <w:p>
            <w:pPr>
              <w:jc w:val="right"/>
              <w:ind w:right="2303"/>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8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41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1"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ectPr>
          <w:pgSz w:w="11900" w:h="16838" w:orient="portrait"/>
          <w:cols w:equalWidth="0" w:num="1">
            <w:col w:w="11460"/>
          </w:cols>
          <w:pgMar w:left="240" w:top="352" w:right="199" w:bottom="0" w:gutter="0" w:footer="0" w:header="0"/>
        </w:sectPr>
      </w:pPr>
    </w:p>
    <w:bookmarkStart w:id="11" w:name="page12"/>
    <w:bookmarkEnd w:id="11"/>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640" w:hanging="632"/>
        <w:spacing w:after="0"/>
        <w:tabs>
          <w:tab w:leader="none" w:pos="6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INVENTORIES</w:t>
      </w:r>
    </w:p>
    <w:p>
      <w:pPr>
        <w:spacing w:after="0" w:line="22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Inventories consist of the following at:</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ind w:left="40"/>
              <w:spacing w:after="0"/>
              <w:rPr>
                <w:sz w:val="20"/>
                <w:szCs w:val="20"/>
                <w:color w:val="auto"/>
              </w:rPr>
            </w:pPr>
            <w:r>
              <w:rPr>
                <w:rFonts w:ascii="Arial" w:cs="Arial" w:eastAsia="Arial" w:hAnsi="Arial"/>
                <w:sz w:val="20"/>
                <w:szCs w:val="20"/>
                <w:color w:val="auto"/>
              </w:rPr>
              <w:t>March 31,</w:t>
            </w:r>
          </w:p>
        </w:tc>
        <w:tc>
          <w:tcPr>
            <w:tcW w:w="1340" w:type="dxa"/>
            <w:vAlign w:val="bottom"/>
            <w:gridSpan w:val="2"/>
          </w:tcPr>
          <w:p>
            <w:pPr>
              <w:jc w:val="right"/>
              <w:ind w:right="21"/>
              <w:spacing w:after="0"/>
              <w:rPr>
                <w:sz w:val="20"/>
                <w:szCs w:val="20"/>
                <w:color w:val="auto"/>
              </w:rPr>
            </w:pPr>
            <w:r>
              <w:rPr>
                <w:rFonts w:ascii="Arial" w:cs="Arial" w:eastAsia="Arial" w:hAnsi="Arial"/>
                <w:sz w:val="20"/>
                <w:szCs w:val="20"/>
                <w:color w:val="auto"/>
                <w:w w:val="95"/>
              </w:rPr>
              <w:t>December 31,</w:t>
            </w:r>
          </w:p>
        </w:tc>
        <w:tc>
          <w:tcPr>
            <w:tcW w:w="0" w:type="dxa"/>
            <w:vAlign w:val="bottom"/>
          </w:tcPr>
          <w:p>
            <w:pPr>
              <w:spacing w:after="0"/>
              <w:rPr>
                <w:sz w:val="1"/>
                <w:szCs w:val="1"/>
                <w:color w:val="auto"/>
              </w:rPr>
            </w:pPr>
          </w:p>
        </w:tc>
      </w:tr>
      <w:tr>
        <w:trPr>
          <w:trHeight w:val="246"/>
        </w:trPr>
        <w:tc>
          <w:tcPr>
            <w:tcW w:w="7380" w:type="dxa"/>
            <w:vAlign w:val="bottom"/>
            <w:vMerge w:val="restart"/>
          </w:tcPr>
          <w:p>
            <w:pPr>
              <w:spacing w:after="0"/>
              <w:rPr>
                <w:sz w:val="20"/>
                <w:szCs w:val="20"/>
                <w:color w:val="auto"/>
              </w:rPr>
            </w:pPr>
            <w:r>
              <w:rPr>
                <w:rFonts w:ascii="Arial" w:cs="Arial" w:eastAsia="Arial" w:hAnsi="Arial"/>
                <w:sz w:val="20"/>
                <w:szCs w:val="20"/>
                <w:color w:val="auto"/>
              </w:rPr>
              <w:t>Raw materials</w:t>
            </w: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2015</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color w:val="auto"/>
              </w:rPr>
              <w:t>2014</w:t>
            </w:r>
          </w:p>
        </w:tc>
        <w:tc>
          <w:tcPr>
            <w:tcW w:w="0" w:type="dxa"/>
            <w:vAlign w:val="bottom"/>
          </w:tcPr>
          <w:p>
            <w:pPr>
              <w:spacing w:after="0"/>
              <w:rPr>
                <w:sz w:val="1"/>
                <w:szCs w:val="1"/>
                <w:color w:val="auto"/>
              </w:rPr>
            </w:pPr>
          </w:p>
        </w:tc>
      </w:tr>
      <w:tr>
        <w:trPr>
          <w:trHeight w:val="206"/>
        </w:trPr>
        <w:tc>
          <w:tcPr>
            <w:tcW w:w="7380" w:type="dxa"/>
            <w:vAlign w:val="bottom"/>
            <w:vMerge w:val="continue"/>
          </w:tcPr>
          <w:p>
            <w:pPr>
              <w:spacing w:after="0"/>
              <w:rPr>
                <w:sz w:val="17"/>
                <w:szCs w:val="17"/>
                <w:color w:val="auto"/>
              </w:rPr>
            </w:pPr>
          </w:p>
        </w:tc>
        <w:tc>
          <w:tcPr>
            <w:tcW w:w="22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1140" w:type="dxa"/>
            <w:vAlign w:val="bottom"/>
          </w:tcPr>
          <w:p>
            <w:pPr>
              <w:jc w:val="right"/>
              <w:ind w:right="1"/>
              <w:spacing w:after="0" w:line="207" w:lineRule="exact"/>
              <w:rPr>
                <w:sz w:val="20"/>
                <w:szCs w:val="20"/>
                <w:color w:val="auto"/>
              </w:rPr>
            </w:pPr>
            <w:r>
              <w:rPr>
                <w:rFonts w:ascii="Arial" w:cs="Arial" w:eastAsia="Arial" w:hAnsi="Arial"/>
                <w:sz w:val="20"/>
                <w:szCs w:val="20"/>
                <w:color w:val="auto"/>
              </w:rPr>
              <w:t>65,311</w:t>
            </w:r>
          </w:p>
        </w:tc>
        <w:tc>
          <w:tcPr>
            <w:tcW w:w="280" w:type="dxa"/>
            <w:vAlign w:val="bottom"/>
          </w:tcPr>
          <w:p>
            <w:pPr>
              <w:spacing w:after="0"/>
              <w:rPr>
                <w:sz w:val="17"/>
                <w:szCs w:val="17"/>
                <w:color w:val="auto"/>
              </w:rPr>
            </w:pPr>
          </w:p>
        </w:tc>
        <w:tc>
          <w:tcPr>
            <w:tcW w:w="320" w:type="dxa"/>
            <w:vAlign w:val="bottom"/>
          </w:tcPr>
          <w:p>
            <w:pPr>
              <w:jc w:val="right"/>
              <w:ind w:right="61"/>
              <w:spacing w:after="0" w:line="207" w:lineRule="exact"/>
              <w:rPr>
                <w:sz w:val="20"/>
                <w:szCs w:val="20"/>
                <w:color w:val="auto"/>
              </w:rPr>
            </w:pPr>
            <w:r>
              <w:rPr>
                <w:rFonts w:ascii="Arial" w:cs="Arial" w:eastAsia="Arial" w:hAnsi="Arial"/>
                <w:sz w:val="20"/>
                <w:szCs w:val="20"/>
                <w:color w:val="auto"/>
              </w:rPr>
              <w:t>$</w:t>
            </w:r>
          </w:p>
        </w:tc>
        <w:tc>
          <w:tcPr>
            <w:tcW w:w="1020" w:type="dxa"/>
            <w:vAlign w:val="bottom"/>
          </w:tcPr>
          <w:p>
            <w:pPr>
              <w:jc w:val="right"/>
              <w:ind w:right="1"/>
              <w:spacing w:after="0" w:line="207" w:lineRule="exact"/>
              <w:rPr>
                <w:sz w:val="20"/>
                <w:szCs w:val="20"/>
                <w:color w:val="auto"/>
              </w:rPr>
            </w:pPr>
            <w:r>
              <w:rPr>
                <w:rFonts w:ascii="Arial" w:cs="Arial" w:eastAsia="Arial" w:hAnsi="Arial"/>
                <w:sz w:val="20"/>
                <w:szCs w:val="20"/>
                <w:color w:val="auto"/>
              </w:rPr>
              <w:t>59,938</w:t>
            </w:r>
          </w:p>
        </w:tc>
        <w:tc>
          <w:tcPr>
            <w:tcW w:w="0" w:type="dxa"/>
            <w:vAlign w:val="bottom"/>
          </w:tcPr>
          <w:p>
            <w:pPr>
              <w:spacing w:after="0"/>
              <w:rPr>
                <w:sz w:val="1"/>
                <w:szCs w:val="1"/>
                <w:color w:val="auto"/>
              </w:rPr>
            </w:pPr>
          </w:p>
        </w:tc>
      </w:tr>
      <w:tr>
        <w:trPr>
          <w:trHeight w:val="246"/>
        </w:trPr>
        <w:tc>
          <w:tcPr>
            <w:tcW w:w="7380" w:type="dxa"/>
            <w:vAlign w:val="bottom"/>
          </w:tcPr>
          <w:p>
            <w:pPr>
              <w:spacing w:after="0"/>
              <w:rPr>
                <w:sz w:val="20"/>
                <w:szCs w:val="20"/>
                <w:color w:val="auto"/>
              </w:rPr>
            </w:pPr>
            <w:r>
              <w:rPr>
                <w:rFonts w:ascii="Arial" w:cs="Arial" w:eastAsia="Arial" w:hAnsi="Arial"/>
                <w:sz w:val="20"/>
                <w:szCs w:val="20"/>
                <w:color w:val="auto"/>
              </w:rPr>
              <w:t>Finished goods</w:t>
            </w: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132,603</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114,635</w:t>
            </w:r>
          </w:p>
        </w:tc>
        <w:tc>
          <w:tcPr>
            <w:tcW w:w="0" w:type="dxa"/>
            <w:vAlign w:val="bottom"/>
          </w:tcPr>
          <w:p>
            <w:pPr>
              <w:spacing w:after="0"/>
              <w:rPr>
                <w:sz w:val="1"/>
                <w:szCs w:val="1"/>
                <w:color w:val="auto"/>
              </w:rPr>
            </w:pPr>
          </w:p>
        </w:tc>
      </w:tr>
      <w:tr>
        <w:trPr>
          <w:trHeight w:val="223"/>
        </w:trPr>
        <w:tc>
          <w:tcPr>
            <w:tcW w:w="7380" w:type="dxa"/>
            <w:vAlign w:val="bottom"/>
          </w:tcPr>
          <w:p>
            <w:pPr>
              <w:spacing w:after="0"/>
              <w:rPr>
                <w:sz w:val="19"/>
                <w:szCs w:val="19"/>
                <w:color w:val="auto"/>
              </w:rPr>
            </w:pPr>
          </w:p>
        </w:tc>
        <w:tc>
          <w:tcPr>
            <w:tcW w:w="2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197,914</w:t>
            </w:r>
          </w:p>
        </w:tc>
        <w:tc>
          <w:tcPr>
            <w:tcW w:w="280" w:type="dxa"/>
            <w:vAlign w:val="bottom"/>
          </w:tcPr>
          <w:p>
            <w:pPr>
              <w:spacing w:after="0"/>
              <w:rPr>
                <w:sz w:val="19"/>
                <w:szCs w:val="19"/>
                <w:color w:val="auto"/>
              </w:rPr>
            </w:pPr>
          </w:p>
        </w:tc>
        <w:tc>
          <w:tcPr>
            <w:tcW w:w="32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174,573</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ind w:left="640" w:hanging="632"/>
        <w:spacing w:after="0"/>
        <w:tabs>
          <w:tab w:leader="none" w:pos="6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PROPERTY AND EQUIPMENT, Net</w:t>
      </w:r>
    </w:p>
    <w:p>
      <w:pPr>
        <w:spacing w:after="0" w:line="22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Property and equipment consist of the following at:</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19"/>
                <w:szCs w:val="19"/>
                <w:color w:val="auto"/>
              </w:rPr>
            </w:pPr>
          </w:p>
        </w:tc>
        <w:tc>
          <w:tcPr>
            <w:tcW w:w="7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20"/>
                <w:szCs w:val="20"/>
                <w:color w:val="auto"/>
                <w:w w:val="94"/>
              </w:rPr>
              <w:t>March 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3"/>
          </w:tcPr>
          <w:p>
            <w:pPr>
              <w:jc w:val="right"/>
              <w:ind w:right="120"/>
              <w:spacing w:after="0"/>
              <w:rPr>
                <w:sz w:val="20"/>
                <w:szCs w:val="20"/>
                <w:color w:val="auto"/>
              </w:rPr>
            </w:pPr>
            <w:r>
              <w:rPr>
                <w:rFonts w:ascii="Arial" w:cs="Arial" w:eastAsia="Arial" w:hAnsi="Arial"/>
                <w:sz w:val="20"/>
                <w:szCs w:val="20"/>
                <w:color w:val="auto"/>
                <w:w w:val="97"/>
              </w:rPr>
              <w:t>December 31,</w:t>
            </w:r>
          </w:p>
        </w:tc>
        <w:tc>
          <w:tcPr>
            <w:tcW w:w="0" w:type="dxa"/>
            <w:vAlign w:val="bottom"/>
          </w:tcPr>
          <w:p>
            <w:pPr>
              <w:spacing w:after="0"/>
              <w:rPr>
                <w:sz w:val="1"/>
                <w:szCs w:val="1"/>
                <w:color w:val="auto"/>
              </w:rPr>
            </w:pPr>
          </w:p>
        </w:tc>
      </w:tr>
      <w:tr>
        <w:trPr>
          <w:trHeight w:val="246"/>
        </w:trPr>
        <w:tc>
          <w:tcPr>
            <w:tcW w:w="400" w:type="dxa"/>
            <w:vAlign w:val="bottom"/>
          </w:tcPr>
          <w:p>
            <w:pPr>
              <w:spacing w:after="0"/>
              <w:rPr>
                <w:sz w:val="21"/>
                <w:szCs w:val="21"/>
                <w:color w:val="auto"/>
              </w:rPr>
            </w:pPr>
          </w:p>
        </w:tc>
        <w:tc>
          <w:tcPr>
            <w:tcW w:w="7340" w:type="dxa"/>
            <w:vAlign w:val="bottom"/>
            <w:vMerge w:val="restart"/>
          </w:tcPr>
          <w:p>
            <w:pPr>
              <w:ind w:left="260"/>
              <w:spacing w:after="0"/>
              <w:rPr>
                <w:sz w:val="20"/>
                <w:szCs w:val="20"/>
                <w:color w:val="auto"/>
              </w:rPr>
            </w:pPr>
            <w:r>
              <w:rPr>
                <w:rFonts w:ascii="Arial" w:cs="Arial" w:eastAsia="Arial" w:hAnsi="Arial"/>
                <w:sz w:val="20"/>
                <w:szCs w:val="20"/>
                <w:color w:val="auto"/>
              </w:rPr>
              <w:t>Land</w:t>
            </w:r>
          </w:p>
        </w:tc>
        <w:tc>
          <w:tcPr>
            <w:tcW w:w="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21"/>
              <w:spacing w:after="0"/>
              <w:rPr>
                <w:sz w:val="20"/>
                <w:szCs w:val="20"/>
                <w:color w:val="auto"/>
              </w:rPr>
            </w:pPr>
            <w:r>
              <w:rPr>
                <w:rFonts w:ascii="Arial" w:cs="Arial" w:eastAsia="Arial" w:hAnsi="Arial"/>
                <w:sz w:val="20"/>
                <w:szCs w:val="20"/>
                <w:color w:val="auto"/>
              </w:rPr>
              <w:t>2015</w:t>
            </w:r>
          </w:p>
        </w:tc>
        <w:tc>
          <w:tcPr>
            <w:tcW w:w="1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41"/>
              <w:spacing w:after="0"/>
              <w:rPr>
                <w:sz w:val="20"/>
                <w:szCs w:val="20"/>
                <w:color w:val="auto"/>
              </w:rPr>
            </w:pPr>
            <w:r>
              <w:rPr>
                <w:rFonts w:ascii="Arial" w:cs="Arial" w:eastAsia="Arial" w:hAnsi="Arial"/>
                <w:sz w:val="20"/>
                <w:szCs w:val="20"/>
                <w:color w:val="auto"/>
              </w:rPr>
              <w:t>2014</w:t>
            </w:r>
          </w:p>
        </w:tc>
        <w:tc>
          <w:tcPr>
            <w:tcW w:w="1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400" w:type="dxa"/>
            <w:vAlign w:val="bottom"/>
          </w:tcPr>
          <w:p>
            <w:pPr>
              <w:spacing w:after="0"/>
              <w:rPr>
                <w:sz w:val="17"/>
                <w:szCs w:val="17"/>
                <w:color w:val="auto"/>
              </w:rPr>
            </w:pPr>
          </w:p>
        </w:tc>
        <w:tc>
          <w:tcPr>
            <w:tcW w:w="73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ind w:left="80"/>
              <w:spacing w:after="0" w:line="207" w:lineRule="exact"/>
              <w:rPr>
                <w:sz w:val="20"/>
                <w:szCs w:val="20"/>
                <w:color w:val="auto"/>
              </w:rPr>
            </w:pPr>
            <w:r>
              <w:rPr>
                <w:rFonts w:ascii="Arial" w:cs="Arial" w:eastAsia="Arial" w:hAnsi="Arial"/>
                <w:sz w:val="20"/>
                <w:szCs w:val="20"/>
                <w:color w:val="auto"/>
              </w:rPr>
              <w:t>$</w:t>
            </w:r>
          </w:p>
        </w:tc>
        <w:tc>
          <w:tcPr>
            <w:tcW w:w="1140" w:type="dxa"/>
            <w:vAlign w:val="bottom"/>
            <w:gridSpan w:val="2"/>
          </w:tcPr>
          <w:p>
            <w:pPr>
              <w:jc w:val="right"/>
              <w:ind w:right="120"/>
              <w:spacing w:after="0" w:line="207" w:lineRule="exact"/>
              <w:rPr>
                <w:sz w:val="20"/>
                <w:szCs w:val="20"/>
                <w:color w:val="auto"/>
              </w:rPr>
            </w:pPr>
            <w:r>
              <w:rPr>
                <w:rFonts w:ascii="Arial" w:cs="Arial" w:eastAsia="Arial" w:hAnsi="Arial"/>
                <w:sz w:val="20"/>
                <w:szCs w:val="20"/>
                <w:color w:val="auto"/>
              </w:rPr>
              <w:t>6,792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1100" w:type="dxa"/>
            <w:vAlign w:val="bottom"/>
            <w:gridSpan w:val="2"/>
          </w:tcPr>
          <w:p>
            <w:pPr>
              <w:jc w:val="right"/>
              <w:ind w:right="120"/>
              <w:spacing w:after="0" w:line="207" w:lineRule="exact"/>
              <w:rPr>
                <w:sz w:val="20"/>
                <w:szCs w:val="20"/>
                <w:color w:val="auto"/>
              </w:rPr>
            </w:pPr>
            <w:r>
              <w:rPr>
                <w:rFonts w:ascii="Arial" w:cs="Arial" w:eastAsia="Arial" w:hAnsi="Arial"/>
                <w:sz w:val="20"/>
                <w:szCs w:val="20"/>
                <w:color w:val="auto"/>
              </w:rPr>
              <w:t>6,792</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7340" w:type="dxa"/>
            <w:vAlign w:val="bottom"/>
          </w:tcPr>
          <w:p>
            <w:pPr>
              <w:ind w:left="260"/>
              <w:spacing w:after="0"/>
              <w:rPr>
                <w:sz w:val="20"/>
                <w:szCs w:val="20"/>
                <w:color w:val="auto"/>
              </w:rPr>
            </w:pPr>
            <w:r>
              <w:rPr>
                <w:rFonts w:ascii="Arial" w:cs="Arial" w:eastAsia="Arial" w:hAnsi="Arial"/>
                <w:sz w:val="20"/>
                <w:szCs w:val="20"/>
                <w:color w:val="auto"/>
              </w:rPr>
              <w:t>Leasehold improvements</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20"/>
                <w:szCs w:val="20"/>
                <w:color w:val="auto"/>
              </w:rPr>
              <w:t>2,723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20"/>
                <w:szCs w:val="20"/>
                <w:color w:val="auto"/>
              </w:rPr>
              <w:t>2,796</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7340" w:type="dxa"/>
            <w:vAlign w:val="bottom"/>
          </w:tcPr>
          <w:p>
            <w:pPr>
              <w:ind w:left="260"/>
              <w:spacing w:after="0"/>
              <w:rPr>
                <w:sz w:val="20"/>
                <w:szCs w:val="20"/>
                <w:color w:val="auto"/>
              </w:rPr>
            </w:pPr>
            <w:r>
              <w:rPr>
                <w:rFonts w:ascii="Arial" w:cs="Arial" w:eastAsia="Arial" w:hAnsi="Arial"/>
                <w:sz w:val="20"/>
                <w:szCs w:val="20"/>
                <w:color w:val="auto"/>
              </w:rPr>
              <w:t>Furniture and fixtures</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20"/>
                <w:szCs w:val="20"/>
                <w:color w:val="auto"/>
              </w:rPr>
              <w:t>3,359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20"/>
                <w:szCs w:val="20"/>
                <w:color w:val="auto"/>
              </w:rPr>
              <w:t>3,371</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7340" w:type="dxa"/>
            <w:vAlign w:val="bottom"/>
          </w:tcPr>
          <w:p>
            <w:pPr>
              <w:ind w:left="260"/>
              <w:spacing w:after="0"/>
              <w:rPr>
                <w:sz w:val="20"/>
                <w:szCs w:val="20"/>
                <w:color w:val="auto"/>
              </w:rPr>
            </w:pPr>
            <w:r>
              <w:rPr>
                <w:rFonts w:ascii="Arial" w:cs="Arial" w:eastAsia="Arial" w:hAnsi="Arial"/>
                <w:sz w:val="20"/>
                <w:szCs w:val="20"/>
                <w:color w:val="auto"/>
              </w:rPr>
              <w:t>Office and computer equipment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20"/>
                <w:szCs w:val="20"/>
                <w:color w:val="auto"/>
              </w:rPr>
              <w:t>10,229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20"/>
                <w:szCs w:val="20"/>
                <w:color w:val="auto"/>
              </w:rPr>
              <w:t>10,072</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7340" w:type="dxa"/>
            <w:vAlign w:val="bottom"/>
          </w:tcPr>
          <w:p>
            <w:pPr>
              <w:ind w:left="260"/>
              <w:spacing w:after="0"/>
              <w:rPr>
                <w:sz w:val="20"/>
                <w:szCs w:val="20"/>
                <w:color w:val="auto"/>
              </w:rPr>
            </w:pPr>
            <w:r>
              <w:rPr>
                <w:rFonts w:ascii="Arial" w:cs="Arial" w:eastAsia="Arial" w:hAnsi="Arial"/>
                <w:sz w:val="20"/>
                <w:szCs w:val="20"/>
                <w:color w:val="auto"/>
              </w:rPr>
              <w:t>Computer software</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20"/>
                <w:szCs w:val="20"/>
                <w:color w:val="auto"/>
              </w:rPr>
              <w:t>1,774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20"/>
                <w:szCs w:val="20"/>
                <w:color w:val="auto"/>
              </w:rPr>
              <w:t>1,317</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7340" w:type="dxa"/>
            <w:vAlign w:val="bottom"/>
          </w:tcPr>
          <w:p>
            <w:pPr>
              <w:ind w:left="260"/>
              <w:spacing w:after="0"/>
              <w:rPr>
                <w:sz w:val="20"/>
                <w:szCs w:val="20"/>
                <w:color w:val="auto"/>
              </w:rPr>
            </w:pPr>
            <w:r>
              <w:rPr>
                <w:rFonts w:ascii="Arial" w:cs="Arial" w:eastAsia="Arial" w:hAnsi="Arial"/>
                <w:sz w:val="20"/>
                <w:szCs w:val="20"/>
                <w:color w:val="auto"/>
              </w:rPr>
              <w:t>Equipment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20"/>
                <w:szCs w:val="20"/>
                <w:color w:val="auto"/>
              </w:rPr>
              <w:t>86,887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20"/>
                <w:szCs w:val="20"/>
                <w:color w:val="auto"/>
              </w:rPr>
              <w:t>84,263</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7340" w:type="dxa"/>
            <w:vAlign w:val="bottom"/>
          </w:tcPr>
          <w:p>
            <w:pPr>
              <w:ind w:left="260"/>
              <w:spacing w:after="0"/>
              <w:rPr>
                <w:sz w:val="20"/>
                <w:szCs w:val="20"/>
                <w:color w:val="auto"/>
              </w:rPr>
            </w:pPr>
            <w:r>
              <w:rPr>
                <w:rFonts w:ascii="Arial" w:cs="Arial" w:eastAsia="Arial" w:hAnsi="Arial"/>
                <w:sz w:val="20"/>
                <w:szCs w:val="20"/>
                <w:color w:val="auto"/>
              </w:rPr>
              <w:t>Buildings</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20"/>
                <w:szCs w:val="20"/>
                <w:color w:val="auto"/>
              </w:rPr>
              <w:t>37,746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20"/>
                <w:szCs w:val="20"/>
                <w:color w:val="auto"/>
              </w:rPr>
              <w:t>37,311</w:t>
            </w:r>
          </w:p>
        </w:tc>
        <w:tc>
          <w:tcPr>
            <w:tcW w:w="0" w:type="dxa"/>
            <w:vAlign w:val="bottom"/>
          </w:tcPr>
          <w:p>
            <w:pPr>
              <w:spacing w:after="0"/>
              <w:rPr>
                <w:sz w:val="1"/>
                <w:szCs w:val="1"/>
                <w:color w:val="auto"/>
              </w:rPr>
            </w:pPr>
          </w:p>
        </w:tc>
      </w:tr>
      <w:tr>
        <w:trPr>
          <w:trHeight w:val="246"/>
        </w:trPr>
        <w:tc>
          <w:tcPr>
            <w:tcW w:w="400" w:type="dxa"/>
            <w:vAlign w:val="bottom"/>
          </w:tcPr>
          <w:p>
            <w:pPr>
              <w:spacing w:after="0"/>
              <w:rPr>
                <w:sz w:val="21"/>
                <w:szCs w:val="21"/>
                <w:color w:val="auto"/>
              </w:rPr>
            </w:pPr>
          </w:p>
        </w:tc>
        <w:tc>
          <w:tcPr>
            <w:tcW w:w="7340" w:type="dxa"/>
            <w:vAlign w:val="bottom"/>
          </w:tcPr>
          <w:p>
            <w:pPr>
              <w:ind w:left="260"/>
              <w:spacing w:after="0"/>
              <w:rPr>
                <w:sz w:val="20"/>
                <w:szCs w:val="20"/>
                <w:color w:val="auto"/>
              </w:rPr>
            </w:pPr>
            <w:r>
              <w:rPr>
                <w:rFonts w:ascii="Arial" w:cs="Arial" w:eastAsia="Arial" w:hAnsi="Arial"/>
                <w:sz w:val="20"/>
                <w:szCs w:val="20"/>
                <w:color w:val="auto"/>
              </w:rPr>
              <w:t>Vehicles</w:t>
            </w:r>
          </w:p>
        </w:tc>
        <w:tc>
          <w:tcPr>
            <w:tcW w:w="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20"/>
                <w:szCs w:val="20"/>
                <w:color w:val="auto"/>
              </w:rPr>
              <w:t>27,235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20"/>
                <w:szCs w:val="20"/>
                <w:color w:val="auto"/>
              </w:rPr>
              <w:t>27,813</w:t>
            </w:r>
          </w:p>
        </w:tc>
        <w:tc>
          <w:tcPr>
            <w:tcW w:w="0" w:type="dxa"/>
            <w:vAlign w:val="bottom"/>
          </w:tcPr>
          <w:p>
            <w:pPr>
              <w:spacing w:after="0"/>
              <w:rPr>
                <w:sz w:val="1"/>
                <w:szCs w:val="1"/>
                <w:color w:val="auto"/>
              </w:rPr>
            </w:pPr>
          </w:p>
        </w:tc>
      </w:tr>
      <w:tr>
        <w:trPr>
          <w:trHeight w:val="206"/>
        </w:trPr>
        <w:tc>
          <w:tcPr>
            <w:tcW w:w="400" w:type="dxa"/>
            <w:vAlign w:val="bottom"/>
          </w:tcPr>
          <w:p>
            <w:pPr>
              <w:spacing w:after="0"/>
              <w:rPr>
                <w:sz w:val="17"/>
                <w:szCs w:val="17"/>
                <w:color w:val="auto"/>
              </w:rPr>
            </w:pPr>
          </w:p>
        </w:tc>
        <w:tc>
          <w:tcPr>
            <w:tcW w:w="7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20"/>
              <w:spacing w:after="0" w:line="207" w:lineRule="exact"/>
              <w:rPr>
                <w:sz w:val="20"/>
                <w:szCs w:val="20"/>
                <w:color w:val="auto"/>
              </w:rPr>
            </w:pPr>
            <w:r>
              <w:rPr>
                <w:rFonts w:ascii="Arial" w:cs="Arial" w:eastAsia="Arial" w:hAnsi="Arial"/>
                <w:sz w:val="20"/>
                <w:szCs w:val="20"/>
                <w:color w:val="auto"/>
              </w:rPr>
              <w:t>176,745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120"/>
              <w:spacing w:after="0" w:line="207" w:lineRule="exact"/>
              <w:rPr>
                <w:sz w:val="20"/>
                <w:szCs w:val="20"/>
                <w:color w:val="auto"/>
              </w:rPr>
            </w:pPr>
            <w:r>
              <w:rPr>
                <w:rFonts w:ascii="Arial" w:cs="Arial" w:eastAsia="Arial" w:hAnsi="Arial"/>
                <w:sz w:val="20"/>
                <w:szCs w:val="20"/>
                <w:color w:val="auto"/>
              </w:rPr>
              <w:t>173,735</w:t>
            </w:r>
          </w:p>
        </w:tc>
        <w:tc>
          <w:tcPr>
            <w:tcW w:w="0" w:type="dxa"/>
            <w:vAlign w:val="bottom"/>
          </w:tcPr>
          <w:p>
            <w:pPr>
              <w:spacing w:after="0"/>
              <w:rPr>
                <w:sz w:val="1"/>
                <w:szCs w:val="1"/>
                <w:color w:val="auto"/>
              </w:rPr>
            </w:pPr>
          </w:p>
        </w:tc>
      </w:tr>
      <w:tr>
        <w:trPr>
          <w:trHeight w:val="246"/>
        </w:trPr>
        <w:tc>
          <w:tcPr>
            <w:tcW w:w="400" w:type="dxa"/>
            <w:vAlign w:val="bottom"/>
          </w:tcPr>
          <w:p>
            <w:pPr>
              <w:spacing w:after="0"/>
              <w:rPr>
                <w:sz w:val="21"/>
                <w:szCs w:val="21"/>
                <w:color w:val="auto"/>
              </w:rPr>
            </w:pPr>
          </w:p>
        </w:tc>
        <w:tc>
          <w:tcPr>
            <w:tcW w:w="7340" w:type="dxa"/>
            <w:vAlign w:val="bottom"/>
          </w:tcPr>
          <w:p>
            <w:pPr>
              <w:ind w:left="260"/>
              <w:spacing w:after="0"/>
              <w:rPr>
                <w:sz w:val="20"/>
                <w:szCs w:val="20"/>
                <w:color w:val="auto"/>
              </w:rPr>
            </w:pPr>
            <w:r>
              <w:rPr>
                <w:rFonts w:ascii="Arial" w:cs="Arial" w:eastAsia="Arial" w:hAnsi="Arial"/>
                <w:sz w:val="20"/>
                <w:szCs w:val="20"/>
                <w:color w:val="auto"/>
              </w:rPr>
              <w:t>Less: accumulated depreciation and amortization</w:t>
            </w:r>
          </w:p>
        </w:tc>
        <w:tc>
          <w:tcPr>
            <w:tcW w:w="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20"/>
                <w:szCs w:val="20"/>
                <w:color w:val="auto"/>
              </w:rPr>
              <w:t>(88,449)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20"/>
                <w:szCs w:val="20"/>
                <w:color w:val="auto"/>
              </w:rPr>
              <w:t>(83,579)</w:t>
            </w: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7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bottom w:val="single" w:sz="8" w:color="auto"/>
            </w:tcBorders>
          </w:tcPr>
          <w:p>
            <w:pPr>
              <w:ind w:left="80"/>
              <w:spacing w:after="0" w:line="223" w:lineRule="exact"/>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gridSpan w:val="2"/>
          </w:tcPr>
          <w:p>
            <w:pPr>
              <w:jc w:val="right"/>
              <w:ind w:right="120"/>
              <w:spacing w:after="0" w:line="223" w:lineRule="exact"/>
              <w:rPr>
                <w:sz w:val="20"/>
                <w:szCs w:val="20"/>
                <w:color w:val="auto"/>
              </w:rPr>
            </w:pPr>
            <w:r>
              <w:rPr>
                <w:rFonts w:ascii="Arial" w:cs="Arial" w:eastAsia="Arial" w:hAnsi="Arial"/>
                <w:sz w:val="20"/>
                <w:szCs w:val="20"/>
                <w:color w:val="auto"/>
              </w:rPr>
              <w:t>88,296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gridSpan w:val="2"/>
          </w:tcPr>
          <w:p>
            <w:pPr>
              <w:jc w:val="right"/>
              <w:ind w:right="120"/>
              <w:spacing w:after="0" w:line="223" w:lineRule="exact"/>
              <w:rPr>
                <w:sz w:val="20"/>
                <w:szCs w:val="20"/>
                <w:color w:val="auto"/>
              </w:rPr>
            </w:pPr>
            <w:r>
              <w:rPr>
                <w:rFonts w:ascii="Arial" w:cs="Arial" w:eastAsia="Arial" w:hAnsi="Arial"/>
                <w:sz w:val="20"/>
                <w:szCs w:val="20"/>
                <w:color w:val="auto"/>
              </w:rPr>
              <w:t>90,156</w:t>
            </w:r>
          </w:p>
        </w:tc>
        <w:tc>
          <w:tcPr>
            <w:tcW w:w="0" w:type="dxa"/>
            <w:vAlign w:val="bottom"/>
          </w:tcPr>
          <w:p>
            <w:pPr>
              <w:spacing w:after="0"/>
              <w:rPr>
                <w:sz w:val="1"/>
                <w:szCs w:val="1"/>
                <w:color w:val="auto"/>
              </w:rPr>
            </w:pPr>
          </w:p>
        </w:tc>
      </w:tr>
      <w:tr>
        <w:trPr>
          <w:trHeight w:val="20"/>
        </w:trPr>
        <w:tc>
          <w:tcPr>
            <w:tcW w:w="400" w:type="dxa"/>
            <w:vAlign w:val="bottom"/>
            <w:vMerge w:val="restart"/>
          </w:tcPr>
          <w:p>
            <w:pPr>
              <w:jc w:val="right"/>
              <w:ind w:right="141"/>
              <w:spacing w:after="0"/>
              <w:rPr>
                <w:sz w:val="20"/>
                <w:szCs w:val="20"/>
                <w:color w:val="auto"/>
              </w:rPr>
            </w:pPr>
            <w:r>
              <w:rPr>
                <w:rFonts w:ascii="Arial" w:cs="Arial" w:eastAsia="Arial" w:hAnsi="Arial"/>
                <w:sz w:val="20"/>
                <w:szCs w:val="20"/>
                <w:color w:val="auto"/>
                <w:w w:val="83"/>
              </w:rPr>
              <w:t>9.</w:t>
            </w:r>
          </w:p>
        </w:tc>
        <w:tc>
          <w:tcPr>
            <w:tcW w:w="7340" w:type="dxa"/>
            <w:vAlign w:val="bottom"/>
            <w:vMerge w:val="restart"/>
          </w:tcPr>
          <w:p>
            <w:pPr>
              <w:ind w:left="240"/>
              <w:spacing w:after="0"/>
              <w:rPr>
                <w:sz w:val="20"/>
                <w:szCs w:val="20"/>
                <w:color w:val="auto"/>
              </w:rPr>
            </w:pPr>
            <w:r>
              <w:rPr>
                <w:rFonts w:ascii="Arial" w:cs="Arial" w:eastAsia="Arial" w:hAnsi="Arial"/>
                <w:sz w:val="20"/>
                <w:szCs w:val="20"/>
                <w:color w:val="auto"/>
              </w:rPr>
              <w:t>INTANGIBLES, Net</w:t>
            </w: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400" w:type="dxa"/>
            <w:vAlign w:val="bottom"/>
            <w:vMerge w:val="continue"/>
          </w:tcPr>
          <w:p>
            <w:pPr>
              <w:spacing w:after="0"/>
              <w:rPr>
                <w:sz w:val="24"/>
                <w:szCs w:val="24"/>
                <w:color w:val="auto"/>
              </w:rPr>
            </w:pPr>
          </w:p>
        </w:tc>
        <w:tc>
          <w:tcPr>
            <w:tcW w:w="73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00" w:type="dxa"/>
            <w:vAlign w:val="bottom"/>
          </w:tcPr>
          <w:p>
            <w:pPr>
              <w:spacing w:after="0"/>
              <w:rPr>
                <w:sz w:val="24"/>
                <w:szCs w:val="24"/>
                <w:color w:val="auto"/>
              </w:rPr>
            </w:pPr>
          </w:p>
        </w:tc>
        <w:tc>
          <w:tcPr>
            <w:tcW w:w="7340" w:type="dxa"/>
            <w:vAlign w:val="bottom"/>
          </w:tcPr>
          <w:p>
            <w:pPr>
              <w:ind w:left="260"/>
              <w:spacing w:after="0"/>
              <w:rPr>
                <w:sz w:val="20"/>
                <w:szCs w:val="20"/>
                <w:color w:val="auto"/>
              </w:rPr>
            </w:pPr>
            <w:r>
              <w:rPr>
                <w:rFonts w:ascii="Arial" w:cs="Arial" w:eastAsia="Arial" w:hAnsi="Arial"/>
                <w:sz w:val="20"/>
                <w:szCs w:val="20"/>
                <w:color w:val="auto"/>
              </w:rPr>
              <w:t>Intangibles consist of the following at:</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40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3"/>
          </w:tcPr>
          <w:p>
            <w:pPr>
              <w:ind w:left="100"/>
              <w:spacing w:after="0"/>
              <w:rPr>
                <w:sz w:val="20"/>
                <w:szCs w:val="20"/>
                <w:color w:val="auto"/>
              </w:rPr>
            </w:pPr>
            <w:r>
              <w:rPr>
                <w:rFonts w:ascii="Arial" w:cs="Arial" w:eastAsia="Arial" w:hAnsi="Arial"/>
                <w:sz w:val="20"/>
                <w:szCs w:val="20"/>
                <w:color w:val="auto"/>
              </w:rPr>
              <w:t>March 31,</w:t>
            </w:r>
          </w:p>
        </w:tc>
        <w:tc>
          <w:tcPr>
            <w:tcW w:w="120" w:type="dxa"/>
            <w:vAlign w:val="bottom"/>
          </w:tcPr>
          <w:p>
            <w:pPr>
              <w:spacing w:after="0"/>
              <w:rPr>
                <w:sz w:val="24"/>
                <w:szCs w:val="24"/>
                <w:color w:val="auto"/>
              </w:rPr>
            </w:pPr>
          </w:p>
        </w:tc>
        <w:tc>
          <w:tcPr>
            <w:tcW w:w="1520" w:type="dxa"/>
            <w:vAlign w:val="bottom"/>
            <w:gridSpan w:val="4"/>
          </w:tcPr>
          <w:p>
            <w:pPr>
              <w:jc w:val="right"/>
              <w:ind w:right="280"/>
              <w:spacing w:after="0"/>
              <w:rPr>
                <w:sz w:val="20"/>
                <w:szCs w:val="20"/>
                <w:color w:val="auto"/>
              </w:rPr>
            </w:pPr>
            <w:r>
              <w:rPr>
                <w:rFonts w:ascii="Arial" w:cs="Arial" w:eastAsia="Arial" w:hAnsi="Arial"/>
                <w:sz w:val="20"/>
                <w:szCs w:val="20"/>
                <w:color w:val="auto"/>
                <w:w w:val="97"/>
              </w:rPr>
              <w:t>December 31,</w:t>
            </w:r>
          </w:p>
        </w:tc>
        <w:tc>
          <w:tcPr>
            <w:tcW w:w="0" w:type="dxa"/>
            <w:vAlign w:val="bottom"/>
          </w:tcPr>
          <w:p>
            <w:pPr>
              <w:spacing w:after="0"/>
              <w:rPr>
                <w:sz w:val="1"/>
                <w:szCs w:val="1"/>
                <w:color w:val="auto"/>
              </w:rPr>
            </w:pPr>
          </w:p>
        </w:tc>
      </w:tr>
      <w:tr>
        <w:trPr>
          <w:trHeight w:val="246"/>
        </w:trPr>
        <w:tc>
          <w:tcPr>
            <w:tcW w:w="400" w:type="dxa"/>
            <w:vAlign w:val="bottom"/>
          </w:tcPr>
          <w:p>
            <w:pPr>
              <w:spacing w:after="0"/>
              <w:rPr>
                <w:sz w:val="21"/>
                <w:szCs w:val="21"/>
                <w:color w:val="auto"/>
              </w:rPr>
            </w:pPr>
          </w:p>
        </w:tc>
        <w:tc>
          <w:tcPr>
            <w:tcW w:w="7340" w:type="dxa"/>
            <w:vAlign w:val="bottom"/>
            <w:vMerge w:val="restart"/>
          </w:tcPr>
          <w:p>
            <w:pPr>
              <w:ind w:left="260"/>
              <w:spacing w:after="0"/>
              <w:rPr>
                <w:sz w:val="20"/>
                <w:szCs w:val="20"/>
                <w:color w:val="auto"/>
              </w:rPr>
            </w:pPr>
            <w:r>
              <w:rPr>
                <w:rFonts w:ascii="Arial" w:cs="Arial" w:eastAsia="Arial" w:hAnsi="Arial"/>
                <w:sz w:val="20"/>
                <w:szCs w:val="20"/>
                <w:color w:val="auto"/>
              </w:rPr>
              <w:t>Amortizing intangibles</w:t>
            </w:r>
          </w:p>
        </w:tc>
        <w:tc>
          <w:tcPr>
            <w:tcW w:w="1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color w:val="auto"/>
              </w:rPr>
              <w:t>2015</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color w:val="auto"/>
                <w:w w:val="98"/>
              </w:rPr>
              <w:t>2014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400" w:type="dxa"/>
            <w:vAlign w:val="bottom"/>
          </w:tcPr>
          <w:p>
            <w:pPr>
              <w:spacing w:after="0"/>
              <w:rPr>
                <w:sz w:val="17"/>
                <w:szCs w:val="17"/>
                <w:color w:val="auto"/>
              </w:rPr>
            </w:pPr>
          </w:p>
        </w:tc>
        <w:tc>
          <w:tcPr>
            <w:tcW w:w="7340" w:type="dxa"/>
            <w:vAlign w:val="bottom"/>
            <w:vMerge w:val="continue"/>
          </w:tcPr>
          <w:p>
            <w:pPr>
              <w:spacing w:after="0"/>
              <w:rPr>
                <w:sz w:val="17"/>
                <w:szCs w:val="17"/>
                <w:color w:val="auto"/>
              </w:rPr>
            </w:pPr>
          </w:p>
        </w:tc>
        <w:tc>
          <w:tcPr>
            <w:tcW w:w="16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240" w:type="dxa"/>
            <w:vAlign w:val="bottom"/>
          </w:tcPr>
          <w:p>
            <w:pPr>
              <w:spacing w:after="0"/>
              <w:rPr>
                <w:sz w:val="17"/>
                <w:szCs w:val="17"/>
                <w:color w:val="auto"/>
              </w:rPr>
            </w:pPr>
          </w:p>
        </w:tc>
        <w:tc>
          <w:tcPr>
            <w:tcW w:w="980" w:type="dxa"/>
            <w:vAlign w:val="bottom"/>
          </w:tcPr>
          <w:p>
            <w:pPr>
              <w:jc w:val="right"/>
              <w:ind w:right="21"/>
              <w:spacing w:after="0" w:line="207" w:lineRule="exact"/>
              <w:rPr>
                <w:sz w:val="20"/>
                <w:szCs w:val="20"/>
                <w:color w:val="auto"/>
              </w:rPr>
            </w:pPr>
            <w:r>
              <w:rPr>
                <w:rFonts w:ascii="Arial" w:cs="Arial" w:eastAsia="Arial" w:hAnsi="Arial"/>
                <w:sz w:val="20"/>
                <w:szCs w:val="20"/>
                <w:color w:val="auto"/>
              </w:rPr>
              <w:t>233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gridSpan w:val="2"/>
          </w:tcPr>
          <w:p>
            <w:pPr>
              <w:jc w:val="right"/>
              <w:ind w:right="141"/>
              <w:spacing w:after="0" w:line="207" w:lineRule="exact"/>
              <w:rPr>
                <w:sz w:val="20"/>
                <w:szCs w:val="20"/>
                <w:color w:val="auto"/>
              </w:rPr>
            </w:pPr>
            <w:r>
              <w:rPr>
                <w:rFonts w:ascii="Arial" w:cs="Arial" w:eastAsia="Arial" w:hAnsi="Arial"/>
                <w:sz w:val="20"/>
                <w:szCs w:val="20"/>
                <w:color w:val="auto"/>
              </w:rPr>
              <w:t>$</w:t>
            </w:r>
          </w:p>
        </w:tc>
        <w:tc>
          <w:tcPr>
            <w:tcW w:w="960" w:type="dxa"/>
            <w:vAlign w:val="bottom"/>
          </w:tcPr>
          <w:p>
            <w:pPr>
              <w:jc w:val="right"/>
              <w:ind w:right="21"/>
              <w:spacing w:after="0" w:line="207" w:lineRule="exact"/>
              <w:rPr>
                <w:sz w:val="20"/>
                <w:szCs w:val="20"/>
                <w:color w:val="auto"/>
              </w:rPr>
            </w:pPr>
            <w:r>
              <w:rPr>
                <w:rFonts w:ascii="Arial" w:cs="Arial" w:eastAsia="Arial" w:hAnsi="Arial"/>
                <w:sz w:val="20"/>
                <w:szCs w:val="20"/>
                <w:color w:val="auto"/>
              </w:rPr>
              <w:t>233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400" w:type="dxa"/>
            <w:vAlign w:val="bottom"/>
          </w:tcPr>
          <w:p>
            <w:pPr>
              <w:spacing w:after="0"/>
              <w:rPr>
                <w:sz w:val="21"/>
                <w:szCs w:val="21"/>
                <w:color w:val="auto"/>
              </w:rPr>
            </w:pPr>
          </w:p>
        </w:tc>
        <w:tc>
          <w:tcPr>
            <w:tcW w:w="7340" w:type="dxa"/>
            <w:vAlign w:val="bottom"/>
          </w:tcPr>
          <w:p>
            <w:pPr>
              <w:ind w:left="260"/>
              <w:spacing w:after="0"/>
              <w:rPr>
                <w:sz w:val="20"/>
                <w:szCs w:val="20"/>
                <w:color w:val="auto"/>
              </w:rPr>
            </w:pPr>
            <w:r>
              <w:rPr>
                <w:rFonts w:ascii="Arial" w:cs="Arial" w:eastAsia="Arial" w:hAnsi="Arial"/>
                <w:sz w:val="20"/>
                <w:szCs w:val="20"/>
                <w:color w:val="auto"/>
              </w:rPr>
              <w:t>Accumulated amortization</w:t>
            </w:r>
          </w:p>
        </w:tc>
        <w:tc>
          <w:tcPr>
            <w:tcW w:w="1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400" w:type="dxa"/>
            <w:vAlign w:val="bottom"/>
          </w:tcPr>
          <w:p>
            <w:pPr>
              <w:spacing w:after="0"/>
              <w:rPr>
                <w:sz w:val="17"/>
                <w:szCs w:val="17"/>
                <w:color w:val="auto"/>
              </w:rPr>
            </w:pPr>
          </w:p>
        </w:tc>
        <w:tc>
          <w:tcPr>
            <w:tcW w:w="7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21"/>
              <w:spacing w:after="0" w:line="207" w:lineRule="exact"/>
              <w:rPr>
                <w:sz w:val="20"/>
                <w:szCs w:val="20"/>
                <w:color w:val="auto"/>
              </w:rPr>
            </w:pPr>
            <w:r>
              <w:rPr>
                <w:rFonts w:ascii="Arial" w:cs="Arial" w:eastAsia="Arial" w:hAnsi="Arial"/>
                <w:sz w:val="20"/>
                <w:szCs w:val="20"/>
                <w:color w:val="auto"/>
              </w:rPr>
              <w:t>183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21"/>
              <w:spacing w:after="0" w:line="207" w:lineRule="exact"/>
              <w:rPr>
                <w:sz w:val="20"/>
                <w:szCs w:val="20"/>
                <w:color w:val="auto"/>
              </w:rPr>
            </w:pPr>
            <w:r>
              <w:rPr>
                <w:rFonts w:ascii="Arial" w:cs="Arial" w:eastAsia="Arial" w:hAnsi="Arial"/>
                <w:sz w:val="20"/>
                <w:szCs w:val="20"/>
                <w:color w:val="auto"/>
              </w:rPr>
              <w:t>183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400" w:type="dxa"/>
            <w:vAlign w:val="bottom"/>
          </w:tcPr>
          <w:p>
            <w:pPr>
              <w:spacing w:after="0"/>
              <w:rPr>
                <w:sz w:val="21"/>
                <w:szCs w:val="21"/>
                <w:color w:val="auto"/>
              </w:rPr>
            </w:pPr>
          </w:p>
        </w:tc>
        <w:tc>
          <w:tcPr>
            <w:tcW w:w="7340" w:type="dxa"/>
            <w:vAlign w:val="bottom"/>
          </w:tcPr>
          <w:p>
            <w:pPr>
              <w:ind w:left="260"/>
              <w:spacing w:after="0"/>
              <w:rPr>
                <w:sz w:val="20"/>
                <w:szCs w:val="20"/>
                <w:color w:val="auto"/>
              </w:rPr>
            </w:pPr>
            <w:r>
              <w:rPr>
                <w:rFonts w:ascii="Arial" w:cs="Arial" w:eastAsia="Arial" w:hAnsi="Arial"/>
                <w:sz w:val="20"/>
                <w:szCs w:val="20"/>
                <w:color w:val="auto"/>
              </w:rPr>
              <w:t>Non-amortizing intangibles</w:t>
            </w:r>
          </w:p>
        </w:tc>
        <w:tc>
          <w:tcPr>
            <w:tcW w:w="1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52,117</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50,565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7340" w:type="dxa"/>
            <w:vAlign w:val="bottom"/>
          </w:tcPr>
          <w:p>
            <w:pPr>
              <w:spacing w:after="0"/>
              <w:rPr>
                <w:sz w:val="19"/>
                <w:szCs w:val="19"/>
                <w:color w:val="auto"/>
              </w:rPr>
            </w:pPr>
          </w:p>
        </w:tc>
        <w:tc>
          <w:tcPr>
            <w:tcW w:w="1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52,300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bottom w:val="single" w:sz="8" w:color="auto"/>
            </w:tcBorders>
            <w:gridSpan w:val="2"/>
          </w:tcPr>
          <w:p>
            <w:pPr>
              <w:jc w:val="right"/>
              <w:ind w:right="141"/>
              <w:spacing w:after="0" w:line="223" w:lineRule="exact"/>
              <w:rPr>
                <w:sz w:val="20"/>
                <w:szCs w:val="20"/>
                <w:color w:val="auto"/>
              </w:rPr>
            </w:pPr>
            <w:r>
              <w:rPr>
                <w:rFonts w:ascii="Arial" w:cs="Arial" w:eastAsia="Arial" w:hAnsi="Arial"/>
                <w:sz w:val="20"/>
                <w:szCs w:val="20"/>
                <w:color w:val="auto"/>
              </w:rPr>
              <w:t>$</w:t>
            </w:r>
          </w:p>
        </w:tc>
        <w:tc>
          <w:tcPr>
            <w:tcW w:w="96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50,748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All amortizing intangibles have been assigned an estimated finite useful life and such intangibles are amortized on a straight-line basis over the number of years that approximate their respective useful lives ranging from one to 25 years (weighted-average life of 17 years). Total amortization expense recorded was $0.001 million and $0.1 million for the three-months ended March 31, 2015 and 2014, respectively. At March 31, 2015, $18.0 million of non-amortizing intangibles and $0.1 million of amortizing intangibles (net of accumulated amortization) are subject to divestiture under the TCCC Transaction and are included in intangibles held-for-sale in the accompanying consolidated balance sheet at March 31, 2015.</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0" w:lineRule="exact"/>
        <w:rPr>
          <w:sz w:val="20"/>
          <w:szCs w:val="20"/>
          <w:color w:val="auto"/>
        </w:rPr>
      </w:pPr>
    </w:p>
    <w:p>
      <w:pPr>
        <w:ind w:left="640" w:hanging="632"/>
        <w:spacing w:after="0"/>
        <w:tabs>
          <w:tab w:leader="none" w:pos="6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DISTRIBUTION AGREEMENTS</w:t>
      </w:r>
    </w:p>
    <w:p>
      <w:pPr>
        <w:spacing w:after="0" w:line="22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As part of the TCCC Transaction, the amended distribution coordination agreements to be entered into with TCCC provide for the transition of third parties’ rights to distribute the Company’s products in most territories in the U.S. and Canada to members of TCCC’s distribution network, which consists of owned or controlled bottlers/distributors and independent bottling/distribution partners. In February 2015, in accordance with its existing agreements with certain affected third-party distributors, the Company sent notices of termination to the</w:t>
      </w:r>
    </w:p>
    <w:p>
      <w:pPr>
        <w:sectPr>
          <w:pgSz w:w="11900" w:h="16838" w:orient="portrait"/>
          <w:cols w:equalWidth="0" w:num="1">
            <w:col w:w="11420"/>
          </w:cols>
          <w:pgMar w:left="240" w:top="346" w:right="239" w:bottom="0" w:gutter="0" w:footer="0" w:header="0"/>
        </w:sectPr>
      </w:pPr>
    </w:p>
    <w:bookmarkStart w:id="12" w:name="page13"/>
    <w:bookmarkEnd w:id="12"/>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applicable affected third-party distributors in the U.S., providing for the termination of their respective distribution agreements, to be effective at various dates beginning in March 2015.</w:t>
      </w:r>
    </w:p>
    <w:p>
      <w:pPr>
        <w:spacing w:after="0" w:line="18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In accordance with ASC No. 420 “Exit or Disposal Cost Obligations”, the Company expenses distributor termination costs in the period in which the written notification of termination occurs. As a result, the Company incurred termination costs of $206.0 million for the three-months ended March 31, 2015. Such termination costs have been expensed in full and are included in operating expenses for the three-months ended March 31, 2015.</w:t>
      </w:r>
    </w:p>
    <w:p>
      <w:pPr>
        <w:spacing w:after="0" w:line="20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In the normal course of business, amounts received pursuant to new and/or amended distribution agreements entered into with certain distributors, relating to the costs associated with terminating agreements with the Company’s prior distributors, are accounted for as deferred revenue and are recognized as revenue ratably over the anticipated life of the respective distribution agreement, generally 20 years. Revenue recognized was $43.3 million and $3.7 million for the three-months ended March 31, 2015 and 2014, respectively. Included in the $43.3 million of revenue recognized for the three-months ended March 31, 2015 was $39.8 million related to the accelerated amortization of the deferred revenue balances associated with certain of the Company’s prior distributors who were sent notices of termination during the first quarter of 2015, as described above.</w:t>
      </w:r>
    </w:p>
    <w:p>
      <w:pPr>
        <w:spacing w:after="0" w:line="207" w:lineRule="exact"/>
        <w:rPr>
          <w:sz w:val="20"/>
          <w:szCs w:val="20"/>
          <w:color w:val="auto"/>
        </w:rPr>
      </w:pPr>
    </w:p>
    <w:p>
      <w:pPr>
        <w:ind w:left="620" w:hanging="612"/>
        <w:spacing w:after="0"/>
        <w:tabs>
          <w:tab w:leader="none" w:pos="6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COMMITMENTS AND CONTINGENCIES</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had purchase commitments aggregating approximately $22.5 million at March 31, 2015, which represented commitments made by the Company and its subsidiaries to various suppliers of raw materials for the production of its products. These obligations vary in terms, but are generally satisfied within one year.</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Company had contractual obligations aggregating approximately $93.3 million at March 31, 2015, which related primarily to sponsorships and other marketing activities.</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Company had operating lease commitments aggregating approximately $11.5 million at March 31, 2015, which related primarily to warehouse and office space.</w:t>
      </w:r>
    </w:p>
    <w:p>
      <w:pPr>
        <w:spacing w:after="0" w:line="19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In April 2015, the Company entered into an agreement, subject to the attainment of requisite entitlements, to acquire approximately 56 acres of vacant land located in Jurupa Valley, CA for an estimated purchase price of $38.1 million. The Company plans to construct a new warehouse on such land, which will replace its existing leased warehouse space located in Corona, CA. The Company has deposited $0.5 million into escrow with the balance due at closing. There is no assurance the Company will be successful in obtaining the requisite entitlements.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Legal Proceedings</w:t>
      </w:r>
    </w:p>
    <w:p>
      <w:pPr>
        <w:spacing w:after="0" w:line="229" w:lineRule="exact"/>
        <w:rPr>
          <w:sz w:val="20"/>
          <w:szCs w:val="20"/>
          <w:color w:val="auto"/>
        </w:rPr>
      </w:pPr>
    </w:p>
    <w:p>
      <w:pPr>
        <w:jc w:val="both"/>
        <w:ind w:firstLine="707"/>
        <w:spacing w:after="0" w:line="256" w:lineRule="auto"/>
        <w:rPr>
          <w:sz w:val="20"/>
          <w:szCs w:val="20"/>
          <w:color w:val="auto"/>
        </w:rPr>
      </w:pPr>
      <w:r>
        <w:rPr>
          <w:rFonts w:ascii="Arial" w:cs="Arial" w:eastAsia="Arial" w:hAnsi="Arial"/>
          <w:sz w:val="19"/>
          <w:szCs w:val="19"/>
          <w:color w:val="auto"/>
        </w:rPr>
        <w:t xml:space="preserve">On October 17, 2012, Wendy Crossland and Richard Fournier filed a lawsuit in the Superior Court of the State of California, County of Riverside, styled </w:t>
      </w:r>
      <w:r>
        <w:rPr>
          <w:rFonts w:ascii="Arial" w:cs="Arial" w:eastAsia="Arial" w:hAnsi="Arial"/>
          <w:sz w:val="19"/>
          <w:szCs w:val="19"/>
          <w:i w:val="1"/>
          <w:iCs w:val="1"/>
          <w:color w:val="auto"/>
        </w:rPr>
        <w:t>Wendy Crossland and Richard Fournier v. Monster Beverage Corporation</w:t>
      </w:r>
      <w:r>
        <w:rPr>
          <w:rFonts w:ascii="Arial" w:cs="Arial" w:eastAsia="Arial" w:hAnsi="Arial"/>
          <w:sz w:val="19"/>
          <w:szCs w:val="19"/>
          <w:color w:val="auto"/>
        </w:rPr>
        <w:t>, against the Company claiming that the death of their 14 year old daughter (Anais Fournier) was caused by her consumption of two 24-ounce Monster Energy® drinks over the course of two days in December 2011. The plaintiffs allege strict product liability, negligence, fraudulent concealment, breach of implied warranties and wrongful death. The plaintiffs claim general damages in excess of $25,000 and punitive damages. The Company filed a demurrer and a motion to strike the plaintiffs’ complaint on November 19, 2012, and the plaintiffs filed a first amended complaint on December 19, 2012. The Company filed its answer to the first amended complaint on June 7, 2013. The parties attended a court ordered mediation on January 23, 2014. Discovery has commenced and trial has been scheduled for August 21, 2015. The Company believes that the plaintiffs’ complaint is without merit and plans a vigorous defense. The Company also believes that any such damages, if awarded, would not have a material adverse effect on the Company’s financial position or results of operations.</w:t>
      </w:r>
    </w:p>
    <w:p>
      <w:pPr>
        <w:spacing w:after="0" w:line="19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has also been named as a defendant in other complaints containing similar allegations to those presented in the Fournier lawsuit, each of which the Company believes is also without merit and would not have a material adverse effect on the Company’s financial position or results of operations in the event any damages were awarded.</w:t>
      </w:r>
    </w:p>
    <w:p>
      <w:pPr>
        <w:spacing w:after="0" w:line="20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i w:val="1"/>
          <w:iCs w:val="1"/>
          <w:color w:val="auto"/>
        </w:rPr>
        <w:t xml:space="preserve">State Attorney General Inquiry </w:t>
      </w:r>
      <w:r>
        <w:rPr>
          <w:rFonts w:ascii="Arial" w:cs="Arial" w:eastAsia="Arial" w:hAnsi="Arial"/>
          <w:sz w:val="18"/>
          <w:szCs w:val="18"/>
          <w:color w:val="auto"/>
        </w:rPr>
        <w:t>– In July 2012, the Company received a subpoena from the Attorney General for the State of New York</w:t>
      </w:r>
      <w:r>
        <w:rPr>
          <w:rFonts w:ascii="Arial" w:cs="Arial" w:eastAsia="Arial" w:hAnsi="Arial"/>
          <w:sz w:val="18"/>
          <w:szCs w:val="18"/>
          <w:i w:val="1"/>
          <w:iCs w:val="1"/>
          <w:color w:val="auto"/>
        </w:rPr>
        <w:t xml:space="preserve"> </w:t>
      </w:r>
      <w:r>
        <w:rPr>
          <w:rFonts w:ascii="Arial" w:cs="Arial" w:eastAsia="Arial" w:hAnsi="Arial"/>
          <w:sz w:val="18"/>
          <w:szCs w:val="18"/>
          <w:color w:val="auto"/>
        </w:rPr>
        <w:t>in connection with its investigation concerning the Company’s advertising, marketing, promotion, ingredients, usage and sale of its Monster Energy® brand of energy drinks. Production of documents pursuant to that subpoena was completed in approximately May 2014.</w:t>
      </w:r>
    </w:p>
    <w:p>
      <w:pPr>
        <w:spacing w:after="0" w:line="16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On August 6, 2014, the Attorney General for the State of New York issued a second subpoena seeking additional documents and the deposition of a Company employee. On September 8, 2014, the Company moved to quash the second subpoena in the Supreme Court, New York County. The motion was fully briefed and was argued on March 17, 2015. No decision has been rendered. It is unknown what, if any, action the state attorney general may take against the Company, the relief which may be sought in the event of any such proceeding or whether such proceeding could have a material adverse effect on the Company’s business, financial condition or results of operations.</w:t>
      </w:r>
    </w:p>
    <w:p>
      <w:pPr>
        <w:spacing w:after="0" w:line="179"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i w:val="1"/>
          <w:iCs w:val="1"/>
          <w:color w:val="auto"/>
        </w:rPr>
        <w:t xml:space="preserve">San Francisco City Attorney Litigation </w:t>
      </w:r>
      <w:r>
        <w:rPr>
          <w:rFonts w:ascii="Arial" w:cs="Arial" w:eastAsia="Arial" w:hAnsi="Arial"/>
          <w:sz w:val="18"/>
          <w:szCs w:val="18"/>
          <w:color w:val="auto"/>
        </w:rPr>
        <w:t>– On October 31, 2012, the Company received a written request for information from the City</w:t>
      </w:r>
      <w:r>
        <w:rPr>
          <w:rFonts w:ascii="Arial" w:cs="Arial" w:eastAsia="Arial" w:hAnsi="Arial"/>
          <w:sz w:val="18"/>
          <w:szCs w:val="18"/>
          <w:i w:val="1"/>
          <w:iCs w:val="1"/>
          <w:color w:val="auto"/>
        </w:rPr>
        <w:t xml:space="preserve"> </w:t>
      </w:r>
      <w:r>
        <w:rPr>
          <w:rFonts w:ascii="Arial" w:cs="Arial" w:eastAsia="Arial" w:hAnsi="Arial"/>
          <w:sz w:val="18"/>
          <w:szCs w:val="18"/>
          <w:color w:val="auto"/>
        </w:rPr>
        <w:t>Attorney for the City and County of San Francisco concerning the Company’s advertising and marketing of its Monster Energy® brand of</w:t>
      </w:r>
    </w:p>
    <w:p>
      <w:pPr>
        <w:sectPr>
          <w:pgSz w:w="11900" w:h="16953" w:orient="portrait"/>
          <w:cols w:equalWidth="0" w:num="1">
            <w:col w:w="11420"/>
          </w:cols>
          <w:pgMar w:left="240" w:top="122" w:right="239" w:bottom="0" w:gutter="0" w:footer="0" w:header="0"/>
        </w:sectPr>
      </w:pPr>
    </w:p>
    <w:bookmarkStart w:id="13" w:name="page14"/>
    <w:bookmarkEnd w:id="13"/>
    <w:p>
      <w:pPr>
        <w:jc w:val="both"/>
        <w:spacing w:after="0" w:line="276" w:lineRule="auto"/>
        <w:rPr>
          <w:sz w:val="20"/>
          <w:szCs w:val="20"/>
          <w:color w:val="auto"/>
        </w:rPr>
      </w:pPr>
      <w:r>
        <w:rPr>
          <w:rFonts w:ascii="Arial" w:cs="Arial" w:eastAsia="Arial" w:hAnsi="Arial"/>
          <w:sz w:val="18"/>
          <w:szCs w:val="18"/>
          <w:color w:val="auto"/>
        </w:rPr>
        <w:t>energy drinks and specifically concerning the safety of its products for consumption by adolescents. In a letter dated March 29, 2013, the San Francisco City Attorney threatened to bring suit against the Company if it did not agree to take the following five steps immediately:</w:t>
      </w:r>
    </w:p>
    <w:p>
      <w:pPr>
        <w:ind w:right="20" w:firstLine="8"/>
        <w:spacing w:after="0" w:line="269" w:lineRule="auto"/>
        <w:tabs>
          <w:tab w:leader="none" w:pos="240" w:val="left"/>
        </w:tabs>
        <w:numPr>
          <w:ilvl w:val="0"/>
          <w:numId w:val="17"/>
        </w:numPr>
        <w:rPr>
          <w:rFonts w:ascii="Arial" w:cs="Arial" w:eastAsia="Arial" w:hAnsi="Arial"/>
          <w:sz w:val="19"/>
          <w:szCs w:val="19"/>
          <w:color w:val="auto"/>
        </w:rPr>
      </w:pPr>
      <w:r>
        <w:rPr>
          <w:rFonts w:ascii="Arial" w:cs="Arial" w:eastAsia="Arial" w:hAnsi="Arial"/>
          <w:sz w:val="19"/>
          <w:szCs w:val="19"/>
          <w:color w:val="auto"/>
        </w:rPr>
        <w:t>“Reformulate its products to lower the caffeine content to safe levels” - (ii) “Provide adequate warning labels”; (iii) “Cease promoting over-consumption in marketing”; (iv) “Cease use of alcohol and drug references in marketing”; and (v) “Cease targeting minors.”</w:t>
      </w:r>
    </w:p>
    <w:p>
      <w:pPr>
        <w:spacing w:after="0" w:line="182" w:lineRule="exact"/>
        <w:rPr>
          <w:rFonts w:ascii="Arial" w:cs="Arial" w:eastAsia="Arial" w:hAnsi="Arial"/>
          <w:sz w:val="19"/>
          <w:szCs w:val="19"/>
          <w:color w:val="auto"/>
        </w:rPr>
      </w:pPr>
    </w:p>
    <w:p>
      <w:pPr>
        <w:jc w:val="both"/>
        <w:ind w:firstLine="656"/>
        <w:spacing w:after="0" w:line="256" w:lineRule="auto"/>
        <w:tabs>
          <w:tab w:leader="none" w:pos="912" w:val="left"/>
        </w:tabs>
        <w:numPr>
          <w:ilvl w:val="1"/>
          <w:numId w:val="17"/>
        </w:numPr>
        <w:rPr>
          <w:rFonts w:ascii="Arial" w:cs="Arial" w:eastAsia="Arial" w:hAnsi="Arial"/>
          <w:sz w:val="19"/>
          <w:szCs w:val="19"/>
          <w:color w:val="auto"/>
        </w:rPr>
      </w:pPr>
      <w:r>
        <w:rPr>
          <w:rFonts w:ascii="Arial" w:cs="Arial" w:eastAsia="Arial" w:hAnsi="Arial"/>
          <w:sz w:val="19"/>
          <w:szCs w:val="19"/>
          <w:color w:val="auto"/>
        </w:rPr>
        <w:t xml:space="preserve">The Company Action – On April 29, 2013, the Company and its wholly owned subsidiary, Monster Energy Company, filed a complaint for declaratory and injunctive relief against the San Francisco City Attorney (the “Company Action”) in United States District Court for the Central District of California (the “Central District Court”), styled </w:t>
      </w:r>
      <w:r>
        <w:rPr>
          <w:rFonts w:ascii="Arial" w:cs="Arial" w:eastAsia="Arial" w:hAnsi="Arial"/>
          <w:sz w:val="19"/>
          <w:szCs w:val="19"/>
          <w:i w:val="1"/>
          <w:iCs w:val="1"/>
          <w:color w:val="auto"/>
        </w:rPr>
        <w:t>Monster Beverage Corp., et al. v. Dennis Herrera</w:t>
      </w:r>
      <w:r>
        <w:rPr>
          <w:rFonts w:ascii="Arial" w:cs="Arial" w:eastAsia="Arial" w:hAnsi="Arial"/>
          <w:sz w:val="19"/>
          <w:szCs w:val="19"/>
          <w:color w:val="auto"/>
        </w:rPr>
        <w:t>. The Company sought a declaration from the Central District Court that the San Francisco City Attorney’s investigation and demands are impermissible and preempted, subject to the doctrine of primary jurisdiction, are unconstitutional in that they violate the First and Fourteenth Amendments’ prohibitions against compelled speech, content-based speech and commercial speech, are impermissibly void-for-vagueness, and/or violate the Commerce Clause. On June 3, 2013, the City Attorney filed a motion to dismiss the Company Action, arguing in part that the complaint should be dismissed in light of the San Francisco Action (described below) filed on May 6, 2013. On August 22, 2013, the Central District Court granted in part and denied in part the City Attorney’s motion.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On October 17, 2013, the City Attorney filed a renewed motion to dismiss the Company Action and on December 16, 2013, the Central District Court granted the City Attorney’s renewed motion, dismissing the Company Action. The Company filed a Notice of Appeal to the Ninth Circuit on December 18, 2013. The appeal is fully briefed but has not yet been set for argument.</w:t>
      </w:r>
    </w:p>
    <w:p>
      <w:pPr>
        <w:spacing w:after="0" w:line="200" w:lineRule="exact"/>
        <w:rPr>
          <w:sz w:val="20"/>
          <w:szCs w:val="20"/>
          <w:color w:val="auto"/>
        </w:rPr>
      </w:pPr>
    </w:p>
    <w:p>
      <w:pPr>
        <w:jc w:val="both"/>
        <w:ind w:firstLine="656"/>
        <w:spacing w:after="0" w:line="269" w:lineRule="auto"/>
        <w:tabs>
          <w:tab w:leader="none" w:pos="959" w:val="left"/>
        </w:tabs>
        <w:numPr>
          <w:ilvl w:val="1"/>
          <w:numId w:val="18"/>
        </w:numPr>
        <w:rPr>
          <w:rFonts w:ascii="Arial" w:cs="Arial" w:eastAsia="Arial" w:hAnsi="Arial"/>
          <w:sz w:val="18"/>
          <w:szCs w:val="18"/>
          <w:color w:val="auto"/>
        </w:rPr>
      </w:pPr>
      <w:r>
        <w:rPr>
          <w:rFonts w:ascii="Arial" w:cs="Arial" w:eastAsia="Arial" w:hAnsi="Arial"/>
          <w:sz w:val="18"/>
          <w:szCs w:val="18"/>
          <w:color w:val="auto"/>
        </w:rPr>
        <w:t xml:space="preserve">The San Francisco Action – On May 6, 2013, the San Francisco City Attorney filed a complaint for declaratory and injunctive relief, civil penalties and restitution for alleged violation of California’s Unfair Competition Law, Business &amp; Professions Code sections 17200, </w:t>
      </w:r>
      <w:r>
        <w:rPr>
          <w:rFonts w:ascii="Arial" w:cs="Arial" w:eastAsia="Arial" w:hAnsi="Arial"/>
          <w:sz w:val="18"/>
          <w:szCs w:val="18"/>
          <w:i w:val="1"/>
          <w:iCs w:val="1"/>
          <w:color w:val="auto"/>
        </w:rPr>
        <w:t>et seq., styled People Of The State Of California ex rel. Dennis Herrera, San Francisco City Attorney v. Monster Beverage Corporation</w:t>
      </w:r>
      <w:r>
        <w:rPr>
          <w:rFonts w:ascii="Arial" w:cs="Arial" w:eastAsia="Arial" w:hAnsi="Arial"/>
          <w:sz w:val="18"/>
          <w:szCs w:val="18"/>
          <w:color w:val="auto"/>
        </w:rPr>
        <w:t>, in San</w:t>
      </w:r>
      <w:r>
        <w:rPr>
          <w:rFonts w:ascii="Arial" w:cs="Arial" w:eastAsia="Arial" w:hAnsi="Arial"/>
          <w:sz w:val="18"/>
          <w:szCs w:val="18"/>
          <w:i w:val="1"/>
          <w:iCs w:val="1"/>
          <w:color w:val="auto"/>
        </w:rPr>
        <w:t xml:space="preserve"> </w:t>
      </w:r>
      <w:r>
        <w:rPr>
          <w:rFonts w:ascii="Arial" w:cs="Arial" w:eastAsia="Arial" w:hAnsi="Arial"/>
          <w:sz w:val="18"/>
          <w:szCs w:val="18"/>
          <w:color w:val="auto"/>
        </w:rPr>
        <w:t>Francisco Superior Court (the “San Francisco Action”). The City Attorney alleges that the Company (1) mislabeled its products as a dietary supplement, in violation of California’s Sherman Food, Drug and Cosmetic Law, California Health &amp; Safety Code sections 109875 et. seq.;</w:t>
      </w:r>
    </w:p>
    <w:p>
      <w:pPr>
        <w:spacing w:after="0" w:line="3" w:lineRule="exact"/>
        <w:rPr>
          <w:rFonts w:ascii="Arial" w:cs="Arial" w:eastAsia="Arial" w:hAnsi="Arial"/>
          <w:sz w:val="18"/>
          <w:szCs w:val="18"/>
          <w:color w:val="auto"/>
        </w:rPr>
      </w:pPr>
    </w:p>
    <w:p>
      <w:pPr>
        <w:jc w:val="both"/>
        <w:ind w:firstLine="8"/>
        <w:spacing w:after="0" w:line="271" w:lineRule="auto"/>
        <w:tabs>
          <w:tab w:leader="none" w:pos="309"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 selling an “adulterated” product because caffeine is not generally recognized as safe (“GRAS”) due to the alleged lack of scientific consensus concerning the safety of the levels of caffeine in the Company’s products; and (3) is engaged in unfair and misleading business practices because its marketing (a) does not disclose the health risks that energy drinks pose for children and teens; (b) fails to warn against and promotes unsafe consumption; (c) implicitly promotes mixing of energy drinks with alcohol or drugs; and (d) is deceptive because it includes unsubstantiated claims about the purported special benefits of its “killer” ingredients and “energy blend.” The City Attorney sought a declaration that the Company has engaged in unfair and unlawful business acts and practices in violation of the Unfair Competition Law; an injunction from performing or proposing to perform any acts in violation of the Unfair Competition Law; restitution; and civil penalties.</w:t>
      </w:r>
    </w:p>
    <w:p>
      <w:pPr>
        <w:spacing w:after="0" w:line="18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After a motion to strike filed by the Company was granted in part, on March 20, 2014, the City Attorney filed an amended complaint, adding allegations supporting the theory for relief as to which the Court had granted the motion to strike. On April 18, 2014, the Company filed a renewed motion to strike, as well as a motion asking the Court to bifurcate and/or stay claims relating to the safety of Monster Energy® drinks, pending resolution of the ongoing FDA investigation of the safety and labeling of food products to which caffeine is added. On May 22, 2014, the Court denied the Company’s motion to strike and motion to bifurcate and/or stay claims relating to safety.</w:t>
      </w:r>
    </w:p>
    <w:p>
      <w:pPr>
        <w:spacing w:after="0" w:line="17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On September 5, 2014, the City Attorney filed a second amended complaint, adding Monster Energy Company as a defendant. The Company and Monster Energy Company filed answers to the second amended complaint on October 4, 2014 and November 10, 2014, respectively. Discovery is ongoing.</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Court has set the case for a two-week bench trial beginning on February 8, 2016.</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Company denies that it has violated the Unfair Competition Law or any other law and believes that the City Attorney’s claims and demands are preempted and unconstitutional, as alleged in the action the Company filed in the Central District Court. The Company intends to vigorously defend against this lawsuit. At this time, no evaluation of the likelihood of an unfavorable outcome or range of potential loss can be expressed.</w:t>
      </w:r>
    </w:p>
    <w:p>
      <w:pPr>
        <w:spacing w:after="0" w:line="2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actions or investigations described above have not progressed to a point where a reasonably possible range of losses associated with their ultimate outcome can be estimated at this time. If the final resolution of any such litigation or proceedings is unfavorable, the Company’s financial condition, operating results and cash flows could be materially affected.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9" w:gutter="0" w:footer="0" w:header="0"/>
        </w:sectPr>
      </w:pPr>
    </w:p>
    <w:bookmarkStart w:id="14" w:name="page15"/>
    <w:bookmarkEnd w:id="14"/>
    <w:p>
      <w:pPr>
        <w:spacing w:after="0" w:line="1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In addition to the above matters, the Company has been named as a defendant in various false advertising putative class actions and in a private attorney general action. In these actions, plaintiffs allege that defendants misleadingly labeled and advertised Monster Energy® brand products that allegedly were ineffective for the advertised benefits (including, but not limited to, an allegation that the products do not hydrate as advertised because they contain caffeine). The plaintiffs further allege that the Monster Energy® brand products at issue are unsafe because they contain one or more ingredients that allegedly could result in illness, injury or death. In connection with these product safety allegations, the plaintiffs claim that the product labels did not provide adequate warnings and/or that the Company did not include sufficiently specific statements with respect to contra-indications and/or adverse reactions associated with the consumption of its energy drink products (including, but not limited to, claims that certain ingredients, when consumed individually or in combination with other ingredients, could result in high blood pressure, palpitations, liver damage or other negative health effects and/or that the products themselves are unsafe). Based on these allegations, the plaintiffs assert claims for violation of state consumer protection statutes, including unfair competition and false advertising statutes, and for breach of warranty and unjust enrichment. In their prayers for relief, the plaintiffs seek, inter alia, compensatory and punitive damages, restitution, attorneys’ fees, and, in some cases, injunctive relief. The Company regards these cases and allegations as having no merit. Furthermore, the Company is subject to litigation from time to time in the normal course of business, including intellectual property litigation and claims from terminated distributors.</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Although it is not possible to predict the ultimate outcome of such litigation, based on the facts known to the Company, management believes that such litigation in the aggregate will likely not have a material adverse effect on the Company’s financial position or results of operations.</w:t>
      </w:r>
    </w:p>
    <w:p>
      <w:pPr>
        <w:spacing w:after="0" w:line="20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Company evaluates, on a quarterly basis, developments in legal proceedings and other matters that could cause an increase or decrease in the amount of the liability that is accrued, if any, or in the amount of any related insurance reimbursements recorded. As of March 31, 2015, the Company’s consolidated balance sheets include accrued loss contingencies of approximately $5.5 million, and receivables for insurance reimbursements of approximately $1.8 million.</w:t>
      </w:r>
    </w:p>
    <w:p>
      <w:pPr>
        <w:spacing w:after="0" w:line="205" w:lineRule="exact"/>
        <w:rPr>
          <w:sz w:val="20"/>
          <w:szCs w:val="20"/>
          <w:color w:val="auto"/>
        </w:rPr>
      </w:pPr>
    </w:p>
    <w:p>
      <w:pPr>
        <w:ind w:left="640" w:hanging="632"/>
        <w:spacing w:after="0"/>
        <w:tabs>
          <w:tab w:leader="none" w:pos="640" w:val="left"/>
        </w:tabs>
        <w:numPr>
          <w:ilvl w:val="0"/>
          <w:numId w:val="20"/>
        </w:numPr>
        <w:rPr>
          <w:rFonts w:ascii="Arial" w:cs="Arial" w:eastAsia="Arial" w:hAnsi="Arial"/>
          <w:sz w:val="20"/>
          <w:szCs w:val="20"/>
          <w:color w:val="auto"/>
        </w:rPr>
      </w:pPr>
      <w:r>
        <w:rPr>
          <w:rFonts w:ascii="Arial" w:cs="Arial" w:eastAsia="Arial" w:hAnsi="Arial"/>
          <w:sz w:val="20"/>
          <w:szCs w:val="20"/>
          <w:color w:val="auto"/>
        </w:rPr>
        <w:t>ACCUMULATED OTHER COMPREHENSIVE LOSS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Changes in accumulated other comprehensive loss by component, after tax, for the three-months ended March 31, 2015 are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19"/>
                <w:szCs w:val="19"/>
                <w:color w:val="auto"/>
              </w:rPr>
            </w:pPr>
          </w:p>
        </w:tc>
        <w:tc>
          <w:tcPr>
            <w:tcW w:w="7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center"/>
              <w:ind w:right="161"/>
              <w:spacing w:after="0"/>
              <w:rPr>
                <w:sz w:val="20"/>
                <w:szCs w:val="20"/>
                <w:color w:val="auto"/>
              </w:rPr>
            </w:pPr>
            <w:r>
              <w:rPr>
                <w:rFonts w:ascii="Arial" w:cs="Arial" w:eastAsia="Arial" w:hAnsi="Arial"/>
                <w:sz w:val="20"/>
                <w:szCs w:val="20"/>
                <w:color w:val="auto"/>
                <w:w w:val="91"/>
              </w:rPr>
              <w:t>Currency</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7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center"/>
              <w:ind w:right="221"/>
              <w:spacing w:after="0"/>
              <w:rPr>
                <w:sz w:val="20"/>
                <w:szCs w:val="20"/>
                <w:color w:val="auto"/>
              </w:rPr>
            </w:pPr>
            <w:r>
              <w:rPr>
                <w:rFonts w:ascii="Arial" w:cs="Arial" w:eastAsia="Arial" w:hAnsi="Arial"/>
                <w:sz w:val="20"/>
                <w:szCs w:val="20"/>
                <w:color w:val="auto"/>
                <w:w w:val="88"/>
              </w:rPr>
              <w:t>Translation</w:t>
            </w:r>
          </w:p>
        </w:tc>
        <w:tc>
          <w:tcPr>
            <w:tcW w:w="0" w:type="dxa"/>
            <w:vAlign w:val="bottom"/>
          </w:tcPr>
          <w:p>
            <w:pPr>
              <w:spacing w:after="0"/>
              <w:rPr>
                <w:sz w:val="1"/>
                <w:szCs w:val="1"/>
                <w:color w:val="auto"/>
              </w:rPr>
            </w:pPr>
          </w:p>
        </w:tc>
      </w:tr>
      <w:tr>
        <w:trPr>
          <w:trHeight w:val="246"/>
        </w:trPr>
        <w:tc>
          <w:tcPr>
            <w:tcW w:w="44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center"/>
              <w:ind w:right="161"/>
              <w:spacing w:after="0"/>
              <w:rPr>
                <w:sz w:val="20"/>
                <w:szCs w:val="20"/>
                <w:color w:val="auto"/>
              </w:rPr>
            </w:pPr>
            <w:r>
              <w:rPr>
                <w:rFonts w:ascii="Arial" w:cs="Arial" w:eastAsia="Arial" w:hAnsi="Arial"/>
                <w:sz w:val="20"/>
                <w:szCs w:val="20"/>
                <w:color w:val="auto"/>
                <w:w w:val="85"/>
              </w:rPr>
              <w:t>Losses</w:t>
            </w:r>
          </w:p>
        </w:tc>
        <w:tc>
          <w:tcPr>
            <w:tcW w:w="0" w:type="dxa"/>
            <w:vAlign w:val="bottom"/>
          </w:tcPr>
          <w:p>
            <w:pPr>
              <w:spacing w:after="0"/>
              <w:rPr>
                <w:sz w:val="1"/>
                <w:szCs w:val="1"/>
                <w:color w:val="auto"/>
              </w:rPr>
            </w:pPr>
          </w:p>
        </w:tc>
      </w:tr>
      <w:tr>
        <w:trPr>
          <w:trHeight w:val="341"/>
        </w:trPr>
        <w:tc>
          <w:tcPr>
            <w:tcW w:w="440" w:type="dxa"/>
            <w:vAlign w:val="bottom"/>
          </w:tcPr>
          <w:p>
            <w:pPr>
              <w:spacing w:after="0"/>
              <w:rPr>
                <w:sz w:val="24"/>
                <w:szCs w:val="24"/>
                <w:color w:val="auto"/>
              </w:rPr>
            </w:pPr>
          </w:p>
        </w:tc>
        <w:tc>
          <w:tcPr>
            <w:tcW w:w="7500" w:type="dxa"/>
            <w:vAlign w:val="bottom"/>
          </w:tcPr>
          <w:p>
            <w:pPr>
              <w:ind w:left="860"/>
              <w:spacing w:after="0"/>
              <w:rPr>
                <w:sz w:val="20"/>
                <w:szCs w:val="20"/>
                <w:color w:val="auto"/>
              </w:rPr>
            </w:pPr>
            <w:r>
              <w:rPr>
                <w:rFonts w:ascii="Arial" w:cs="Arial" w:eastAsia="Arial" w:hAnsi="Arial"/>
                <w:sz w:val="20"/>
                <w:szCs w:val="20"/>
                <w:color w:val="auto"/>
              </w:rPr>
              <w:t>Balance at December 31, 2014</w:t>
            </w:r>
          </w:p>
        </w:tc>
        <w:tc>
          <w:tcPr>
            <w:tcW w:w="28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440" w:type="dxa"/>
            <w:vAlign w:val="bottom"/>
          </w:tcPr>
          <w:p>
            <w:pPr>
              <w:jc w:val="right"/>
              <w:ind w:right="21"/>
              <w:spacing w:after="0"/>
              <w:rPr>
                <w:sz w:val="20"/>
                <w:szCs w:val="20"/>
                <w:color w:val="auto"/>
              </w:rPr>
            </w:pPr>
            <w:r>
              <w:rPr>
                <w:rFonts w:ascii="Arial" w:cs="Arial" w:eastAsia="Arial" w:hAnsi="Arial"/>
                <w:sz w:val="20"/>
                <w:szCs w:val="20"/>
                <w:color w:val="auto"/>
              </w:rPr>
              <w:t>11,453</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7500" w:type="dxa"/>
            <w:vAlign w:val="bottom"/>
          </w:tcPr>
          <w:p>
            <w:pPr>
              <w:ind w:left="1040"/>
              <w:spacing w:after="0"/>
              <w:rPr>
                <w:sz w:val="20"/>
                <w:szCs w:val="20"/>
                <w:color w:val="auto"/>
              </w:rPr>
            </w:pPr>
            <w:r>
              <w:rPr>
                <w:rFonts w:ascii="Arial" w:cs="Arial" w:eastAsia="Arial" w:hAnsi="Arial"/>
                <w:sz w:val="20"/>
                <w:szCs w:val="20"/>
                <w:color w:val="auto"/>
              </w:rPr>
              <w:t>Other comprehensive loss before reclassifications</w:t>
            </w:r>
          </w:p>
        </w:tc>
        <w:tc>
          <w:tcPr>
            <w:tcW w:w="280" w:type="dxa"/>
            <w:vAlign w:val="bottom"/>
          </w:tcPr>
          <w:p>
            <w:pPr>
              <w:spacing w:after="0"/>
              <w:rPr>
                <w:sz w:val="19"/>
                <w:szCs w:val="19"/>
                <w:color w:val="auto"/>
              </w:rPr>
            </w:pPr>
          </w:p>
        </w:tc>
        <w:tc>
          <w:tcPr>
            <w:tcW w:w="1440" w:type="dxa"/>
            <w:vAlign w:val="bottom"/>
          </w:tcPr>
          <w:p>
            <w:pPr>
              <w:jc w:val="right"/>
              <w:ind w:right="21"/>
              <w:spacing w:after="0"/>
              <w:rPr>
                <w:sz w:val="20"/>
                <w:szCs w:val="20"/>
                <w:color w:val="auto"/>
              </w:rPr>
            </w:pPr>
            <w:r>
              <w:rPr>
                <w:rFonts w:ascii="Arial" w:cs="Arial" w:eastAsia="Arial" w:hAnsi="Arial"/>
                <w:sz w:val="20"/>
                <w:szCs w:val="20"/>
                <w:color w:val="auto"/>
              </w:rPr>
              <w:t>9,980</w:t>
            </w:r>
          </w:p>
        </w:tc>
        <w:tc>
          <w:tcPr>
            <w:tcW w:w="0" w:type="dxa"/>
            <w:vAlign w:val="bottom"/>
          </w:tcPr>
          <w:p>
            <w:pPr>
              <w:spacing w:after="0"/>
              <w:rPr>
                <w:sz w:val="1"/>
                <w:szCs w:val="1"/>
                <w:color w:val="auto"/>
              </w:rPr>
            </w:pPr>
          </w:p>
        </w:tc>
      </w:tr>
      <w:tr>
        <w:trPr>
          <w:trHeight w:val="246"/>
        </w:trPr>
        <w:tc>
          <w:tcPr>
            <w:tcW w:w="440" w:type="dxa"/>
            <w:vAlign w:val="bottom"/>
          </w:tcPr>
          <w:p>
            <w:pPr>
              <w:spacing w:after="0"/>
              <w:rPr>
                <w:sz w:val="21"/>
                <w:szCs w:val="21"/>
                <w:color w:val="auto"/>
              </w:rPr>
            </w:pPr>
          </w:p>
        </w:tc>
        <w:tc>
          <w:tcPr>
            <w:tcW w:w="7500" w:type="dxa"/>
            <w:vAlign w:val="bottom"/>
          </w:tcPr>
          <w:p>
            <w:pPr>
              <w:ind w:left="1040"/>
              <w:spacing w:after="0"/>
              <w:rPr>
                <w:sz w:val="20"/>
                <w:szCs w:val="20"/>
                <w:color w:val="auto"/>
              </w:rPr>
            </w:pPr>
            <w:r>
              <w:rPr>
                <w:rFonts w:ascii="Arial" w:cs="Arial" w:eastAsia="Arial" w:hAnsi="Arial"/>
                <w:sz w:val="20"/>
                <w:szCs w:val="20"/>
                <w:color w:val="auto"/>
              </w:rPr>
              <w:t>Amounts reclassified from accumulated other comprehensive loss</w:t>
            </w:r>
          </w:p>
        </w:tc>
        <w:tc>
          <w:tcPr>
            <w:tcW w:w="2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7"/>
        </w:trPr>
        <w:tc>
          <w:tcPr>
            <w:tcW w:w="440" w:type="dxa"/>
            <w:vAlign w:val="bottom"/>
          </w:tcPr>
          <w:p>
            <w:pPr>
              <w:spacing w:after="0"/>
              <w:rPr>
                <w:sz w:val="22"/>
                <w:szCs w:val="22"/>
                <w:color w:val="auto"/>
              </w:rPr>
            </w:pPr>
          </w:p>
        </w:tc>
        <w:tc>
          <w:tcPr>
            <w:tcW w:w="7500" w:type="dxa"/>
            <w:vAlign w:val="bottom"/>
          </w:tcPr>
          <w:p>
            <w:pPr>
              <w:ind w:left="1040"/>
              <w:spacing w:after="0"/>
              <w:rPr>
                <w:sz w:val="20"/>
                <w:szCs w:val="20"/>
                <w:color w:val="auto"/>
              </w:rPr>
            </w:pPr>
            <w:r>
              <w:rPr>
                <w:rFonts w:ascii="Arial" w:cs="Arial" w:eastAsia="Arial" w:hAnsi="Arial"/>
                <w:sz w:val="20"/>
                <w:szCs w:val="20"/>
                <w:color w:val="auto"/>
              </w:rPr>
              <w:t>Net current-period other comprehensive loss</w:t>
            </w:r>
          </w:p>
        </w:tc>
        <w:tc>
          <w:tcPr>
            <w:tcW w:w="2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9,980</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7500" w:type="dxa"/>
            <w:vAlign w:val="bottom"/>
          </w:tcPr>
          <w:p>
            <w:pPr>
              <w:ind w:left="860"/>
              <w:spacing w:after="0" w:line="220" w:lineRule="exact"/>
              <w:rPr>
                <w:sz w:val="20"/>
                <w:szCs w:val="20"/>
                <w:color w:val="auto"/>
              </w:rPr>
            </w:pPr>
            <w:r>
              <w:rPr>
                <w:rFonts w:ascii="Arial" w:cs="Arial" w:eastAsia="Arial" w:hAnsi="Arial"/>
                <w:sz w:val="20"/>
                <w:szCs w:val="20"/>
                <w:color w:val="auto"/>
              </w:rPr>
              <w:t>Balance at March 31, 2015</w:t>
            </w:r>
          </w:p>
        </w:tc>
        <w:tc>
          <w:tcPr>
            <w:tcW w:w="2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14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21,433</w:t>
            </w:r>
          </w:p>
        </w:tc>
        <w:tc>
          <w:tcPr>
            <w:tcW w:w="0" w:type="dxa"/>
            <w:vAlign w:val="bottom"/>
          </w:tcPr>
          <w:p>
            <w:pPr>
              <w:spacing w:after="0"/>
              <w:rPr>
                <w:sz w:val="1"/>
                <w:szCs w:val="1"/>
                <w:color w:val="auto"/>
              </w:rPr>
            </w:pPr>
          </w:p>
        </w:tc>
      </w:tr>
      <w:tr>
        <w:trPr>
          <w:trHeight w:val="20"/>
        </w:trPr>
        <w:tc>
          <w:tcPr>
            <w:tcW w:w="440" w:type="dxa"/>
            <w:vAlign w:val="bottom"/>
            <w:vMerge w:val="restart"/>
          </w:tcPr>
          <w:p>
            <w:pPr>
              <w:jc w:val="right"/>
              <w:ind w:right="81"/>
              <w:spacing w:after="0"/>
              <w:rPr>
                <w:sz w:val="20"/>
                <w:szCs w:val="20"/>
                <w:color w:val="auto"/>
              </w:rPr>
            </w:pPr>
            <w:r>
              <w:rPr>
                <w:rFonts w:ascii="Arial" w:cs="Arial" w:eastAsia="Arial" w:hAnsi="Arial"/>
                <w:sz w:val="20"/>
                <w:szCs w:val="20"/>
                <w:color w:val="auto"/>
                <w:w w:val="86"/>
              </w:rPr>
              <w:t>13.</w:t>
            </w:r>
          </w:p>
        </w:tc>
        <w:tc>
          <w:tcPr>
            <w:tcW w:w="7500" w:type="dxa"/>
            <w:vAlign w:val="bottom"/>
            <w:vMerge w:val="restart"/>
          </w:tcPr>
          <w:p>
            <w:pPr>
              <w:ind w:left="200"/>
              <w:spacing w:after="0"/>
              <w:rPr>
                <w:sz w:val="20"/>
                <w:szCs w:val="20"/>
                <w:color w:val="auto"/>
              </w:rPr>
            </w:pPr>
            <w:r>
              <w:rPr>
                <w:rFonts w:ascii="Arial" w:cs="Arial" w:eastAsia="Arial" w:hAnsi="Arial"/>
                <w:sz w:val="20"/>
                <w:szCs w:val="20"/>
                <w:color w:val="auto"/>
              </w:rPr>
              <w:t>TREASURY STOCK PURCHASE</w:t>
            </w: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440" w:type="dxa"/>
            <w:vAlign w:val="bottom"/>
            <w:vMerge w:val="continue"/>
          </w:tcPr>
          <w:p>
            <w:pPr>
              <w:spacing w:after="0"/>
              <w:rPr>
                <w:sz w:val="24"/>
                <w:szCs w:val="24"/>
                <w:color w:val="auto"/>
              </w:rPr>
            </w:pPr>
          </w:p>
        </w:tc>
        <w:tc>
          <w:tcPr>
            <w:tcW w:w="75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On April 7, 2013, the Company’s Board of Directors authorized a new share repurchase program for the repurchase of up to $200.0 million of the Company’s outstanding common stock (the “April 2013 Repurchase Plan”). During the three-months ended March 31, 2015, no shares of common stock were purchased under the April 2013 Repurchase Plan.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During the three-months ended March 31, 2015, 2.2 million shares were purchased from employees in lieu of cash payments for options exercised or withholding taxes due for a total amount of $251.4 million. While such purchases are considered common stock repurchases, they are not counted as purchases against the Company’s authorized share repurchase programs, including the April 2013 Repurchase Plan.</w:t>
      </w:r>
    </w:p>
    <w:p>
      <w:pPr>
        <w:spacing w:after="0" w:line="205" w:lineRule="exact"/>
        <w:rPr>
          <w:sz w:val="20"/>
          <w:szCs w:val="20"/>
          <w:color w:val="auto"/>
        </w:rPr>
      </w:pPr>
    </w:p>
    <w:p>
      <w:pPr>
        <w:ind w:left="640" w:hanging="632"/>
        <w:spacing w:after="0"/>
        <w:tabs>
          <w:tab w:leader="none" w:pos="6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STOCK-BASED COMPENSATION</w:t>
      </w:r>
    </w:p>
    <w:p>
      <w:pPr>
        <w:spacing w:after="0" w:line="229"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The Company has two stock-based compensation plans under which shares were available for grant at March 31, 2015: the Monster Beverage Corporation 2011 Omnibus Incentive Plan (the “2011 Omnibus Incentive Plan”) and the 2009 Monster Beverage Corporation Stock Incentive Plan for Non-Employee Directors (the “2009 Directors Plan”).</w:t>
      </w:r>
    </w:p>
    <w:p>
      <w:pPr>
        <w:spacing w:after="0" w:line="20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The Company recorded $6.4 million and $7.0 million of compensation expense relating to outstanding options, restricted stock awards, stock appreciation rights and restricted stock units during the three-months ended March 31, 2015 and 2014, respectively.</w:t>
      </w:r>
    </w:p>
    <w:p>
      <w:pPr>
        <w:spacing w:after="0" w:line="16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excess tax benefit realized for tax deductions from non-qualified stock option exercises, disqualifying dispositions of incentive stock options, vesting of restricted stock units and restricted stock awards for the three-months ended March 31, 2015 and 2014 was $184.7 million and $2.6 million, respectively.</w:t>
      </w:r>
    </w:p>
    <w:p>
      <w:pPr>
        <w:sectPr>
          <w:pgSz w:w="11900" w:h="16848" w:orient="portrait"/>
          <w:cols w:equalWidth="0" w:num="1">
            <w:col w:w="11420"/>
          </w:cols>
          <w:pgMar w:left="240" w:top="122" w:right="239" w:bottom="0" w:gutter="0" w:footer="0" w:header="0"/>
        </w:sectPr>
      </w:pP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Stock Options</w:t>
      </w:r>
    </w:p>
    <w:p>
      <w:pPr>
        <w:sectPr>
          <w:pgSz w:w="11900" w:h="16848" w:orient="portrait"/>
          <w:cols w:equalWidth="0" w:num="1">
            <w:col w:w="11420"/>
          </w:cols>
          <w:pgMar w:left="240" w:top="122" w:right="239" w:bottom="0" w:gutter="0" w:footer="0" w:header="0"/>
          <w:type w:val="continuous"/>
        </w:sectPr>
      </w:pPr>
    </w:p>
    <w:bookmarkStart w:id="15" w:name="page16"/>
    <w:bookmarkEnd w:id="15"/>
    <w:p>
      <w:pPr>
        <w:spacing w:after="0" w:line="2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Under the Company’s stock-based compensation plans, all stock options granted as of March 31, 2015 were granted at prices based on the fair value of the Company’s common stock on the date of grant. The Company records compensation expense for employee stock options based on the estimated fair value of the options on the date of grant using the Black-Scholes-Merton option pricing formula with the assumptions included in the table below. The Company records compensation expense for non-employee stock options based on the estimated fair value of the options as of the earlier of (1) the date at which a commitment for performance by the non-employee to earn the stock option is reached or (2) the date at which the non-employee’s performance is complete, using the Black-Scholes-Merton option pricing formula with the assumptions included in the table below. The Company uses historical data to determine the exercise behavior, volatility and forfeiture rate of the options.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weighted-average assumptions were used to estimate the fair value of options granted during:</w:t>
      </w:r>
    </w:p>
    <w:p>
      <w:pPr>
        <w:spacing w:after="0" w:line="229" w:lineRule="exact"/>
        <w:rPr>
          <w:sz w:val="20"/>
          <w:szCs w:val="20"/>
          <w:color w:val="auto"/>
        </w:rPr>
      </w:pPr>
    </w:p>
    <w:tbl>
      <w:tblPr>
        <w:tblLayout w:type="fixed"/>
        <w:tblInd w:w="1620" w:type="dxa"/>
        <w:tblCellMar>
          <w:top w:w="0" w:type="dxa"/>
          <w:left w:w="0" w:type="dxa"/>
          <w:bottom w:w="0" w:type="dxa"/>
          <w:right w:w="0" w:type="dxa"/>
        </w:tblCellMar>
      </w:tblPr>
      <w:tr>
        <w:trPr>
          <w:trHeight w:val="246"/>
        </w:trPr>
        <w:tc>
          <w:tcPr>
            <w:tcW w:w="3840" w:type="dxa"/>
            <w:vAlign w:val="bottom"/>
          </w:tcPr>
          <w:p>
            <w:pPr>
              <w:spacing w:after="0"/>
              <w:rPr>
                <w:sz w:val="21"/>
                <w:szCs w:val="21"/>
                <w:color w:val="auto"/>
              </w:rPr>
            </w:pPr>
          </w:p>
        </w:tc>
        <w:tc>
          <w:tcPr>
            <w:tcW w:w="3780" w:type="dxa"/>
            <w:vAlign w:val="bottom"/>
            <w:tcBorders>
              <w:bottom w:val="single" w:sz="8" w:color="auto"/>
            </w:tcBorders>
            <w:gridSpan w:val="3"/>
          </w:tcPr>
          <w:p>
            <w:pPr>
              <w:jc w:val="right"/>
              <w:ind w:right="521"/>
              <w:spacing w:after="0"/>
              <w:rPr>
                <w:sz w:val="20"/>
                <w:szCs w:val="20"/>
                <w:color w:val="auto"/>
              </w:rPr>
            </w:pPr>
            <w:r>
              <w:rPr>
                <w:rFonts w:ascii="Arial" w:cs="Arial" w:eastAsia="Arial" w:hAnsi="Arial"/>
                <w:sz w:val="20"/>
                <w:szCs w:val="20"/>
                <w:color w:val="auto"/>
              </w:rPr>
              <w:t>Three-Months Ended March 31,</w:t>
            </w:r>
          </w:p>
        </w:tc>
        <w:tc>
          <w:tcPr>
            <w:tcW w:w="0" w:type="dxa"/>
            <w:vAlign w:val="bottom"/>
          </w:tcPr>
          <w:p>
            <w:pPr>
              <w:spacing w:after="0"/>
              <w:rPr>
                <w:sz w:val="1"/>
                <w:szCs w:val="1"/>
                <w:color w:val="auto"/>
              </w:rPr>
            </w:pPr>
          </w:p>
        </w:tc>
      </w:tr>
      <w:tr>
        <w:trPr>
          <w:trHeight w:val="223"/>
        </w:trPr>
        <w:tc>
          <w:tcPr>
            <w:tcW w:w="3840" w:type="dxa"/>
            <w:vAlign w:val="bottom"/>
            <w:vMerge w:val="restart"/>
          </w:tcPr>
          <w:p>
            <w:pPr>
              <w:spacing w:after="0"/>
              <w:rPr>
                <w:sz w:val="20"/>
                <w:szCs w:val="20"/>
                <w:color w:val="auto"/>
              </w:rPr>
            </w:pPr>
            <w:r>
              <w:rPr>
                <w:rFonts w:ascii="Arial" w:cs="Arial" w:eastAsia="Arial" w:hAnsi="Arial"/>
                <w:sz w:val="20"/>
                <w:szCs w:val="20"/>
                <w:color w:val="auto"/>
              </w:rPr>
              <w:t>Dividend yield</w:t>
            </w:r>
          </w:p>
        </w:tc>
        <w:tc>
          <w:tcPr>
            <w:tcW w:w="1720" w:type="dxa"/>
            <w:vAlign w:val="bottom"/>
            <w:tcBorders>
              <w:bottom w:val="single" w:sz="8" w:color="auto"/>
            </w:tcBorders>
          </w:tcPr>
          <w:p>
            <w:pPr>
              <w:jc w:val="right"/>
              <w:ind w:right="561"/>
              <w:spacing w:after="0" w:line="223" w:lineRule="exact"/>
              <w:rPr>
                <w:sz w:val="20"/>
                <w:szCs w:val="20"/>
                <w:color w:val="auto"/>
              </w:rPr>
            </w:pPr>
            <w:r>
              <w:rPr>
                <w:rFonts w:ascii="Arial" w:cs="Arial" w:eastAsia="Arial" w:hAnsi="Arial"/>
                <w:sz w:val="20"/>
                <w:szCs w:val="20"/>
                <w:color w:val="auto"/>
              </w:rPr>
              <w:t>2015</w:t>
            </w:r>
          </w:p>
        </w:tc>
        <w:tc>
          <w:tcPr>
            <w:tcW w:w="340" w:type="dxa"/>
            <w:vAlign w:val="bottom"/>
          </w:tcPr>
          <w:p>
            <w:pPr>
              <w:spacing w:after="0"/>
              <w:rPr>
                <w:sz w:val="19"/>
                <w:szCs w:val="19"/>
                <w:color w:val="auto"/>
              </w:rPr>
            </w:pPr>
          </w:p>
        </w:tc>
        <w:tc>
          <w:tcPr>
            <w:tcW w:w="1720" w:type="dxa"/>
            <w:vAlign w:val="bottom"/>
            <w:tcBorders>
              <w:bottom w:val="single" w:sz="8" w:color="auto"/>
            </w:tcBorders>
          </w:tcPr>
          <w:p>
            <w:pPr>
              <w:jc w:val="right"/>
              <w:ind w:right="561"/>
              <w:spacing w:after="0" w:line="223" w:lineRule="exact"/>
              <w:rPr>
                <w:sz w:val="20"/>
                <w:szCs w:val="20"/>
                <w:color w:val="auto"/>
              </w:rPr>
            </w:pPr>
            <w:r>
              <w:rPr>
                <w:rFonts w:ascii="Arial" w:cs="Arial" w:eastAsia="Arial" w:hAnsi="Arial"/>
                <w:sz w:val="20"/>
                <w:szCs w:val="20"/>
                <w:color w:val="auto"/>
              </w:rPr>
              <w:t>2014</w:t>
            </w:r>
          </w:p>
        </w:tc>
        <w:tc>
          <w:tcPr>
            <w:tcW w:w="0" w:type="dxa"/>
            <w:vAlign w:val="bottom"/>
          </w:tcPr>
          <w:p>
            <w:pPr>
              <w:spacing w:after="0"/>
              <w:rPr>
                <w:sz w:val="1"/>
                <w:szCs w:val="1"/>
                <w:color w:val="auto"/>
              </w:rPr>
            </w:pPr>
          </w:p>
        </w:tc>
      </w:tr>
      <w:tr>
        <w:trPr>
          <w:trHeight w:val="206"/>
        </w:trPr>
        <w:tc>
          <w:tcPr>
            <w:tcW w:w="3840" w:type="dxa"/>
            <w:vAlign w:val="bottom"/>
            <w:vMerge w:val="continue"/>
          </w:tcPr>
          <w:p>
            <w:pPr>
              <w:spacing w:after="0"/>
              <w:rPr>
                <w:sz w:val="17"/>
                <w:szCs w:val="17"/>
                <w:color w:val="auto"/>
              </w:rPr>
            </w:pPr>
          </w:p>
        </w:tc>
        <w:tc>
          <w:tcPr>
            <w:tcW w:w="1720" w:type="dxa"/>
            <w:vAlign w:val="bottom"/>
          </w:tcPr>
          <w:p>
            <w:pPr>
              <w:jc w:val="right"/>
              <w:ind w:right="221"/>
              <w:spacing w:after="0" w:line="207" w:lineRule="exact"/>
              <w:rPr>
                <w:sz w:val="20"/>
                <w:szCs w:val="20"/>
                <w:color w:val="auto"/>
              </w:rPr>
            </w:pPr>
            <w:r>
              <w:rPr>
                <w:rFonts w:ascii="Arial" w:cs="Arial" w:eastAsia="Arial" w:hAnsi="Arial"/>
                <w:sz w:val="20"/>
                <w:szCs w:val="20"/>
                <w:color w:val="auto"/>
              </w:rPr>
              <w:t>0.0%</w:t>
            </w:r>
          </w:p>
        </w:tc>
        <w:tc>
          <w:tcPr>
            <w:tcW w:w="340" w:type="dxa"/>
            <w:vAlign w:val="bottom"/>
          </w:tcPr>
          <w:p>
            <w:pPr>
              <w:spacing w:after="0"/>
              <w:rPr>
                <w:sz w:val="17"/>
                <w:szCs w:val="17"/>
                <w:color w:val="auto"/>
              </w:rPr>
            </w:pPr>
          </w:p>
        </w:tc>
        <w:tc>
          <w:tcPr>
            <w:tcW w:w="1720" w:type="dxa"/>
            <w:vAlign w:val="bottom"/>
          </w:tcPr>
          <w:p>
            <w:pPr>
              <w:jc w:val="right"/>
              <w:ind w:right="241"/>
              <w:spacing w:after="0" w:line="207" w:lineRule="exact"/>
              <w:rPr>
                <w:sz w:val="20"/>
                <w:szCs w:val="20"/>
                <w:color w:val="auto"/>
              </w:rPr>
            </w:pPr>
            <w:r>
              <w:rPr>
                <w:rFonts w:ascii="Arial" w:cs="Arial" w:eastAsia="Arial" w:hAnsi="Arial"/>
                <w:sz w:val="20"/>
                <w:szCs w:val="20"/>
                <w:color w:val="auto"/>
              </w:rPr>
              <w:t>0.0%</w:t>
            </w: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20"/>
                <w:szCs w:val="20"/>
                <w:color w:val="auto"/>
              </w:rPr>
              <w:t>Expected volatility</w:t>
            </w:r>
          </w:p>
        </w:tc>
        <w:tc>
          <w:tcPr>
            <w:tcW w:w="1720" w:type="dxa"/>
            <w:vAlign w:val="bottom"/>
          </w:tcPr>
          <w:p>
            <w:pPr>
              <w:jc w:val="right"/>
              <w:ind w:right="221"/>
              <w:spacing w:after="0"/>
              <w:rPr>
                <w:sz w:val="20"/>
                <w:szCs w:val="20"/>
                <w:color w:val="auto"/>
              </w:rPr>
            </w:pPr>
            <w:r>
              <w:rPr>
                <w:rFonts w:ascii="Arial" w:cs="Arial" w:eastAsia="Arial" w:hAnsi="Arial"/>
                <w:sz w:val="20"/>
                <w:szCs w:val="20"/>
                <w:color w:val="auto"/>
              </w:rPr>
              <w:t>37.1%</w:t>
            </w:r>
          </w:p>
        </w:tc>
        <w:tc>
          <w:tcPr>
            <w:tcW w:w="340" w:type="dxa"/>
            <w:vAlign w:val="bottom"/>
          </w:tcPr>
          <w:p>
            <w:pPr>
              <w:spacing w:after="0"/>
              <w:rPr>
                <w:sz w:val="19"/>
                <w:szCs w:val="19"/>
                <w:color w:val="auto"/>
              </w:rPr>
            </w:pPr>
          </w:p>
        </w:tc>
        <w:tc>
          <w:tcPr>
            <w:tcW w:w="1720" w:type="dxa"/>
            <w:vAlign w:val="bottom"/>
          </w:tcPr>
          <w:p>
            <w:pPr>
              <w:jc w:val="right"/>
              <w:ind w:right="241"/>
              <w:spacing w:after="0"/>
              <w:rPr>
                <w:sz w:val="20"/>
                <w:szCs w:val="20"/>
                <w:color w:val="auto"/>
              </w:rPr>
            </w:pPr>
            <w:r>
              <w:rPr>
                <w:rFonts w:ascii="Arial" w:cs="Arial" w:eastAsia="Arial" w:hAnsi="Arial"/>
                <w:sz w:val="20"/>
                <w:szCs w:val="20"/>
                <w:color w:val="auto"/>
              </w:rPr>
              <w:t>43.1%</w:t>
            </w: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20"/>
                <w:szCs w:val="20"/>
                <w:color w:val="auto"/>
              </w:rPr>
              <w:t>Risk-free interest rate</w:t>
            </w:r>
          </w:p>
        </w:tc>
        <w:tc>
          <w:tcPr>
            <w:tcW w:w="1720" w:type="dxa"/>
            <w:vAlign w:val="bottom"/>
          </w:tcPr>
          <w:p>
            <w:pPr>
              <w:jc w:val="right"/>
              <w:ind w:right="221"/>
              <w:spacing w:after="0"/>
              <w:rPr>
                <w:sz w:val="20"/>
                <w:szCs w:val="20"/>
                <w:color w:val="auto"/>
              </w:rPr>
            </w:pPr>
            <w:r>
              <w:rPr>
                <w:rFonts w:ascii="Arial" w:cs="Arial" w:eastAsia="Arial" w:hAnsi="Arial"/>
                <w:sz w:val="20"/>
                <w:szCs w:val="20"/>
                <w:color w:val="auto"/>
              </w:rPr>
              <w:t>1.6%</w:t>
            </w:r>
          </w:p>
        </w:tc>
        <w:tc>
          <w:tcPr>
            <w:tcW w:w="340" w:type="dxa"/>
            <w:vAlign w:val="bottom"/>
          </w:tcPr>
          <w:p>
            <w:pPr>
              <w:spacing w:after="0"/>
              <w:rPr>
                <w:sz w:val="19"/>
                <w:szCs w:val="19"/>
                <w:color w:val="auto"/>
              </w:rPr>
            </w:pPr>
          </w:p>
        </w:tc>
        <w:tc>
          <w:tcPr>
            <w:tcW w:w="1720" w:type="dxa"/>
            <w:vAlign w:val="bottom"/>
          </w:tcPr>
          <w:p>
            <w:pPr>
              <w:jc w:val="right"/>
              <w:ind w:right="241"/>
              <w:spacing w:after="0"/>
              <w:rPr>
                <w:sz w:val="20"/>
                <w:szCs w:val="20"/>
                <w:color w:val="auto"/>
              </w:rPr>
            </w:pPr>
            <w:r>
              <w:rPr>
                <w:rFonts w:ascii="Arial" w:cs="Arial" w:eastAsia="Arial" w:hAnsi="Arial"/>
                <w:sz w:val="20"/>
                <w:szCs w:val="20"/>
                <w:color w:val="auto"/>
              </w:rPr>
              <w:t>1.6%</w:t>
            </w:r>
          </w:p>
        </w:tc>
        <w:tc>
          <w:tcPr>
            <w:tcW w:w="0" w:type="dxa"/>
            <w:vAlign w:val="bottom"/>
          </w:tcPr>
          <w:p>
            <w:pPr>
              <w:spacing w:after="0"/>
              <w:rPr>
                <w:sz w:val="1"/>
                <w:szCs w:val="1"/>
                <w:color w:val="auto"/>
              </w:rPr>
            </w:pPr>
          </w:p>
        </w:tc>
      </w:tr>
      <w:tr>
        <w:trPr>
          <w:trHeight w:val="250"/>
        </w:trPr>
        <w:tc>
          <w:tcPr>
            <w:tcW w:w="3840" w:type="dxa"/>
            <w:vAlign w:val="bottom"/>
          </w:tcPr>
          <w:p>
            <w:pPr>
              <w:spacing w:after="0"/>
              <w:rPr>
                <w:sz w:val="20"/>
                <w:szCs w:val="20"/>
                <w:color w:val="auto"/>
              </w:rPr>
            </w:pPr>
            <w:r>
              <w:rPr>
                <w:rFonts w:ascii="Arial" w:cs="Arial" w:eastAsia="Arial" w:hAnsi="Arial"/>
                <w:sz w:val="20"/>
                <w:szCs w:val="20"/>
                <w:color w:val="auto"/>
              </w:rPr>
              <w:t>Expected term</w:t>
            </w:r>
          </w:p>
        </w:tc>
        <w:tc>
          <w:tcPr>
            <w:tcW w:w="2060" w:type="dxa"/>
            <w:vAlign w:val="bottom"/>
            <w:gridSpan w:val="2"/>
          </w:tcPr>
          <w:p>
            <w:pPr>
              <w:ind w:left="680"/>
              <w:spacing w:after="0"/>
              <w:rPr>
                <w:sz w:val="20"/>
                <w:szCs w:val="20"/>
                <w:color w:val="auto"/>
              </w:rPr>
            </w:pPr>
            <w:r>
              <w:rPr>
                <w:rFonts w:ascii="Arial" w:cs="Arial" w:eastAsia="Arial" w:hAnsi="Arial"/>
                <w:sz w:val="20"/>
                <w:szCs w:val="20"/>
                <w:color w:val="auto"/>
              </w:rPr>
              <w:t>5.8 years</w:t>
            </w:r>
          </w:p>
        </w:tc>
        <w:tc>
          <w:tcPr>
            <w:tcW w:w="1720" w:type="dxa"/>
            <w:vAlign w:val="bottom"/>
          </w:tcPr>
          <w:p>
            <w:pPr>
              <w:jc w:val="right"/>
              <w:ind w:right="241"/>
              <w:spacing w:after="0"/>
              <w:rPr>
                <w:sz w:val="20"/>
                <w:szCs w:val="20"/>
                <w:color w:val="auto"/>
              </w:rPr>
            </w:pPr>
            <w:r>
              <w:rPr>
                <w:rFonts w:ascii="Arial" w:cs="Arial" w:eastAsia="Arial" w:hAnsi="Arial"/>
                <w:sz w:val="20"/>
                <w:szCs w:val="20"/>
                <w:color w:val="auto"/>
              </w:rPr>
              <w:t>5.9 years</w:t>
            </w:r>
          </w:p>
        </w:tc>
        <w:tc>
          <w:tcPr>
            <w:tcW w:w="0" w:type="dxa"/>
            <w:vAlign w:val="bottom"/>
          </w:tcPr>
          <w:p>
            <w:pPr>
              <w:spacing w:after="0"/>
              <w:rPr>
                <w:sz w:val="1"/>
                <w:szCs w:val="1"/>
                <w:color w:val="auto"/>
              </w:rPr>
            </w:pPr>
          </w:p>
        </w:tc>
      </w:tr>
    </w:tbl>
    <w:p>
      <w:pPr>
        <w:spacing w:after="0" w:line="209"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The Company uses historical volatility as it provides a reasonable estimate of the expected volatility. Historical</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is based on the most recent volatility of the stock price over a period of time equivalent to the expected term of the option.</w:t>
      </w:r>
    </w:p>
    <w:p>
      <w:pPr>
        <w:spacing w:after="0" w:line="144"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i w:val="1"/>
          <w:iCs w:val="1"/>
          <w:color w:val="auto"/>
        </w:rPr>
        <w:t>Risk-Free Interest Rate</w:t>
      </w:r>
      <w:r>
        <w:rPr>
          <w:rFonts w:ascii="Arial" w:cs="Arial" w:eastAsia="Arial" w:hAnsi="Arial"/>
          <w:sz w:val="20"/>
          <w:szCs w:val="20"/>
          <w:color w:val="auto"/>
        </w:rPr>
        <w:t>: The risk-free interest rate is based on the U.S. Treasury zero coupon yield curve in effect at the time of grant</w:t>
      </w:r>
      <w:r>
        <w:rPr>
          <w:rFonts w:ascii="Arial" w:cs="Arial" w:eastAsia="Arial" w:hAnsi="Arial"/>
          <w:sz w:val="20"/>
          <w:szCs w:val="20"/>
          <w:i w:val="1"/>
          <w:iCs w:val="1"/>
          <w:color w:val="auto"/>
        </w:rPr>
        <w:t xml:space="preserve"> </w:t>
      </w:r>
      <w:r>
        <w:rPr>
          <w:rFonts w:ascii="Arial" w:cs="Arial" w:eastAsia="Arial" w:hAnsi="Arial"/>
          <w:sz w:val="20"/>
          <w:szCs w:val="20"/>
          <w:color w:val="auto"/>
        </w:rPr>
        <w:t>for the expected term of the option.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Expected Term</w:t>
      </w:r>
      <w:r>
        <w:rPr>
          <w:rFonts w:ascii="Arial" w:cs="Arial" w:eastAsia="Arial" w:hAnsi="Arial"/>
          <w:sz w:val="16"/>
          <w:szCs w:val="16"/>
          <w:color w:val="auto"/>
        </w:rPr>
        <w:t>: The Company’s expected term represents the weighted-average period that the Company’s stock options are expected</w:t>
      </w:r>
      <w:r>
        <w:rPr>
          <w:rFonts w:ascii="Arial" w:cs="Arial" w:eastAsia="Arial" w:hAnsi="Arial"/>
          <w:sz w:val="16"/>
          <w:szCs w:val="16"/>
          <w:i w:val="1"/>
          <w:iCs w:val="1"/>
          <w:color w:val="auto"/>
        </w:rPr>
        <w:t xml:space="preserve"> </w:t>
      </w:r>
      <w:r>
        <w:rPr>
          <w:rFonts w:ascii="Arial" w:cs="Arial" w:eastAsia="Arial" w:hAnsi="Arial"/>
          <w:sz w:val="16"/>
          <w:szCs w:val="16"/>
          <w:color w:val="auto"/>
        </w:rPr>
        <w:t>to be outstanding. The expected term is based on expected time to post-vesting exercise of options by employees. The Company uses historical exercise patterns of previously granted options to derive employee behavioral patterns used to forecast expected exercise patterns.</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summarizes the Company’s activities with respect to its stock option plans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gridSpan w:val="2"/>
          </w:tcPr>
          <w:p>
            <w:pPr>
              <w:jc w:val="center"/>
              <w:ind w:right="300"/>
              <w:spacing w:after="0"/>
              <w:rPr>
                <w:sz w:val="20"/>
                <w:szCs w:val="20"/>
                <w:color w:val="auto"/>
              </w:rPr>
            </w:pPr>
            <w:r>
              <w:rPr>
                <w:rFonts w:ascii="Arial" w:cs="Arial" w:eastAsia="Arial" w:hAnsi="Arial"/>
                <w:sz w:val="20"/>
                <w:szCs w:val="20"/>
                <w:color w:val="auto"/>
                <w:w w:val="89"/>
              </w:rPr>
              <w:t>Weighted-</w:t>
            </w: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3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gridSpan w:val="2"/>
          </w:tcPr>
          <w:p>
            <w:pPr>
              <w:jc w:val="center"/>
              <w:ind w:right="640"/>
              <w:spacing w:after="0"/>
              <w:rPr>
                <w:sz w:val="20"/>
                <w:szCs w:val="20"/>
                <w:color w:val="auto"/>
              </w:rPr>
            </w:pPr>
            <w:r>
              <w:rPr>
                <w:rFonts w:ascii="Arial" w:cs="Arial" w:eastAsia="Arial" w:hAnsi="Arial"/>
                <w:sz w:val="20"/>
                <w:szCs w:val="20"/>
                <w:color w:val="auto"/>
                <w:w w:val="89"/>
              </w:rPr>
              <w:t>Weighted-</w:t>
            </w:r>
          </w:p>
        </w:tc>
        <w:tc>
          <w:tcPr>
            <w:tcW w:w="1880" w:type="dxa"/>
            <w:vAlign w:val="bottom"/>
            <w:gridSpan w:val="2"/>
          </w:tcPr>
          <w:p>
            <w:pPr>
              <w:jc w:val="center"/>
              <w:ind w:right="300"/>
              <w:spacing w:after="0"/>
              <w:rPr>
                <w:sz w:val="20"/>
                <w:szCs w:val="20"/>
                <w:color w:val="auto"/>
              </w:rPr>
            </w:pPr>
            <w:r>
              <w:rPr>
                <w:rFonts w:ascii="Arial" w:cs="Arial" w:eastAsia="Arial" w:hAnsi="Arial"/>
                <w:sz w:val="20"/>
                <w:szCs w:val="20"/>
                <w:color w:val="auto"/>
                <w:w w:val="88"/>
              </w:rPr>
              <w:t>Average</w:t>
            </w: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3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gridSpan w:val="2"/>
          </w:tcPr>
          <w:p>
            <w:pPr>
              <w:jc w:val="center"/>
              <w:ind w:right="620"/>
              <w:spacing w:after="0"/>
              <w:rPr>
                <w:sz w:val="20"/>
                <w:szCs w:val="20"/>
                <w:color w:val="auto"/>
              </w:rPr>
            </w:pPr>
            <w:r>
              <w:rPr>
                <w:rFonts w:ascii="Arial" w:cs="Arial" w:eastAsia="Arial" w:hAnsi="Arial"/>
                <w:sz w:val="20"/>
                <w:szCs w:val="20"/>
                <w:color w:val="auto"/>
                <w:w w:val="85"/>
              </w:rPr>
              <w:t>Average</w:t>
            </w:r>
          </w:p>
        </w:tc>
        <w:tc>
          <w:tcPr>
            <w:tcW w:w="1880" w:type="dxa"/>
            <w:vAlign w:val="bottom"/>
            <w:gridSpan w:val="2"/>
          </w:tcPr>
          <w:p>
            <w:pPr>
              <w:jc w:val="center"/>
              <w:ind w:right="300"/>
              <w:spacing w:after="0"/>
              <w:rPr>
                <w:sz w:val="20"/>
                <w:szCs w:val="20"/>
                <w:color w:val="auto"/>
              </w:rPr>
            </w:pPr>
            <w:r>
              <w:rPr>
                <w:rFonts w:ascii="Arial" w:cs="Arial" w:eastAsia="Arial" w:hAnsi="Arial"/>
                <w:sz w:val="20"/>
                <w:szCs w:val="20"/>
                <w:color w:val="auto"/>
                <w:w w:val="89"/>
              </w:rPr>
              <w:t>Remaining</w:t>
            </w: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3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20"/>
                <w:szCs w:val="20"/>
                <w:color w:val="auto"/>
                <w:w w:val="92"/>
              </w:rPr>
              <w:t>Number of</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gridSpan w:val="2"/>
          </w:tcPr>
          <w:p>
            <w:pPr>
              <w:jc w:val="center"/>
              <w:ind w:right="620"/>
              <w:spacing w:after="0"/>
              <w:rPr>
                <w:sz w:val="20"/>
                <w:szCs w:val="20"/>
                <w:color w:val="auto"/>
              </w:rPr>
            </w:pPr>
            <w:r>
              <w:rPr>
                <w:rFonts w:ascii="Arial" w:cs="Arial" w:eastAsia="Arial" w:hAnsi="Arial"/>
                <w:sz w:val="20"/>
                <w:szCs w:val="20"/>
                <w:color w:val="auto"/>
                <w:w w:val="88"/>
              </w:rPr>
              <w:t>Exercise</w:t>
            </w:r>
          </w:p>
        </w:tc>
        <w:tc>
          <w:tcPr>
            <w:tcW w:w="1880" w:type="dxa"/>
            <w:vAlign w:val="bottom"/>
            <w:gridSpan w:val="2"/>
          </w:tcPr>
          <w:p>
            <w:pPr>
              <w:jc w:val="center"/>
              <w:ind w:right="300"/>
              <w:spacing w:after="0"/>
              <w:rPr>
                <w:sz w:val="20"/>
                <w:szCs w:val="20"/>
                <w:color w:val="auto"/>
              </w:rPr>
            </w:pPr>
            <w:r>
              <w:rPr>
                <w:rFonts w:ascii="Arial" w:cs="Arial" w:eastAsia="Arial" w:hAnsi="Arial"/>
                <w:sz w:val="20"/>
                <w:szCs w:val="20"/>
                <w:color w:val="auto"/>
                <w:w w:val="91"/>
              </w:rPr>
              <w:t>Contractual</w:t>
            </w: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3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20"/>
                <w:szCs w:val="20"/>
                <w:color w:val="auto"/>
                <w:w w:val="88"/>
              </w:rPr>
              <w:t>Shares (In</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gridSpan w:val="2"/>
          </w:tcPr>
          <w:p>
            <w:pPr>
              <w:jc w:val="center"/>
              <w:ind w:right="620"/>
              <w:spacing w:after="0"/>
              <w:rPr>
                <w:sz w:val="20"/>
                <w:szCs w:val="20"/>
                <w:color w:val="auto"/>
              </w:rPr>
            </w:pPr>
            <w:r>
              <w:rPr>
                <w:rFonts w:ascii="Arial" w:cs="Arial" w:eastAsia="Arial" w:hAnsi="Arial"/>
                <w:sz w:val="20"/>
                <w:szCs w:val="20"/>
                <w:color w:val="auto"/>
                <w:w w:val="87"/>
              </w:rPr>
              <w:t>Price Per</w:t>
            </w:r>
          </w:p>
        </w:tc>
        <w:tc>
          <w:tcPr>
            <w:tcW w:w="1880" w:type="dxa"/>
            <w:vAlign w:val="bottom"/>
            <w:gridSpan w:val="2"/>
          </w:tcPr>
          <w:p>
            <w:pPr>
              <w:jc w:val="center"/>
              <w:ind w:right="300"/>
              <w:spacing w:after="0"/>
              <w:rPr>
                <w:sz w:val="20"/>
                <w:szCs w:val="20"/>
                <w:color w:val="auto"/>
              </w:rPr>
            </w:pPr>
            <w:r>
              <w:rPr>
                <w:rFonts w:ascii="Arial" w:cs="Arial" w:eastAsia="Arial" w:hAnsi="Arial"/>
                <w:sz w:val="20"/>
                <w:szCs w:val="20"/>
                <w:color w:val="auto"/>
                <w:w w:val="92"/>
              </w:rPr>
              <w:t>Term (In</w:t>
            </w:r>
          </w:p>
        </w:tc>
        <w:tc>
          <w:tcPr>
            <w:tcW w:w="220" w:type="dxa"/>
            <w:vAlign w:val="bottom"/>
          </w:tcPr>
          <w:p>
            <w:pPr>
              <w:spacing w:after="0"/>
              <w:rPr>
                <w:sz w:val="19"/>
                <w:szCs w:val="19"/>
                <w:color w:val="auto"/>
              </w:rPr>
            </w:pPr>
          </w:p>
        </w:tc>
        <w:tc>
          <w:tcPr>
            <w:tcW w:w="1480" w:type="dxa"/>
            <w:vAlign w:val="bottom"/>
          </w:tcPr>
          <w:p>
            <w:pPr>
              <w:jc w:val="right"/>
              <w:ind w:right="341"/>
              <w:spacing w:after="0"/>
              <w:rPr>
                <w:sz w:val="20"/>
                <w:szCs w:val="20"/>
                <w:color w:val="auto"/>
              </w:rPr>
            </w:pPr>
            <w:r>
              <w:rPr>
                <w:rFonts w:ascii="Arial" w:cs="Arial" w:eastAsia="Arial" w:hAnsi="Arial"/>
                <w:sz w:val="20"/>
                <w:szCs w:val="20"/>
                <w:color w:val="auto"/>
              </w:rPr>
              <w:t>Aggregate</w:t>
            </w:r>
          </w:p>
        </w:tc>
      </w:tr>
      <w:tr>
        <w:trPr>
          <w:trHeight w:val="246"/>
        </w:trPr>
        <w:tc>
          <w:tcPr>
            <w:tcW w:w="3960" w:type="dxa"/>
            <w:vAlign w:val="bottom"/>
            <w:gridSpan w:val="2"/>
          </w:tcPr>
          <w:p>
            <w:pPr>
              <w:ind w:left="1700"/>
              <w:spacing w:after="0"/>
              <w:rPr>
                <w:sz w:val="20"/>
                <w:szCs w:val="20"/>
                <w:color w:val="auto"/>
              </w:rPr>
            </w:pPr>
            <w:r>
              <w:rPr>
                <w:rFonts w:ascii="Arial" w:cs="Arial" w:eastAsia="Arial" w:hAnsi="Arial"/>
                <w:sz w:val="20"/>
                <w:szCs w:val="20"/>
                <w:color w:val="auto"/>
              </w:rPr>
              <w:t>Options</w:t>
            </w:r>
          </w:p>
        </w:tc>
        <w:tc>
          <w:tcPr>
            <w:tcW w:w="1620" w:type="dxa"/>
            <w:vAlign w:val="bottom"/>
          </w:tcPr>
          <w:p>
            <w:pPr>
              <w:jc w:val="center"/>
              <w:spacing w:after="0"/>
              <w:rPr>
                <w:sz w:val="20"/>
                <w:szCs w:val="20"/>
                <w:color w:val="auto"/>
              </w:rPr>
            </w:pPr>
            <w:r>
              <w:rPr>
                <w:rFonts w:ascii="Arial" w:cs="Arial" w:eastAsia="Arial" w:hAnsi="Arial"/>
                <w:sz w:val="20"/>
                <w:szCs w:val="20"/>
                <w:color w:val="auto"/>
                <w:w w:val="86"/>
              </w:rPr>
              <w:t>thousands)</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40" w:type="dxa"/>
            <w:vAlign w:val="bottom"/>
            <w:gridSpan w:val="2"/>
          </w:tcPr>
          <w:p>
            <w:pPr>
              <w:jc w:val="center"/>
              <w:ind w:right="620"/>
              <w:spacing w:after="0"/>
              <w:rPr>
                <w:sz w:val="20"/>
                <w:szCs w:val="20"/>
                <w:color w:val="auto"/>
              </w:rPr>
            </w:pPr>
            <w:r>
              <w:rPr>
                <w:rFonts w:ascii="Arial" w:cs="Arial" w:eastAsia="Arial" w:hAnsi="Arial"/>
                <w:sz w:val="20"/>
                <w:szCs w:val="20"/>
                <w:color w:val="auto"/>
                <w:w w:val="82"/>
              </w:rPr>
              <w:t>Share</w:t>
            </w:r>
          </w:p>
        </w:tc>
        <w:tc>
          <w:tcPr>
            <w:tcW w:w="1880" w:type="dxa"/>
            <w:vAlign w:val="bottom"/>
            <w:gridSpan w:val="2"/>
          </w:tcPr>
          <w:p>
            <w:pPr>
              <w:jc w:val="center"/>
              <w:ind w:right="300"/>
              <w:spacing w:after="0"/>
              <w:rPr>
                <w:sz w:val="20"/>
                <w:szCs w:val="20"/>
                <w:color w:val="auto"/>
              </w:rPr>
            </w:pPr>
            <w:r>
              <w:rPr>
                <w:rFonts w:ascii="Arial" w:cs="Arial" w:eastAsia="Arial" w:hAnsi="Arial"/>
                <w:sz w:val="20"/>
                <w:szCs w:val="20"/>
                <w:color w:val="auto"/>
                <w:w w:val="89"/>
              </w:rPr>
              <w:t>years)</w:t>
            </w:r>
          </w:p>
        </w:tc>
        <w:tc>
          <w:tcPr>
            <w:tcW w:w="220" w:type="dxa"/>
            <w:vAlign w:val="bottom"/>
          </w:tcPr>
          <w:p>
            <w:pPr>
              <w:spacing w:after="0"/>
              <w:rPr>
                <w:sz w:val="21"/>
                <w:szCs w:val="21"/>
                <w:color w:val="auto"/>
              </w:rPr>
            </w:pPr>
          </w:p>
        </w:tc>
        <w:tc>
          <w:tcPr>
            <w:tcW w:w="1480" w:type="dxa"/>
            <w:vAlign w:val="bottom"/>
          </w:tcPr>
          <w:p>
            <w:pPr>
              <w:jc w:val="right"/>
              <w:ind w:right="181"/>
              <w:spacing w:after="0"/>
              <w:rPr>
                <w:sz w:val="20"/>
                <w:szCs w:val="20"/>
                <w:color w:val="auto"/>
              </w:rPr>
            </w:pPr>
            <w:r>
              <w:rPr>
                <w:rFonts w:ascii="Arial" w:cs="Arial" w:eastAsia="Arial" w:hAnsi="Arial"/>
                <w:sz w:val="20"/>
                <w:szCs w:val="20"/>
                <w:color w:val="auto"/>
                <w:w w:val="93"/>
              </w:rPr>
              <w:t>Intrinsic Value</w:t>
            </w:r>
          </w:p>
        </w:tc>
      </w:tr>
      <w:tr>
        <w:trPr>
          <w:trHeight w:val="206"/>
        </w:trPr>
        <w:tc>
          <w:tcPr>
            <w:tcW w:w="3660" w:type="dxa"/>
            <w:vAlign w:val="bottom"/>
            <w:tcBorders>
              <w:top w:val="single" w:sz="8" w:color="auto"/>
            </w:tcBorders>
          </w:tcPr>
          <w:p>
            <w:pPr>
              <w:ind w:left="40"/>
              <w:spacing w:after="0" w:line="207" w:lineRule="exact"/>
              <w:rPr>
                <w:sz w:val="20"/>
                <w:szCs w:val="20"/>
                <w:color w:val="auto"/>
              </w:rPr>
            </w:pPr>
            <w:r>
              <w:rPr>
                <w:rFonts w:ascii="Arial" w:cs="Arial" w:eastAsia="Arial" w:hAnsi="Arial"/>
                <w:sz w:val="20"/>
                <w:szCs w:val="20"/>
                <w:color w:val="auto"/>
              </w:rPr>
              <w:t>Outstanding at January 1, 2015</w:t>
            </w:r>
          </w:p>
        </w:tc>
        <w:tc>
          <w:tcPr>
            <w:tcW w:w="300" w:type="dxa"/>
            <w:vAlign w:val="bottom"/>
          </w:tcPr>
          <w:p>
            <w:pPr>
              <w:spacing w:after="0"/>
              <w:rPr>
                <w:sz w:val="17"/>
                <w:szCs w:val="17"/>
                <w:color w:val="auto"/>
              </w:rPr>
            </w:pPr>
          </w:p>
        </w:tc>
        <w:tc>
          <w:tcPr>
            <w:tcW w:w="1620" w:type="dxa"/>
            <w:vAlign w:val="bottom"/>
            <w:tcBorders>
              <w:top w:val="single" w:sz="8" w:color="auto"/>
            </w:tcBorders>
          </w:tcPr>
          <w:p>
            <w:pPr>
              <w:jc w:val="right"/>
              <w:ind w:right="41"/>
              <w:spacing w:after="0" w:line="207" w:lineRule="exact"/>
              <w:rPr>
                <w:sz w:val="20"/>
                <w:szCs w:val="20"/>
                <w:color w:val="auto"/>
              </w:rPr>
            </w:pPr>
            <w:r>
              <w:rPr>
                <w:rFonts w:ascii="Arial" w:cs="Arial" w:eastAsia="Arial" w:hAnsi="Arial"/>
                <w:sz w:val="20"/>
                <w:szCs w:val="20"/>
                <w:color w:val="auto"/>
              </w:rPr>
              <w:t>13,066</w:t>
            </w:r>
          </w:p>
        </w:tc>
        <w:tc>
          <w:tcPr>
            <w:tcW w:w="280" w:type="dxa"/>
            <w:vAlign w:val="bottom"/>
          </w:tcPr>
          <w:p>
            <w:pPr>
              <w:spacing w:after="0"/>
              <w:rPr>
                <w:sz w:val="17"/>
                <w:szCs w:val="17"/>
                <w:color w:val="auto"/>
              </w:rPr>
            </w:pPr>
          </w:p>
        </w:tc>
        <w:tc>
          <w:tcPr>
            <w:tcW w:w="34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240" w:type="dxa"/>
            <w:vAlign w:val="bottom"/>
            <w:tcBorders>
              <w:top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rPr>
              <w:t>19.73</w:t>
            </w:r>
          </w:p>
        </w:tc>
        <w:tc>
          <w:tcPr>
            <w:tcW w:w="300" w:type="dxa"/>
            <w:vAlign w:val="bottom"/>
          </w:tcPr>
          <w:p>
            <w:pPr>
              <w:spacing w:after="0"/>
              <w:rPr>
                <w:sz w:val="17"/>
                <w:szCs w:val="17"/>
                <w:color w:val="auto"/>
              </w:rPr>
            </w:pPr>
          </w:p>
        </w:tc>
        <w:tc>
          <w:tcPr>
            <w:tcW w:w="1580" w:type="dxa"/>
            <w:vAlign w:val="bottom"/>
            <w:tcBorders>
              <w:top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rPr>
              <w:t>3.1</w:t>
            </w:r>
          </w:p>
        </w:tc>
        <w:tc>
          <w:tcPr>
            <w:tcW w:w="300" w:type="dxa"/>
            <w:vAlign w:val="bottom"/>
          </w:tcPr>
          <w:p>
            <w:pPr>
              <w:spacing w:after="0"/>
              <w:rPr>
                <w:sz w:val="17"/>
                <w:szCs w:val="17"/>
                <w:color w:val="auto"/>
              </w:rPr>
            </w:pPr>
          </w:p>
        </w:tc>
        <w:tc>
          <w:tcPr>
            <w:tcW w:w="22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480" w:type="dxa"/>
            <w:vAlign w:val="bottom"/>
            <w:tcBorders>
              <w:top w:val="single" w:sz="8" w:color="auto"/>
            </w:tcBorders>
          </w:tcPr>
          <w:p>
            <w:pPr>
              <w:jc w:val="right"/>
              <w:ind w:right="41"/>
              <w:spacing w:after="0" w:line="207" w:lineRule="exact"/>
              <w:rPr>
                <w:sz w:val="20"/>
                <w:szCs w:val="20"/>
                <w:color w:val="auto"/>
              </w:rPr>
            </w:pPr>
            <w:r>
              <w:rPr>
                <w:rFonts w:ascii="Arial" w:cs="Arial" w:eastAsia="Arial" w:hAnsi="Arial"/>
                <w:sz w:val="20"/>
                <w:szCs w:val="20"/>
                <w:color w:val="auto"/>
              </w:rPr>
              <w:t>1,158,412</w:t>
            </w:r>
          </w:p>
        </w:tc>
      </w:tr>
      <w:tr>
        <w:trPr>
          <w:trHeight w:val="230"/>
        </w:trPr>
        <w:tc>
          <w:tcPr>
            <w:tcW w:w="3960" w:type="dxa"/>
            <w:vAlign w:val="bottom"/>
            <w:gridSpan w:val="2"/>
          </w:tcPr>
          <w:p>
            <w:pPr>
              <w:ind w:left="360"/>
              <w:spacing w:after="0"/>
              <w:rPr>
                <w:sz w:val="20"/>
                <w:szCs w:val="20"/>
                <w:color w:val="auto"/>
              </w:rPr>
            </w:pPr>
            <w:r>
              <w:rPr>
                <w:rFonts w:ascii="Arial" w:cs="Arial" w:eastAsia="Arial" w:hAnsi="Arial"/>
                <w:sz w:val="20"/>
                <w:szCs w:val="20"/>
                <w:color w:val="auto"/>
              </w:rPr>
              <w:t>Granted 01/01/15 - 03/31/15</w:t>
            </w:r>
          </w:p>
        </w:tc>
        <w:tc>
          <w:tcPr>
            <w:tcW w:w="1620" w:type="dxa"/>
            <w:vAlign w:val="bottom"/>
          </w:tcPr>
          <w:p>
            <w:pPr>
              <w:jc w:val="right"/>
              <w:ind w:right="41"/>
              <w:spacing w:after="0"/>
              <w:rPr>
                <w:sz w:val="20"/>
                <w:szCs w:val="20"/>
                <w:color w:val="auto"/>
              </w:rPr>
            </w:pPr>
            <w:r>
              <w:rPr>
                <w:rFonts w:ascii="Arial" w:cs="Arial" w:eastAsia="Arial" w:hAnsi="Arial"/>
                <w:sz w:val="20"/>
                <w:szCs w:val="20"/>
                <w:color w:val="auto"/>
              </w:rPr>
              <w:t>903</w:t>
            </w:r>
          </w:p>
        </w:tc>
        <w:tc>
          <w:tcPr>
            <w:tcW w:w="6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133.68</w:t>
            </w: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3960" w:type="dxa"/>
            <w:vAlign w:val="bottom"/>
            <w:gridSpan w:val="2"/>
          </w:tcPr>
          <w:p>
            <w:pPr>
              <w:ind w:left="360"/>
              <w:spacing w:after="0"/>
              <w:rPr>
                <w:sz w:val="20"/>
                <w:szCs w:val="20"/>
                <w:color w:val="auto"/>
              </w:rPr>
            </w:pPr>
            <w:r>
              <w:rPr>
                <w:rFonts w:ascii="Arial" w:cs="Arial" w:eastAsia="Arial" w:hAnsi="Arial"/>
                <w:sz w:val="20"/>
                <w:szCs w:val="20"/>
                <w:color w:val="auto"/>
              </w:rPr>
              <w:t>Exercised</w:t>
            </w:r>
          </w:p>
        </w:tc>
        <w:tc>
          <w:tcPr>
            <w:tcW w:w="1620" w:type="dxa"/>
            <w:vAlign w:val="bottom"/>
          </w:tcPr>
          <w:p>
            <w:pPr>
              <w:jc w:val="right"/>
              <w:spacing w:after="0"/>
              <w:rPr>
                <w:sz w:val="20"/>
                <w:szCs w:val="20"/>
                <w:color w:val="auto"/>
              </w:rPr>
            </w:pPr>
            <w:r>
              <w:rPr>
                <w:rFonts w:ascii="Arial" w:cs="Arial" w:eastAsia="Arial" w:hAnsi="Arial"/>
                <w:sz w:val="20"/>
                <w:szCs w:val="20"/>
                <w:color w:val="auto"/>
              </w:rPr>
              <w:t>(4,589)</w:t>
            </w:r>
          </w:p>
        </w:tc>
        <w:tc>
          <w:tcPr>
            <w:tcW w:w="6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4.17</w:t>
            </w: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46"/>
        </w:trPr>
        <w:tc>
          <w:tcPr>
            <w:tcW w:w="3960" w:type="dxa"/>
            <w:vAlign w:val="bottom"/>
            <w:gridSpan w:val="2"/>
          </w:tcPr>
          <w:p>
            <w:pPr>
              <w:ind w:left="360"/>
              <w:spacing w:after="0"/>
              <w:rPr>
                <w:sz w:val="20"/>
                <w:szCs w:val="20"/>
                <w:color w:val="auto"/>
              </w:rPr>
            </w:pPr>
            <w:r>
              <w:rPr>
                <w:rFonts w:ascii="Arial" w:cs="Arial" w:eastAsia="Arial" w:hAnsi="Arial"/>
                <w:sz w:val="20"/>
                <w:szCs w:val="20"/>
                <w:color w:val="auto"/>
              </w:rPr>
              <w:t>Cancelled or forfeited</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w:t>
            </w:r>
          </w:p>
        </w:tc>
        <w:tc>
          <w:tcPr>
            <w:tcW w:w="6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40.61</w:t>
            </w:r>
          </w:p>
        </w:tc>
        <w:tc>
          <w:tcPr>
            <w:tcW w:w="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06"/>
        </w:trPr>
        <w:tc>
          <w:tcPr>
            <w:tcW w:w="3960" w:type="dxa"/>
            <w:vAlign w:val="bottom"/>
            <w:gridSpan w:val="2"/>
          </w:tcPr>
          <w:p>
            <w:pPr>
              <w:ind w:left="40"/>
              <w:spacing w:after="0" w:line="207" w:lineRule="exact"/>
              <w:rPr>
                <w:sz w:val="20"/>
                <w:szCs w:val="20"/>
                <w:color w:val="auto"/>
              </w:rPr>
            </w:pPr>
            <w:r>
              <w:rPr>
                <w:rFonts w:ascii="Arial" w:cs="Arial" w:eastAsia="Arial" w:hAnsi="Arial"/>
                <w:sz w:val="20"/>
                <w:szCs w:val="20"/>
                <w:color w:val="auto"/>
              </w:rPr>
              <w:t>Outstanding at March 31, 2015</w:t>
            </w:r>
          </w:p>
        </w:tc>
        <w:tc>
          <w:tcPr>
            <w:tcW w:w="1620" w:type="dxa"/>
            <w:vAlign w:val="bottom"/>
          </w:tcPr>
          <w:p>
            <w:pPr>
              <w:jc w:val="right"/>
              <w:ind w:right="41"/>
              <w:spacing w:after="0" w:line="207" w:lineRule="exact"/>
              <w:rPr>
                <w:sz w:val="20"/>
                <w:szCs w:val="20"/>
                <w:color w:val="auto"/>
              </w:rPr>
            </w:pPr>
            <w:r>
              <w:rPr>
                <w:rFonts w:ascii="Arial" w:cs="Arial" w:eastAsia="Arial" w:hAnsi="Arial"/>
                <w:sz w:val="20"/>
                <w:szCs w:val="20"/>
                <w:color w:val="auto"/>
              </w:rPr>
              <w:t>9,364</w:t>
            </w:r>
          </w:p>
        </w:tc>
        <w:tc>
          <w:tcPr>
            <w:tcW w:w="620" w:type="dxa"/>
            <w:vAlign w:val="bottom"/>
            <w:gridSpan w:val="2"/>
          </w:tcPr>
          <w:p>
            <w:pPr>
              <w:jc w:val="right"/>
              <w:spacing w:after="0" w:line="207" w:lineRule="exact"/>
              <w:rPr>
                <w:sz w:val="20"/>
                <w:szCs w:val="20"/>
                <w:color w:val="auto"/>
              </w:rPr>
            </w:pPr>
            <w:r>
              <w:rPr>
                <w:rFonts w:ascii="Arial" w:cs="Arial" w:eastAsia="Arial" w:hAnsi="Arial"/>
                <w:sz w:val="20"/>
                <w:szCs w:val="20"/>
                <w:color w:val="auto"/>
              </w:rPr>
              <w:t>$</w:t>
            </w:r>
          </w:p>
        </w:tc>
        <w:tc>
          <w:tcPr>
            <w:tcW w:w="1240" w:type="dxa"/>
            <w:vAlign w:val="bottom"/>
          </w:tcPr>
          <w:p>
            <w:pPr>
              <w:jc w:val="right"/>
              <w:ind w:right="21"/>
              <w:spacing w:after="0" w:line="207" w:lineRule="exact"/>
              <w:rPr>
                <w:sz w:val="20"/>
                <w:szCs w:val="20"/>
                <w:color w:val="auto"/>
              </w:rPr>
            </w:pPr>
            <w:r>
              <w:rPr>
                <w:rFonts w:ascii="Arial" w:cs="Arial" w:eastAsia="Arial" w:hAnsi="Arial"/>
                <w:sz w:val="20"/>
                <w:szCs w:val="20"/>
                <w:color w:val="auto"/>
              </w:rPr>
              <w:t>38.30</w:t>
            </w:r>
          </w:p>
        </w:tc>
        <w:tc>
          <w:tcPr>
            <w:tcW w:w="300" w:type="dxa"/>
            <w:vAlign w:val="bottom"/>
          </w:tcPr>
          <w:p>
            <w:pPr>
              <w:spacing w:after="0"/>
              <w:rPr>
                <w:sz w:val="17"/>
                <w:szCs w:val="17"/>
                <w:color w:val="auto"/>
              </w:rPr>
            </w:pPr>
          </w:p>
        </w:tc>
        <w:tc>
          <w:tcPr>
            <w:tcW w:w="1580" w:type="dxa"/>
            <w:vAlign w:val="bottom"/>
          </w:tcPr>
          <w:p>
            <w:pPr>
              <w:jc w:val="right"/>
              <w:ind w:right="21"/>
              <w:spacing w:after="0" w:line="207" w:lineRule="exact"/>
              <w:rPr>
                <w:sz w:val="20"/>
                <w:szCs w:val="20"/>
                <w:color w:val="auto"/>
              </w:rPr>
            </w:pPr>
            <w:r>
              <w:rPr>
                <w:rFonts w:ascii="Arial" w:cs="Arial" w:eastAsia="Arial" w:hAnsi="Arial"/>
                <w:sz w:val="20"/>
                <w:szCs w:val="20"/>
                <w:color w:val="auto"/>
              </w:rPr>
              <w:t>4.8</w:t>
            </w:r>
          </w:p>
        </w:tc>
        <w:tc>
          <w:tcPr>
            <w:tcW w:w="300" w:type="dxa"/>
            <w:vAlign w:val="bottom"/>
          </w:tcPr>
          <w:p>
            <w:pPr>
              <w:spacing w:after="0"/>
              <w:rPr>
                <w:sz w:val="17"/>
                <w:szCs w:val="17"/>
                <w:color w:val="auto"/>
              </w:rPr>
            </w:pPr>
          </w:p>
        </w:tc>
        <w:tc>
          <w:tcPr>
            <w:tcW w:w="22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1480" w:type="dxa"/>
            <w:vAlign w:val="bottom"/>
          </w:tcPr>
          <w:p>
            <w:pPr>
              <w:jc w:val="right"/>
              <w:ind w:right="41"/>
              <w:spacing w:after="0" w:line="207" w:lineRule="exact"/>
              <w:rPr>
                <w:sz w:val="20"/>
                <w:szCs w:val="20"/>
                <w:color w:val="auto"/>
              </w:rPr>
            </w:pPr>
            <w:r>
              <w:rPr>
                <w:rFonts w:ascii="Arial" w:cs="Arial" w:eastAsia="Arial" w:hAnsi="Arial"/>
                <w:sz w:val="20"/>
                <w:szCs w:val="20"/>
                <w:color w:val="auto"/>
              </w:rPr>
              <w:t>937,246</w:t>
            </w:r>
          </w:p>
        </w:tc>
      </w:tr>
      <w:tr>
        <w:trPr>
          <w:trHeight w:val="230"/>
        </w:trPr>
        <w:tc>
          <w:tcPr>
            <w:tcW w:w="3960" w:type="dxa"/>
            <w:vAlign w:val="bottom"/>
            <w:gridSpan w:val="2"/>
          </w:tcPr>
          <w:p>
            <w:pPr>
              <w:ind w:left="40"/>
              <w:spacing w:after="0"/>
              <w:rPr>
                <w:sz w:val="20"/>
                <w:szCs w:val="20"/>
                <w:color w:val="auto"/>
              </w:rPr>
            </w:pPr>
            <w:r>
              <w:rPr>
                <w:rFonts w:ascii="Arial" w:cs="Arial" w:eastAsia="Arial" w:hAnsi="Arial"/>
                <w:sz w:val="20"/>
                <w:szCs w:val="20"/>
                <w:color w:val="auto"/>
              </w:rPr>
              <w:t>Vested and expected to vest in the future at</w:t>
            </w:r>
          </w:p>
        </w:tc>
        <w:tc>
          <w:tcPr>
            <w:tcW w:w="1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3960" w:type="dxa"/>
            <w:vAlign w:val="bottom"/>
            <w:gridSpan w:val="2"/>
          </w:tcPr>
          <w:p>
            <w:pPr>
              <w:ind w:left="400"/>
              <w:spacing w:after="0"/>
              <w:rPr>
                <w:sz w:val="20"/>
                <w:szCs w:val="20"/>
                <w:color w:val="auto"/>
              </w:rPr>
            </w:pPr>
            <w:r>
              <w:rPr>
                <w:rFonts w:ascii="Arial" w:cs="Arial" w:eastAsia="Arial" w:hAnsi="Arial"/>
                <w:sz w:val="20"/>
                <w:szCs w:val="20"/>
                <w:color w:val="auto"/>
              </w:rPr>
              <w:t>March 31, 2015</w:t>
            </w:r>
          </w:p>
        </w:tc>
        <w:tc>
          <w:tcPr>
            <w:tcW w:w="1620" w:type="dxa"/>
            <w:vAlign w:val="bottom"/>
          </w:tcPr>
          <w:p>
            <w:pPr>
              <w:jc w:val="right"/>
              <w:ind w:right="41"/>
              <w:spacing w:after="0"/>
              <w:rPr>
                <w:sz w:val="20"/>
                <w:szCs w:val="20"/>
                <w:color w:val="auto"/>
              </w:rPr>
            </w:pPr>
            <w:r>
              <w:rPr>
                <w:rFonts w:ascii="Arial" w:cs="Arial" w:eastAsia="Arial" w:hAnsi="Arial"/>
                <w:sz w:val="20"/>
                <w:szCs w:val="20"/>
                <w:color w:val="auto"/>
              </w:rPr>
              <w:t>8,869</w:t>
            </w:r>
          </w:p>
        </w:tc>
        <w:tc>
          <w:tcPr>
            <w:tcW w:w="6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35.23</w:t>
            </w:r>
          </w:p>
        </w:tc>
        <w:tc>
          <w:tcPr>
            <w:tcW w:w="300" w:type="dxa"/>
            <w:vAlign w:val="bottom"/>
          </w:tcPr>
          <w:p>
            <w:pPr>
              <w:spacing w:after="0"/>
              <w:rPr>
                <w:sz w:val="19"/>
                <w:szCs w:val="19"/>
                <w:color w:val="auto"/>
              </w:rPr>
            </w:pPr>
          </w:p>
        </w:tc>
        <w:tc>
          <w:tcPr>
            <w:tcW w:w="1580" w:type="dxa"/>
            <w:vAlign w:val="bottom"/>
          </w:tcPr>
          <w:p>
            <w:pPr>
              <w:jc w:val="right"/>
              <w:ind w:right="21"/>
              <w:spacing w:after="0"/>
              <w:rPr>
                <w:sz w:val="20"/>
                <w:szCs w:val="20"/>
                <w:color w:val="auto"/>
              </w:rPr>
            </w:pPr>
            <w:r>
              <w:rPr>
                <w:rFonts w:ascii="Arial" w:cs="Arial" w:eastAsia="Arial" w:hAnsi="Arial"/>
                <w:sz w:val="20"/>
                <w:szCs w:val="20"/>
                <w:color w:val="auto"/>
              </w:rPr>
              <w:t>4.6</w:t>
            </w:r>
          </w:p>
        </w:tc>
        <w:tc>
          <w:tcPr>
            <w:tcW w:w="3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480" w:type="dxa"/>
            <w:vAlign w:val="bottom"/>
          </w:tcPr>
          <w:p>
            <w:pPr>
              <w:jc w:val="right"/>
              <w:ind w:right="41"/>
              <w:spacing w:after="0"/>
              <w:rPr>
                <w:sz w:val="20"/>
                <w:szCs w:val="20"/>
                <w:color w:val="auto"/>
              </w:rPr>
            </w:pPr>
            <w:r>
              <w:rPr>
                <w:rFonts w:ascii="Arial" w:cs="Arial" w:eastAsia="Arial" w:hAnsi="Arial"/>
                <w:sz w:val="20"/>
                <w:szCs w:val="20"/>
                <w:color w:val="auto"/>
              </w:rPr>
              <w:t>915,012</w:t>
            </w:r>
          </w:p>
        </w:tc>
      </w:tr>
      <w:tr>
        <w:trPr>
          <w:trHeight w:val="250"/>
        </w:trPr>
        <w:tc>
          <w:tcPr>
            <w:tcW w:w="3960" w:type="dxa"/>
            <w:vAlign w:val="bottom"/>
            <w:gridSpan w:val="2"/>
          </w:tcPr>
          <w:p>
            <w:pPr>
              <w:ind w:left="40"/>
              <w:spacing w:after="0"/>
              <w:rPr>
                <w:sz w:val="20"/>
                <w:szCs w:val="20"/>
                <w:color w:val="auto"/>
              </w:rPr>
            </w:pPr>
            <w:r>
              <w:rPr>
                <w:rFonts w:ascii="Arial" w:cs="Arial" w:eastAsia="Arial" w:hAnsi="Arial"/>
                <w:sz w:val="20"/>
                <w:szCs w:val="20"/>
                <w:color w:val="auto"/>
              </w:rPr>
              <w:t>Exercisable at March 31, 2015</w:t>
            </w:r>
          </w:p>
        </w:tc>
        <w:tc>
          <w:tcPr>
            <w:tcW w:w="1620" w:type="dxa"/>
            <w:vAlign w:val="bottom"/>
          </w:tcPr>
          <w:p>
            <w:pPr>
              <w:jc w:val="right"/>
              <w:ind w:right="41"/>
              <w:spacing w:after="0"/>
              <w:rPr>
                <w:sz w:val="20"/>
                <w:szCs w:val="20"/>
                <w:color w:val="auto"/>
              </w:rPr>
            </w:pPr>
            <w:r>
              <w:rPr>
                <w:rFonts w:ascii="Arial" w:cs="Arial" w:eastAsia="Arial" w:hAnsi="Arial"/>
                <w:sz w:val="20"/>
                <w:szCs w:val="20"/>
                <w:color w:val="auto"/>
              </w:rPr>
              <w:t>6,284</w:t>
            </w:r>
          </w:p>
        </w:tc>
        <w:tc>
          <w:tcPr>
            <w:tcW w:w="6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17.00</w:t>
            </w:r>
          </w:p>
        </w:tc>
        <w:tc>
          <w:tcPr>
            <w:tcW w:w="300" w:type="dxa"/>
            <w:vAlign w:val="bottom"/>
          </w:tcPr>
          <w:p>
            <w:pPr>
              <w:spacing w:after="0"/>
              <w:rPr>
                <w:sz w:val="21"/>
                <w:szCs w:val="21"/>
                <w:color w:val="auto"/>
              </w:rPr>
            </w:pPr>
          </w:p>
        </w:tc>
        <w:tc>
          <w:tcPr>
            <w:tcW w:w="1580" w:type="dxa"/>
            <w:vAlign w:val="bottom"/>
          </w:tcPr>
          <w:p>
            <w:pPr>
              <w:jc w:val="right"/>
              <w:ind w:right="21"/>
              <w:spacing w:after="0"/>
              <w:rPr>
                <w:sz w:val="20"/>
                <w:szCs w:val="20"/>
                <w:color w:val="auto"/>
              </w:rPr>
            </w:pPr>
            <w:r>
              <w:rPr>
                <w:rFonts w:ascii="Arial" w:cs="Arial" w:eastAsia="Arial" w:hAnsi="Arial"/>
                <w:sz w:val="20"/>
                <w:szCs w:val="20"/>
                <w:color w:val="auto"/>
              </w:rPr>
              <w:t>2.9</w:t>
            </w:r>
          </w:p>
        </w:tc>
        <w:tc>
          <w:tcPr>
            <w:tcW w:w="3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480" w:type="dxa"/>
            <w:vAlign w:val="bottom"/>
          </w:tcPr>
          <w:p>
            <w:pPr>
              <w:jc w:val="right"/>
              <w:ind w:right="41"/>
              <w:spacing w:after="0"/>
              <w:rPr>
                <w:sz w:val="20"/>
                <w:szCs w:val="20"/>
                <w:color w:val="auto"/>
              </w:rPr>
            </w:pPr>
            <w:r>
              <w:rPr>
                <w:rFonts w:ascii="Arial" w:cs="Arial" w:eastAsia="Arial" w:hAnsi="Arial"/>
                <w:sz w:val="20"/>
                <w:szCs w:val="20"/>
                <w:color w:val="auto"/>
              </w:rPr>
              <w:t>762,806</w:t>
            </w:r>
          </w:p>
        </w:tc>
      </w:tr>
    </w:tbl>
    <w:p>
      <w:pPr>
        <w:spacing w:after="0" w:line="20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weighted-average grant-date fair value of options granted during the three-months ended March 31, 2015 and 2014 was $50.16 per share and $29.86 per share, respectively. The total intrinsic value of options exercised during the three-months ended March 31, 2015 and 2014 was $515.7 million and $11.4 million, respectively.</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Cash received from option exercises under all plans for the three-months ended March 31, 2015 and 2014 was approximately $19.0 million and $5.7 million, respectively.</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At March 31, 2015, there was $88.2 million of total unrecognized compensation expense related to non-vested options granted to employees under the Company’s share-based payment plans. That cost is expected to be recognized over a weighted-average period of 3.2 years.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Restricted Stock Awards and Restricted Stock Units</w:t>
      </w:r>
    </w:p>
    <w:p>
      <w:pPr>
        <w:spacing w:after="0" w:line="229" w:lineRule="exact"/>
        <w:rPr>
          <w:sz w:val="20"/>
          <w:szCs w:val="20"/>
          <w:color w:val="auto"/>
        </w:rPr>
      </w:pPr>
    </w:p>
    <w:p>
      <w:pPr>
        <w:jc w:val="both"/>
        <w:ind w:firstLine="648"/>
        <w:spacing w:after="0" w:line="386" w:lineRule="auto"/>
        <w:rPr>
          <w:sz w:val="20"/>
          <w:szCs w:val="20"/>
          <w:color w:val="auto"/>
        </w:rPr>
      </w:pPr>
      <w:r>
        <w:rPr>
          <w:rFonts w:ascii="Arial" w:cs="Arial" w:eastAsia="Arial" w:hAnsi="Arial"/>
          <w:sz w:val="16"/>
          <w:szCs w:val="16"/>
          <w:color w:val="auto"/>
        </w:rPr>
        <w:t>Stock-based compensation cost for restricted stock awards and restricted stock units is measured based on the closing fair market value of the Company’s common stock at the date of grant. In the event that the Company has the option and intent to settle a restricted stock unit in</w:t>
      </w:r>
    </w:p>
    <w:p>
      <w:pPr>
        <w:sectPr>
          <w:pgSz w:w="11900" w:h="16865" w:orient="portrait"/>
          <w:cols w:equalWidth="0" w:num="1">
            <w:col w:w="11420"/>
          </w:cols>
          <w:pgMar w:left="240" w:top="352" w:right="239" w:bottom="0" w:gutter="0" w:footer="0" w:header="0"/>
        </w:sectPr>
      </w:pPr>
    </w:p>
    <w:bookmarkStart w:id="16" w:name="page17"/>
    <w:bookmarkEnd w:id="16"/>
    <w:p>
      <w:pPr>
        <w:spacing w:after="0"/>
        <w:rPr>
          <w:sz w:val="20"/>
          <w:szCs w:val="20"/>
          <w:color w:val="auto"/>
        </w:rPr>
      </w:pPr>
      <w:r>
        <w:rPr>
          <w:rFonts w:ascii="Arial" w:cs="Arial" w:eastAsia="Arial" w:hAnsi="Arial"/>
          <w:sz w:val="20"/>
          <w:szCs w:val="20"/>
          <w:color w:val="auto"/>
        </w:rPr>
        <w:t>cash, the award is classified as a liability and revalued at each balance sheet date.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following table summarizes the Company’s activities with respect to non-vested restricted stock awards and non-vested restricted stock units as follows:</w:t>
      </w:r>
    </w:p>
    <w:p>
      <w:pPr>
        <w:spacing w:after="0" w:line="190"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0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center"/>
              <w:ind w:right="141"/>
              <w:spacing w:after="0"/>
              <w:rPr>
                <w:sz w:val="20"/>
                <w:szCs w:val="20"/>
                <w:color w:val="auto"/>
              </w:rPr>
            </w:pPr>
            <w:r>
              <w:rPr>
                <w:rFonts w:ascii="Arial" w:cs="Arial" w:eastAsia="Arial" w:hAnsi="Arial"/>
                <w:sz w:val="20"/>
                <w:szCs w:val="20"/>
                <w:color w:val="auto"/>
                <w:w w:val="87"/>
              </w:rPr>
              <w:t>Weighted</w:t>
            </w:r>
          </w:p>
        </w:tc>
        <w:tc>
          <w:tcPr>
            <w:tcW w:w="0" w:type="dxa"/>
            <w:vAlign w:val="bottom"/>
          </w:tcPr>
          <w:p>
            <w:pPr>
              <w:spacing w:after="0"/>
              <w:rPr>
                <w:sz w:val="1"/>
                <w:szCs w:val="1"/>
                <w:color w:val="auto"/>
              </w:rPr>
            </w:pPr>
          </w:p>
        </w:tc>
      </w:tr>
      <w:tr>
        <w:trPr>
          <w:trHeight w:val="230"/>
        </w:trPr>
        <w:tc>
          <w:tcPr>
            <w:tcW w:w="506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20"/>
                <w:szCs w:val="20"/>
                <w:color w:val="auto"/>
                <w:w w:val="92"/>
              </w:rPr>
              <w:t>Number of</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center"/>
              <w:ind w:right="141"/>
              <w:spacing w:after="0"/>
              <w:rPr>
                <w:sz w:val="20"/>
                <w:szCs w:val="20"/>
                <w:color w:val="auto"/>
              </w:rPr>
            </w:pPr>
            <w:r>
              <w:rPr>
                <w:rFonts w:ascii="Arial" w:cs="Arial" w:eastAsia="Arial" w:hAnsi="Arial"/>
                <w:sz w:val="20"/>
                <w:szCs w:val="20"/>
                <w:color w:val="auto"/>
                <w:w w:val="88"/>
              </w:rPr>
              <w:t>Average</w:t>
            </w:r>
          </w:p>
        </w:tc>
        <w:tc>
          <w:tcPr>
            <w:tcW w:w="0" w:type="dxa"/>
            <w:vAlign w:val="bottom"/>
          </w:tcPr>
          <w:p>
            <w:pPr>
              <w:spacing w:after="0"/>
              <w:rPr>
                <w:sz w:val="1"/>
                <w:szCs w:val="1"/>
                <w:color w:val="auto"/>
              </w:rPr>
            </w:pPr>
          </w:p>
        </w:tc>
      </w:tr>
      <w:tr>
        <w:trPr>
          <w:trHeight w:val="230"/>
        </w:trPr>
        <w:tc>
          <w:tcPr>
            <w:tcW w:w="506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20"/>
                <w:szCs w:val="20"/>
                <w:color w:val="auto"/>
                <w:w w:val="87"/>
              </w:rPr>
              <w:t>Shares (in</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center"/>
              <w:ind w:right="141"/>
              <w:spacing w:after="0"/>
              <w:rPr>
                <w:sz w:val="20"/>
                <w:szCs w:val="20"/>
                <w:color w:val="auto"/>
              </w:rPr>
            </w:pPr>
            <w:r>
              <w:rPr>
                <w:rFonts w:ascii="Arial" w:cs="Arial" w:eastAsia="Arial" w:hAnsi="Arial"/>
                <w:sz w:val="20"/>
                <w:szCs w:val="20"/>
                <w:color w:val="auto"/>
                <w:w w:val="90"/>
              </w:rPr>
              <w:t>Grant-Date</w:t>
            </w:r>
          </w:p>
        </w:tc>
        <w:tc>
          <w:tcPr>
            <w:tcW w:w="0" w:type="dxa"/>
            <w:vAlign w:val="bottom"/>
          </w:tcPr>
          <w:p>
            <w:pPr>
              <w:spacing w:after="0"/>
              <w:rPr>
                <w:sz w:val="1"/>
                <w:szCs w:val="1"/>
                <w:color w:val="auto"/>
              </w:rPr>
            </w:pPr>
          </w:p>
        </w:tc>
      </w:tr>
      <w:tr>
        <w:trPr>
          <w:trHeight w:val="246"/>
        </w:trPr>
        <w:tc>
          <w:tcPr>
            <w:tcW w:w="5060" w:type="dxa"/>
            <w:vAlign w:val="bottom"/>
            <w:vMerge w:val="restart"/>
          </w:tcPr>
          <w:p>
            <w:pPr>
              <w:spacing w:after="0"/>
              <w:rPr>
                <w:sz w:val="20"/>
                <w:szCs w:val="20"/>
                <w:color w:val="auto"/>
              </w:rPr>
            </w:pPr>
            <w:r>
              <w:rPr>
                <w:rFonts w:ascii="Arial" w:cs="Arial" w:eastAsia="Arial" w:hAnsi="Arial"/>
                <w:sz w:val="20"/>
                <w:szCs w:val="20"/>
                <w:color w:val="auto"/>
              </w:rPr>
              <w:t>Non-vested at January 1, 2015</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6"/>
              </w:rPr>
              <w:t>thousands)</w:t>
            </w:r>
          </w:p>
        </w:tc>
        <w:tc>
          <w:tcPr>
            <w:tcW w:w="3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141"/>
              <w:spacing w:after="0"/>
              <w:rPr>
                <w:sz w:val="20"/>
                <w:szCs w:val="20"/>
                <w:color w:val="auto"/>
              </w:rPr>
            </w:pPr>
            <w:r>
              <w:rPr>
                <w:rFonts w:ascii="Arial" w:cs="Arial" w:eastAsia="Arial" w:hAnsi="Arial"/>
                <w:sz w:val="20"/>
                <w:szCs w:val="20"/>
                <w:color w:val="auto"/>
                <w:w w:val="89"/>
              </w:rPr>
              <w:t>Fair Value</w:t>
            </w:r>
          </w:p>
        </w:tc>
        <w:tc>
          <w:tcPr>
            <w:tcW w:w="0" w:type="dxa"/>
            <w:vAlign w:val="bottom"/>
          </w:tcPr>
          <w:p>
            <w:pPr>
              <w:spacing w:after="0"/>
              <w:rPr>
                <w:sz w:val="1"/>
                <w:szCs w:val="1"/>
                <w:color w:val="auto"/>
              </w:rPr>
            </w:pPr>
          </w:p>
        </w:tc>
      </w:tr>
      <w:tr>
        <w:trPr>
          <w:trHeight w:val="244"/>
        </w:trPr>
        <w:tc>
          <w:tcPr>
            <w:tcW w:w="5060" w:type="dxa"/>
            <w:vAlign w:val="bottom"/>
            <w:vMerge w:val="continue"/>
          </w:tcPr>
          <w:p>
            <w:pPr>
              <w:spacing w:after="0"/>
              <w:rPr>
                <w:sz w:val="21"/>
                <w:szCs w:val="21"/>
                <w:color w:val="auto"/>
              </w:rPr>
            </w:pPr>
          </w:p>
        </w:tc>
        <w:tc>
          <w:tcPr>
            <w:tcW w:w="1520" w:type="dxa"/>
            <w:vAlign w:val="bottom"/>
          </w:tcPr>
          <w:p>
            <w:pPr>
              <w:jc w:val="right"/>
              <w:ind w:right="21"/>
              <w:spacing w:after="0"/>
              <w:rPr>
                <w:sz w:val="20"/>
                <w:szCs w:val="20"/>
                <w:color w:val="auto"/>
              </w:rPr>
            </w:pPr>
            <w:r>
              <w:rPr>
                <w:rFonts w:ascii="Arial" w:cs="Arial" w:eastAsia="Arial" w:hAnsi="Arial"/>
                <w:sz w:val="20"/>
                <w:szCs w:val="20"/>
                <w:color w:val="auto"/>
              </w:rPr>
              <w:t>149</w:t>
            </w:r>
          </w:p>
        </w:tc>
        <w:tc>
          <w:tcPr>
            <w:tcW w:w="3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61.09</w:t>
            </w:r>
          </w:p>
        </w:tc>
        <w:tc>
          <w:tcPr>
            <w:tcW w:w="0" w:type="dxa"/>
            <w:vAlign w:val="bottom"/>
          </w:tcPr>
          <w:p>
            <w:pPr>
              <w:spacing w:after="0"/>
              <w:rPr>
                <w:sz w:val="1"/>
                <w:szCs w:val="1"/>
                <w:color w:val="auto"/>
              </w:rPr>
            </w:pPr>
          </w:p>
        </w:tc>
      </w:tr>
      <w:tr>
        <w:trPr>
          <w:trHeight w:val="253"/>
        </w:trPr>
        <w:tc>
          <w:tcPr>
            <w:tcW w:w="5060" w:type="dxa"/>
            <w:vAlign w:val="bottom"/>
          </w:tcPr>
          <w:p>
            <w:pPr>
              <w:ind w:left="360"/>
              <w:spacing w:after="0"/>
              <w:rPr>
                <w:sz w:val="20"/>
                <w:szCs w:val="20"/>
                <w:color w:val="auto"/>
              </w:rPr>
            </w:pPr>
            <w:r>
              <w:rPr>
                <w:rFonts w:ascii="Arial" w:cs="Arial" w:eastAsia="Arial" w:hAnsi="Arial"/>
                <w:sz w:val="20"/>
                <w:szCs w:val="20"/>
                <w:color w:val="auto"/>
              </w:rPr>
              <w:t>Granted</w:t>
            </w:r>
          </w:p>
        </w:tc>
        <w:tc>
          <w:tcPr>
            <w:tcW w:w="1520" w:type="dxa"/>
            <w:vAlign w:val="bottom"/>
          </w:tcPr>
          <w:p>
            <w:pPr>
              <w:jc w:val="right"/>
              <w:ind w:right="21"/>
              <w:spacing w:after="0"/>
              <w:rPr>
                <w:sz w:val="20"/>
                <w:szCs w:val="20"/>
                <w:color w:val="auto"/>
              </w:rPr>
            </w:pPr>
            <w:r>
              <w:rPr>
                <w:rFonts w:ascii="Arial" w:cs="Arial" w:eastAsia="Arial" w:hAnsi="Arial"/>
                <w:sz w:val="20"/>
                <w:szCs w:val="20"/>
                <w:color w:val="auto"/>
              </w:rPr>
              <w:t>83</w:t>
            </w:r>
          </w:p>
        </w:tc>
        <w:tc>
          <w:tcPr>
            <w:tcW w:w="5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135.48</w:t>
            </w:r>
          </w:p>
        </w:tc>
        <w:tc>
          <w:tcPr>
            <w:tcW w:w="0" w:type="dxa"/>
            <w:vAlign w:val="bottom"/>
          </w:tcPr>
          <w:p>
            <w:pPr>
              <w:spacing w:after="0"/>
              <w:rPr>
                <w:sz w:val="1"/>
                <w:szCs w:val="1"/>
                <w:color w:val="auto"/>
              </w:rPr>
            </w:pPr>
          </w:p>
        </w:tc>
      </w:tr>
      <w:tr>
        <w:trPr>
          <w:trHeight w:val="270"/>
        </w:trPr>
        <w:tc>
          <w:tcPr>
            <w:tcW w:w="5060" w:type="dxa"/>
            <w:vAlign w:val="bottom"/>
          </w:tcPr>
          <w:p>
            <w:pPr>
              <w:ind w:left="360"/>
              <w:spacing w:after="0"/>
              <w:rPr>
                <w:sz w:val="20"/>
                <w:szCs w:val="20"/>
                <w:color w:val="auto"/>
              </w:rPr>
            </w:pPr>
            <w:r>
              <w:rPr>
                <w:rFonts w:ascii="Arial" w:cs="Arial" w:eastAsia="Arial" w:hAnsi="Arial"/>
                <w:sz w:val="20"/>
                <w:szCs w:val="20"/>
                <w:color w:val="auto"/>
              </w:rPr>
              <w:t>Vested</w:t>
            </w:r>
          </w:p>
        </w:tc>
        <w:tc>
          <w:tcPr>
            <w:tcW w:w="1520" w:type="dxa"/>
            <w:vAlign w:val="bottom"/>
          </w:tcPr>
          <w:p>
            <w:pPr>
              <w:jc w:val="right"/>
              <w:spacing w:after="0"/>
              <w:rPr>
                <w:sz w:val="20"/>
                <w:szCs w:val="20"/>
                <w:color w:val="auto"/>
              </w:rPr>
            </w:pPr>
            <w:r>
              <w:rPr>
                <w:rFonts w:ascii="Arial" w:cs="Arial" w:eastAsia="Arial" w:hAnsi="Arial"/>
                <w:sz w:val="20"/>
                <w:szCs w:val="20"/>
                <w:color w:val="auto"/>
              </w:rPr>
              <w:t>(16)</w:t>
            </w:r>
          </w:p>
        </w:tc>
        <w:tc>
          <w:tcPr>
            <w:tcW w:w="5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57.05</w:t>
            </w:r>
          </w:p>
        </w:tc>
        <w:tc>
          <w:tcPr>
            <w:tcW w:w="0" w:type="dxa"/>
            <w:vAlign w:val="bottom"/>
          </w:tcPr>
          <w:p>
            <w:pPr>
              <w:spacing w:after="0"/>
              <w:rPr>
                <w:sz w:val="1"/>
                <w:szCs w:val="1"/>
                <w:color w:val="auto"/>
              </w:rPr>
            </w:pPr>
          </w:p>
        </w:tc>
      </w:tr>
      <w:tr>
        <w:trPr>
          <w:trHeight w:val="266"/>
        </w:trPr>
        <w:tc>
          <w:tcPr>
            <w:tcW w:w="5060" w:type="dxa"/>
            <w:vAlign w:val="bottom"/>
          </w:tcPr>
          <w:p>
            <w:pPr>
              <w:ind w:left="360"/>
              <w:spacing w:after="0"/>
              <w:rPr>
                <w:sz w:val="20"/>
                <w:szCs w:val="20"/>
                <w:color w:val="auto"/>
              </w:rPr>
            </w:pPr>
            <w:r>
              <w:rPr>
                <w:rFonts w:ascii="Arial" w:cs="Arial" w:eastAsia="Arial" w:hAnsi="Arial"/>
                <w:sz w:val="20"/>
                <w:szCs w:val="20"/>
                <w:color w:val="auto"/>
              </w:rPr>
              <w:t>Forfeited/cancelled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w:t>
            </w:r>
          </w:p>
        </w:tc>
        <w:tc>
          <w:tcPr>
            <w:tcW w:w="5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57.45</w:t>
            </w:r>
          </w:p>
        </w:tc>
        <w:tc>
          <w:tcPr>
            <w:tcW w:w="0" w:type="dxa"/>
            <w:vAlign w:val="bottom"/>
          </w:tcPr>
          <w:p>
            <w:pPr>
              <w:spacing w:after="0"/>
              <w:rPr>
                <w:sz w:val="1"/>
                <w:szCs w:val="1"/>
                <w:color w:val="auto"/>
              </w:rPr>
            </w:pPr>
          </w:p>
        </w:tc>
      </w:tr>
      <w:tr>
        <w:trPr>
          <w:trHeight w:val="264"/>
        </w:trPr>
        <w:tc>
          <w:tcPr>
            <w:tcW w:w="5060" w:type="dxa"/>
            <w:vAlign w:val="bottom"/>
          </w:tcPr>
          <w:p>
            <w:pPr>
              <w:spacing w:after="0"/>
              <w:rPr>
                <w:sz w:val="20"/>
                <w:szCs w:val="20"/>
                <w:color w:val="auto"/>
              </w:rPr>
            </w:pPr>
            <w:r>
              <w:rPr>
                <w:rFonts w:ascii="Arial" w:cs="Arial" w:eastAsia="Arial" w:hAnsi="Arial"/>
                <w:sz w:val="20"/>
                <w:szCs w:val="20"/>
                <w:color w:val="auto"/>
              </w:rPr>
              <w:t>Non-vested at March 31, 2015</w:t>
            </w:r>
          </w:p>
        </w:tc>
        <w:tc>
          <w:tcPr>
            <w:tcW w:w="15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214</w:t>
            </w:r>
          </w:p>
        </w:tc>
        <w:tc>
          <w:tcPr>
            <w:tcW w:w="5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90.23</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The weighted-average grant-date fair value of restricted stock units and restricted stock awards granted during the three-months ended March 31, 2015 was $135.48 per share. No awards were granted during the three-months ended March 31, 2014. As of March 31, 2015, 0.2 million of restricted stock units and restricted stock awards are expected to vest over their respective terms.</w:t>
      </w:r>
    </w:p>
    <w:p>
      <w:pPr>
        <w:spacing w:after="0" w:line="18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At March 31, 2015, total unrecognized compensation expense relating to non-vested restricted stock awards and non-vested restricted stock units was $16.2 million, which is expected to be recognized over a weighted-average period of 2.4 years.</w:t>
      </w:r>
    </w:p>
    <w:p>
      <w:pPr>
        <w:spacing w:after="0" w:line="190" w:lineRule="exact"/>
        <w:rPr>
          <w:sz w:val="20"/>
          <w:szCs w:val="20"/>
          <w:color w:val="auto"/>
        </w:rPr>
      </w:pPr>
    </w:p>
    <w:p>
      <w:pPr>
        <w:ind w:left="640" w:hanging="632"/>
        <w:spacing w:after="0"/>
        <w:tabs>
          <w:tab w:leader="none" w:pos="640" w:val="left"/>
        </w:tabs>
        <w:numPr>
          <w:ilvl w:val="0"/>
          <w:numId w:val="22"/>
        </w:numPr>
        <w:rPr>
          <w:rFonts w:ascii="Arial" w:cs="Arial" w:eastAsia="Arial" w:hAnsi="Arial"/>
          <w:sz w:val="20"/>
          <w:szCs w:val="20"/>
          <w:color w:val="auto"/>
        </w:rPr>
      </w:pPr>
      <w:r>
        <w:rPr>
          <w:rFonts w:ascii="Arial" w:cs="Arial" w:eastAsia="Arial" w:hAnsi="Arial"/>
          <w:sz w:val="20"/>
          <w:szCs w:val="20"/>
          <w:color w:val="auto"/>
        </w:rPr>
        <w:t>INCOME TAXES</w:t>
      </w:r>
    </w:p>
    <w:p>
      <w:pPr>
        <w:spacing w:after="0" w:line="22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The following is a roll-forward of the Company’s total gross unrecognized tax benefits, not including interest and penalties, for the three-months ended March 31, 2015:</w:t>
      </w:r>
    </w:p>
    <w:p>
      <w:pPr>
        <w:spacing w:after="0" w:line="189"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5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60" w:type="dxa"/>
            <w:vAlign w:val="bottom"/>
          </w:tcPr>
          <w:p>
            <w:pPr>
              <w:jc w:val="right"/>
              <w:ind w:right="364"/>
              <w:spacing w:after="0"/>
              <w:rPr>
                <w:sz w:val="20"/>
                <w:szCs w:val="20"/>
                <w:color w:val="auto"/>
              </w:rPr>
            </w:pPr>
            <w:r>
              <w:rPr>
                <w:rFonts w:ascii="Arial" w:cs="Arial" w:eastAsia="Arial" w:hAnsi="Arial"/>
                <w:sz w:val="18"/>
                <w:szCs w:val="18"/>
                <w:b w:val="1"/>
                <w:bCs w:val="1"/>
                <w:color w:val="auto"/>
                <w:w w:val="93"/>
              </w:rPr>
              <w:t>Gross Unrecognized Tax</w:t>
            </w:r>
          </w:p>
        </w:tc>
        <w:tc>
          <w:tcPr>
            <w:tcW w:w="0" w:type="dxa"/>
            <w:vAlign w:val="bottom"/>
          </w:tcPr>
          <w:p>
            <w:pPr>
              <w:spacing w:after="0"/>
              <w:rPr>
                <w:sz w:val="1"/>
                <w:szCs w:val="1"/>
                <w:color w:val="auto"/>
              </w:rPr>
            </w:pPr>
          </w:p>
        </w:tc>
      </w:tr>
      <w:tr>
        <w:trPr>
          <w:trHeight w:val="234"/>
        </w:trPr>
        <w:tc>
          <w:tcPr>
            <w:tcW w:w="5100" w:type="dxa"/>
            <w:vAlign w:val="bottom"/>
            <w:vMerge w:val="restart"/>
          </w:tcPr>
          <w:p>
            <w:pPr>
              <w:spacing w:after="0"/>
              <w:rPr>
                <w:sz w:val="20"/>
                <w:szCs w:val="20"/>
                <w:color w:val="auto"/>
              </w:rPr>
            </w:pPr>
            <w:r>
              <w:rPr>
                <w:rFonts w:ascii="Arial" w:cs="Arial" w:eastAsia="Arial" w:hAnsi="Arial"/>
                <w:sz w:val="20"/>
                <w:szCs w:val="20"/>
                <w:color w:val="auto"/>
              </w:rPr>
              <w:t>Balance at December 31, 2014</w:t>
            </w:r>
          </w:p>
        </w:tc>
        <w:tc>
          <w:tcPr>
            <w:tcW w:w="3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tcPr>
          <w:p>
            <w:pPr>
              <w:jc w:val="right"/>
              <w:ind w:right="984"/>
              <w:spacing w:after="0"/>
              <w:rPr>
                <w:sz w:val="20"/>
                <w:szCs w:val="20"/>
                <w:color w:val="auto"/>
              </w:rPr>
            </w:pPr>
            <w:r>
              <w:rPr>
                <w:rFonts w:ascii="Arial" w:cs="Arial" w:eastAsia="Arial" w:hAnsi="Arial"/>
                <w:sz w:val="18"/>
                <w:szCs w:val="18"/>
                <w:b w:val="1"/>
                <w:bCs w:val="1"/>
                <w:color w:val="auto"/>
              </w:rPr>
              <w:t>Benefits</w:t>
            </w:r>
          </w:p>
        </w:tc>
        <w:tc>
          <w:tcPr>
            <w:tcW w:w="0" w:type="dxa"/>
            <w:vAlign w:val="bottom"/>
          </w:tcPr>
          <w:p>
            <w:pPr>
              <w:spacing w:after="0"/>
              <w:rPr>
                <w:sz w:val="1"/>
                <w:szCs w:val="1"/>
                <w:color w:val="auto"/>
              </w:rPr>
            </w:pPr>
          </w:p>
        </w:tc>
      </w:tr>
      <w:tr>
        <w:trPr>
          <w:trHeight w:val="206"/>
        </w:trPr>
        <w:tc>
          <w:tcPr>
            <w:tcW w:w="5100" w:type="dxa"/>
            <w:vAlign w:val="bottom"/>
            <w:vMerge w:val="continue"/>
          </w:tcPr>
          <w:p>
            <w:pPr>
              <w:spacing w:after="0"/>
              <w:rPr>
                <w:sz w:val="17"/>
                <w:szCs w:val="17"/>
                <w:color w:val="auto"/>
              </w:rPr>
            </w:pPr>
          </w:p>
        </w:tc>
        <w:tc>
          <w:tcPr>
            <w:tcW w:w="320" w:type="dxa"/>
            <w:vAlign w:val="bottom"/>
          </w:tcPr>
          <w:p>
            <w:pPr>
              <w:jc w:val="right"/>
              <w:ind w:right="21"/>
              <w:spacing w:after="0" w:line="207" w:lineRule="exact"/>
              <w:rPr>
                <w:sz w:val="20"/>
                <w:szCs w:val="20"/>
                <w:color w:val="auto"/>
              </w:rPr>
            </w:pPr>
            <w:r>
              <w:rPr>
                <w:rFonts w:ascii="Arial" w:cs="Arial" w:eastAsia="Arial" w:hAnsi="Arial"/>
                <w:sz w:val="20"/>
                <w:szCs w:val="20"/>
                <w:color w:val="auto"/>
              </w:rPr>
              <w:t>$</w:t>
            </w:r>
          </w:p>
        </w:tc>
        <w:tc>
          <w:tcPr>
            <w:tcW w:w="2460" w:type="dxa"/>
            <w:vAlign w:val="bottom"/>
          </w:tcPr>
          <w:p>
            <w:pPr>
              <w:jc w:val="right"/>
              <w:ind w:right="44"/>
              <w:spacing w:after="0" w:line="207" w:lineRule="exact"/>
              <w:rPr>
                <w:sz w:val="20"/>
                <w:szCs w:val="20"/>
                <w:color w:val="auto"/>
              </w:rPr>
            </w:pPr>
            <w:r>
              <w:rPr>
                <w:rFonts w:ascii="Arial" w:cs="Arial" w:eastAsia="Arial" w:hAnsi="Arial"/>
                <w:sz w:val="20"/>
                <w:szCs w:val="20"/>
                <w:color w:val="auto"/>
              </w:rPr>
              <w:t>935</w:t>
            </w: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20"/>
                <w:szCs w:val="20"/>
                <w:color w:val="auto"/>
              </w:rPr>
              <w:t>Additions for tax positions related to the current year</w:t>
            </w:r>
          </w:p>
        </w:tc>
        <w:tc>
          <w:tcPr>
            <w:tcW w:w="320" w:type="dxa"/>
            <w:vAlign w:val="bottom"/>
          </w:tcPr>
          <w:p>
            <w:pPr>
              <w:spacing w:after="0"/>
              <w:rPr>
                <w:sz w:val="19"/>
                <w:szCs w:val="19"/>
                <w:color w:val="auto"/>
              </w:rPr>
            </w:pPr>
          </w:p>
        </w:tc>
        <w:tc>
          <w:tcPr>
            <w:tcW w:w="2460" w:type="dxa"/>
            <w:vAlign w:val="bottom"/>
          </w:tcPr>
          <w:p>
            <w:pPr>
              <w:jc w:val="right"/>
              <w:ind w:right="44"/>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20"/>
                <w:szCs w:val="20"/>
                <w:color w:val="auto"/>
              </w:rPr>
              <w:t>Additions for tax positions related to the prior year</w:t>
            </w:r>
          </w:p>
        </w:tc>
        <w:tc>
          <w:tcPr>
            <w:tcW w:w="320" w:type="dxa"/>
            <w:vAlign w:val="bottom"/>
          </w:tcPr>
          <w:p>
            <w:pPr>
              <w:spacing w:after="0"/>
              <w:rPr>
                <w:sz w:val="19"/>
                <w:szCs w:val="19"/>
                <w:color w:val="auto"/>
              </w:rPr>
            </w:pPr>
          </w:p>
        </w:tc>
        <w:tc>
          <w:tcPr>
            <w:tcW w:w="2460" w:type="dxa"/>
            <w:vAlign w:val="bottom"/>
          </w:tcPr>
          <w:p>
            <w:pPr>
              <w:jc w:val="right"/>
              <w:ind w:right="44"/>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6"/>
        </w:trPr>
        <w:tc>
          <w:tcPr>
            <w:tcW w:w="5100" w:type="dxa"/>
            <w:vAlign w:val="bottom"/>
          </w:tcPr>
          <w:p>
            <w:pPr>
              <w:spacing w:after="0"/>
              <w:rPr>
                <w:sz w:val="20"/>
                <w:szCs w:val="20"/>
                <w:color w:val="auto"/>
              </w:rPr>
            </w:pPr>
            <w:r>
              <w:rPr>
                <w:rFonts w:ascii="Arial" w:cs="Arial" w:eastAsia="Arial" w:hAnsi="Arial"/>
                <w:sz w:val="20"/>
                <w:szCs w:val="20"/>
                <w:color w:val="auto"/>
              </w:rPr>
              <w:t>Decreases related to settlement with taxing authority</w:t>
            </w:r>
          </w:p>
        </w:tc>
        <w:tc>
          <w:tcPr>
            <w:tcW w:w="32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tcPr>
          <w:p>
            <w:pPr>
              <w:jc w:val="right"/>
              <w:ind w:right="44"/>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3"/>
        </w:trPr>
        <w:tc>
          <w:tcPr>
            <w:tcW w:w="5100" w:type="dxa"/>
            <w:vAlign w:val="bottom"/>
          </w:tcPr>
          <w:p>
            <w:pPr>
              <w:spacing w:after="0" w:line="223" w:lineRule="exact"/>
              <w:rPr>
                <w:sz w:val="20"/>
                <w:szCs w:val="20"/>
                <w:color w:val="auto"/>
              </w:rPr>
            </w:pPr>
            <w:r>
              <w:rPr>
                <w:rFonts w:ascii="Arial" w:cs="Arial" w:eastAsia="Arial" w:hAnsi="Arial"/>
                <w:sz w:val="20"/>
                <w:szCs w:val="20"/>
                <w:color w:val="auto"/>
              </w:rPr>
              <w:t>Balance at March 31, 2015</w:t>
            </w:r>
          </w:p>
        </w:tc>
        <w:tc>
          <w:tcPr>
            <w:tcW w:w="32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2460" w:type="dxa"/>
            <w:vAlign w:val="bottom"/>
            <w:tcBorders>
              <w:bottom w:val="single" w:sz="8" w:color="auto"/>
            </w:tcBorders>
          </w:tcPr>
          <w:p>
            <w:pPr>
              <w:jc w:val="right"/>
              <w:ind w:right="44"/>
              <w:spacing w:after="0" w:line="223" w:lineRule="exact"/>
              <w:rPr>
                <w:sz w:val="20"/>
                <w:szCs w:val="20"/>
                <w:color w:val="auto"/>
              </w:rPr>
            </w:pPr>
            <w:r>
              <w:rPr>
                <w:rFonts w:ascii="Arial" w:cs="Arial" w:eastAsia="Arial" w:hAnsi="Arial"/>
                <w:sz w:val="20"/>
                <w:szCs w:val="20"/>
                <w:color w:val="auto"/>
              </w:rPr>
              <w:t>935</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Company recognizes accrued interest and penalties related to unrecognized tax benefits in the provision for income taxes in the Company’s condensed consolidated financial statements. As of March 31, 2015, the Company had accrued approximately $0.4 million in interest and penalties related to unrecognized tax benefits. If the Company were to prevail on all uncertain tax positions, the resultant impact on the Company’s effective tax rate would not be significant. It is expected that the change in the amount of unrecognized tax benefits within the next 12 months will not be significant.</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 is subject to U.S. federal income tax as well as to income tax in multiple state and foreign jurisdictions.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On March 8, 2013, the Internal Revenue Service (“IRS”) began its examination of the Company’s U.S. federal income tax returns for the years ended December 31, 2010 and 2011. The examination was completed in January 2015 with no material adjustments. The Company is also in various stages of examination with certain states and certain foreign jurisdictions. The 2012 and 2013 U.S. federal income tax returns are subject to IRS examination. State income tax returns are subject to examination for the 2010 through 2013 tax years.</w:t>
      </w:r>
    </w:p>
    <w:p>
      <w:pPr>
        <w:spacing w:after="0" w:line="175" w:lineRule="exact"/>
        <w:rPr>
          <w:sz w:val="20"/>
          <w:szCs w:val="20"/>
          <w:color w:val="auto"/>
        </w:rPr>
      </w:pPr>
    </w:p>
    <w:p>
      <w:pPr>
        <w:ind w:left="640" w:hanging="632"/>
        <w:spacing w:after="0"/>
        <w:tabs>
          <w:tab w:leader="none" w:pos="6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EARNINGS PER SHARE</w:t>
      </w:r>
    </w:p>
    <w:p>
      <w:pPr>
        <w:sectPr>
          <w:pgSz w:w="11900" w:h="16838" w:orient="portrait"/>
          <w:cols w:equalWidth="0" w:num="1">
            <w:col w:w="11420"/>
          </w:cols>
          <w:pgMar w:left="240" w:top="122" w:right="239" w:bottom="160" w:gutter="0" w:footer="0" w:header="0"/>
        </w:sectPr>
      </w:pPr>
    </w:p>
    <w:bookmarkStart w:id="17" w:name="page18"/>
    <w:bookmarkEnd w:id="17"/>
    <w:p>
      <w:pPr>
        <w:ind w:left="660"/>
        <w:spacing w:after="0"/>
        <w:rPr>
          <w:sz w:val="20"/>
          <w:szCs w:val="20"/>
          <w:color w:val="auto"/>
        </w:rPr>
      </w:pPr>
      <w:r>
        <w:rPr>
          <w:rFonts w:ascii="Arial" w:cs="Arial" w:eastAsia="Arial" w:hAnsi="Arial"/>
          <w:sz w:val="18"/>
          <w:szCs w:val="18"/>
          <w:color w:val="auto"/>
        </w:rPr>
        <w:t>A reconciliation of the weighted-average shares used in the basic and diluted earnings per common share computations is presented</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below:</w:t>
      </w:r>
    </w:p>
    <w:p>
      <w:pPr>
        <w:spacing w:after="0" w:line="253"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3900" w:type="dxa"/>
            <w:vAlign w:val="bottom"/>
          </w:tcPr>
          <w:p>
            <w:pPr>
              <w:spacing w:after="0"/>
              <w:rPr>
                <w:sz w:val="19"/>
                <w:szCs w:val="19"/>
                <w:color w:val="auto"/>
              </w:rPr>
            </w:pPr>
          </w:p>
        </w:tc>
        <w:tc>
          <w:tcPr>
            <w:tcW w:w="3000" w:type="dxa"/>
            <w:vAlign w:val="bottom"/>
            <w:gridSpan w:val="4"/>
          </w:tcPr>
          <w:p>
            <w:pPr>
              <w:jc w:val="center"/>
              <w:spacing w:after="0"/>
              <w:rPr>
                <w:sz w:val="20"/>
                <w:szCs w:val="20"/>
                <w:color w:val="auto"/>
              </w:rPr>
            </w:pPr>
            <w:r>
              <w:rPr>
                <w:rFonts w:ascii="Arial" w:cs="Arial" w:eastAsia="Arial" w:hAnsi="Arial"/>
                <w:sz w:val="20"/>
                <w:szCs w:val="20"/>
                <w:color w:val="auto"/>
                <w:w w:val="89"/>
              </w:rPr>
              <w:t>Three-Months Ended</w:t>
            </w:r>
          </w:p>
        </w:tc>
        <w:tc>
          <w:tcPr>
            <w:tcW w:w="0" w:type="dxa"/>
            <w:vAlign w:val="bottom"/>
          </w:tcPr>
          <w:p>
            <w:pPr>
              <w:spacing w:after="0"/>
              <w:rPr>
                <w:sz w:val="1"/>
                <w:szCs w:val="1"/>
                <w:color w:val="auto"/>
              </w:rPr>
            </w:pPr>
          </w:p>
        </w:tc>
      </w:tr>
      <w:tr>
        <w:trPr>
          <w:trHeight w:val="246"/>
        </w:trPr>
        <w:tc>
          <w:tcPr>
            <w:tcW w:w="3900" w:type="dxa"/>
            <w:vAlign w:val="bottom"/>
          </w:tcPr>
          <w:p>
            <w:pPr>
              <w:spacing w:after="0"/>
              <w:rPr>
                <w:sz w:val="21"/>
                <w:szCs w:val="21"/>
                <w:color w:val="auto"/>
              </w:rPr>
            </w:pPr>
          </w:p>
        </w:tc>
        <w:tc>
          <w:tcPr>
            <w:tcW w:w="2020" w:type="dxa"/>
            <w:vAlign w:val="bottom"/>
            <w:tcBorders>
              <w:bottom w:val="single" w:sz="8" w:color="auto"/>
            </w:tcBorders>
            <w:gridSpan w:val="3"/>
          </w:tcPr>
          <w:p>
            <w:pPr>
              <w:jc w:val="center"/>
              <w:ind w:left="881"/>
              <w:spacing w:after="0"/>
              <w:rPr>
                <w:sz w:val="20"/>
                <w:szCs w:val="20"/>
                <w:color w:val="auto"/>
              </w:rPr>
            </w:pPr>
            <w:r>
              <w:rPr>
                <w:rFonts w:ascii="Arial" w:cs="Arial" w:eastAsia="Arial" w:hAnsi="Arial"/>
                <w:sz w:val="20"/>
                <w:szCs w:val="20"/>
                <w:color w:val="auto"/>
                <w:w w:val="89"/>
              </w:rPr>
              <w:t>March 31,</w:t>
            </w:r>
          </w:p>
        </w:tc>
        <w:tc>
          <w:tcPr>
            <w:tcW w:w="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00" w:type="dxa"/>
            <w:vAlign w:val="bottom"/>
            <w:vMerge w:val="restart"/>
          </w:tcPr>
          <w:p>
            <w:pPr>
              <w:spacing w:after="0"/>
              <w:rPr>
                <w:sz w:val="20"/>
                <w:szCs w:val="20"/>
                <w:color w:val="auto"/>
              </w:rPr>
            </w:pPr>
            <w:r>
              <w:rPr>
                <w:rFonts w:ascii="Arial" w:cs="Arial" w:eastAsia="Arial" w:hAnsi="Arial"/>
                <w:sz w:val="20"/>
                <w:szCs w:val="20"/>
                <w:color w:val="auto"/>
              </w:rPr>
              <w:t>Weighted-average shares outstanding:</w:t>
            </w:r>
          </w:p>
        </w:tc>
        <w:tc>
          <w:tcPr>
            <w:tcW w:w="1360" w:type="dxa"/>
            <w:vAlign w:val="bottom"/>
            <w:tcBorders>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rPr>
              <w:t>2015</w:t>
            </w:r>
          </w:p>
        </w:tc>
        <w:tc>
          <w:tcPr>
            <w:tcW w:w="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rPr>
              <w:t>2014</w:t>
            </w:r>
          </w:p>
        </w:tc>
        <w:tc>
          <w:tcPr>
            <w:tcW w:w="0" w:type="dxa"/>
            <w:vAlign w:val="bottom"/>
          </w:tcPr>
          <w:p>
            <w:pPr>
              <w:spacing w:after="0"/>
              <w:rPr>
                <w:sz w:val="1"/>
                <w:szCs w:val="1"/>
                <w:color w:val="auto"/>
              </w:rPr>
            </w:pPr>
          </w:p>
        </w:tc>
      </w:tr>
      <w:tr>
        <w:trPr>
          <w:trHeight w:val="193"/>
        </w:trPr>
        <w:tc>
          <w:tcPr>
            <w:tcW w:w="3900" w:type="dxa"/>
            <w:vAlign w:val="bottom"/>
            <w:vMerge w:val="continue"/>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160"/>
              <w:spacing w:after="0"/>
              <w:rPr>
                <w:sz w:val="20"/>
                <w:szCs w:val="20"/>
                <w:color w:val="auto"/>
              </w:rPr>
            </w:pPr>
            <w:r>
              <w:rPr>
                <w:rFonts w:ascii="Arial" w:cs="Arial" w:eastAsia="Arial" w:hAnsi="Arial"/>
                <w:sz w:val="20"/>
                <w:szCs w:val="20"/>
                <w:color w:val="auto"/>
              </w:rPr>
              <w:t>Basic</w:t>
            </w:r>
          </w:p>
        </w:tc>
        <w:tc>
          <w:tcPr>
            <w:tcW w:w="1360" w:type="dxa"/>
            <w:vAlign w:val="bottom"/>
          </w:tcPr>
          <w:p>
            <w:pPr>
              <w:jc w:val="right"/>
              <w:ind w:right="21"/>
              <w:spacing w:after="0"/>
              <w:rPr>
                <w:sz w:val="20"/>
                <w:szCs w:val="20"/>
                <w:color w:val="auto"/>
              </w:rPr>
            </w:pPr>
            <w:r>
              <w:rPr>
                <w:rFonts w:ascii="Arial" w:cs="Arial" w:eastAsia="Arial" w:hAnsi="Arial"/>
                <w:sz w:val="20"/>
                <w:szCs w:val="20"/>
                <w:color w:val="auto"/>
              </w:rPr>
              <w:t>169,871</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21"/>
              <w:spacing w:after="0"/>
              <w:rPr>
                <w:sz w:val="20"/>
                <w:szCs w:val="20"/>
                <w:color w:val="auto"/>
              </w:rPr>
            </w:pPr>
            <w:r>
              <w:rPr>
                <w:rFonts w:ascii="Arial" w:cs="Arial" w:eastAsia="Arial" w:hAnsi="Arial"/>
                <w:sz w:val="20"/>
                <w:szCs w:val="20"/>
                <w:color w:val="auto"/>
              </w:rPr>
              <w:t>166,913</w:t>
            </w:r>
          </w:p>
        </w:tc>
        <w:tc>
          <w:tcPr>
            <w:tcW w:w="0" w:type="dxa"/>
            <w:vAlign w:val="bottom"/>
          </w:tcPr>
          <w:p>
            <w:pPr>
              <w:spacing w:after="0"/>
              <w:rPr>
                <w:sz w:val="1"/>
                <w:szCs w:val="1"/>
                <w:color w:val="auto"/>
              </w:rPr>
            </w:pPr>
          </w:p>
        </w:tc>
      </w:tr>
      <w:tr>
        <w:trPr>
          <w:trHeight w:val="246"/>
        </w:trPr>
        <w:tc>
          <w:tcPr>
            <w:tcW w:w="3900" w:type="dxa"/>
            <w:vAlign w:val="bottom"/>
          </w:tcPr>
          <w:p>
            <w:pPr>
              <w:ind w:left="160"/>
              <w:spacing w:after="0"/>
              <w:rPr>
                <w:sz w:val="20"/>
                <w:szCs w:val="20"/>
                <w:color w:val="auto"/>
              </w:rPr>
            </w:pPr>
            <w:r>
              <w:rPr>
                <w:rFonts w:ascii="Arial" w:cs="Arial" w:eastAsia="Arial" w:hAnsi="Arial"/>
                <w:sz w:val="20"/>
                <w:szCs w:val="20"/>
                <w:color w:val="auto"/>
              </w:rPr>
              <w:t>Dilutive securities</w:t>
            </w:r>
          </w:p>
        </w:tc>
        <w:tc>
          <w:tcPr>
            <w:tcW w:w="136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3,907</w:t>
            </w:r>
          </w:p>
        </w:tc>
        <w:tc>
          <w:tcPr>
            <w:tcW w:w="2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6,828</w:t>
            </w:r>
          </w:p>
        </w:tc>
        <w:tc>
          <w:tcPr>
            <w:tcW w:w="0" w:type="dxa"/>
            <w:vAlign w:val="bottom"/>
          </w:tcPr>
          <w:p>
            <w:pPr>
              <w:spacing w:after="0"/>
              <w:rPr>
                <w:sz w:val="1"/>
                <w:szCs w:val="1"/>
                <w:color w:val="auto"/>
              </w:rPr>
            </w:pPr>
          </w:p>
        </w:tc>
      </w:tr>
      <w:tr>
        <w:trPr>
          <w:trHeight w:val="223"/>
        </w:trPr>
        <w:tc>
          <w:tcPr>
            <w:tcW w:w="3900" w:type="dxa"/>
            <w:vAlign w:val="bottom"/>
          </w:tcPr>
          <w:p>
            <w:pPr>
              <w:ind w:left="160"/>
              <w:spacing w:after="0" w:line="223" w:lineRule="exact"/>
              <w:rPr>
                <w:sz w:val="20"/>
                <w:szCs w:val="20"/>
                <w:color w:val="auto"/>
              </w:rPr>
            </w:pPr>
            <w:r>
              <w:rPr>
                <w:rFonts w:ascii="Arial" w:cs="Arial" w:eastAsia="Arial" w:hAnsi="Arial"/>
                <w:sz w:val="20"/>
                <w:szCs w:val="20"/>
                <w:color w:val="auto"/>
              </w:rPr>
              <w:t>Diluted</w:t>
            </w:r>
          </w:p>
        </w:tc>
        <w:tc>
          <w:tcPr>
            <w:tcW w:w="136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173,778</w:t>
            </w:r>
          </w:p>
        </w:tc>
        <w:tc>
          <w:tcPr>
            <w:tcW w:w="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173,741</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For the three-months ended March 31, 2015 and 2014, options and awards outstanding totaling 0.4 million shares and 0.6 million shares, respectively, were excluded from the calculations as their effect would have been antidilutive.</w:t>
      </w:r>
    </w:p>
    <w:p>
      <w:pPr>
        <w:spacing w:after="0" w:line="190" w:lineRule="exact"/>
        <w:rPr>
          <w:sz w:val="20"/>
          <w:szCs w:val="20"/>
          <w:color w:val="auto"/>
        </w:rPr>
      </w:pPr>
    </w:p>
    <w:p>
      <w:pPr>
        <w:ind w:left="640" w:hanging="632"/>
        <w:spacing w:after="0"/>
        <w:tabs>
          <w:tab w:leader="none" w:pos="6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SEGMENT INFORMATION</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The Company has two operating and reportable segments, namely Direct Store Delivery (“DSD”), whose principal products comprise energy drinks, and Warehouse (“Warehouse”), whose principal products comprise juice-based and soda beverages. The DSD segment develops, markets and sells products primarily through an exclusive distributor network, whereas the Warehouse segment develops, markets and sells products primarily direct to retailers. Corporate and unallocated amounts that do not relate to DSD or Warehouse segments have been allocated to “Corporate &amp; Unallocated.” No asset information has been provided for the Company’s reportable segments as management does not measure or allocate assets on a segment basis. Following the consummation of the TCCC Transaction, the Company anticipates that it will have two operating and reporting segments: Finished Products, the principal products of which will likely include the Company’s Monster Energy® drink products that currently make up the majority of the DSD segment, and Concentrate, the principal products of which will likely include the various energy drink brands transferred to the Company from TCCC.</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The net revenues derived from the DSD and Warehouse segments and other financial information related thereto are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380" w:type="dxa"/>
            <w:vAlign w:val="bottom"/>
            <w:tcBorders>
              <w:bottom w:val="single" w:sz="8" w:color="auto"/>
            </w:tcBorders>
            <w:gridSpan w:val="7"/>
          </w:tcPr>
          <w:p>
            <w:pPr>
              <w:spacing w:after="0"/>
              <w:rPr>
                <w:sz w:val="20"/>
                <w:szCs w:val="20"/>
                <w:color w:val="auto"/>
              </w:rPr>
            </w:pPr>
            <w:r>
              <w:rPr>
                <w:rFonts w:ascii="Arial" w:cs="Arial" w:eastAsia="Arial" w:hAnsi="Arial"/>
                <w:sz w:val="20"/>
                <w:szCs w:val="20"/>
                <w:color w:val="auto"/>
              </w:rPr>
              <w:t>Three-Months Ended March 31, 2015</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4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center"/>
              <w:ind w:right="420"/>
              <w:spacing w:after="0" w:line="207" w:lineRule="exact"/>
              <w:rPr>
                <w:sz w:val="20"/>
                <w:szCs w:val="20"/>
                <w:color w:val="auto"/>
              </w:rPr>
            </w:pPr>
            <w:r>
              <w:rPr>
                <w:rFonts w:ascii="Arial" w:cs="Arial" w:eastAsia="Arial" w:hAnsi="Arial"/>
                <w:sz w:val="20"/>
                <w:szCs w:val="20"/>
                <w:color w:val="auto"/>
                <w:w w:val="89"/>
              </w:rPr>
              <w:t>Corporate and</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4280" w:type="dxa"/>
            <w:vAlign w:val="bottom"/>
            <w:vMerge w:val="restart"/>
          </w:tcPr>
          <w:p>
            <w:pPr>
              <w:spacing w:after="0"/>
              <w:rPr>
                <w:sz w:val="20"/>
                <w:szCs w:val="20"/>
                <w:color w:val="auto"/>
              </w:rPr>
            </w:pPr>
            <w:r>
              <w:rPr>
                <w:rFonts w:ascii="Arial" w:cs="Arial" w:eastAsia="Arial" w:hAnsi="Arial"/>
                <w:sz w:val="20"/>
                <w:szCs w:val="20"/>
                <w:color w:val="auto"/>
              </w:rPr>
              <w:t>Net sales</w:t>
            </w:r>
          </w:p>
        </w:tc>
        <w:tc>
          <w:tcPr>
            <w:tcW w:w="320" w:type="dxa"/>
            <w:vAlign w:val="bottom"/>
          </w:tcPr>
          <w:p>
            <w:pPr>
              <w:spacing w:after="0"/>
              <w:rPr>
                <w:sz w:val="21"/>
                <w:szCs w:val="21"/>
                <w:color w:val="auto"/>
              </w:rPr>
            </w:pPr>
          </w:p>
        </w:tc>
        <w:tc>
          <w:tcPr>
            <w:tcW w:w="1040" w:type="dxa"/>
            <w:vAlign w:val="bottom"/>
          </w:tcPr>
          <w:p>
            <w:pPr>
              <w:jc w:val="right"/>
              <w:ind w:right="381"/>
              <w:spacing w:after="0"/>
              <w:rPr>
                <w:sz w:val="20"/>
                <w:szCs w:val="20"/>
                <w:color w:val="auto"/>
              </w:rPr>
            </w:pPr>
            <w:r>
              <w:rPr>
                <w:rFonts w:ascii="Arial" w:cs="Arial" w:eastAsia="Arial" w:hAnsi="Arial"/>
                <w:sz w:val="20"/>
                <w:szCs w:val="20"/>
                <w:color w:val="auto"/>
              </w:rPr>
              <w:t>DSD</w:t>
            </w:r>
          </w:p>
        </w:tc>
        <w:tc>
          <w:tcPr>
            <w:tcW w:w="260" w:type="dxa"/>
            <w:vAlign w:val="bottom"/>
            <w:vMerge w:val="restart"/>
          </w:tcPr>
          <w:p>
            <w:pPr>
              <w:jc w:val="right"/>
              <w:spacing w:after="0"/>
              <w:rPr>
                <w:sz w:val="20"/>
                <w:szCs w:val="20"/>
                <w:color w:val="auto"/>
              </w:rPr>
            </w:pPr>
            <w:r>
              <w:rPr>
                <w:rFonts w:ascii="Arial" w:cs="Arial" w:eastAsia="Arial" w:hAnsi="Arial"/>
                <w:sz w:val="20"/>
                <w:szCs w:val="20"/>
                <w:color w:val="auto"/>
                <w:w w:val="97"/>
              </w:rPr>
              <w:t>(1)</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2"/>
          </w:tcPr>
          <w:p>
            <w:pPr>
              <w:ind w:left="40"/>
              <w:spacing w:after="0"/>
              <w:rPr>
                <w:sz w:val="20"/>
                <w:szCs w:val="20"/>
                <w:color w:val="auto"/>
              </w:rPr>
            </w:pPr>
            <w:r>
              <w:rPr>
                <w:rFonts w:ascii="Arial" w:cs="Arial" w:eastAsia="Arial" w:hAnsi="Arial"/>
                <w:sz w:val="20"/>
                <w:szCs w:val="20"/>
                <w:color w:val="auto"/>
              </w:rPr>
              <w:t>Warehouse</w:t>
            </w:r>
          </w:p>
        </w:tc>
        <w:tc>
          <w:tcPr>
            <w:tcW w:w="160" w:type="dxa"/>
            <w:vAlign w:val="bottom"/>
          </w:tcPr>
          <w:p>
            <w:pPr>
              <w:spacing w:after="0"/>
              <w:rPr>
                <w:sz w:val="21"/>
                <w:szCs w:val="21"/>
                <w:color w:val="auto"/>
              </w:rPr>
            </w:pPr>
          </w:p>
        </w:tc>
        <w:tc>
          <w:tcPr>
            <w:tcW w:w="1560" w:type="dxa"/>
            <w:vAlign w:val="bottom"/>
            <w:gridSpan w:val="2"/>
          </w:tcPr>
          <w:p>
            <w:pPr>
              <w:jc w:val="center"/>
              <w:ind w:right="440"/>
              <w:spacing w:after="0"/>
              <w:rPr>
                <w:sz w:val="20"/>
                <w:szCs w:val="20"/>
                <w:color w:val="auto"/>
              </w:rPr>
            </w:pPr>
            <w:r>
              <w:rPr>
                <w:rFonts w:ascii="Arial" w:cs="Arial" w:eastAsia="Arial" w:hAnsi="Arial"/>
                <w:sz w:val="20"/>
                <w:szCs w:val="20"/>
                <w:color w:val="auto"/>
                <w:w w:val="90"/>
              </w:rPr>
              <w:t>Unallocated</w:t>
            </w:r>
          </w:p>
        </w:tc>
        <w:tc>
          <w:tcPr>
            <w:tcW w:w="280" w:type="dxa"/>
            <w:vAlign w:val="bottom"/>
          </w:tcPr>
          <w:p>
            <w:pPr>
              <w:spacing w:after="0"/>
              <w:rPr>
                <w:sz w:val="21"/>
                <w:szCs w:val="21"/>
                <w:color w:val="auto"/>
              </w:rPr>
            </w:pPr>
          </w:p>
        </w:tc>
        <w:tc>
          <w:tcPr>
            <w:tcW w:w="960" w:type="dxa"/>
            <w:vAlign w:val="bottom"/>
          </w:tcPr>
          <w:p>
            <w:pPr>
              <w:jc w:val="right"/>
              <w:ind w:right="321"/>
              <w:spacing w:after="0"/>
              <w:rPr>
                <w:sz w:val="20"/>
                <w:szCs w:val="20"/>
                <w:color w:val="auto"/>
              </w:rPr>
            </w:pPr>
            <w:r>
              <w:rPr>
                <w:rFonts w:ascii="Arial" w:cs="Arial" w:eastAsia="Arial" w:hAnsi="Arial"/>
                <w:sz w:val="20"/>
                <w:szCs w:val="20"/>
                <w:color w:val="auto"/>
              </w:rPr>
              <w:t>Total</w:t>
            </w:r>
          </w:p>
        </w:tc>
        <w:tc>
          <w:tcPr>
            <w:tcW w:w="560" w:type="dxa"/>
            <w:vAlign w:val="bottom"/>
            <w:vMerge w:val="restart"/>
          </w:tcPr>
          <w:p>
            <w:pPr>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06"/>
        </w:trPr>
        <w:tc>
          <w:tcPr>
            <w:tcW w:w="4280" w:type="dxa"/>
            <w:vAlign w:val="bottom"/>
            <w:vMerge w:val="continue"/>
          </w:tcPr>
          <w:p>
            <w:pPr>
              <w:spacing w:after="0"/>
              <w:rPr>
                <w:sz w:val="17"/>
                <w:szCs w:val="17"/>
                <w:color w:val="auto"/>
              </w:rPr>
            </w:pPr>
          </w:p>
        </w:tc>
        <w:tc>
          <w:tcPr>
            <w:tcW w:w="320" w:type="dxa"/>
            <w:vAlign w:val="bottom"/>
            <w:tcBorders>
              <w:top w:val="single" w:sz="8" w:color="auto"/>
            </w:tcBorders>
          </w:tcPr>
          <w:p>
            <w:pPr>
              <w:jc w:val="right"/>
              <w:ind w:right="61"/>
              <w:spacing w:after="0" w:line="207" w:lineRule="exact"/>
              <w:rPr>
                <w:sz w:val="20"/>
                <w:szCs w:val="20"/>
                <w:color w:val="auto"/>
              </w:rPr>
            </w:pPr>
            <w:r>
              <w:rPr>
                <w:rFonts w:ascii="Arial" w:cs="Arial" w:eastAsia="Arial" w:hAnsi="Arial"/>
                <w:sz w:val="20"/>
                <w:szCs w:val="20"/>
                <w:color w:val="auto"/>
              </w:rPr>
              <w:t>$</w:t>
            </w:r>
          </w:p>
        </w:tc>
        <w:tc>
          <w:tcPr>
            <w:tcW w:w="1040" w:type="dxa"/>
            <w:vAlign w:val="bottom"/>
            <w:tcBorders>
              <w:top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rPr>
              <w:t>605,811</w:t>
            </w:r>
          </w:p>
        </w:tc>
        <w:tc>
          <w:tcPr>
            <w:tcW w:w="2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160" w:type="dxa"/>
            <w:vAlign w:val="bottom"/>
            <w:tcBorders>
              <w:top w:val="single" w:sz="8" w:color="auto"/>
            </w:tcBorders>
          </w:tcPr>
          <w:p>
            <w:pPr>
              <w:jc w:val="right"/>
              <w:ind w:right="41"/>
              <w:spacing w:after="0" w:line="207" w:lineRule="exact"/>
              <w:rPr>
                <w:sz w:val="20"/>
                <w:szCs w:val="20"/>
                <w:color w:val="auto"/>
              </w:rPr>
            </w:pPr>
            <w:r>
              <w:rPr>
                <w:rFonts w:ascii="Arial" w:cs="Arial" w:eastAsia="Arial" w:hAnsi="Arial"/>
                <w:sz w:val="20"/>
                <w:szCs w:val="20"/>
                <w:color w:val="auto"/>
              </w:rPr>
              <w:t>20,980</w:t>
            </w:r>
          </w:p>
        </w:tc>
        <w:tc>
          <w:tcPr>
            <w:tcW w:w="280" w:type="dxa"/>
            <w:vAlign w:val="bottom"/>
          </w:tcPr>
          <w:p>
            <w:pPr>
              <w:spacing w:after="0"/>
              <w:rPr>
                <w:sz w:val="17"/>
                <w:szCs w:val="17"/>
                <w:color w:val="auto"/>
              </w:rPr>
            </w:pPr>
          </w:p>
        </w:tc>
        <w:tc>
          <w:tcPr>
            <w:tcW w:w="16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300" w:type="dxa"/>
            <w:vAlign w:val="bottom"/>
            <w:tcBorders>
              <w:top w:val="single" w:sz="8" w:color="auto"/>
            </w:tcBorders>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260" w:type="dxa"/>
            <w:vAlign w:val="bottom"/>
          </w:tcPr>
          <w:p>
            <w:pPr>
              <w:spacing w:after="0"/>
              <w:rPr>
                <w:sz w:val="17"/>
                <w:szCs w:val="17"/>
                <w:color w:val="auto"/>
              </w:rPr>
            </w:pPr>
          </w:p>
        </w:tc>
        <w:tc>
          <w:tcPr>
            <w:tcW w:w="280" w:type="dxa"/>
            <w:vAlign w:val="bottom"/>
            <w:tcBorders>
              <w:top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rPr>
              <w:t>$</w:t>
            </w:r>
          </w:p>
        </w:tc>
        <w:tc>
          <w:tcPr>
            <w:tcW w:w="960" w:type="dxa"/>
            <w:vAlign w:val="bottom"/>
            <w:tcBorders>
              <w:top w:val="single" w:sz="8" w:color="auto"/>
            </w:tcBorders>
          </w:tcPr>
          <w:p>
            <w:pPr>
              <w:jc w:val="right"/>
              <w:ind w:right="41"/>
              <w:spacing w:after="0" w:line="207" w:lineRule="exact"/>
              <w:rPr>
                <w:sz w:val="20"/>
                <w:szCs w:val="20"/>
                <w:color w:val="auto"/>
              </w:rPr>
            </w:pPr>
            <w:r>
              <w:rPr>
                <w:rFonts w:ascii="Arial" w:cs="Arial" w:eastAsia="Arial" w:hAnsi="Arial"/>
                <w:sz w:val="20"/>
                <w:szCs w:val="20"/>
                <w:color w:val="auto"/>
              </w:rPr>
              <w:t>626,791</w:t>
            </w:r>
          </w:p>
        </w:tc>
        <w:tc>
          <w:tcPr>
            <w:tcW w:w="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20"/>
                <w:szCs w:val="20"/>
                <w:color w:val="auto"/>
              </w:rPr>
              <w:t>Contribution margin*</w:t>
            </w:r>
          </w:p>
        </w:tc>
        <w:tc>
          <w:tcPr>
            <w:tcW w:w="32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20"/>
                <w:szCs w:val="20"/>
                <w:color w:val="auto"/>
              </w:rPr>
              <w:t>57,660</w:t>
            </w:r>
          </w:p>
        </w:tc>
        <w:tc>
          <w:tcPr>
            <w:tcW w:w="260" w:type="dxa"/>
            <w:vAlign w:val="bottom"/>
          </w:tcPr>
          <w:p>
            <w:pPr>
              <w:jc w:val="right"/>
              <w:spacing w:after="0"/>
              <w:rPr>
                <w:sz w:val="20"/>
                <w:szCs w:val="20"/>
                <w:color w:val="auto"/>
              </w:rPr>
            </w:pPr>
            <w:r>
              <w:rPr>
                <w:rFonts w:ascii="Arial" w:cs="Arial" w:eastAsia="Arial" w:hAnsi="Arial"/>
                <w:sz w:val="20"/>
                <w:szCs w:val="20"/>
                <w:color w:val="auto"/>
                <w:w w:val="97"/>
              </w:rPr>
              <w:t>(2)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(40)</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20"/>
                <w:szCs w:val="20"/>
                <w:color w:val="auto"/>
              </w:rPr>
              <w:t>57,620</w:t>
            </w:r>
          </w:p>
        </w:tc>
        <w:tc>
          <w:tcPr>
            <w:tcW w:w="560" w:type="dxa"/>
            <w:vAlign w:val="bottom"/>
          </w:tcPr>
          <w:p>
            <w:pPr>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20"/>
                <w:szCs w:val="20"/>
                <w:color w:val="auto"/>
              </w:rPr>
              <w:t>Corporate and unallocated expenses</w:t>
            </w:r>
          </w:p>
        </w:tc>
        <w:tc>
          <w:tcPr>
            <w:tcW w:w="32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(49,991)</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(49,991)</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20"/>
                <w:szCs w:val="20"/>
                <w:color w:val="auto"/>
              </w:rPr>
              <w:t>Operating income</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20"/>
                <w:szCs w:val="20"/>
                <w:color w:val="auto"/>
              </w:rPr>
              <w:t>7,629</w:t>
            </w:r>
          </w:p>
        </w:tc>
        <w:tc>
          <w:tcPr>
            <w:tcW w:w="560" w:type="dxa"/>
            <w:vAlign w:val="bottom"/>
          </w:tcPr>
          <w:p>
            <w:pPr>
              <w:spacing w:after="0"/>
              <w:rPr>
                <w:sz w:val="20"/>
                <w:szCs w:val="20"/>
                <w:color w:val="auto"/>
              </w:rPr>
            </w:pPr>
            <w:r>
              <w:rPr>
                <w:rFonts w:ascii="Arial" w:cs="Arial" w:eastAsia="Arial" w:hAnsi="Arial"/>
                <w:sz w:val="20"/>
                <w:szCs w:val="20"/>
                <w:color w:val="auto"/>
                <w:w w:val="89"/>
              </w:rPr>
              <w:t>(1), (2)</w:t>
            </w: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20"/>
                <w:szCs w:val="20"/>
                <w:color w:val="auto"/>
              </w:rPr>
              <w:t>Interest and other income, net</w:t>
            </w:r>
          </w:p>
        </w:tc>
        <w:tc>
          <w:tcPr>
            <w:tcW w:w="32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20"/>
                <w:szCs w:val="20"/>
                <w:color w:val="auto"/>
              </w:rPr>
              <w:t>42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41"/>
              <w:spacing w:after="0"/>
              <w:rPr>
                <w:sz w:val="20"/>
                <w:szCs w:val="20"/>
                <w:color w:val="auto"/>
              </w:rPr>
            </w:pPr>
            <w:r>
              <w:rPr>
                <w:rFonts w:ascii="Arial" w:cs="Arial" w:eastAsia="Arial" w:hAnsi="Arial"/>
                <w:sz w:val="20"/>
                <w:szCs w:val="20"/>
                <w:color w:val="auto"/>
              </w:rPr>
              <w:t>1,191</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20"/>
                <w:szCs w:val="20"/>
                <w:color w:val="auto"/>
              </w:rPr>
              <w:t>1,233</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20"/>
                <w:szCs w:val="20"/>
                <w:color w:val="auto"/>
              </w:rPr>
              <w:t>Income before provision for income taxes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20"/>
                <w:szCs w:val="20"/>
                <w:color w:val="auto"/>
              </w:rPr>
              <w:t>8,862</w:t>
            </w:r>
          </w:p>
        </w:tc>
        <w:tc>
          <w:tcPr>
            <w:tcW w:w="560" w:type="dxa"/>
            <w:vAlign w:val="bottom"/>
          </w:tcPr>
          <w:p>
            <w:pPr>
              <w:spacing w:after="0"/>
              <w:rPr>
                <w:sz w:val="20"/>
                <w:szCs w:val="20"/>
                <w:color w:val="auto"/>
              </w:rPr>
            </w:pPr>
            <w:r>
              <w:rPr>
                <w:rFonts w:ascii="Arial" w:cs="Arial" w:eastAsia="Arial" w:hAnsi="Arial"/>
                <w:sz w:val="20"/>
                <w:szCs w:val="20"/>
                <w:color w:val="auto"/>
                <w:w w:val="89"/>
              </w:rPr>
              <w:t>(1), (2)</w:t>
            </w:r>
          </w:p>
        </w:tc>
        <w:tc>
          <w:tcPr>
            <w:tcW w:w="0" w:type="dxa"/>
            <w:vAlign w:val="bottom"/>
          </w:tcPr>
          <w:p>
            <w:pPr>
              <w:spacing w:after="0"/>
              <w:rPr>
                <w:sz w:val="1"/>
                <w:szCs w:val="1"/>
                <w:color w:val="auto"/>
              </w:rPr>
            </w:pPr>
          </w:p>
        </w:tc>
      </w:tr>
      <w:tr>
        <w:trPr>
          <w:trHeight w:val="250"/>
        </w:trPr>
        <w:tc>
          <w:tcPr>
            <w:tcW w:w="4280" w:type="dxa"/>
            <w:vAlign w:val="bottom"/>
          </w:tcPr>
          <w:p>
            <w:pPr>
              <w:spacing w:after="0"/>
              <w:rPr>
                <w:sz w:val="20"/>
                <w:szCs w:val="20"/>
                <w:color w:val="auto"/>
              </w:rPr>
            </w:pPr>
            <w:r>
              <w:rPr>
                <w:rFonts w:ascii="Arial" w:cs="Arial" w:eastAsia="Arial" w:hAnsi="Arial"/>
                <w:sz w:val="20"/>
                <w:szCs w:val="20"/>
                <w:color w:val="auto"/>
              </w:rPr>
              <w:t>Depreciation and amortization</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(5,119)</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(75)</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(1,276)</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(6,470)</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5"/>
        </w:trPr>
        <w:tc>
          <w:tcPr>
            <w:tcW w:w="42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7"/>
          </w:tcPr>
          <w:p>
            <w:pPr>
              <w:spacing w:after="0"/>
              <w:rPr>
                <w:sz w:val="20"/>
                <w:szCs w:val="20"/>
                <w:color w:val="auto"/>
              </w:rPr>
            </w:pPr>
            <w:r>
              <w:rPr>
                <w:rFonts w:ascii="Arial" w:cs="Arial" w:eastAsia="Arial" w:hAnsi="Arial"/>
                <w:sz w:val="20"/>
                <w:szCs w:val="20"/>
                <w:color w:val="auto"/>
              </w:rPr>
              <w:t>Three-Months Ended March 31, 2014</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center"/>
              <w:ind w:right="420"/>
              <w:spacing w:after="0" w:line="207" w:lineRule="exact"/>
              <w:rPr>
                <w:sz w:val="20"/>
                <w:szCs w:val="20"/>
                <w:color w:val="auto"/>
              </w:rPr>
            </w:pPr>
            <w:r>
              <w:rPr>
                <w:rFonts w:ascii="Arial" w:cs="Arial" w:eastAsia="Arial" w:hAnsi="Arial"/>
                <w:sz w:val="20"/>
                <w:szCs w:val="20"/>
                <w:color w:val="auto"/>
                <w:w w:val="89"/>
              </w:rPr>
              <w:t>Corporate and</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4280" w:type="dxa"/>
            <w:vAlign w:val="bottom"/>
            <w:vMerge w:val="restart"/>
          </w:tcPr>
          <w:p>
            <w:pPr>
              <w:spacing w:after="0"/>
              <w:rPr>
                <w:sz w:val="20"/>
                <w:szCs w:val="20"/>
                <w:color w:val="auto"/>
              </w:rPr>
            </w:pPr>
            <w:r>
              <w:rPr>
                <w:rFonts w:ascii="Arial" w:cs="Arial" w:eastAsia="Arial" w:hAnsi="Arial"/>
                <w:sz w:val="20"/>
                <w:szCs w:val="20"/>
                <w:color w:val="auto"/>
              </w:rPr>
              <w:t>Net sales</w:t>
            </w:r>
          </w:p>
        </w:tc>
        <w:tc>
          <w:tcPr>
            <w:tcW w:w="320" w:type="dxa"/>
            <w:vAlign w:val="bottom"/>
          </w:tcPr>
          <w:p>
            <w:pPr>
              <w:spacing w:after="0"/>
              <w:rPr>
                <w:sz w:val="21"/>
                <w:szCs w:val="21"/>
                <w:color w:val="auto"/>
              </w:rPr>
            </w:pPr>
          </w:p>
        </w:tc>
        <w:tc>
          <w:tcPr>
            <w:tcW w:w="1040" w:type="dxa"/>
            <w:vAlign w:val="bottom"/>
          </w:tcPr>
          <w:p>
            <w:pPr>
              <w:jc w:val="right"/>
              <w:ind w:right="381"/>
              <w:spacing w:after="0"/>
              <w:rPr>
                <w:sz w:val="20"/>
                <w:szCs w:val="20"/>
                <w:color w:val="auto"/>
              </w:rPr>
            </w:pPr>
            <w:r>
              <w:rPr>
                <w:rFonts w:ascii="Arial" w:cs="Arial" w:eastAsia="Arial" w:hAnsi="Arial"/>
                <w:sz w:val="20"/>
                <w:szCs w:val="20"/>
                <w:color w:val="auto"/>
              </w:rPr>
              <w:t>DSD</w:t>
            </w:r>
          </w:p>
        </w:tc>
        <w:tc>
          <w:tcPr>
            <w:tcW w:w="260" w:type="dxa"/>
            <w:vAlign w:val="bottom"/>
            <w:vMerge w:val="restart"/>
          </w:tcPr>
          <w:p>
            <w:pPr>
              <w:jc w:val="right"/>
              <w:spacing w:after="0"/>
              <w:rPr>
                <w:sz w:val="20"/>
                <w:szCs w:val="20"/>
                <w:color w:val="auto"/>
              </w:rPr>
            </w:pPr>
            <w:r>
              <w:rPr>
                <w:rFonts w:ascii="Arial" w:cs="Arial" w:eastAsia="Arial" w:hAnsi="Arial"/>
                <w:sz w:val="20"/>
                <w:szCs w:val="20"/>
                <w:color w:val="auto"/>
                <w:w w:val="97"/>
              </w:rPr>
              <w:t>(1)</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2"/>
          </w:tcPr>
          <w:p>
            <w:pPr>
              <w:ind w:left="40"/>
              <w:spacing w:after="0"/>
              <w:rPr>
                <w:sz w:val="20"/>
                <w:szCs w:val="20"/>
                <w:color w:val="auto"/>
              </w:rPr>
            </w:pPr>
            <w:r>
              <w:rPr>
                <w:rFonts w:ascii="Arial" w:cs="Arial" w:eastAsia="Arial" w:hAnsi="Arial"/>
                <w:sz w:val="20"/>
                <w:szCs w:val="20"/>
                <w:color w:val="auto"/>
              </w:rPr>
              <w:t>Warehouse</w:t>
            </w:r>
          </w:p>
        </w:tc>
        <w:tc>
          <w:tcPr>
            <w:tcW w:w="160" w:type="dxa"/>
            <w:vAlign w:val="bottom"/>
          </w:tcPr>
          <w:p>
            <w:pPr>
              <w:spacing w:after="0"/>
              <w:rPr>
                <w:sz w:val="21"/>
                <w:szCs w:val="21"/>
                <w:color w:val="auto"/>
              </w:rPr>
            </w:pPr>
          </w:p>
        </w:tc>
        <w:tc>
          <w:tcPr>
            <w:tcW w:w="1560" w:type="dxa"/>
            <w:vAlign w:val="bottom"/>
            <w:gridSpan w:val="2"/>
          </w:tcPr>
          <w:p>
            <w:pPr>
              <w:jc w:val="center"/>
              <w:ind w:right="440"/>
              <w:spacing w:after="0"/>
              <w:rPr>
                <w:sz w:val="20"/>
                <w:szCs w:val="20"/>
                <w:color w:val="auto"/>
              </w:rPr>
            </w:pPr>
            <w:r>
              <w:rPr>
                <w:rFonts w:ascii="Arial" w:cs="Arial" w:eastAsia="Arial" w:hAnsi="Arial"/>
                <w:sz w:val="20"/>
                <w:szCs w:val="20"/>
                <w:color w:val="auto"/>
                <w:w w:val="90"/>
              </w:rPr>
              <w:t>Unallocated</w:t>
            </w:r>
          </w:p>
        </w:tc>
        <w:tc>
          <w:tcPr>
            <w:tcW w:w="280" w:type="dxa"/>
            <w:vAlign w:val="bottom"/>
          </w:tcPr>
          <w:p>
            <w:pPr>
              <w:spacing w:after="0"/>
              <w:rPr>
                <w:sz w:val="21"/>
                <w:szCs w:val="21"/>
                <w:color w:val="auto"/>
              </w:rPr>
            </w:pPr>
          </w:p>
        </w:tc>
        <w:tc>
          <w:tcPr>
            <w:tcW w:w="960" w:type="dxa"/>
            <w:vAlign w:val="bottom"/>
          </w:tcPr>
          <w:p>
            <w:pPr>
              <w:jc w:val="right"/>
              <w:ind w:right="321"/>
              <w:spacing w:after="0"/>
              <w:rPr>
                <w:sz w:val="20"/>
                <w:szCs w:val="20"/>
                <w:color w:val="auto"/>
              </w:rPr>
            </w:pPr>
            <w:r>
              <w:rPr>
                <w:rFonts w:ascii="Arial" w:cs="Arial" w:eastAsia="Arial" w:hAnsi="Arial"/>
                <w:sz w:val="20"/>
                <w:szCs w:val="20"/>
                <w:color w:val="auto"/>
              </w:rPr>
              <w:t>Total</w:t>
            </w:r>
          </w:p>
        </w:tc>
        <w:tc>
          <w:tcPr>
            <w:tcW w:w="560" w:type="dxa"/>
            <w:vAlign w:val="bottom"/>
            <w:vMerge w:val="restart"/>
          </w:tcPr>
          <w:p>
            <w:pPr>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06"/>
        </w:trPr>
        <w:tc>
          <w:tcPr>
            <w:tcW w:w="4280" w:type="dxa"/>
            <w:vAlign w:val="bottom"/>
            <w:vMerge w:val="continue"/>
          </w:tcPr>
          <w:p>
            <w:pPr>
              <w:spacing w:after="0"/>
              <w:rPr>
                <w:sz w:val="17"/>
                <w:szCs w:val="17"/>
                <w:color w:val="auto"/>
              </w:rPr>
            </w:pPr>
          </w:p>
        </w:tc>
        <w:tc>
          <w:tcPr>
            <w:tcW w:w="320" w:type="dxa"/>
            <w:vAlign w:val="bottom"/>
            <w:tcBorders>
              <w:top w:val="single" w:sz="8" w:color="auto"/>
            </w:tcBorders>
          </w:tcPr>
          <w:p>
            <w:pPr>
              <w:jc w:val="right"/>
              <w:ind w:right="61"/>
              <w:spacing w:after="0" w:line="207" w:lineRule="exact"/>
              <w:rPr>
                <w:sz w:val="20"/>
                <w:szCs w:val="20"/>
                <w:color w:val="auto"/>
              </w:rPr>
            </w:pPr>
            <w:r>
              <w:rPr>
                <w:rFonts w:ascii="Arial" w:cs="Arial" w:eastAsia="Arial" w:hAnsi="Arial"/>
                <w:sz w:val="20"/>
                <w:szCs w:val="20"/>
                <w:color w:val="auto"/>
              </w:rPr>
              <w:t>$</w:t>
            </w:r>
          </w:p>
        </w:tc>
        <w:tc>
          <w:tcPr>
            <w:tcW w:w="1040" w:type="dxa"/>
            <w:vAlign w:val="bottom"/>
            <w:tcBorders>
              <w:top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rPr>
              <w:t>514,355</w:t>
            </w:r>
          </w:p>
        </w:tc>
        <w:tc>
          <w:tcPr>
            <w:tcW w:w="2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160" w:type="dxa"/>
            <w:vAlign w:val="bottom"/>
            <w:tcBorders>
              <w:top w:val="single" w:sz="8" w:color="auto"/>
            </w:tcBorders>
          </w:tcPr>
          <w:p>
            <w:pPr>
              <w:jc w:val="right"/>
              <w:ind w:right="41"/>
              <w:spacing w:after="0" w:line="207" w:lineRule="exact"/>
              <w:rPr>
                <w:sz w:val="20"/>
                <w:szCs w:val="20"/>
                <w:color w:val="auto"/>
              </w:rPr>
            </w:pPr>
            <w:r>
              <w:rPr>
                <w:rFonts w:ascii="Arial" w:cs="Arial" w:eastAsia="Arial" w:hAnsi="Arial"/>
                <w:sz w:val="20"/>
                <w:szCs w:val="20"/>
                <w:color w:val="auto"/>
              </w:rPr>
              <w:t>21,774</w:t>
            </w:r>
          </w:p>
        </w:tc>
        <w:tc>
          <w:tcPr>
            <w:tcW w:w="280" w:type="dxa"/>
            <w:vAlign w:val="bottom"/>
          </w:tcPr>
          <w:p>
            <w:pPr>
              <w:spacing w:after="0"/>
              <w:rPr>
                <w:sz w:val="17"/>
                <w:szCs w:val="17"/>
                <w:color w:val="auto"/>
              </w:rPr>
            </w:pPr>
          </w:p>
        </w:tc>
        <w:tc>
          <w:tcPr>
            <w:tcW w:w="16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300" w:type="dxa"/>
            <w:vAlign w:val="bottom"/>
            <w:tcBorders>
              <w:top w:val="single" w:sz="8" w:color="auto"/>
            </w:tcBorders>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260" w:type="dxa"/>
            <w:vAlign w:val="bottom"/>
          </w:tcPr>
          <w:p>
            <w:pPr>
              <w:spacing w:after="0"/>
              <w:rPr>
                <w:sz w:val="17"/>
                <w:szCs w:val="17"/>
                <w:color w:val="auto"/>
              </w:rPr>
            </w:pPr>
          </w:p>
        </w:tc>
        <w:tc>
          <w:tcPr>
            <w:tcW w:w="280" w:type="dxa"/>
            <w:vAlign w:val="bottom"/>
            <w:tcBorders>
              <w:top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rPr>
              <w:t>$</w:t>
            </w:r>
          </w:p>
        </w:tc>
        <w:tc>
          <w:tcPr>
            <w:tcW w:w="960" w:type="dxa"/>
            <w:vAlign w:val="bottom"/>
            <w:tcBorders>
              <w:top w:val="single" w:sz="8" w:color="auto"/>
            </w:tcBorders>
          </w:tcPr>
          <w:p>
            <w:pPr>
              <w:jc w:val="right"/>
              <w:ind w:right="41"/>
              <w:spacing w:after="0" w:line="207" w:lineRule="exact"/>
              <w:rPr>
                <w:sz w:val="20"/>
                <w:szCs w:val="20"/>
                <w:color w:val="auto"/>
              </w:rPr>
            </w:pPr>
            <w:r>
              <w:rPr>
                <w:rFonts w:ascii="Arial" w:cs="Arial" w:eastAsia="Arial" w:hAnsi="Arial"/>
                <w:sz w:val="20"/>
                <w:szCs w:val="20"/>
                <w:color w:val="auto"/>
              </w:rPr>
              <w:t>536,129</w:t>
            </w:r>
          </w:p>
        </w:tc>
        <w:tc>
          <w:tcPr>
            <w:tcW w:w="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20"/>
                <w:szCs w:val="20"/>
                <w:color w:val="auto"/>
              </w:rPr>
              <w:t>Contribution margin*</w:t>
            </w:r>
          </w:p>
        </w:tc>
        <w:tc>
          <w:tcPr>
            <w:tcW w:w="32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20"/>
                <w:szCs w:val="20"/>
                <w:color w:val="auto"/>
              </w:rPr>
              <w:t>186,468</w:t>
            </w:r>
          </w:p>
        </w:tc>
        <w:tc>
          <w:tcPr>
            <w:tcW w:w="260" w:type="dxa"/>
            <w:vAlign w:val="bottom"/>
          </w:tcPr>
          <w:p>
            <w:pPr>
              <w:jc w:val="right"/>
              <w:spacing w:after="0"/>
              <w:rPr>
                <w:sz w:val="20"/>
                <w:szCs w:val="20"/>
                <w:color w:val="auto"/>
              </w:rPr>
            </w:pPr>
            <w:r>
              <w:rPr>
                <w:rFonts w:ascii="Arial" w:cs="Arial" w:eastAsia="Arial" w:hAnsi="Arial"/>
                <w:sz w:val="20"/>
                <w:szCs w:val="20"/>
                <w:color w:val="auto"/>
                <w:w w:val="97"/>
              </w:rPr>
              <w:t>(2)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41"/>
              <w:spacing w:after="0"/>
              <w:rPr>
                <w:sz w:val="20"/>
                <w:szCs w:val="20"/>
                <w:color w:val="auto"/>
              </w:rPr>
            </w:pPr>
            <w:r>
              <w:rPr>
                <w:rFonts w:ascii="Arial" w:cs="Arial" w:eastAsia="Arial" w:hAnsi="Arial"/>
                <w:sz w:val="20"/>
                <w:szCs w:val="20"/>
                <w:color w:val="auto"/>
              </w:rPr>
              <w:t>296</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20"/>
                <w:szCs w:val="20"/>
                <w:color w:val="auto"/>
              </w:rPr>
              <w:t>186,764</w:t>
            </w:r>
          </w:p>
        </w:tc>
        <w:tc>
          <w:tcPr>
            <w:tcW w:w="560" w:type="dxa"/>
            <w:vAlign w:val="bottom"/>
          </w:tcPr>
          <w:p>
            <w:pPr>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20"/>
                <w:szCs w:val="20"/>
                <w:color w:val="auto"/>
              </w:rPr>
              <w:t>Corporate and unallocated expenses</w:t>
            </w:r>
          </w:p>
        </w:tc>
        <w:tc>
          <w:tcPr>
            <w:tcW w:w="32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(37,901)</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(37,901)</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20"/>
                <w:szCs w:val="20"/>
                <w:color w:val="auto"/>
              </w:rPr>
              <w:t>Operating income</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20"/>
                <w:szCs w:val="20"/>
                <w:color w:val="auto"/>
              </w:rPr>
              <w:t>148,863</w:t>
            </w:r>
          </w:p>
        </w:tc>
        <w:tc>
          <w:tcPr>
            <w:tcW w:w="560" w:type="dxa"/>
            <w:vAlign w:val="bottom"/>
          </w:tcPr>
          <w:p>
            <w:pPr>
              <w:spacing w:after="0"/>
              <w:rPr>
                <w:sz w:val="20"/>
                <w:szCs w:val="20"/>
                <w:color w:val="auto"/>
              </w:rPr>
            </w:pPr>
            <w:r>
              <w:rPr>
                <w:rFonts w:ascii="Arial" w:cs="Arial" w:eastAsia="Arial" w:hAnsi="Arial"/>
                <w:sz w:val="20"/>
                <w:szCs w:val="20"/>
                <w:color w:val="auto"/>
                <w:w w:val="89"/>
              </w:rPr>
              <w:t>(1), (2)</w:t>
            </w: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20"/>
                <w:szCs w:val="20"/>
                <w:color w:val="auto"/>
              </w:rPr>
              <w:t>Other income (expense)</w:t>
            </w:r>
          </w:p>
        </w:tc>
        <w:tc>
          <w:tcPr>
            <w:tcW w:w="32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20"/>
                <w:szCs w:val="20"/>
                <w:color w:val="auto"/>
              </w:rPr>
              <w:t>26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41"/>
              <w:spacing w:after="0"/>
              <w:rPr>
                <w:sz w:val="20"/>
                <w:szCs w:val="20"/>
                <w:color w:val="auto"/>
              </w:rPr>
            </w:pPr>
            <w:r>
              <w:rPr>
                <w:rFonts w:ascii="Arial" w:cs="Arial" w:eastAsia="Arial" w:hAnsi="Arial"/>
                <w:sz w:val="20"/>
                <w:szCs w:val="20"/>
                <w:color w:val="auto"/>
              </w:rPr>
              <w:t>128</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20"/>
                <w:szCs w:val="20"/>
                <w:color w:val="auto"/>
              </w:rPr>
              <w:t>154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20"/>
                <w:szCs w:val="20"/>
                <w:color w:val="auto"/>
              </w:rPr>
              <w:t>Income before provision for income taxes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20"/>
                <w:szCs w:val="20"/>
                <w:color w:val="auto"/>
              </w:rPr>
              <w:t>149,017</w:t>
            </w:r>
          </w:p>
        </w:tc>
        <w:tc>
          <w:tcPr>
            <w:tcW w:w="560" w:type="dxa"/>
            <w:vAlign w:val="bottom"/>
          </w:tcPr>
          <w:p>
            <w:pPr>
              <w:spacing w:after="0"/>
              <w:rPr>
                <w:sz w:val="20"/>
                <w:szCs w:val="20"/>
                <w:color w:val="auto"/>
              </w:rPr>
            </w:pPr>
            <w:r>
              <w:rPr>
                <w:rFonts w:ascii="Arial" w:cs="Arial" w:eastAsia="Arial" w:hAnsi="Arial"/>
                <w:sz w:val="20"/>
                <w:szCs w:val="20"/>
                <w:color w:val="auto"/>
                <w:w w:val="89"/>
              </w:rPr>
              <w:t>(1), (2)</w:t>
            </w:r>
          </w:p>
        </w:tc>
        <w:tc>
          <w:tcPr>
            <w:tcW w:w="0" w:type="dxa"/>
            <w:vAlign w:val="bottom"/>
          </w:tcPr>
          <w:p>
            <w:pPr>
              <w:spacing w:after="0"/>
              <w:rPr>
                <w:sz w:val="1"/>
                <w:szCs w:val="1"/>
                <w:color w:val="auto"/>
              </w:rPr>
            </w:pPr>
          </w:p>
        </w:tc>
      </w:tr>
      <w:tr>
        <w:trPr>
          <w:trHeight w:val="250"/>
        </w:trPr>
        <w:tc>
          <w:tcPr>
            <w:tcW w:w="4280" w:type="dxa"/>
            <w:vAlign w:val="bottom"/>
          </w:tcPr>
          <w:p>
            <w:pPr>
              <w:spacing w:after="0"/>
              <w:rPr>
                <w:sz w:val="20"/>
                <w:szCs w:val="20"/>
                <w:color w:val="auto"/>
              </w:rPr>
            </w:pPr>
            <w:r>
              <w:rPr>
                <w:rFonts w:ascii="Arial" w:cs="Arial" w:eastAsia="Arial" w:hAnsi="Arial"/>
                <w:sz w:val="20"/>
                <w:szCs w:val="20"/>
                <w:color w:val="auto"/>
              </w:rPr>
              <w:t>Depreciation and amortization</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(4,944)</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(81)</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(1,428)</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(6,453)</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firstLine="656"/>
        <w:spacing w:after="0" w:line="305" w:lineRule="auto"/>
        <w:tabs>
          <w:tab w:leader="none" w:pos="902" w:val="left"/>
        </w:tabs>
        <w:numPr>
          <w:ilvl w:val="0"/>
          <w:numId w:val="25"/>
        </w:numPr>
        <w:rPr>
          <w:rFonts w:ascii="Arial" w:cs="Arial" w:eastAsia="Arial" w:hAnsi="Arial"/>
          <w:sz w:val="15"/>
          <w:szCs w:val="15"/>
          <w:i w:val="1"/>
          <w:iCs w:val="1"/>
          <w:color w:val="auto"/>
        </w:rPr>
      </w:pPr>
      <w:r>
        <w:rPr>
          <w:rFonts w:ascii="Arial" w:cs="Arial" w:eastAsia="Arial" w:hAnsi="Arial"/>
          <w:sz w:val="15"/>
          <w:szCs w:val="15"/>
          <w:i w:val="1"/>
          <w:iCs w:val="1"/>
          <w:color w:val="auto"/>
        </w:rPr>
        <w:t>Includes $43.3 million and $3.7 million for the three-months ended March 31, 2015 and 2014, respectively, related to the recognition of deferred revenue. Included in the $43.3 million recognition of deferred revenue for the three-months ended March 31, 2015, is $39.8 million related to the accelerated amortization of the deferred revenue balances associated with certain of the Company’s prior distributors who were sent notices of termination during the first quarter of 2015.</w:t>
      </w:r>
    </w:p>
    <w:p>
      <w:pPr>
        <w:spacing w:after="0" w:line="152" w:lineRule="exact"/>
        <w:rPr>
          <w:rFonts w:ascii="Arial" w:cs="Arial" w:eastAsia="Arial" w:hAnsi="Arial"/>
          <w:sz w:val="15"/>
          <w:szCs w:val="15"/>
          <w:i w:val="1"/>
          <w:iCs w:val="1"/>
          <w:color w:val="auto"/>
        </w:rPr>
      </w:pPr>
    </w:p>
    <w:p>
      <w:pPr>
        <w:ind w:left="880" w:hanging="224"/>
        <w:spacing w:after="0"/>
        <w:tabs>
          <w:tab w:leader="none" w:pos="880" w:val="left"/>
        </w:tabs>
        <w:numPr>
          <w:ilvl w:val="0"/>
          <w:numId w:val="25"/>
        </w:numPr>
        <w:rPr>
          <w:rFonts w:ascii="Arial" w:cs="Arial" w:eastAsia="Arial" w:hAnsi="Arial"/>
          <w:sz w:val="16"/>
          <w:szCs w:val="16"/>
          <w:i w:val="1"/>
          <w:iCs w:val="1"/>
          <w:color w:val="auto"/>
        </w:rPr>
      </w:pPr>
      <w:r>
        <w:rPr>
          <w:rFonts w:ascii="Arial" w:cs="Arial" w:eastAsia="Arial" w:hAnsi="Arial"/>
          <w:sz w:val="16"/>
          <w:szCs w:val="16"/>
          <w:i w:val="1"/>
          <w:iCs w:val="1"/>
          <w:color w:val="auto"/>
        </w:rPr>
        <w:t>Includes $206.0 million and $0.01 million for the three-months ended March 31, 2015 and 2014, respectively, related to distributor termination costs.</w:t>
      </w:r>
    </w:p>
    <w:p>
      <w:pPr>
        <w:spacing w:after="0" w:line="22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i w:val="1"/>
          <w:iCs w:val="1"/>
          <w:color w:val="auto"/>
        </w:rPr>
        <w:t>*Contribution margin is defined as gross profit less certain operating expenses deemed by management to be directly attributable to the respective reportable segment. Contribution margin is used by management as a key indicator of reportable segment profitability.</w:t>
      </w:r>
    </w:p>
    <w:p>
      <w:pPr>
        <w:spacing w:after="0" w:line="179"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Revenue is derived from sales to external customers. Operating expenses that pertain to each segment are allocated to the appropriate segment.</w:t>
      </w:r>
    </w:p>
    <w:p>
      <w:pPr>
        <w:sectPr>
          <w:pgSz w:w="11900" w:h="16838" w:orient="portrait"/>
          <w:cols w:equalWidth="0" w:num="1">
            <w:col w:w="11420"/>
          </w:cols>
          <w:pgMar w:left="240" w:top="122" w:right="239" w:bottom="0" w:gutter="0" w:footer="0" w:header="0"/>
        </w:sectPr>
      </w:pPr>
    </w:p>
    <w:bookmarkStart w:id="18" w:name="page19"/>
    <w:bookmarkEnd w:id="18"/>
    <w:p>
      <w:pPr>
        <w:spacing w:after="0" w:line="3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Corporate and unallocated expenses were $50.0 million for the three-months ended March 31, 2015 and included $28.5 million of payroll costs, of which $6.4 million was attributable to stock-based compensation expense (see Note 14, “Stock-Based Compensation”), $14.5 million of professional service expenses, including accounting and legal costs and $7.0 million of other operating expenses. Corporate and unallocated expenses were $37.9 million for the three-months ended March 31, 2014 and included $21.1 million of payroll costs, of which $7.0 million was attributable to stock-based compensation expense (see Note 14, “Stock-Based Compensation”), $10.1 million attributable to professional service expenses, including accounting and legal costs, and $6.7 million attributable to other operating expenses.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Coca-Cola Refreshments USA Inc. (“CCR”), a customer of the DSD segment, accounted for approximately 35% and 31% of the Company’s net sales for the three-months ended March 31, 2015 and 2014, respectively.</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Net sales to customers outside the United States amounted to $113.0 million and $115.8 million for the three-months ended March 31, 2015 and 2014, respectively.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40" w:type="dxa"/>
            <w:vAlign w:val="bottom"/>
          </w:tcPr>
          <w:p>
            <w:pPr>
              <w:spacing w:after="0"/>
              <w:rPr>
                <w:sz w:val="21"/>
                <w:szCs w:val="21"/>
                <w:color w:val="auto"/>
              </w:rPr>
            </w:pPr>
          </w:p>
        </w:tc>
        <w:tc>
          <w:tcPr>
            <w:tcW w:w="5520" w:type="dxa"/>
            <w:vAlign w:val="bottom"/>
            <w:gridSpan w:val="3"/>
          </w:tcPr>
          <w:p>
            <w:pPr>
              <w:ind w:left="220"/>
              <w:spacing w:after="0"/>
              <w:rPr>
                <w:sz w:val="20"/>
                <w:szCs w:val="20"/>
                <w:color w:val="auto"/>
              </w:rPr>
            </w:pPr>
            <w:r>
              <w:rPr>
                <w:rFonts w:ascii="Arial" w:cs="Arial" w:eastAsia="Arial" w:hAnsi="Arial"/>
                <w:sz w:val="20"/>
                <w:szCs w:val="20"/>
                <w:color w:val="auto"/>
              </w:rPr>
              <w:t>The Company’s net sales by product line were as follows:</w:t>
            </w: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8"/>
        </w:trPr>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40" w:type="dxa"/>
            <w:vAlign w:val="bottom"/>
            <w:gridSpan w:val="4"/>
          </w:tcPr>
          <w:p>
            <w:pPr>
              <w:jc w:val="right"/>
              <w:ind w:right="561"/>
              <w:spacing w:after="0"/>
              <w:rPr>
                <w:sz w:val="20"/>
                <w:szCs w:val="20"/>
                <w:color w:val="auto"/>
              </w:rPr>
            </w:pPr>
            <w:r>
              <w:rPr>
                <w:rFonts w:ascii="Arial" w:cs="Arial" w:eastAsia="Arial" w:hAnsi="Arial"/>
                <w:sz w:val="20"/>
                <w:szCs w:val="20"/>
                <w:color w:val="auto"/>
              </w:rPr>
              <w:t>Three-Months Ended</w:t>
            </w:r>
          </w:p>
        </w:tc>
        <w:tc>
          <w:tcPr>
            <w:tcW w:w="0" w:type="dxa"/>
            <w:vAlign w:val="bottom"/>
          </w:tcPr>
          <w:p>
            <w:pPr>
              <w:spacing w:after="0"/>
              <w:rPr>
                <w:sz w:val="1"/>
                <w:szCs w:val="1"/>
                <w:color w:val="auto"/>
              </w:rPr>
            </w:pPr>
          </w:p>
        </w:tc>
      </w:tr>
      <w:tr>
        <w:trPr>
          <w:trHeight w:val="246"/>
        </w:trPr>
        <w:tc>
          <w:tcPr>
            <w:tcW w:w="440" w:type="dxa"/>
            <w:vAlign w:val="bottom"/>
          </w:tcPr>
          <w:p>
            <w:pPr>
              <w:spacing w:after="0"/>
              <w:rPr>
                <w:sz w:val="21"/>
                <w:szCs w:val="21"/>
                <w:color w:val="auto"/>
              </w:rPr>
            </w:pPr>
          </w:p>
        </w:tc>
        <w:tc>
          <w:tcPr>
            <w:tcW w:w="5520" w:type="dxa"/>
            <w:vAlign w:val="bottom"/>
            <w:gridSpan w:val="3"/>
            <w:vMerge w:val="restart"/>
          </w:tcPr>
          <w:p>
            <w:pPr>
              <w:ind w:left="540"/>
              <w:spacing w:after="0"/>
              <w:rPr>
                <w:sz w:val="20"/>
                <w:szCs w:val="20"/>
                <w:color w:val="auto"/>
              </w:rPr>
            </w:pPr>
            <w:r>
              <w:rPr>
                <w:rFonts w:ascii="Arial" w:cs="Arial" w:eastAsia="Arial" w:hAnsi="Arial"/>
                <w:sz w:val="20"/>
                <w:szCs w:val="20"/>
                <w:color w:val="auto"/>
              </w:rPr>
              <w:t>Product Line</w:t>
            </w:r>
          </w:p>
        </w:tc>
        <w:tc>
          <w:tcPr>
            <w:tcW w:w="36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right"/>
              <w:ind w:right="21"/>
              <w:spacing w:after="0"/>
              <w:rPr>
                <w:sz w:val="20"/>
                <w:szCs w:val="20"/>
                <w:color w:val="auto"/>
              </w:rPr>
            </w:pPr>
            <w:r>
              <w:rPr>
                <w:rFonts w:ascii="Arial" w:cs="Arial" w:eastAsia="Arial" w:hAnsi="Arial"/>
                <w:sz w:val="20"/>
                <w:szCs w:val="20"/>
                <w:color w:val="auto"/>
              </w:rPr>
              <w:t>March 31,</w:t>
            </w:r>
          </w:p>
        </w:tc>
        <w:tc>
          <w:tcPr>
            <w:tcW w:w="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5520" w:type="dxa"/>
            <w:vAlign w:val="bottom"/>
            <w:gridSpan w:val="3"/>
            <w:vMerge w:val="continue"/>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ind w:right="381"/>
              <w:spacing w:after="0" w:line="223" w:lineRule="exact"/>
              <w:rPr>
                <w:sz w:val="20"/>
                <w:szCs w:val="20"/>
                <w:color w:val="auto"/>
              </w:rPr>
            </w:pPr>
            <w:r>
              <w:rPr>
                <w:rFonts w:ascii="Arial" w:cs="Arial" w:eastAsia="Arial" w:hAnsi="Arial"/>
                <w:sz w:val="20"/>
                <w:szCs w:val="20"/>
                <w:color w:val="auto"/>
              </w:rPr>
              <w:t>2015</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ind w:right="381"/>
              <w:spacing w:after="0" w:line="223" w:lineRule="exact"/>
              <w:rPr>
                <w:sz w:val="20"/>
                <w:szCs w:val="20"/>
                <w:color w:val="auto"/>
              </w:rPr>
            </w:pPr>
            <w:r>
              <w:rPr>
                <w:rFonts w:ascii="Arial" w:cs="Arial" w:eastAsia="Arial" w:hAnsi="Arial"/>
                <w:sz w:val="20"/>
                <w:szCs w:val="20"/>
                <w:color w:val="auto"/>
              </w:rPr>
              <w:t>2014</w:t>
            </w:r>
          </w:p>
        </w:tc>
        <w:tc>
          <w:tcPr>
            <w:tcW w:w="0" w:type="dxa"/>
            <w:vAlign w:val="bottom"/>
          </w:tcPr>
          <w:p>
            <w:pPr>
              <w:spacing w:after="0"/>
              <w:rPr>
                <w:sz w:val="1"/>
                <w:szCs w:val="1"/>
                <w:color w:val="auto"/>
              </w:rPr>
            </w:pPr>
          </w:p>
        </w:tc>
      </w:tr>
      <w:tr>
        <w:trPr>
          <w:trHeight w:val="244"/>
        </w:trPr>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68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Energy drinks</w:t>
            </w:r>
          </w:p>
        </w:tc>
        <w:tc>
          <w:tcPr>
            <w:tcW w:w="300" w:type="dxa"/>
            <w:vAlign w:val="bottom"/>
          </w:tcPr>
          <w:p>
            <w:pPr>
              <w:spacing w:after="0"/>
              <w:rPr>
                <w:sz w:val="21"/>
                <w:szCs w:val="21"/>
                <w:color w:val="auto"/>
              </w:rPr>
            </w:pPr>
          </w:p>
        </w:tc>
        <w:tc>
          <w:tcPr>
            <w:tcW w:w="360" w:type="dxa"/>
            <w:vAlign w:val="bottom"/>
            <w:tcBorders>
              <w:top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00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color w:val="auto"/>
              </w:rPr>
              <w:t>552,729</w:t>
            </w:r>
          </w:p>
        </w:tc>
        <w:tc>
          <w:tcPr>
            <w:tcW w:w="300" w:type="dxa"/>
            <w:vAlign w:val="bottom"/>
          </w:tcPr>
          <w:p>
            <w:pPr>
              <w:spacing w:after="0"/>
              <w:rPr>
                <w:sz w:val="21"/>
                <w:szCs w:val="21"/>
                <w:color w:val="auto"/>
              </w:rPr>
            </w:pPr>
          </w:p>
        </w:tc>
        <w:tc>
          <w:tcPr>
            <w:tcW w:w="360" w:type="dxa"/>
            <w:vAlign w:val="bottom"/>
            <w:tcBorders>
              <w:top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98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color w:val="auto"/>
              </w:rPr>
              <w:t>499,013</w:t>
            </w:r>
          </w:p>
        </w:tc>
        <w:tc>
          <w:tcPr>
            <w:tcW w:w="0" w:type="dxa"/>
            <w:vAlign w:val="bottom"/>
          </w:tcPr>
          <w:p>
            <w:pPr>
              <w:spacing w:after="0"/>
              <w:rPr>
                <w:sz w:val="1"/>
                <w:szCs w:val="1"/>
                <w:color w:val="auto"/>
              </w:rPr>
            </w:pPr>
          </w:p>
        </w:tc>
      </w:tr>
      <w:tr>
        <w:trPr>
          <w:trHeight w:val="246"/>
        </w:trPr>
        <w:tc>
          <w:tcPr>
            <w:tcW w:w="440" w:type="dxa"/>
            <w:vAlign w:val="bottom"/>
          </w:tcPr>
          <w:p>
            <w:pPr>
              <w:spacing w:after="0"/>
              <w:rPr>
                <w:sz w:val="21"/>
                <w:szCs w:val="21"/>
                <w:color w:val="auto"/>
              </w:rPr>
            </w:pPr>
          </w:p>
        </w:tc>
        <w:tc>
          <w:tcPr>
            <w:tcW w:w="5520" w:type="dxa"/>
            <w:vAlign w:val="bottom"/>
            <w:gridSpan w:val="3"/>
          </w:tcPr>
          <w:p>
            <w:pPr>
              <w:ind w:left="540"/>
              <w:spacing w:after="0"/>
              <w:rPr>
                <w:sz w:val="20"/>
                <w:szCs w:val="20"/>
                <w:color w:val="auto"/>
              </w:rPr>
            </w:pPr>
            <w:r>
              <w:rPr>
                <w:rFonts w:ascii="Arial" w:cs="Arial" w:eastAsia="Arial" w:hAnsi="Arial"/>
                <w:sz w:val="20"/>
                <w:szCs w:val="20"/>
                <w:color w:val="auto"/>
              </w:rPr>
              <w:t>Non-carbonated (primarily juice based beverages and</w:t>
            </w: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980" w:type="dxa"/>
            <w:vAlign w:val="bottom"/>
            <w:gridSpan w:val="2"/>
          </w:tcPr>
          <w:p>
            <w:pPr>
              <w:ind w:left="260"/>
              <w:spacing w:after="0"/>
              <w:rPr>
                <w:sz w:val="20"/>
                <w:szCs w:val="20"/>
                <w:color w:val="auto"/>
              </w:rPr>
            </w:pPr>
            <w:r>
              <w:rPr>
                <w:rFonts w:ascii="Arial" w:cs="Arial" w:eastAsia="Arial" w:hAnsi="Arial"/>
                <w:sz w:val="20"/>
                <w:szCs w:val="20"/>
                <w:color w:val="auto"/>
              </w:rPr>
              <w:t>Peace Tea® iced teas)</w:t>
            </w:r>
          </w:p>
        </w:tc>
        <w:tc>
          <w:tcPr>
            <w:tcW w:w="36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20"/>
                <w:szCs w:val="20"/>
                <w:color w:val="auto"/>
              </w:rPr>
              <w:t>24,513</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ind w:right="21"/>
              <w:spacing w:after="0"/>
              <w:rPr>
                <w:sz w:val="20"/>
                <w:szCs w:val="20"/>
                <w:color w:val="auto"/>
              </w:rPr>
            </w:pPr>
            <w:r>
              <w:rPr>
                <w:rFonts w:ascii="Arial" w:cs="Arial" w:eastAsia="Arial" w:hAnsi="Arial"/>
                <w:sz w:val="20"/>
                <w:szCs w:val="20"/>
                <w:color w:val="auto"/>
              </w:rPr>
              <w:t>26,446</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5520" w:type="dxa"/>
            <w:vAlign w:val="bottom"/>
            <w:gridSpan w:val="3"/>
          </w:tcPr>
          <w:p>
            <w:pPr>
              <w:ind w:left="540"/>
              <w:spacing w:after="0"/>
              <w:rPr>
                <w:sz w:val="20"/>
                <w:szCs w:val="20"/>
                <w:color w:val="auto"/>
              </w:rPr>
            </w:pPr>
            <w:r>
              <w:rPr>
                <w:rFonts w:ascii="Arial" w:cs="Arial" w:eastAsia="Arial" w:hAnsi="Arial"/>
                <w:sz w:val="20"/>
                <w:szCs w:val="20"/>
                <w:color w:val="auto"/>
              </w:rPr>
              <w:t>Carbonated (primarily soda beverages)</w:t>
            </w:r>
          </w:p>
        </w:tc>
        <w:tc>
          <w:tcPr>
            <w:tcW w:w="36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20"/>
                <w:szCs w:val="20"/>
                <w:color w:val="auto"/>
              </w:rPr>
              <w:t>6,202</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ind w:right="21"/>
              <w:spacing w:after="0"/>
              <w:rPr>
                <w:sz w:val="20"/>
                <w:szCs w:val="20"/>
                <w:color w:val="auto"/>
              </w:rPr>
            </w:pPr>
            <w:r>
              <w:rPr>
                <w:rFonts w:ascii="Arial" w:cs="Arial" w:eastAsia="Arial" w:hAnsi="Arial"/>
                <w:sz w:val="20"/>
                <w:szCs w:val="20"/>
                <w:color w:val="auto"/>
              </w:rPr>
              <w:t>7,014</w:t>
            </w:r>
          </w:p>
        </w:tc>
        <w:tc>
          <w:tcPr>
            <w:tcW w:w="0" w:type="dxa"/>
            <w:vAlign w:val="bottom"/>
          </w:tcPr>
          <w:p>
            <w:pPr>
              <w:spacing w:after="0"/>
              <w:rPr>
                <w:sz w:val="1"/>
                <w:szCs w:val="1"/>
                <w:color w:val="auto"/>
              </w:rPr>
            </w:pPr>
          </w:p>
        </w:tc>
      </w:tr>
      <w:tr>
        <w:trPr>
          <w:trHeight w:val="246"/>
        </w:trPr>
        <w:tc>
          <w:tcPr>
            <w:tcW w:w="440" w:type="dxa"/>
            <w:vAlign w:val="bottom"/>
          </w:tcPr>
          <w:p>
            <w:pPr>
              <w:spacing w:after="0"/>
              <w:rPr>
                <w:sz w:val="21"/>
                <w:szCs w:val="21"/>
                <w:color w:val="auto"/>
              </w:rPr>
            </w:pPr>
          </w:p>
        </w:tc>
        <w:tc>
          <w:tcPr>
            <w:tcW w:w="5520" w:type="dxa"/>
            <w:vAlign w:val="bottom"/>
            <w:gridSpan w:val="3"/>
          </w:tcPr>
          <w:p>
            <w:pPr>
              <w:ind w:left="540"/>
              <w:spacing w:after="0"/>
              <w:rPr>
                <w:sz w:val="20"/>
                <w:szCs w:val="20"/>
                <w:color w:val="auto"/>
              </w:rPr>
            </w:pPr>
            <w:r>
              <w:rPr>
                <w:rFonts w:ascii="Arial" w:cs="Arial" w:eastAsia="Arial" w:hAnsi="Arial"/>
                <w:sz w:val="20"/>
                <w:szCs w:val="20"/>
                <w:color w:val="auto"/>
              </w:rPr>
              <w:t>Other</w:t>
            </w: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43,347</w:t>
            </w:r>
          </w:p>
        </w:tc>
        <w:tc>
          <w:tcPr>
            <w:tcW w:w="3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3,656</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626,791</w:t>
            </w:r>
          </w:p>
        </w:tc>
        <w:tc>
          <w:tcPr>
            <w:tcW w:w="300" w:type="dxa"/>
            <w:vAlign w:val="bottom"/>
          </w:tcPr>
          <w:p>
            <w:pPr>
              <w:spacing w:after="0"/>
              <w:rPr>
                <w:sz w:val="19"/>
                <w:szCs w:val="19"/>
                <w:color w:val="auto"/>
              </w:rPr>
            </w:pPr>
          </w:p>
        </w:tc>
        <w:tc>
          <w:tcPr>
            <w:tcW w:w="36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536,129</w:t>
            </w:r>
          </w:p>
        </w:tc>
        <w:tc>
          <w:tcPr>
            <w:tcW w:w="0" w:type="dxa"/>
            <w:vAlign w:val="bottom"/>
          </w:tcPr>
          <w:p>
            <w:pPr>
              <w:spacing w:after="0"/>
              <w:rPr>
                <w:sz w:val="1"/>
                <w:szCs w:val="1"/>
                <w:color w:val="auto"/>
              </w:rPr>
            </w:pPr>
          </w:p>
        </w:tc>
      </w:tr>
      <w:tr>
        <w:trPr>
          <w:trHeight w:val="20"/>
        </w:trPr>
        <w:tc>
          <w:tcPr>
            <w:tcW w:w="440" w:type="dxa"/>
            <w:vAlign w:val="bottom"/>
            <w:vMerge w:val="restart"/>
          </w:tcPr>
          <w:p>
            <w:pPr>
              <w:jc w:val="right"/>
              <w:ind w:right="81"/>
              <w:spacing w:after="0"/>
              <w:rPr>
                <w:sz w:val="20"/>
                <w:szCs w:val="20"/>
                <w:color w:val="auto"/>
              </w:rPr>
            </w:pPr>
            <w:r>
              <w:rPr>
                <w:rFonts w:ascii="Arial" w:cs="Arial" w:eastAsia="Arial" w:hAnsi="Arial"/>
                <w:sz w:val="20"/>
                <w:szCs w:val="20"/>
                <w:color w:val="auto"/>
                <w:w w:val="86"/>
              </w:rPr>
              <w:t>18.</w:t>
            </w:r>
          </w:p>
        </w:tc>
        <w:tc>
          <w:tcPr>
            <w:tcW w:w="5520" w:type="dxa"/>
            <w:vAlign w:val="bottom"/>
            <w:gridSpan w:val="3"/>
            <w:vMerge w:val="restart"/>
          </w:tcPr>
          <w:p>
            <w:pPr>
              <w:ind w:left="200"/>
              <w:spacing w:after="0"/>
              <w:rPr>
                <w:sz w:val="20"/>
                <w:szCs w:val="20"/>
                <w:color w:val="auto"/>
              </w:rPr>
            </w:pPr>
            <w:r>
              <w:rPr>
                <w:rFonts w:ascii="Arial" w:cs="Arial" w:eastAsia="Arial" w:hAnsi="Arial"/>
                <w:sz w:val="20"/>
                <w:szCs w:val="20"/>
                <w:color w:val="auto"/>
              </w:rPr>
              <w:t>RELATED PARTY TRANSACTIONS</w:t>
            </w: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440" w:type="dxa"/>
            <w:vAlign w:val="bottom"/>
            <w:vMerge w:val="continue"/>
          </w:tcPr>
          <w:p>
            <w:pPr>
              <w:spacing w:after="0"/>
              <w:rPr>
                <w:sz w:val="24"/>
                <w:szCs w:val="24"/>
                <w:color w:val="auto"/>
              </w:rPr>
            </w:pPr>
          </w:p>
        </w:tc>
        <w:tc>
          <w:tcPr>
            <w:tcW w:w="552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Two directors and officers of the Company and their families are principal owners of a company that provides promotional materials to the Company. Expenses incurred with such company in connection with promotional materials purchased during the three-months ended March 31, 2015 and 2014 were $0.9 million and $0.07 million, respectively.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Business</w:t>
      </w:r>
    </w:p>
    <w:p>
      <w:pPr>
        <w:spacing w:after="0" w:line="23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Monster Beverage Corporation was incorporated in Delaware on April 25, 1990. Our principal place of business is located at 1 Monster Way, Corona, California 92879 and our telephone number is (951) 739-6200. When this report uses the words “the Company”, “NewCo”, “Hansen Natural Corporation” (the Company’s former name), “we”, “us”, and “our”, these words refer to Monster Beverage Corporation and its subsidiaries, unless the context otherwise requires. We are a holding company and conduct no operating business except through our consolidated subsidiaries.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Acquisitions and Divestitures</w:t>
      </w:r>
    </w:p>
    <w:p>
      <w:pPr>
        <w:spacing w:after="0" w:line="22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On August 14, 2014, the Company and The Coca-Cola Company (“TCCC”) entered into definitive agreements contemplating a long-term strategic relationship in the global energy drink category (the “TCCC Transaction”). In the TCCC Transaction, the Company, New Laser Corporation, a wholly owned subsidiary of the Company (“NewCo”), New Laser Merger Corp., a wholly owned subsidiary of NewCo (“Merger Sub”), TCCC and European Refreshments, an indirect wholly owned subsidiary of TCCC, entered into a transaction agreement, and the Company, TCCC and NewCo entered into an asset transfer agreement. Pursuant to the agreements, the Company will reorganize into a new holding company by merging Merger Sub into the Company, with the Company surviving as a wholly owned subsidiary of NewCo. In the merger, each outstanding share of the Company’s common stock will be converted into one share of NewCo’s common stock.</w:t>
      </w:r>
    </w:p>
    <w:p>
      <w:pPr>
        <w:spacing w:after="0" w:line="18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Subject to the terms and conditions of the agreements, upon the closing of the TCCC Transaction, (1) TCCC will acquire newly issued NewCo common shares representing approximately 16.7% of the total number of outstanding NewCo common shares (giving effect to such issuance) and TCCC will be entitled to appoint two individuals (reduced to one in 36 months or if TCCC’s equity interest in NewCo exceeds 20%) to NewCo’s Board of Directors for a specified period, (2) TCCC will transfer all rights in and to its global energy drink business (including the NOS®, Full Throttle®, Burn®, Mother®, Play® and Power Play®, and Relentless® brands) to NewCo, and the Company will transfer all of its rights in and to its non-energy drink business (including the Hansen’s® Natural Soda, Peace Tea®, Hubert’s® Lemonade and</w:t>
      </w:r>
    </w:p>
    <w:p>
      <w:pPr>
        <w:sectPr>
          <w:pgSz w:w="11900" w:h="16877" w:orient="portrait"/>
          <w:cols w:equalWidth="0" w:num="1">
            <w:col w:w="11420"/>
          </w:cols>
          <w:pgMar w:left="240" w:top="122" w:right="239" w:bottom="0" w:gutter="0" w:footer="0" w:header="0"/>
        </w:sectPr>
      </w:pPr>
    </w:p>
    <w:bookmarkStart w:id="19" w:name="page20"/>
    <w:bookmarkEnd w:id="19"/>
    <w:p>
      <w:pPr>
        <w:spacing w:after="0" w:line="16" w:lineRule="exact"/>
        <w:rPr>
          <w:sz w:val="20"/>
          <w:szCs w:val="20"/>
          <w:color w:val="auto"/>
        </w:rPr>
      </w:pPr>
    </w:p>
    <w:p>
      <w:pPr>
        <w:jc w:val="both"/>
        <w:ind w:right="40"/>
        <w:spacing w:after="0" w:line="244" w:lineRule="auto"/>
        <w:rPr>
          <w:sz w:val="20"/>
          <w:szCs w:val="20"/>
          <w:color w:val="auto"/>
        </w:rPr>
      </w:pPr>
      <w:r>
        <w:rPr>
          <w:rFonts w:ascii="Arial" w:cs="Arial" w:eastAsia="Arial" w:hAnsi="Arial"/>
          <w:sz w:val="20"/>
          <w:szCs w:val="20"/>
          <w:color w:val="auto"/>
        </w:rPr>
        <w:t>Hansen’s® Juice Product brands) to TCCC, (3) the Company and TCCC will amend the distribution coordination agreements currently existing between them to govern the transition of third parties’ rights to distribute the Company’s energy products in most territories in the U.S. to members of TCCC’s distribution network, which consists of owned or controlled bottlers/distributors and independent bottling/distribution partners, and (4) TCCC or one of its subsidiaries will make a net cash payment to the Company of $2.15 billion, of which up to $625.0 million of which will be held in escrow (the “Escrow Agreement”), subject to release upon achievement of milestones relating to the transfer of distribution rights to TCCC’s distribution network.</w:t>
      </w:r>
    </w:p>
    <w:p>
      <w:pPr>
        <w:spacing w:after="0" w:line="205" w:lineRule="exact"/>
        <w:rPr>
          <w:sz w:val="20"/>
          <w:szCs w:val="20"/>
          <w:color w:val="auto"/>
        </w:rPr>
      </w:pPr>
    </w:p>
    <w:p>
      <w:pPr>
        <w:jc w:val="both"/>
        <w:ind w:right="40" w:firstLine="648"/>
        <w:spacing w:after="0" w:line="246" w:lineRule="auto"/>
        <w:rPr>
          <w:sz w:val="20"/>
          <w:szCs w:val="20"/>
          <w:color w:val="auto"/>
        </w:rPr>
      </w:pPr>
      <w:r>
        <w:rPr>
          <w:rFonts w:ascii="Arial" w:cs="Arial" w:eastAsia="Arial" w:hAnsi="Arial"/>
          <w:sz w:val="20"/>
          <w:szCs w:val="20"/>
          <w:color w:val="auto"/>
        </w:rPr>
        <w:t>Under the terms of the Escrow Agreement and the transition payment agreement expected to be entered into in connection therewith, if the distribution rights in the U.S. that are transitioned to TCCC’s distribution network represent case sales in excess of the following percentages of a target case sale amount agreed to by the parties, amounts in the escrow fund in excess of the applicable amounts below will be released to the Company: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20"/>
                <w:szCs w:val="20"/>
                <w:color w:val="auto"/>
                <w:w w:val="87"/>
              </w:rPr>
              <w:t>Percentage Transitioned</w:t>
            </w:r>
          </w:p>
        </w:tc>
        <w:tc>
          <w:tcPr>
            <w:tcW w:w="1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980" w:type="dxa"/>
            <w:vAlign w:val="bottom"/>
            <w:gridSpan w:val="2"/>
          </w:tcPr>
          <w:p>
            <w:pPr>
              <w:spacing w:after="0"/>
              <w:rPr>
                <w:sz w:val="20"/>
                <w:szCs w:val="20"/>
                <w:color w:val="auto"/>
              </w:rPr>
            </w:pPr>
            <w:r>
              <w:rPr>
                <w:rFonts w:ascii="Arial" w:cs="Arial" w:eastAsia="Arial" w:hAnsi="Arial"/>
                <w:sz w:val="20"/>
                <w:szCs w:val="20"/>
                <w:color w:val="auto"/>
              </w:rPr>
              <w:t>Escrow Release</w:t>
            </w:r>
          </w:p>
        </w:tc>
      </w:tr>
      <w:tr>
        <w:trPr>
          <w:trHeight w:val="20"/>
        </w:trPr>
        <w:tc>
          <w:tcPr>
            <w:tcW w:w="98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233"/>
        </w:trPr>
        <w:tc>
          <w:tcPr>
            <w:tcW w:w="980" w:type="dxa"/>
            <w:vAlign w:val="bottom"/>
          </w:tcPr>
          <w:p>
            <w:pPr>
              <w:spacing w:after="0"/>
              <w:rPr>
                <w:sz w:val="20"/>
                <w:szCs w:val="20"/>
                <w:color w:val="auto"/>
              </w:rPr>
            </w:pPr>
          </w:p>
        </w:tc>
        <w:tc>
          <w:tcPr>
            <w:tcW w:w="1920" w:type="dxa"/>
            <w:vAlign w:val="bottom"/>
          </w:tcPr>
          <w:p>
            <w:pPr>
              <w:jc w:val="right"/>
              <w:ind w:right="1201"/>
              <w:spacing w:after="0"/>
              <w:rPr>
                <w:sz w:val="20"/>
                <w:szCs w:val="20"/>
                <w:color w:val="auto"/>
              </w:rPr>
            </w:pPr>
            <w:r>
              <w:rPr>
                <w:rFonts w:ascii="Arial" w:cs="Arial" w:eastAsia="Arial" w:hAnsi="Arial"/>
                <w:sz w:val="20"/>
                <w:szCs w:val="20"/>
                <w:color w:val="auto"/>
              </w:rPr>
              <w:t>40%</w:t>
            </w:r>
          </w:p>
        </w:tc>
        <w:tc>
          <w:tcPr>
            <w:tcW w:w="1220" w:type="dxa"/>
            <w:vAlign w:val="bottom"/>
          </w:tcPr>
          <w:p>
            <w:pPr>
              <w:spacing w:after="0"/>
              <w:rPr>
                <w:sz w:val="20"/>
                <w:szCs w:val="20"/>
                <w:color w:val="auto"/>
              </w:rPr>
            </w:pPr>
          </w:p>
        </w:tc>
        <w:tc>
          <w:tcPr>
            <w:tcW w:w="7340" w:type="dxa"/>
            <w:vAlign w:val="bottom"/>
            <w:gridSpan w:val="3"/>
          </w:tcPr>
          <w:p>
            <w:pPr>
              <w:ind w:left="1200"/>
              <w:spacing w:after="0"/>
              <w:rPr>
                <w:sz w:val="20"/>
                <w:szCs w:val="20"/>
                <w:color w:val="auto"/>
              </w:rPr>
            </w:pPr>
            <w:r>
              <w:rPr>
                <w:rFonts w:ascii="Arial" w:cs="Arial" w:eastAsia="Arial" w:hAnsi="Arial"/>
                <w:sz w:val="20"/>
                <w:szCs w:val="20"/>
                <w:color w:val="auto"/>
              </w:rPr>
              <w:t>Amounts in excess of $375 million</w:t>
            </w:r>
          </w:p>
        </w:tc>
      </w:tr>
      <w:tr>
        <w:trPr>
          <w:trHeight w:val="230"/>
        </w:trPr>
        <w:tc>
          <w:tcPr>
            <w:tcW w:w="2900" w:type="dxa"/>
            <w:vAlign w:val="bottom"/>
            <w:gridSpan w:val="2"/>
          </w:tcPr>
          <w:p>
            <w:pPr>
              <w:jc w:val="right"/>
              <w:ind w:right="1201"/>
              <w:spacing w:after="0"/>
              <w:rPr>
                <w:sz w:val="20"/>
                <w:szCs w:val="20"/>
                <w:color w:val="auto"/>
              </w:rPr>
            </w:pPr>
            <w:r>
              <w:rPr>
                <w:rFonts w:ascii="Arial" w:cs="Arial" w:eastAsia="Arial" w:hAnsi="Arial"/>
                <w:sz w:val="20"/>
                <w:szCs w:val="20"/>
                <w:color w:val="auto"/>
              </w:rPr>
              <w:t>50%</w:t>
            </w:r>
          </w:p>
        </w:tc>
        <w:tc>
          <w:tcPr>
            <w:tcW w:w="1220" w:type="dxa"/>
            <w:vAlign w:val="bottom"/>
          </w:tcPr>
          <w:p>
            <w:pPr>
              <w:spacing w:after="0"/>
              <w:rPr>
                <w:sz w:val="19"/>
                <w:szCs w:val="19"/>
                <w:color w:val="auto"/>
              </w:rPr>
            </w:pPr>
          </w:p>
        </w:tc>
        <w:tc>
          <w:tcPr>
            <w:tcW w:w="7340" w:type="dxa"/>
            <w:vAlign w:val="bottom"/>
            <w:gridSpan w:val="3"/>
          </w:tcPr>
          <w:p>
            <w:pPr>
              <w:ind w:left="1200"/>
              <w:spacing w:after="0"/>
              <w:rPr>
                <w:sz w:val="20"/>
                <w:szCs w:val="20"/>
                <w:color w:val="auto"/>
              </w:rPr>
            </w:pPr>
            <w:r>
              <w:rPr>
                <w:rFonts w:ascii="Arial" w:cs="Arial" w:eastAsia="Arial" w:hAnsi="Arial"/>
                <w:sz w:val="20"/>
                <w:szCs w:val="20"/>
                <w:color w:val="auto"/>
              </w:rPr>
              <w:t>Amounts in excess of $312.5 million</w:t>
            </w:r>
          </w:p>
        </w:tc>
      </w:tr>
      <w:tr>
        <w:trPr>
          <w:trHeight w:val="230"/>
        </w:trPr>
        <w:tc>
          <w:tcPr>
            <w:tcW w:w="2900" w:type="dxa"/>
            <w:vAlign w:val="bottom"/>
            <w:gridSpan w:val="2"/>
          </w:tcPr>
          <w:p>
            <w:pPr>
              <w:jc w:val="right"/>
              <w:ind w:right="1201"/>
              <w:spacing w:after="0"/>
              <w:rPr>
                <w:sz w:val="20"/>
                <w:szCs w:val="20"/>
                <w:color w:val="auto"/>
              </w:rPr>
            </w:pPr>
            <w:r>
              <w:rPr>
                <w:rFonts w:ascii="Arial" w:cs="Arial" w:eastAsia="Arial" w:hAnsi="Arial"/>
                <w:sz w:val="20"/>
                <w:szCs w:val="20"/>
                <w:color w:val="auto"/>
              </w:rPr>
              <w:t>60%</w:t>
            </w:r>
          </w:p>
        </w:tc>
        <w:tc>
          <w:tcPr>
            <w:tcW w:w="1220" w:type="dxa"/>
            <w:vAlign w:val="bottom"/>
          </w:tcPr>
          <w:p>
            <w:pPr>
              <w:spacing w:after="0"/>
              <w:rPr>
                <w:sz w:val="19"/>
                <w:szCs w:val="19"/>
                <w:color w:val="auto"/>
              </w:rPr>
            </w:pPr>
          </w:p>
        </w:tc>
        <w:tc>
          <w:tcPr>
            <w:tcW w:w="7340" w:type="dxa"/>
            <w:vAlign w:val="bottom"/>
            <w:gridSpan w:val="3"/>
          </w:tcPr>
          <w:p>
            <w:pPr>
              <w:ind w:left="1200"/>
              <w:spacing w:after="0"/>
              <w:rPr>
                <w:sz w:val="20"/>
                <w:szCs w:val="20"/>
                <w:color w:val="auto"/>
              </w:rPr>
            </w:pPr>
            <w:r>
              <w:rPr>
                <w:rFonts w:ascii="Arial" w:cs="Arial" w:eastAsia="Arial" w:hAnsi="Arial"/>
                <w:sz w:val="20"/>
                <w:szCs w:val="20"/>
                <w:color w:val="auto"/>
              </w:rPr>
              <w:t>Amounts in excess of $250 million</w:t>
            </w:r>
          </w:p>
        </w:tc>
      </w:tr>
      <w:tr>
        <w:trPr>
          <w:trHeight w:val="230"/>
        </w:trPr>
        <w:tc>
          <w:tcPr>
            <w:tcW w:w="2900" w:type="dxa"/>
            <w:vAlign w:val="bottom"/>
            <w:gridSpan w:val="2"/>
          </w:tcPr>
          <w:p>
            <w:pPr>
              <w:jc w:val="right"/>
              <w:ind w:right="1201"/>
              <w:spacing w:after="0"/>
              <w:rPr>
                <w:sz w:val="20"/>
                <w:szCs w:val="20"/>
                <w:color w:val="auto"/>
              </w:rPr>
            </w:pPr>
            <w:r>
              <w:rPr>
                <w:rFonts w:ascii="Arial" w:cs="Arial" w:eastAsia="Arial" w:hAnsi="Arial"/>
                <w:sz w:val="20"/>
                <w:szCs w:val="20"/>
                <w:color w:val="auto"/>
              </w:rPr>
              <w:t>70%</w:t>
            </w:r>
          </w:p>
        </w:tc>
        <w:tc>
          <w:tcPr>
            <w:tcW w:w="1220" w:type="dxa"/>
            <w:vAlign w:val="bottom"/>
          </w:tcPr>
          <w:p>
            <w:pPr>
              <w:spacing w:after="0"/>
              <w:rPr>
                <w:sz w:val="19"/>
                <w:szCs w:val="19"/>
                <w:color w:val="auto"/>
              </w:rPr>
            </w:pPr>
          </w:p>
        </w:tc>
        <w:tc>
          <w:tcPr>
            <w:tcW w:w="7340" w:type="dxa"/>
            <w:vAlign w:val="bottom"/>
            <w:gridSpan w:val="3"/>
          </w:tcPr>
          <w:p>
            <w:pPr>
              <w:ind w:left="1200"/>
              <w:spacing w:after="0"/>
              <w:rPr>
                <w:sz w:val="20"/>
                <w:szCs w:val="20"/>
                <w:color w:val="auto"/>
              </w:rPr>
            </w:pPr>
            <w:r>
              <w:rPr>
                <w:rFonts w:ascii="Arial" w:cs="Arial" w:eastAsia="Arial" w:hAnsi="Arial"/>
                <w:sz w:val="20"/>
                <w:szCs w:val="20"/>
                <w:color w:val="auto"/>
              </w:rPr>
              <w:t>Amounts in excess of $187.5 million</w:t>
            </w:r>
          </w:p>
        </w:tc>
      </w:tr>
      <w:tr>
        <w:trPr>
          <w:trHeight w:val="230"/>
        </w:trPr>
        <w:tc>
          <w:tcPr>
            <w:tcW w:w="2900" w:type="dxa"/>
            <w:vAlign w:val="bottom"/>
            <w:gridSpan w:val="2"/>
          </w:tcPr>
          <w:p>
            <w:pPr>
              <w:jc w:val="right"/>
              <w:ind w:right="1201"/>
              <w:spacing w:after="0"/>
              <w:rPr>
                <w:sz w:val="20"/>
                <w:szCs w:val="20"/>
                <w:color w:val="auto"/>
              </w:rPr>
            </w:pPr>
            <w:r>
              <w:rPr>
                <w:rFonts w:ascii="Arial" w:cs="Arial" w:eastAsia="Arial" w:hAnsi="Arial"/>
                <w:sz w:val="20"/>
                <w:szCs w:val="20"/>
                <w:color w:val="auto"/>
              </w:rPr>
              <w:t>80%</w:t>
            </w:r>
          </w:p>
        </w:tc>
        <w:tc>
          <w:tcPr>
            <w:tcW w:w="1220" w:type="dxa"/>
            <w:vAlign w:val="bottom"/>
          </w:tcPr>
          <w:p>
            <w:pPr>
              <w:spacing w:after="0"/>
              <w:rPr>
                <w:sz w:val="19"/>
                <w:szCs w:val="19"/>
                <w:color w:val="auto"/>
              </w:rPr>
            </w:pPr>
          </w:p>
        </w:tc>
        <w:tc>
          <w:tcPr>
            <w:tcW w:w="7340" w:type="dxa"/>
            <w:vAlign w:val="bottom"/>
            <w:gridSpan w:val="3"/>
          </w:tcPr>
          <w:p>
            <w:pPr>
              <w:ind w:left="1200"/>
              <w:spacing w:after="0"/>
              <w:rPr>
                <w:sz w:val="20"/>
                <w:szCs w:val="20"/>
                <w:color w:val="auto"/>
              </w:rPr>
            </w:pPr>
            <w:r>
              <w:rPr>
                <w:rFonts w:ascii="Arial" w:cs="Arial" w:eastAsia="Arial" w:hAnsi="Arial"/>
                <w:sz w:val="20"/>
                <w:szCs w:val="20"/>
                <w:color w:val="auto"/>
              </w:rPr>
              <w:t>Amounts in excess of $125 million</w:t>
            </w:r>
          </w:p>
        </w:tc>
      </w:tr>
      <w:tr>
        <w:trPr>
          <w:trHeight w:val="230"/>
        </w:trPr>
        <w:tc>
          <w:tcPr>
            <w:tcW w:w="2900" w:type="dxa"/>
            <w:vAlign w:val="bottom"/>
            <w:gridSpan w:val="2"/>
          </w:tcPr>
          <w:p>
            <w:pPr>
              <w:jc w:val="right"/>
              <w:ind w:right="1201"/>
              <w:spacing w:after="0"/>
              <w:rPr>
                <w:sz w:val="20"/>
                <w:szCs w:val="20"/>
                <w:color w:val="auto"/>
              </w:rPr>
            </w:pPr>
            <w:r>
              <w:rPr>
                <w:rFonts w:ascii="Arial" w:cs="Arial" w:eastAsia="Arial" w:hAnsi="Arial"/>
                <w:sz w:val="20"/>
                <w:szCs w:val="20"/>
                <w:color w:val="auto"/>
              </w:rPr>
              <w:t>90%</w:t>
            </w:r>
          </w:p>
        </w:tc>
        <w:tc>
          <w:tcPr>
            <w:tcW w:w="1220" w:type="dxa"/>
            <w:vAlign w:val="bottom"/>
          </w:tcPr>
          <w:p>
            <w:pPr>
              <w:spacing w:after="0"/>
              <w:rPr>
                <w:sz w:val="19"/>
                <w:szCs w:val="19"/>
                <w:color w:val="auto"/>
              </w:rPr>
            </w:pPr>
          </w:p>
        </w:tc>
        <w:tc>
          <w:tcPr>
            <w:tcW w:w="7340" w:type="dxa"/>
            <w:vAlign w:val="bottom"/>
            <w:gridSpan w:val="3"/>
          </w:tcPr>
          <w:p>
            <w:pPr>
              <w:ind w:left="1200"/>
              <w:spacing w:after="0"/>
              <w:rPr>
                <w:sz w:val="20"/>
                <w:szCs w:val="20"/>
                <w:color w:val="auto"/>
              </w:rPr>
            </w:pPr>
            <w:r>
              <w:rPr>
                <w:rFonts w:ascii="Arial" w:cs="Arial" w:eastAsia="Arial" w:hAnsi="Arial"/>
                <w:sz w:val="20"/>
                <w:szCs w:val="20"/>
                <w:color w:val="auto"/>
              </w:rPr>
              <w:t>Amounts in excess of $62.5 million</w:t>
            </w:r>
          </w:p>
        </w:tc>
      </w:tr>
      <w:tr>
        <w:trPr>
          <w:trHeight w:val="250"/>
        </w:trPr>
        <w:tc>
          <w:tcPr>
            <w:tcW w:w="2900" w:type="dxa"/>
            <w:vAlign w:val="bottom"/>
            <w:gridSpan w:val="2"/>
          </w:tcPr>
          <w:p>
            <w:pPr>
              <w:jc w:val="right"/>
              <w:ind w:right="1201"/>
              <w:spacing w:after="0"/>
              <w:rPr>
                <w:sz w:val="20"/>
                <w:szCs w:val="20"/>
                <w:color w:val="auto"/>
              </w:rPr>
            </w:pPr>
            <w:r>
              <w:rPr>
                <w:rFonts w:ascii="Arial" w:cs="Arial" w:eastAsia="Arial" w:hAnsi="Arial"/>
                <w:sz w:val="20"/>
                <w:szCs w:val="20"/>
                <w:color w:val="auto"/>
              </w:rPr>
              <w:t>95%</w:t>
            </w:r>
          </w:p>
        </w:tc>
        <w:tc>
          <w:tcPr>
            <w:tcW w:w="1220" w:type="dxa"/>
            <w:vAlign w:val="bottom"/>
          </w:tcPr>
          <w:p>
            <w:pPr>
              <w:spacing w:after="0"/>
              <w:rPr>
                <w:sz w:val="21"/>
                <w:szCs w:val="21"/>
                <w:color w:val="auto"/>
              </w:rPr>
            </w:pPr>
          </w:p>
        </w:tc>
        <w:tc>
          <w:tcPr>
            <w:tcW w:w="7340" w:type="dxa"/>
            <w:vAlign w:val="bottom"/>
            <w:gridSpan w:val="3"/>
          </w:tcPr>
          <w:p>
            <w:pPr>
              <w:ind w:left="1200"/>
              <w:spacing w:after="0"/>
              <w:rPr>
                <w:sz w:val="20"/>
                <w:szCs w:val="20"/>
                <w:color w:val="auto"/>
              </w:rPr>
            </w:pPr>
            <w:r>
              <w:rPr>
                <w:rFonts w:ascii="Arial" w:cs="Arial" w:eastAsia="Arial" w:hAnsi="Arial"/>
                <w:sz w:val="20"/>
                <w:szCs w:val="20"/>
                <w:color w:val="auto"/>
              </w:rPr>
              <w:t>All remaining amounts</w:t>
            </w:r>
          </w:p>
        </w:tc>
      </w:tr>
      <w:tr>
        <w:trPr>
          <w:trHeight w:val="428"/>
        </w:trPr>
        <w:tc>
          <w:tcPr>
            <w:tcW w:w="9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20" w:type="dxa"/>
            <w:vAlign w:val="bottom"/>
            <w:gridSpan w:val="2"/>
          </w:tcPr>
          <w:p>
            <w:pPr>
              <w:ind w:left="1500"/>
              <w:spacing w:after="0"/>
              <w:rPr>
                <w:sz w:val="20"/>
                <w:szCs w:val="20"/>
                <w:color w:val="auto"/>
              </w:rPr>
            </w:pPr>
            <w:r>
              <w:rPr>
                <w:rFonts w:ascii="Arial" w:cs="Arial" w:eastAsia="Arial" w:hAnsi="Arial"/>
                <w:sz w:val="18"/>
                <w:szCs w:val="18"/>
                <w:color w:val="auto"/>
              </w:rPr>
              <w:t>28</w:t>
            </w:r>
          </w:p>
        </w:tc>
        <w:tc>
          <w:tcPr>
            <w:tcW w:w="4720" w:type="dxa"/>
            <w:vAlign w:val="bottom"/>
          </w:tcPr>
          <w:p>
            <w:pPr>
              <w:spacing w:after="0"/>
              <w:rPr>
                <w:sz w:val="24"/>
                <w:szCs w:val="24"/>
                <w:color w:val="auto"/>
              </w:rPr>
            </w:pPr>
          </w:p>
        </w:tc>
      </w:tr>
      <w:tr>
        <w:trPr>
          <w:trHeight w:val="132"/>
        </w:trPr>
        <w:tc>
          <w:tcPr>
            <w:tcW w:w="980" w:type="dxa"/>
            <w:vAlign w:val="bottom"/>
            <w:tcBorders>
              <w:bottom w:val="single" w:sz="8" w:color="010101"/>
            </w:tcBorders>
          </w:tcPr>
          <w:p>
            <w:pPr>
              <w:spacing w:after="0"/>
              <w:rPr>
                <w:sz w:val="11"/>
                <w:szCs w:val="11"/>
                <w:color w:val="auto"/>
              </w:rPr>
            </w:pPr>
          </w:p>
        </w:tc>
        <w:tc>
          <w:tcPr>
            <w:tcW w:w="192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472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1"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6" w:lineRule="exact"/>
        <w:rPr>
          <w:sz w:val="20"/>
          <w:szCs w:val="20"/>
          <w:color w:val="auto"/>
        </w:rPr>
      </w:pPr>
    </w:p>
    <w:p>
      <w:pPr>
        <w:jc w:val="both"/>
        <w:ind w:right="40" w:firstLine="648"/>
        <w:spacing w:after="0" w:line="250" w:lineRule="auto"/>
        <w:rPr>
          <w:sz w:val="20"/>
          <w:szCs w:val="20"/>
          <w:color w:val="auto"/>
        </w:rPr>
      </w:pPr>
      <w:r>
        <w:rPr>
          <w:rFonts w:ascii="Arial" w:cs="Arial" w:eastAsia="Arial" w:hAnsi="Arial"/>
          <w:sz w:val="20"/>
          <w:szCs w:val="20"/>
          <w:color w:val="auto"/>
        </w:rPr>
        <w:t>On the one-year anniversary of the closing of the TCCC Transaction, the then-remaining escrow amount, less an amount sufficient to cover any unresolved claims, will be released to TCCC. Any severance or other release amount described above that becomes payable following the one-year anniversary will be paid directly from TCCC to the Company.</w:t>
      </w:r>
    </w:p>
    <w:p>
      <w:pPr>
        <w:spacing w:after="0" w:line="200" w:lineRule="exact"/>
        <w:rPr>
          <w:sz w:val="20"/>
          <w:szCs w:val="20"/>
          <w:color w:val="auto"/>
        </w:rPr>
      </w:pPr>
    </w:p>
    <w:p>
      <w:pPr>
        <w:jc w:val="both"/>
        <w:ind w:right="40" w:firstLine="648"/>
        <w:spacing w:after="0" w:line="271" w:lineRule="auto"/>
        <w:rPr>
          <w:sz w:val="20"/>
          <w:szCs w:val="20"/>
          <w:color w:val="auto"/>
        </w:rPr>
      </w:pPr>
      <w:r>
        <w:rPr>
          <w:rFonts w:ascii="Arial" w:cs="Arial" w:eastAsia="Arial" w:hAnsi="Arial"/>
          <w:sz w:val="18"/>
          <w:szCs w:val="18"/>
          <w:color w:val="auto"/>
        </w:rPr>
        <w:t>TCCC is contractually obligated to authorize payment to the Company of the funds in escrow upon achievement of the milestones referred to above. In February 2015, in accordance with its existing agreements with the applicable third-party distributors, the Company sent notices of termination to certain affected third-party distributors in the U.S., providing for the termination of their respective distribution agreements, to be effective at various dates beginning in March 2015. As of April 6, 2015, distribution rights in the U.S. representing approximately 84% of the target case sales have been transitioned to TCCC’s distribution network. In addition, the Company has sent notices of termination representing an additional 5% of the affected third-party distributors, and the associated distribution rights for those territories will be transitioned to TCCC’s distribution network effective as of May 11, 2015. As a result, it is anticipated that $125 million will be held in escrow at the closing, with the remaining $500 million to be paid to the Company at closing. The Company expects to commence steps to transition sufficient additional distribution rights following the closing of the Transactions, which will, in due course, result in the release of all remaining amounts held in escrow. Therefore, the Company believes that achievement of the milestones is probable.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closing of the transaction is subject to customary closing conditions and is now expected to close in the second quarter of 2015.</w:t>
      </w:r>
    </w:p>
    <w:p>
      <w:pPr>
        <w:spacing w:after="0" w:line="252"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9"/>
          <w:szCs w:val="19"/>
          <w:color w:val="auto"/>
        </w:rPr>
        <w:t>In accordance with ASC No. 420 “Exit or Disposal Cost Obligations”, the Company expenses distributor termination costs in the period in which the written notification of termination occurs. As a result, the Company incurred termination amounts of $206.0 million for the three-months ended March 31, 2015 related to the distribution rights transferred to TCCC’s distribution network. Such termination amounts have been expensed in full and are included in operating expenses for the three-months ended March 31, 2015. In addition, the Company recognized as income $39.8 million related to accelerated amortization of the deferred revenue balances associated with certain of the Company’s prior distributors who were sent notices of termination during the first quarter of 2015.</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summarizes the selected items discussed above for the three-months ended March 31, 2015:</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Income Statement Items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60" w:type="dxa"/>
            <w:vAlign w:val="bottom"/>
          </w:tcPr>
          <w:p>
            <w:pPr>
              <w:ind w:left="660"/>
              <w:spacing w:after="0"/>
              <w:rPr>
                <w:sz w:val="20"/>
                <w:szCs w:val="20"/>
                <w:color w:val="auto"/>
              </w:rPr>
            </w:pPr>
            <w:r>
              <w:rPr>
                <w:rFonts w:ascii="Arial" w:cs="Arial" w:eastAsia="Arial" w:hAnsi="Arial"/>
                <w:sz w:val="20"/>
                <w:szCs w:val="20"/>
                <w:color w:val="auto"/>
              </w:rPr>
              <w:t>Included in Net Sales:</w:t>
            </w:r>
          </w:p>
        </w:tc>
        <w:tc>
          <w:tcPr>
            <w:tcW w:w="1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060" w:type="dxa"/>
            <w:vAlign w:val="bottom"/>
          </w:tcPr>
          <w:p>
            <w:pPr>
              <w:ind w:left="1000"/>
              <w:spacing w:after="0"/>
              <w:rPr>
                <w:sz w:val="20"/>
                <w:szCs w:val="20"/>
                <w:color w:val="auto"/>
              </w:rPr>
            </w:pPr>
            <w:r>
              <w:rPr>
                <w:rFonts w:ascii="Arial" w:cs="Arial" w:eastAsia="Arial" w:hAnsi="Arial"/>
                <w:sz w:val="20"/>
                <w:szCs w:val="20"/>
                <w:color w:val="auto"/>
              </w:rPr>
              <w:t>Accelerated recognition of deferred revenue</w:t>
            </w:r>
          </w:p>
        </w:tc>
        <w:tc>
          <w:tcPr>
            <w:tcW w:w="1740" w:type="dxa"/>
            <w:vAlign w:val="bottom"/>
            <w:gridSpan w:val="2"/>
          </w:tcPr>
          <w:p>
            <w:pPr>
              <w:jc w:val="right"/>
              <w:ind w:right="121"/>
              <w:spacing w:after="0"/>
              <w:rPr>
                <w:sz w:val="20"/>
                <w:szCs w:val="20"/>
                <w:color w:val="auto"/>
              </w:rPr>
            </w:pPr>
            <w:r>
              <w:rPr>
                <w:rFonts w:ascii="Arial" w:cs="Arial" w:eastAsia="Arial" w:hAnsi="Arial"/>
                <w:sz w:val="20"/>
                <w:szCs w:val="20"/>
                <w:color w:val="auto"/>
              </w:rPr>
              <w:t>$</w:t>
            </w:r>
          </w:p>
        </w:tc>
        <w:tc>
          <w:tcPr>
            <w:tcW w:w="1080" w:type="dxa"/>
            <w:vAlign w:val="bottom"/>
          </w:tcPr>
          <w:p>
            <w:pPr>
              <w:jc w:val="right"/>
              <w:ind w:right="61"/>
              <w:spacing w:after="0"/>
              <w:rPr>
                <w:sz w:val="20"/>
                <w:szCs w:val="20"/>
                <w:color w:val="auto"/>
              </w:rPr>
            </w:pPr>
            <w:r>
              <w:rPr>
                <w:rFonts w:ascii="Arial" w:cs="Arial" w:eastAsia="Arial" w:hAnsi="Arial"/>
                <w:sz w:val="20"/>
                <w:szCs w:val="20"/>
                <w:color w:val="auto"/>
              </w:rPr>
              <w:t>39,761</w:t>
            </w:r>
          </w:p>
        </w:tc>
        <w:tc>
          <w:tcPr>
            <w:tcW w:w="3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8"/>
        </w:trPr>
        <w:tc>
          <w:tcPr>
            <w:tcW w:w="5060" w:type="dxa"/>
            <w:vAlign w:val="bottom"/>
          </w:tcPr>
          <w:p>
            <w:pPr>
              <w:ind w:left="660"/>
              <w:spacing w:after="0"/>
              <w:rPr>
                <w:sz w:val="20"/>
                <w:szCs w:val="20"/>
                <w:color w:val="auto"/>
              </w:rPr>
            </w:pPr>
            <w:r>
              <w:rPr>
                <w:rFonts w:ascii="Arial" w:cs="Arial" w:eastAsia="Arial" w:hAnsi="Arial"/>
                <w:sz w:val="20"/>
                <w:szCs w:val="20"/>
                <w:color w:val="auto"/>
              </w:rPr>
              <w:t>Included in Operating Expenses:</w:t>
            </w: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60" w:type="dxa"/>
            <w:vAlign w:val="bottom"/>
          </w:tcPr>
          <w:p>
            <w:pPr>
              <w:ind w:left="1000"/>
              <w:spacing w:after="0"/>
              <w:rPr>
                <w:sz w:val="20"/>
                <w:szCs w:val="20"/>
                <w:color w:val="auto"/>
              </w:rPr>
            </w:pPr>
            <w:r>
              <w:rPr>
                <w:rFonts w:ascii="Arial" w:cs="Arial" w:eastAsia="Arial" w:hAnsi="Arial"/>
                <w:sz w:val="20"/>
                <w:szCs w:val="20"/>
                <w:color w:val="auto"/>
              </w:rPr>
              <w:t>Distributor termination costs</w:t>
            </w:r>
          </w:p>
        </w:tc>
        <w:tc>
          <w:tcPr>
            <w:tcW w:w="1740" w:type="dxa"/>
            <w:vAlign w:val="bottom"/>
            <w:gridSpan w:val="2"/>
          </w:tcPr>
          <w:p>
            <w:pPr>
              <w:jc w:val="right"/>
              <w:ind w:right="121"/>
              <w:spacing w:after="0"/>
              <w:rPr>
                <w:sz w:val="20"/>
                <w:szCs w:val="20"/>
                <w:color w:val="auto"/>
              </w:rPr>
            </w:pPr>
            <w:r>
              <w:rPr>
                <w:rFonts w:ascii="Arial" w:cs="Arial" w:eastAsia="Arial" w:hAnsi="Arial"/>
                <w:sz w:val="20"/>
                <w:szCs w:val="20"/>
                <w:color w:val="auto"/>
              </w:rPr>
              <w:t>$</w:t>
            </w:r>
          </w:p>
        </w:tc>
        <w:tc>
          <w:tcPr>
            <w:tcW w:w="1080" w:type="dxa"/>
            <w:vAlign w:val="bottom"/>
          </w:tcPr>
          <w:p>
            <w:pPr>
              <w:jc w:val="right"/>
              <w:ind w:right="61"/>
              <w:spacing w:after="0"/>
              <w:rPr>
                <w:sz w:val="20"/>
                <w:szCs w:val="20"/>
                <w:color w:val="auto"/>
              </w:rPr>
            </w:pPr>
            <w:r>
              <w:rPr>
                <w:rFonts w:ascii="Arial" w:cs="Arial" w:eastAsia="Arial" w:hAnsi="Arial"/>
                <w:sz w:val="20"/>
                <w:szCs w:val="20"/>
                <w:color w:val="auto"/>
              </w:rPr>
              <w:t>205,980</w:t>
            </w:r>
          </w:p>
        </w:tc>
        <w:tc>
          <w:tcPr>
            <w:tcW w:w="3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5060" w:type="dxa"/>
            <w:vAlign w:val="bottom"/>
            <w:vMerge w:val="restart"/>
          </w:tcPr>
          <w:p>
            <w:pPr>
              <w:ind w:left="660"/>
              <w:spacing w:after="0"/>
              <w:rPr>
                <w:sz w:val="20"/>
                <w:szCs w:val="20"/>
                <w:color w:val="auto"/>
              </w:rPr>
            </w:pPr>
            <w:r>
              <w:rPr>
                <w:rFonts w:ascii="Arial" w:cs="Arial" w:eastAsia="Arial" w:hAnsi="Arial"/>
                <w:sz w:val="20"/>
                <w:szCs w:val="20"/>
                <w:color w:val="auto"/>
              </w:rPr>
              <w:t>Net Impact on Operating Income</w:t>
            </w:r>
          </w:p>
        </w:tc>
        <w:tc>
          <w:tcPr>
            <w:tcW w:w="1260" w:type="dxa"/>
            <w:vAlign w:val="bottom"/>
            <w:vMerge w:val="restart"/>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480" w:type="dxa"/>
            <w:vAlign w:val="bottom"/>
            <w:tcBorders>
              <w:bottom w:val="single" w:sz="8" w:color="auto"/>
            </w:tcBorders>
          </w:tcPr>
          <w:p>
            <w:pPr>
              <w:jc w:val="right"/>
              <w:ind w:right="121"/>
              <w:spacing w:after="0" w:line="223" w:lineRule="exact"/>
              <w:rPr>
                <w:sz w:val="20"/>
                <w:szCs w:val="20"/>
                <w:color w:val="auto"/>
              </w:rPr>
            </w:pPr>
            <w:r>
              <w:rPr>
                <w:rFonts w:ascii="Arial" w:cs="Arial" w:eastAsia="Arial" w:hAnsi="Arial"/>
                <w:sz w:val="20"/>
                <w:szCs w:val="20"/>
                <w:color w:val="auto"/>
              </w:rPr>
              <w:t>$</w:t>
            </w:r>
          </w:p>
        </w:tc>
        <w:tc>
          <w:tcPr>
            <w:tcW w:w="108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(166,219)</w:t>
            </w:r>
          </w:p>
        </w:tc>
        <w:tc>
          <w:tcPr>
            <w:tcW w:w="3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260" w:type="dxa"/>
            <w:vAlign w:val="bottom"/>
            <w:vMerge w:val="restart"/>
          </w:tcPr>
          <w:p>
            <w:pPr>
              <w:jc w:val="right"/>
              <w:ind w:right="424"/>
              <w:spacing w:after="0"/>
              <w:rPr>
                <w:sz w:val="20"/>
                <w:szCs w:val="20"/>
                <w:color w:val="auto"/>
              </w:rPr>
            </w:pPr>
            <w:r>
              <w:rPr>
                <w:rFonts w:ascii="Arial" w:cs="Arial" w:eastAsia="Arial" w:hAnsi="Arial"/>
                <w:sz w:val="18"/>
                <w:szCs w:val="18"/>
                <w:color w:val="auto"/>
              </w:rPr>
              <w:t>29</w:t>
            </w: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6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06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358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1"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Overview</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We develop, market, sell and distribute “alternative” beverage category beverages primarily under the following brand names:</w:t>
      </w:r>
    </w:p>
    <w:p>
      <w:pPr>
        <w:spacing w:after="0" w:line="241" w:lineRule="exact"/>
        <w:rPr>
          <w:sz w:val="20"/>
          <w:szCs w:val="20"/>
          <w:color w:val="auto"/>
        </w:rPr>
      </w:pPr>
    </w:p>
    <w:p>
      <w:pPr>
        <w:spacing w:after="0"/>
        <w:tabs>
          <w:tab w:leader="none" w:pos="540" w:val="left"/>
          <w:tab w:leader="none" w:pos="6480" w:val="left"/>
          <w:tab w:leader="none" w:pos="67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20"/>
          <w:szCs w:val="20"/>
          <w:color w:val="auto"/>
        </w:rPr>
        <w:t>Monster Energy®</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Hansen’s®</w:t>
      </w:r>
    </w:p>
    <w:p>
      <w:pPr>
        <w:sectPr>
          <w:pgSz w:w="11900" w:h="16854" w:orient="portrait"/>
          <w:cols w:equalWidth="0" w:num="1">
            <w:col w:w="11460"/>
          </w:cols>
          <w:pgMar w:left="240" w:top="121" w:right="199" w:bottom="0" w:gutter="0" w:footer="0" w:header="0"/>
        </w:sectPr>
      </w:pPr>
    </w:p>
    <w:bookmarkStart w:id="20" w:name="page21"/>
    <w:bookmarkEnd w:id="20"/>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5360" w:type="dxa"/>
            <w:vAlign w:val="bottom"/>
          </w:tcPr>
          <w:p>
            <w:pPr>
              <w:ind w:left="260"/>
              <w:spacing w:after="0"/>
              <w:rPr>
                <w:sz w:val="20"/>
                <w:szCs w:val="20"/>
                <w:color w:val="auto"/>
              </w:rPr>
            </w:pPr>
            <w:r>
              <w:rPr>
                <w:rFonts w:ascii="Arial" w:cs="Arial" w:eastAsia="Arial" w:hAnsi="Arial"/>
                <w:sz w:val="20"/>
                <w:szCs w:val="20"/>
                <w:color w:val="auto"/>
              </w:rPr>
              <w:t>Monster Rehab®</w:t>
            </w:r>
          </w:p>
        </w:tc>
        <w:tc>
          <w:tcPr>
            <w:tcW w:w="3560" w:type="dxa"/>
            <w:vAlign w:val="bottom"/>
            <w:gridSpan w:val="2"/>
          </w:tcPr>
          <w:p>
            <w:pPr>
              <w:ind w:left="840"/>
              <w:spacing w:after="0"/>
              <w:rPr>
                <w:sz w:val="20"/>
                <w:szCs w:val="20"/>
                <w:color w:val="auto"/>
              </w:rPr>
            </w:pPr>
            <w:r>
              <w:rPr>
                <w:rFonts w:ascii="Arial" w:cs="Arial" w:eastAsia="Arial" w:hAnsi="Arial"/>
                <w:sz w:val="18"/>
                <w:szCs w:val="18"/>
                <w:color w:val="auto"/>
                <w:w w:val="96"/>
              </w:rPr>
              <w:t xml:space="preserve">·   </w:t>
            </w:r>
            <w:r>
              <w:rPr>
                <w:rFonts w:ascii="Arial" w:cs="Arial" w:eastAsia="Arial" w:hAnsi="Arial"/>
                <w:sz w:val="19"/>
                <w:szCs w:val="19"/>
                <w:color w:val="auto"/>
                <w:w w:val="96"/>
              </w:rPr>
              <w:t>Hansen’s Natural Cane Soda®</w:t>
            </w:r>
          </w:p>
        </w:tc>
      </w:tr>
      <w:tr>
        <w:trPr>
          <w:trHeight w:val="230"/>
        </w:trPr>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5360" w:type="dxa"/>
            <w:vAlign w:val="bottom"/>
          </w:tcPr>
          <w:p>
            <w:pPr>
              <w:ind w:left="260"/>
              <w:spacing w:after="0"/>
              <w:rPr>
                <w:sz w:val="20"/>
                <w:szCs w:val="20"/>
                <w:color w:val="auto"/>
              </w:rPr>
            </w:pPr>
            <w:r>
              <w:rPr>
                <w:rFonts w:ascii="Arial" w:cs="Arial" w:eastAsia="Arial" w:hAnsi="Arial"/>
                <w:sz w:val="20"/>
                <w:szCs w:val="20"/>
                <w:color w:val="auto"/>
              </w:rPr>
              <w:t>Monster Energy Extra Strength Nitrous Technology®</w:t>
            </w:r>
          </w:p>
        </w:tc>
        <w:tc>
          <w:tcPr>
            <w:tcW w:w="1020" w:type="dxa"/>
            <w:vAlign w:val="bottom"/>
          </w:tcPr>
          <w:p>
            <w:pPr>
              <w:ind w:left="840"/>
              <w:spacing w:after="0"/>
              <w:rPr>
                <w:sz w:val="20"/>
                <w:szCs w:val="20"/>
                <w:color w:val="auto"/>
              </w:rPr>
            </w:pPr>
            <w:r>
              <w:rPr>
                <w:rFonts w:ascii="Arial" w:cs="Arial" w:eastAsia="Arial" w:hAnsi="Arial"/>
                <w:sz w:val="18"/>
                <w:szCs w:val="18"/>
                <w:color w:val="auto"/>
              </w:rPr>
              <w:t>·</w:t>
            </w:r>
          </w:p>
        </w:tc>
        <w:tc>
          <w:tcPr>
            <w:tcW w:w="2540" w:type="dxa"/>
            <w:vAlign w:val="bottom"/>
          </w:tcPr>
          <w:p>
            <w:pPr>
              <w:ind w:left="120"/>
              <w:spacing w:after="0"/>
              <w:rPr>
                <w:sz w:val="20"/>
                <w:szCs w:val="20"/>
                <w:color w:val="auto"/>
              </w:rPr>
            </w:pPr>
            <w:r>
              <w:rPr>
                <w:rFonts w:ascii="Arial" w:cs="Arial" w:eastAsia="Arial" w:hAnsi="Arial"/>
                <w:sz w:val="20"/>
                <w:szCs w:val="20"/>
                <w:color w:val="auto"/>
              </w:rPr>
              <w:t>Junior Juice®</w:t>
            </w:r>
          </w:p>
        </w:tc>
      </w:tr>
      <w:tr>
        <w:trPr>
          <w:trHeight w:val="230"/>
        </w:trPr>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5360" w:type="dxa"/>
            <w:vAlign w:val="bottom"/>
          </w:tcPr>
          <w:p>
            <w:pPr>
              <w:ind w:left="260"/>
              <w:spacing w:after="0"/>
              <w:rPr>
                <w:sz w:val="20"/>
                <w:szCs w:val="20"/>
                <w:color w:val="auto"/>
              </w:rPr>
            </w:pPr>
            <w:r>
              <w:rPr>
                <w:rFonts w:ascii="Arial" w:cs="Arial" w:eastAsia="Arial" w:hAnsi="Arial"/>
                <w:sz w:val="20"/>
                <w:szCs w:val="20"/>
                <w:color w:val="auto"/>
              </w:rPr>
              <w:t>Java Monster®</w:t>
            </w:r>
          </w:p>
        </w:tc>
        <w:tc>
          <w:tcPr>
            <w:tcW w:w="1020" w:type="dxa"/>
            <w:vAlign w:val="bottom"/>
          </w:tcPr>
          <w:p>
            <w:pPr>
              <w:ind w:left="840"/>
              <w:spacing w:after="0"/>
              <w:rPr>
                <w:sz w:val="20"/>
                <w:szCs w:val="20"/>
                <w:color w:val="auto"/>
              </w:rPr>
            </w:pPr>
            <w:r>
              <w:rPr>
                <w:rFonts w:ascii="Arial" w:cs="Arial" w:eastAsia="Arial" w:hAnsi="Arial"/>
                <w:sz w:val="18"/>
                <w:szCs w:val="18"/>
                <w:color w:val="auto"/>
              </w:rPr>
              <w:t>·</w:t>
            </w:r>
          </w:p>
        </w:tc>
        <w:tc>
          <w:tcPr>
            <w:tcW w:w="2540" w:type="dxa"/>
            <w:vAlign w:val="bottom"/>
          </w:tcPr>
          <w:p>
            <w:pPr>
              <w:ind w:left="120"/>
              <w:spacing w:after="0"/>
              <w:rPr>
                <w:sz w:val="20"/>
                <w:szCs w:val="20"/>
                <w:color w:val="auto"/>
              </w:rPr>
            </w:pPr>
            <w:r>
              <w:rPr>
                <w:rFonts w:ascii="Arial" w:cs="Arial" w:eastAsia="Arial" w:hAnsi="Arial"/>
                <w:sz w:val="20"/>
                <w:szCs w:val="20"/>
                <w:color w:val="auto"/>
              </w:rPr>
              <w:t>Blue Sky®</w:t>
            </w:r>
          </w:p>
        </w:tc>
      </w:tr>
      <w:tr>
        <w:trPr>
          <w:trHeight w:val="230"/>
        </w:trPr>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5360" w:type="dxa"/>
            <w:vAlign w:val="bottom"/>
          </w:tcPr>
          <w:p>
            <w:pPr>
              <w:ind w:left="260"/>
              <w:spacing w:after="0"/>
              <w:rPr>
                <w:sz w:val="20"/>
                <w:szCs w:val="20"/>
                <w:color w:val="auto"/>
              </w:rPr>
            </w:pPr>
            <w:r>
              <w:rPr>
                <w:rFonts w:ascii="Arial" w:cs="Arial" w:eastAsia="Arial" w:hAnsi="Arial"/>
                <w:sz w:val="20"/>
                <w:szCs w:val="20"/>
                <w:color w:val="auto"/>
              </w:rPr>
              <w:t>Muscle Monster®</w:t>
            </w:r>
          </w:p>
        </w:tc>
        <w:tc>
          <w:tcPr>
            <w:tcW w:w="1020" w:type="dxa"/>
            <w:vAlign w:val="bottom"/>
          </w:tcPr>
          <w:p>
            <w:pPr>
              <w:ind w:left="840"/>
              <w:spacing w:after="0"/>
              <w:rPr>
                <w:sz w:val="20"/>
                <w:szCs w:val="20"/>
                <w:color w:val="auto"/>
              </w:rPr>
            </w:pPr>
            <w:r>
              <w:rPr>
                <w:rFonts w:ascii="Arial" w:cs="Arial" w:eastAsia="Arial" w:hAnsi="Arial"/>
                <w:sz w:val="18"/>
                <w:szCs w:val="18"/>
                <w:color w:val="auto"/>
              </w:rPr>
              <w:t>·</w:t>
            </w:r>
          </w:p>
        </w:tc>
        <w:tc>
          <w:tcPr>
            <w:tcW w:w="2540" w:type="dxa"/>
            <w:vAlign w:val="bottom"/>
          </w:tcPr>
          <w:p>
            <w:pPr>
              <w:ind w:left="120"/>
              <w:spacing w:after="0"/>
              <w:rPr>
                <w:sz w:val="20"/>
                <w:szCs w:val="20"/>
                <w:color w:val="auto"/>
              </w:rPr>
            </w:pPr>
            <w:r>
              <w:rPr>
                <w:rFonts w:ascii="Arial" w:cs="Arial" w:eastAsia="Arial" w:hAnsi="Arial"/>
                <w:sz w:val="20"/>
                <w:szCs w:val="20"/>
                <w:color w:val="auto"/>
              </w:rPr>
              <w:t>Hubert’s®</w:t>
            </w:r>
          </w:p>
        </w:tc>
      </w:tr>
      <w:tr>
        <w:trPr>
          <w:trHeight w:val="230"/>
        </w:trPr>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5360" w:type="dxa"/>
            <w:vAlign w:val="bottom"/>
          </w:tcPr>
          <w:p>
            <w:pPr>
              <w:ind w:left="260"/>
              <w:spacing w:after="0"/>
              <w:rPr>
                <w:sz w:val="20"/>
                <w:szCs w:val="20"/>
                <w:color w:val="auto"/>
              </w:rPr>
            </w:pPr>
            <w:r>
              <w:rPr>
                <w:rFonts w:ascii="Arial" w:cs="Arial" w:eastAsia="Arial" w:hAnsi="Arial"/>
                <w:sz w:val="20"/>
                <w:szCs w:val="20"/>
                <w:color w:val="auto"/>
              </w:rPr>
              <w:t>Punch Monster®</w:t>
            </w:r>
          </w:p>
        </w:tc>
        <w:tc>
          <w:tcPr>
            <w:tcW w:w="1020" w:type="dxa"/>
            <w:vAlign w:val="bottom"/>
          </w:tcPr>
          <w:p>
            <w:pPr>
              <w:ind w:left="840"/>
              <w:spacing w:after="0"/>
              <w:rPr>
                <w:sz w:val="20"/>
                <w:szCs w:val="20"/>
                <w:color w:val="auto"/>
              </w:rPr>
            </w:pPr>
            <w:r>
              <w:rPr>
                <w:rFonts w:ascii="Arial" w:cs="Arial" w:eastAsia="Arial" w:hAnsi="Arial"/>
                <w:sz w:val="18"/>
                <w:szCs w:val="18"/>
                <w:color w:val="auto"/>
              </w:rPr>
              <w:t>·</w:t>
            </w:r>
          </w:p>
        </w:tc>
        <w:tc>
          <w:tcPr>
            <w:tcW w:w="2540" w:type="dxa"/>
            <w:vAlign w:val="bottom"/>
          </w:tcPr>
          <w:p>
            <w:pPr>
              <w:ind w:left="120"/>
              <w:spacing w:after="0"/>
              <w:rPr>
                <w:sz w:val="20"/>
                <w:szCs w:val="20"/>
                <w:color w:val="auto"/>
              </w:rPr>
            </w:pPr>
            <w:r>
              <w:rPr>
                <w:rFonts w:ascii="Arial" w:cs="Arial" w:eastAsia="Arial" w:hAnsi="Arial"/>
                <w:sz w:val="20"/>
                <w:szCs w:val="20"/>
                <w:color w:val="auto"/>
              </w:rPr>
              <w:t>Peace Tea®</w:t>
            </w:r>
          </w:p>
        </w:tc>
      </w:tr>
      <w:tr>
        <w:trPr>
          <w:trHeight w:val="246"/>
        </w:trPr>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5360" w:type="dxa"/>
            <w:vAlign w:val="bottom"/>
          </w:tcPr>
          <w:p>
            <w:pPr>
              <w:ind w:left="260"/>
              <w:spacing w:after="0"/>
              <w:rPr>
                <w:sz w:val="20"/>
                <w:szCs w:val="20"/>
                <w:color w:val="auto"/>
              </w:rPr>
            </w:pPr>
            <w:r>
              <w:rPr>
                <w:rFonts w:ascii="Arial" w:cs="Arial" w:eastAsia="Arial" w:hAnsi="Arial"/>
                <w:sz w:val="20"/>
                <w:szCs w:val="20"/>
                <w:color w:val="auto"/>
              </w:rPr>
              <w:t>Juice Monster®</w:t>
            </w:r>
          </w:p>
        </w:tc>
        <w:tc>
          <w:tcPr>
            <w:tcW w:w="1020" w:type="dxa"/>
            <w:vAlign w:val="bottom"/>
          </w:tcPr>
          <w:p>
            <w:pPr>
              <w:ind w:left="840"/>
              <w:spacing w:after="0"/>
              <w:rPr>
                <w:sz w:val="20"/>
                <w:szCs w:val="20"/>
                <w:color w:val="auto"/>
              </w:rPr>
            </w:pPr>
            <w:r>
              <w:rPr>
                <w:rFonts w:ascii="Arial" w:cs="Arial" w:eastAsia="Arial" w:hAnsi="Arial"/>
                <w:sz w:val="18"/>
                <w:szCs w:val="18"/>
                <w:color w:val="auto"/>
              </w:rPr>
              <w:t>·</w:t>
            </w:r>
          </w:p>
        </w:tc>
        <w:tc>
          <w:tcPr>
            <w:tcW w:w="2540" w:type="dxa"/>
            <w:vAlign w:val="bottom"/>
          </w:tcPr>
          <w:p>
            <w:pPr>
              <w:ind w:left="120"/>
              <w:spacing w:after="0"/>
              <w:rPr>
                <w:sz w:val="20"/>
                <w:szCs w:val="20"/>
                <w:color w:val="auto"/>
              </w:rPr>
            </w:pPr>
            <w:r>
              <w:rPr>
                <w:rFonts w:ascii="Arial" w:cs="Arial" w:eastAsia="Arial" w:hAnsi="Arial"/>
                <w:sz w:val="20"/>
                <w:szCs w:val="20"/>
                <w:color w:val="auto"/>
              </w:rPr>
              <w:t>Übermonster®</w:t>
            </w:r>
          </w:p>
        </w:tc>
      </w:tr>
    </w:tbl>
    <w:p>
      <w:pPr>
        <w:ind w:left="560" w:hanging="552"/>
        <w:spacing w:after="0"/>
        <w:tabs>
          <w:tab w:leader="none" w:pos="560" w:val="left"/>
        </w:tabs>
        <w:numPr>
          <w:ilvl w:val="0"/>
          <w:numId w:val="26"/>
        </w:numPr>
        <w:rPr>
          <w:rFonts w:ascii="Arial" w:cs="Arial" w:eastAsia="Arial" w:hAnsi="Arial"/>
          <w:sz w:val="18"/>
          <w:szCs w:val="18"/>
          <w:color w:val="auto"/>
        </w:rPr>
      </w:pPr>
      <w:r>
        <w:rPr>
          <w:rFonts w:ascii="Arial" w:cs="Arial" w:eastAsia="Arial" w:hAnsi="Arial"/>
          <w:sz w:val="20"/>
          <w:szCs w:val="20"/>
          <w:color w:val="auto"/>
        </w:rPr>
        <w:t>M3®</w:t>
      </w:r>
    </w:p>
    <w:p>
      <w:pPr>
        <w:spacing w:after="0" w:line="213"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Our Monster Energy® drinks, which represented 88.1% and 92.9% of our net sales for the three-months ended March 31, 2015 and 2014, respectively, include the following: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5440" w:type="dxa"/>
            <w:vAlign w:val="bottom"/>
          </w:tcPr>
          <w:p>
            <w:pPr>
              <w:ind w:left="300"/>
              <w:spacing w:after="0"/>
              <w:rPr>
                <w:sz w:val="20"/>
                <w:szCs w:val="20"/>
                <w:color w:val="auto"/>
              </w:rPr>
            </w:pPr>
            <w:r>
              <w:rPr>
                <w:rFonts w:ascii="Arial" w:cs="Arial" w:eastAsia="Arial" w:hAnsi="Arial"/>
                <w:sz w:val="20"/>
                <w:szCs w:val="20"/>
                <w:color w:val="auto"/>
              </w:rPr>
              <w:t>Monster Energy®</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440" w:type="dxa"/>
            <w:vAlign w:val="bottom"/>
          </w:tcPr>
          <w:p>
            <w:pPr>
              <w:ind w:left="180"/>
              <w:spacing w:after="0"/>
              <w:rPr>
                <w:sz w:val="20"/>
                <w:szCs w:val="20"/>
                <w:color w:val="auto"/>
              </w:rPr>
            </w:pPr>
            <w:r>
              <w:rPr>
                <w:rFonts w:ascii="Arial" w:cs="Arial" w:eastAsia="Arial" w:hAnsi="Arial"/>
                <w:sz w:val="20"/>
                <w:szCs w:val="20"/>
                <w:color w:val="auto"/>
              </w:rPr>
              <w:t>Java Monster® Kona Blend</w:t>
            </w:r>
          </w:p>
        </w:tc>
      </w:tr>
      <w:tr>
        <w:trPr>
          <w:trHeight w:val="230"/>
        </w:trPr>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5440" w:type="dxa"/>
            <w:vAlign w:val="bottom"/>
          </w:tcPr>
          <w:p>
            <w:pPr>
              <w:ind w:left="300"/>
              <w:spacing w:after="0"/>
              <w:rPr>
                <w:sz w:val="20"/>
                <w:szCs w:val="20"/>
                <w:color w:val="auto"/>
              </w:rPr>
            </w:pPr>
            <w:r>
              <w:rPr>
                <w:rFonts w:ascii="Arial" w:cs="Arial" w:eastAsia="Arial" w:hAnsi="Arial"/>
                <w:sz w:val="20"/>
                <w:szCs w:val="20"/>
                <w:color w:val="auto"/>
              </w:rPr>
              <w:t>Lo-Carb Monster Energy®</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440" w:type="dxa"/>
            <w:vAlign w:val="bottom"/>
          </w:tcPr>
          <w:p>
            <w:pPr>
              <w:ind w:left="180"/>
              <w:spacing w:after="0"/>
              <w:rPr>
                <w:sz w:val="20"/>
                <w:szCs w:val="20"/>
                <w:color w:val="auto"/>
              </w:rPr>
            </w:pPr>
            <w:r>
              <w:rPr>
                <w:rFonts w:ascii="Arial" w:cs="Arial" w:eastAsia="Arial" w:hAnsi="Arial"/>
                <w:sz w:val="20"/>
                <w:szCs w:val="20"/>
                <w:color w:val="auto"/>
              </w:rPr>
              <w:t>Java Monster® Loca Moca®</w:t>
            </w:r>
          </w:p>
        </w:tc>
      </w:tr>
      <w:tr>
        <w:trPr>
          <w:trHeight w:val="230"/>
        </w:trPr>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5440" w:type="dxa"/>
            <w:vAlign w:val="bottom"/>
          </w:tcPr>
          <w:p>
            <w:pPr>
              <w:ind w:left="300"/>
              <w:spacing w:after="0"/>
              <w:rPr>
                <w:sz w:val="20"/>
                <w:szCs w:val="20"/>
                <w:color w:val="auto"/>
              </w:rPr>
            </w:pPr>
            <w:r>
              <w:rPr>
                <w:rFonts w:ascii="Arial" w:cs="Arial" w:eastAsia="Arial" w:hAnsi="Arial"/>
                <w:sz w:val="20"/>
                <w:szCs w:val="20"/>
                <w:color w:val="auto"/>
              </w:rPr>
              <w:t>Monster Assault®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440" w:type="dxa"/>
            <w:vAlign w:val="bottom"/>
          </w:tcPr>
          <w:p>
            <w:pPr>
              <w:ind w:left="180"/>
              <w:spacing w:after="0"/>
              <w:rPr>
                <w:sz w:val="20"/>
                <w:szCs w:val="20"/>
                <w:color w:val="auto"/>
              </w:rPr>
            </w:pPr>
            <w:r>
              <w:rPr>
                <w:rFonts w:ascii="Arial" w:cs="Arial" w:eastAsia="Arial" w:hAnsi="Arial"/>
                <w:sz w:val="20"/>
                <w:szCs w:val="20"/>
                <w:color w:val="auto"/>
              </w:rPr>
              <w:t>Java Monster® Mean Bean®</w:t>
            </w:r>
          </w:p>
        </w:tc>
      </w:tr>
      <w:tr>
        <w:trPr>
          <w:trHeight w:val="230"/>
        </w:trPr>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5440" w:type="dxa"/>
            <w:vAlign w:val="bottom"/>
          </w:tcPr>
          <w:p>
            <w:pPr>
              <w:ind w:left="300"/>
              <w:spacing w:after="0"/>
              <w:rPr>
                <w:sz w:val="20"/>
                <w:szCs w:val="20"/>
                <w:color w:val="auto"/>
              </w:rPr>
            </w:pPr>
            <w:r>
              <w:rPr>
                <w:rFonts w:ascii="Arial" w:cs="Arial" w:eastAsia="Arial" w:hAnsi="Arial"/>
                <w:sz w:val="20"/>
                <w:szCs w:val="20"/>
                <w:color w:val="auto"/>
              </w:rPr>
              <w:t>Juice Monster™ Khaos®</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440" w:type="dxa"/>
            <w:vAlign w:val="bottom"/>
          </w:tcPr>
          <w:p>
            <w:pPr>
              <w:ind w:left="180"/>
              <w:spacing w:after="0"/>
              <w:rPr>
                <w:sz w:val="20"/>
                <w:szCs w:val="20"/>
                <w:color w:val="auto"/>
              </w:rPr>
            </w:pPr>
            <w:r>
              <w:rPr>
                <w:rFonts w:ascii="Arial" w:cs="Arial" w:eastAsia="Arial" w:hAnsi="Arial"/>
                <w:sz w:val="20"/>
                <w:szCs w:val="20"/>
                <w:color w:val="auto"/>
              </w:rPr>
              <w:t>Java Monster® Vanilla Light</w:t>
            </w:r>
          </w:p>
        </w:tc>
      </w:tr>
      <w:tr>
        <w:trPr>
          <w:trHeight w:val="230"/>
        </w:trPr>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5440" w:type="dxa"/>
            <w:vAlign w:val="bottom"/>
          </w:tcPr>
          <w:p>
            <w:pPr>
              <w:ind w:left="300"/>
              <w:spacing w:after="0"/>
              <w:rPr>
                <w:sz w:val="20"/>
                <w:szCs w:val="20"/>
                <w:color w:val="auto"/>
              </w:rPr>
            </w:pPr>
            <w:r>
              <w:rPr>
                <w:rFonts w:ascii="Arial" w:cs="Arial" w:eastAsia="Arial" w:hAnsi="Arial"/>
                <w:sz w:val="20"/>
                <w:szCs w:val="20"/>
                <w:color w:val="auto"/>
              </w:rPr>
              <w:t>Juice Monster™ Ripper®</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440" w:type="dxa"/>
            <w:vAlign w:val="bottom"/>
          </w:tcPr>
          <w:p>
            <w:pPr>
              <w:ind w:left="180"/>
              <w:spacing w:after="0"/>
              <w:rPr>
                <w:sz w:val="20"/>
                <w:szCs w:val="20"/>
                <w:color w:val="auto"/>
              </w:rPr>
            </w:pPr>
            <w:r>
              <w:rPr>
                <w:rFonts w:ascii="Arial" w:cs="Arial" w:eastAsia="Arial" w:hAnsi="Arial"/>
                <w:sz w:val="20"/>
                <w:szCs w:val="20"/>
                <w:color w:val="auto"/>
              </w:rPr>
              <w:t>Java Monster® Irish Blend®</w:t>
            </w:r>
          </w:p>
        </w:tc>
      </w:tr>
      <w:tr>
        <w:trPr>
          <w:trHeight w:val="230"/>
        </w:trPr>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5440" w:type="dxa"/>
            <w:vAlign w:val="bottom"/>
          </w:tcPr>
          <w:p>
            <w:pPr>
              <w:ind w:left="300"/>
              <w:spacing w:after="0"/>
              <w:rPr>
                <w:sz w:val="20"/>
                <w:szCs w:val="20"/>
                <w:color w:val="auto"/>
              </w:rPr>
            </w:pPr>
            <w:r>
              <w:rPr>
                <w:rFonts w:ascii="Arial" w:cs="Arial" w:eastAsia="Arial" w:hAnsi="Arial"/>
                <w:sz w:val="20"/>
                <w:szCs w:val="20"/>
                <w:color w:val="auto"/>
              </w:rPr>
              <w:t>Monster Energy® Absolutely Zero</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440" w:type="dxa"/>
            <w:vAlign w:val="bottom"/>
          </w:tcPr>
          <w:p>
            <w:pPr>
              <w:ind w:left="180"/>
              <w:spacing w:after="0"/>
              <w:rPr>
                <w:sz w:val="20"/>
                <w:szCs w:val="20"/>
                <w:color w:val="auto"/>
              </w:rPr>
            </w:pPr>
            <w:r>
              <w:rPr>
                <w:rFonts w:ascii="Arial" w:cs="Arial" w:eastAsia="Arial" w:hAnsi="Arial"/>
                <w:sz w:val="20"/>
                <w:szCs w:val="20"/>
                <w:color w:val="auto"/>
              </w:rPr>
              <w:t>Java Monster® Cappuccino</w:t>
            </w:r>
          </w:p>
        </w:tc>
      </w:tr>
      <w:tr>
        <w:trPr>
          <w:trHeight w:val="230"/>
        </w:trPr>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5440" w:type="dxa"/>
            <w:vAlign w:val="bottom"/>
          </w:tcPr>
          <w:p>
            <w:pPr>
              <w:ind w:left="300"/>
              <w:spacing w:after="0"/>
              <w:rPr>
                <w:sz w:val="20"/>
                <w:szCs w:val="20"/>
                <w:color w:val="auto"/>
              </w:rPr>
            </w:pPr>
            <w:r>
              <w:rPr>
                <w:rFonts w:ascii="Arial" w:cs="Arial" w:eastAsia="Arial" w:hAnsi="Arial"/>
                <w:sz w:val="20"/>
                <w:szCs w:val="20"/>
                <w:color w:val="auto"/>
              </w:rPr>
              <w:t>Monster Energy® Import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440" w:type="dxa"/>
            <w:vAlign w:val="bottom"/>
          </w:tcPr>
          <w:p>
            <w:pPr>
              <w:ind w:left="180"/>
              <w:spacing w:after="0"/>
              <w:rPr>
                <w:sz w:val="20"/>
                <w:szCs w:val="20"/>
                <w:color w:val="auto"/>
              </w:rPr>
            </w:pPr>
            <w:r>
              <w:rPr>
                <w:rFonts w:ascii="Arial" w:cs="Arial" w:eastAsia="Arial" w:hAnsi="Arial"/>
                <w:sz w:val="20"/>
                <w:szCs w:val="20"/>
                <w:color w:val="auto"/>
                <w:w w:val="90"/>
              </w:rPr>
              <w:t>Monster Energy Extra Strength Nitrous Technology®</w:t>
            </w:r>
          </w:p>
        </w:tc>
      </w:tr>
      <w:tr>
        <w:trPr>
          <w:trHeight w:val="230"/>
        </w:trPr>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5440" w:type="dxa"/>
            <w:vAlign w:val="bottom"/>
          </w:tcPr>
          <w:p>
            <w:pPr>
              <w:ind w:left="300"/>
              <w:spacing w:after="0"/>
              <w:rPr>
                <w:sz w:val="20"/>
                <w:szCs w:val="20"/>
                <w:color w:val="auto"/>
              </w:rPr>
            </w:pPr>
            <w:r>
              <w:rPr>
                <w:rFonts w:ascii="Arial" w:cs="Arial" w:eastAsia="Arial" w:hAnsi="Arial"/>
                <w:sz w:val="20"/>
                <w:szCs w:val="20"/>
                <w:color w:val="auto"/>
              </w:rPr>
              <w:t>Punch Monster® Baller’s Blend (formerly Dub Edition)</w:t>
            </w:r>
          </w:p>
        </w:tc>
        <w:tc>
          <w:tcPr>
            <w:tcW w:w="920" w:type="dxa"/>
            <w:vAlign w:val="bottom"/>
          </w:tcPr>
          <w:p>
            <w:pPr>
              <w:spacing w:after="0"/>
              <w:rPr>
                <w:sz w:val="19"/>
                <w:szCs w:val="19"/>
                <w:color w:val="auto"/>
              </w:rPr>
            </w:pPr>
          </w:p>
        </w:tc>
        <w:tc>
          <w:tcPr>
            <w:tcW w:w="4440" w:type="dxa"/>
            <w:vAlign w:val="bottom"/>
          </w:tcPr>
          <w:p>
            <w:pPr>
              <w:ind w:left="220"/>
              <w:spacing w:after="0"/>
              <w:rPr>
                <w:sz w:val="20"/>
                <w:szCs w:val="20"/>
                <w:color w:val="auto"/>
              </w:rPr>
            </w:pPr>
            <w:r>
              <w:rPr>
                <w:rFonts w:ascii="Arial" w:cs="Arial" w:eastAsia="Arial" w:hAnsi="Arial"/>
                <w:sz w:val="20"/>
                <w:szCs w:val="20"/>
                <w:color w:val="auto"/>
              </w:rPr>
              <w:t>Super Dry™</w:t>
            </w:r>
          </w:p>
        </w:tc>
      </w:tr>
      <w:tr>
        <w:trPr>
          <w:trHeight w:val="230"/>
        </w:trPr>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5440" w:type="dxa"/>
            <w:vAlign w:val="bottom"/>
          </w:tcPr>
          <w:p>
            <w:pPr>
              <w:ind w:left="300"/>
              <w:spacing w:after="0"/>
              <w:rPr>
                <w:sz w:val="20"/>
                <w:szCs w:val="20"/>
                <w:color w:val="auto"/>
              </w:rPr>
            </w:pPr>
            <w:r>
              <w:rPr>
                <w:rFonts w:ascii="Arial" w:cs="Arial" w:eastAsia="Arial" w:hAnsi="Arial"/>
                <w:sz w:val="20"/>
                <w:szCs w:val="20"/>
                <w:color w:val="auto"/>
              </w:rPr>
              <w:t>Punch Monster® Mad Dog (formerly Dub Edition)</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440" w:type="dxa"/>
            <w:vAlign w:val="bottom"/>
          </w:tcPr>
          <w:p>
            <w:pPr>
              <w:ind w:left="180"/>
              <w:spacing w:after="0"/>
              <w:rPr>
                <w:sz w:val="20"/>
                <w:szCs w:val="20"/>
                <w:color w:val="auto"/>
              </w:rPr>
            </w:pPr>
            <w:r>
              <w:rPr>
                <w:rFonts w:ascii="Arial" w:cs="Arial" w:eastAsia="Arial" w:hAnsi="Arial"/>
                <w:sz w:val="20"/>
                <w:szCs w:val="20"/>
                <w:color w:val="auto"/>
                <w:w w:val="90"/>
              </w:rPr>
              <w:t>Monster Energy Extra Strength Nitrous Technology®</w:t>
            </w:r>
          </w:p>
        </w:tc>
      </w:tr>
      <w:tr>
        <w:trPr>
          <w:trHeight w:val="230"/>
        </w:trPr>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5440" w:type="dxa"/>
            <w:vAlign w:val="bottom"/>
          </w:tcPr>
          <w:p>
            <w:pPr>
              <w:ind w:left="300"/>
              <w:spacing w:after="0"/>
              <w:rPr>
                <w:sz w:val="20"/>
                <w:szCs w:val="20"/>
                <w:color w:val="auto"/>
              </w:rPr>
            </w:pPr>
            <w:r>
              <w:rPr>
                <w:rFonts w:ascii="Arial" w:cs="Arial" w:eastAsia="Arial" w:hAnsi="Arial"/>
                <w:sz w:val="20"/>
                <w:szCs w:val="20"/>
                <w:color w:val="auto"/>
              </w:rPr>
              <w:t>Monster Rehab® Tea + Lemonade + Energy</w:t>
            </w:r>
          </w:p>
        </w:tc>
        <w:tc>
          <w:tcPr>
            <w:tcW w:w="920" w:type="dxa"/>
            <w:vAlign w:val="bottom"/>
          </w:tcPr>
          <w:p>
            <w:pPr>
              <w:spacing w:after="0"/>
              <w:rPr>
                <w:sz w:val="19"/>
                <w:szCs w:val="19"/>
                <w:color w:val="auto"/>
              </w:rPr>
            </w:pPr>
          </w:p>
        </w:tc>
        <w:tc>
          <w:tcPr>
            <w:tcW w:w="4440" w:type="dxa"/>
            <w:vAlign w:val="bottom"/>
          </w:tcPr>
          <w:p>
            <w:pPr>
              <w:ind w:left="220"/>
              <w:spacing w:after="0"/>
              <w:rPr>
                <w:sz w:val="20"/>
                <w:szCs w:val="20"/>
                <w:color w:val="auto"/>
              </w:rPr>
            </w:pPr>
            <w:r>
              <w:rPr>
                <w:rFonts w:ascii="Arial" w:cs="Arial" w:eastAsia="Arial" w:hAnsi="Arial"/>
                <w:sz w:val="20"/>
                <w:szCs w:val="20"/>
                <w:color w:val="auto"/>
              </w:rPr>
              <w:t>Anti-Gravity®</w:t>
            </w:r>
          </w:p>
        </w:tc>
      </w:tr>
      <w:tr>
        <w:trPr>
          <w:trHeight w:val="230"/>
        </w:trPr>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5440" w:type="dxa"/>
            <w:vAlign w:val="bottom"/>
          </w:tcPr>
          <w:p>
            <w:pPr>
              <w:ind w:left="300"/>
              <w:spacing w:after="0"/>
              <w:rPr>
                <w:sz w:val="20"/>
                <w:szCs w:val="20"/>
                <w:color w:val="auto"/>
              </w:rPr>
            </w:pPr>
            <w:r>
              <w:rPr>
                <w:rFonts w:ascii="Arial" w:cs="Arial" w:eastAsia="Arial" w:hAnsi="Arial"/>
                <w:sz w:val="20"/>
                <w:szCs w:val="20"/>
                <w:color w:val="auto"/>
              </w:rPr>
              <w:t>Monster Rehab® Rojo Tea + Energy</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440" w:type="dxa"/>
            <w:vAlign w:val="bottom"/>
          </w:tcPr>
          <w:p>
            <w:pPr>
              <w:ind w:left="180"/>
              <w:spacing w:after="0"/>
              <w:rPr>
                <w:sz w:val="20"/>
                <w:szCs w:val="20"/>
                <w:color w:val="auto"/>
              </w:rPr>
            </w:pPr>
            <w:r>
              <w:rPr>
                <w:rFonts w:ascii="Arial" w:cs="Arial" w:eastAsia="Arial" w:hAnsi="Arial"/>
                <w:sz w:val="20"/>
                <w:szCs w:val="20"/>
                <w:color w:val="auto"/>
              </w:rPr>
              <w:t>Monster Cuba-Lima®</w:t>
            </w:r>
          </w:p>
        </w:tc>
      </w:tr>
      <w:tr>
        <w:trPr>
          <w:trHeight w:val="230"/>
        </w:trPr>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5440" w:type="dxa"/>
            <w:vAlign w:val="bottom"/>
          </w:tcPr>
          <w:p>
            <w:pPr>
              <w:ind w:left="300"/>
              <w:spacing w:after="0"/>
              <w:rPr>
                <w:sz w:val="20"/>
                <w:szCs w:val="20"/>
                <w:color w:val="auto"/>
              </w:rPr>
            </w:pPr>
            <w:r>
              <w:rPr>
                <w:rFonts w:ascii="Arial" w:cs="Arial" w:eastAsia="Arial" w:hAnsi="Arial"/>
                <w:sz w:val="20"/>
                <w:szCs w:val="20"/>
                <w:color w:val="auto"/>
              </w:rPr>
              <w:t>Monster Rehab® Green Tea + Energy</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440" w:type="dxa"/>
            <w:vAlign w:val="bottom"/>
          </w:tcPr>
          <w:p>
            <w:pPr>
              <w:ind w:left="180"/>
              <w:spacing w:after="0"/>
              <w:rPr>
                <w:sz w:val="20"/>
                <w:szCs w:val="20"/>
                <w:color w:val="auto"/>
              </w:rPr>
            </w:pPr>
            <w:r>
              <w:rPr>
                <w:rFonts w:ascii="Arial" w:cs="Arial" w:eastAsia="Arial" w:hAnsi="Arial"/>
                <w:sz w:val="20"/>
                <w:szCs w:val="20"/>
                <w:color w:val="auto"/>
              </w:rPr>
              <w:t>Monster Energy® Zero Ultra</w:t>
            </w:r>
          </w:p>
        </w:tc>
      </w:tr>
      <w:tr>
        <w:trPr>
          <w:trHeight w:val="230"/>
        </w:trPr>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5440" w:type="dxa"/>
            <w:vAlign w:val="bottom"/>
          </w:tcPr>
          <w:p>
            <w:pPr>
              <w:ind w:left="300"/>
              <w:spacing w:after="0"/>
              <w:rPr>
                <w:sz w:val="20"/>
                <w:szCs w:val="20"/>
                <w:color w:val="auto"/>
              </w:rPr>
            </w:pPr>
            <w:r>
              <w:rPr>
                <w:rFonts w:ascii="Arial" w:cs="Arial" w:eastAsia="Arial" w:hAnsi="Arial"/>
                <w:sz w:val="20"/>
                <w:szCs w:val="20"/>
                <w:color w:val="auto"/>
              </w:rPr>
              <w:t>Monster Rehab® Tea + Orangeade + Energy</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440" w:type="dxa"/>
            <w:vAlign w:val="bottom"/>
          </w:tcPr>
          <w:p>
            <w:pPr>
              <w:ind w:left="180"/>
              <w:spacing w:after="0"/>
              <w:rPr>
                <w:sz w:val="20"/>
                <w:szCs w:val="20"/>
                <w:color w:val="auto"/>
              </w:rPr>
            </w:pPr>
            <w:r>
              <w:rPr>
                <w:rFonts w:ascii="Arial" w:cs="Arial" w:eastAsia="Arial" w:hAnsi="Arial"/>
                <w:sz w:val="20"/>
                <w:szCs w:val="20"/>
                <w:color w:val="auto"/>
              </w:rPr>
              <w:t>Monster Energy® Ultra Blue™</w:t>
            </w:r>
          </w:p>
        </w:tc>
      </w:tr>
      <w:tr>
        <w:trPr>
          <w:trHeight w:val="230"/>
        </w:trPr>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5440" w:type="dxa"/>
            <w:vAlign w:val="bottom"/>
          </w:tcPr>
          <w:p>
            <w:pPr>
              <w:ind w:left="300"/>
              <w:spacing w:after="0"/>
              <w:rPr>
                <w:sz w:val="20"/>
                <w:szCs w:val="20"/>
                <w:color w:val="auto"/>
              </w:rPr>
            </w:pPr>
            <w:r>
              <w:rPr>
                <w:rFonts w:ascii="Arial" w:cs="Arial" w:eastAsia="Arial" w:hAnsi="Arial"/>
                <w:sz w:val="20"/>
                <w:szCs w:val="20"/>
                <w:color w:val="auto"/>
              </w:rPr>
              <w:t>Monster Rehab® Tea + Pink Lemonade + Energy</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440" w:type="dxa"/>
            <w:vAlign w:val="bottom"/>
          </w:tcPr>
          <w:p>
            <w:pPr>
              <w:ind w:left="180"/>
              <w:spacing w:after="0"/>
              <w:rPr>
                <w:sz w:val="20"/>
                <w:szCs w:val="20"/>
                <w:color w:val="auto"/>
              </w:rPr>
            </w:pPr>
            <w:r>
              <w:rPr>
                <w:rFonts w:ascii="Arial" w:cs="Arial" w:eastAsia="Arial" w:hAnsi="Arial"/>
                <w:sz w:val="20"/>
                <w:szCs w:val="20"/>
                <w:color w:val="auto"/>
              </w:rPr>
              <w:t>Monster Energy® Ultra Red™</w:t>
            </w:r>
          </w:p>
        </w:tc>
      </w:tr>
      <w:tr>
        <w:trPr>
          <w:trHeight w:val="230"/>
        </w:trPr>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5440" w:type="dxa"/>
            <w:vAlign w:val="bottom"/>
          </w:tcPr>
          <w:p>
            <w:pPr>
              <w:ind w:left="300"/>
              <w:spacing w:after="0"/>
              <w:rPr>
                <w:sz w:val="20"/>
                <w:szCs w:val="20"/>
                <w:color w:val="auto"/>
              </w:rPr>
            </w:pPr>
            <w:r>
              <w:rPr>
                <w:rFonts w:ascii="Arial" w:cs="Arial" w:eastAsia="Arial" w:hAnsi="Arial"/>
                <w:sz w:val="20"/>
                <w:szCs w:val="20"/>
                <w:color w:val="auto"/>
              </w:rPr>
              <w:t>Monster Rehab® Peach Tea + Energy</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440" w:type="dxa"/>
            <w:vAlign w:val="bottom"/>
          </w:tcPr>
          <w:p>
            <w:pPr>
              <w:ind w:left="180"/>
              <w:spacing w:after="0"/>
              <w:rPr>
                <w:sz w:val="20"/>
                <w:szCs w:val="20"/>
                <w:color w:val="auto"/>
              </w:rPr>
            </w:pPr>
            <w:r>
              <w:rPr>
                <w:rFonts w:ascii="Arial" w:cs="Arial" w:eastAsia="Arial" w:hAnsi="Arial"/>
                <w:sz w:val="20"/>
                <w:szCs w:val="20"/>
                <w:color w:val="auto"/>
              </w:rPr>
              <w:t>Monster Energy® Ultra Black™</w:t>
            </w:r>
          </w:p>
        </w:tc>
      </w:tr>
      <w:tr>
        <w:trPr>
          <w:trHeight w:val="230"/>
        </w:trPr>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5440" w:type="dxa"/>
            <w:vAlign w:val="bottom"/>
          </w:tcPr>
          <w:p>
            <w:pPr>
              <w:ind w:left="300"/>
              <w:spacing w:after="0"/>
              <w:rPr>
                <w:sz w:val="20"/>
                <w:szCs w:val="20"/>
                <w:color w:val="auto"/>
              </w:rPr>
            </w:pPr>
            <w:r>
              <w:rPr>
                <w:rFonts w:ascii="Arial" w:cs="Arial" w:eastAsia="Arial" w:hAnsi="Arial"/>
                <w:sz w:val="20"/>
                <w:szCs w:val="20"/>
                <w:color w:val="auto"/>
              </w:rPr>
              <w:t>Muscle Monster® Vanilla</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440" w:type="dxa"/>
            <w:vAlign w:val="bottom"/>
          </w:tcPr>
          <w:p>
            <w:pPr>
              <w:ind w:left="180"/>
              <w:spacing w:after="0"/>
              <w:rPr>
                <w:sz w:val="20"/>
                <w:szCs w:val="20"/>
                <w:color w:val="auto"/>
              </w:rPr>
            </w:pPr>
            <w:r>
              <w:rPr>
                <w:rFonts w:ascii="Arial" w:cs="Arial" w:eastAsia="Arial" w:hAnsi="Arial"/>
                <w:sz w:val="20"/>
                <w:szCs w:val="20"/>
                <w:color w:val="auto"/>
              </w:rPr>
              <w:t>Monster Energy® Ultra Sunrise®</w:t>
            </w:r>
          </w:p>
        </w:tc>
      </w:tr>
      <w:tr>
        <w:trPr>
          <w:trHeight w:val="230"/>
        </w:trPr>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5440" w:type="dxa"/>
            <w:vAlign w:val="bottom"/>
          </w:tcPr>
          <w:p>
            <w:pPr>
              <w:ind w:left="300"/>
              <w:spacing w:after="0"/>
              <w:rPr>
                <w:sz w:val="20"/>
                <w:szCs w:val="20"/>
                <w:color w:val="auto"/>
              </w:rPr>
            </w:pPr>
            <w:r>
              <w:rPr>
                <w:rFonts w:ascii="Arial" w:cs="Arial" w:eastAsia="Arial" w:hAnsi="Arial"/>
                <w:sz w:val="20"/>
                <w:szCs w:val="20"/>
                <w:color w:val="auto"/>
              </w:rPr>
              <w:t>Muscle Monster® Chocolate</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440" w:type="dxa"/>
            <w:vAlign w:val="bottom"/>
          </w:tcPr>
          <w:p>
            <w:pPr>
              <w:ind w:left="180"/>
              <w:spacing w:after="0"/>
              <w:rPr>
                <w:sz w:val="20"/>
                <w:szCs w:val="20"/>
                <w:color w:val="auto"/>
              </w:rPr>
            </w:pPr>
            <w:r>
              <w:rPr>
                <w:rFonts w:ascii="Arial" w:cs="Arial" w:eastAsia="Arial" w:hAnsi="Arial"/>
                <w:sz w:val="20"/>
                <w:szCs w:val="20"/>
                <w:color w:val="auto"/>
              </w:rPr>
              <w:t>Monster Energy® Ultra Citron™</w:t>
            </w:r>
          </w:p>
        </w:tc>
      </w:tr>
      <w:tr>
        <w:trPr>
          <w:trHeight w:val="230"/>
        </w:trPr>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5440" w:type="dxa"/>
            <w:vAlign w:val="bottom"/>
          </w:tcPr>
          <w:p>
            <w:pPr>
              <w:ind w:left="300"/>
              <w:spacing w:after="0"/>
              <w:rPr>
                <w:sz w:val="20"/>
                <w:szCs w:val="20"/>
                <w:color w:val="auto"/>
              </w:rPr>
            </w:pPr>
            <w:r>
              <w:rPr>
                <w:rFonts w:ascii="Arial" w:cs="Arial" w:eastAsia="Arial" w:hAnsi="Arial"/>
                <w:sz w:val="20"/>
                <w:szCs w:val="20"/>
                <w:color w:val="auto"/>
              </w:rPr>
              <w:t>Muscle Monster® Coffee</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440" w:type="dxa"/>
            <w:vAlign w:val="bottom"/>
          </w:tcPr>
          <w:p>
            <w:pPr>
              <w:ind w:left="180"/>
              <w:spacing w:after="0"/>
              <w:rPr>
                <w:sz w:val="20"/>
                <w:szCs w:val="20"/>
                <w:color w:val="auto"/>
              </w:rPr>
            </w:pPr>
            <w:r>
              <w:rPr>
                <w:rFonts w:ascii="Arial" w:cs="Arial" w:eastAsia="Arial" w:hAnsi="Arial"/>
                <w:sz w:val="20"/>
                <w:szCs w:val="20"/>
                <w:color w:val="auto"/>
              </w:rPr>
              <w:t>Monster Energy® Unleaded</w:t>
            </w:r>
          </w:p>
        </w:tc>
      </w:tr>
      <w:tr>
        <w:trPr>
          <w:trHeight w:val="230"/>
        </w:trPr>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5440" w:type="dxa"/>
            <w:vAlign w:val="bottom"/>
          </w:tcPr>
          <w:p>
            <w:pPr>
              <w:ind w:left="300"/>
              <w:spacing w:after="0"/>
              <w:rPr>
                <w:sz w:val="20"/>
                <w:szCs w:val="20"/>
                <w:color w:val="auto"/>
              </w:rPr>
            </w:pPr>
            <w:r>
              <w:rPr>
                <w:rFonts w:ascii="Arial" w:cs="Arial" w:eastAsia="Arial" w:hAnsi="Arial"/>
                <w:sz w:val="20"/>
                <w:szCs w:val="20"/>
                <w:color w:val="auto"/>
              </w:rPr>
              <w:t>Muscle Monster® Strawberry</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440" w:type="dxa"/>
            <w:vAlign w:val="bottom"/>
          </w:tcPr>
          <w:p>
            <w:pPr>
              <w:ind w:left="180"/>
              <w:spacing w:after="0"/>
              <w:rPr>
                <w:sz w:val="20"/>
                <w:szCs w:val="20"/>
                <w:color w:val="auto"/>
              </w:rPr>
            </w:pPr>
            <w:r>
              <w:rPr>
                <w:rFonts w:ascii="Arial" w:cs="Arial" w:eastAsia="Arial" w:hAnsi="Arial"/>
                <w:sz w:val="20"/>
                <w:szCs w:val="20"/>
                <w:color w:val="auto"/>
              </w:rPr>
              <w:t>Übermonster® Energy Brew™</w:t>
            </w:r>
          </w:p>
        </w:tc>
      </w:tr>
      <w:tr>
        <w:trPr>
          <w:trHeight w:val="246"/>
        </w:trPr>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5440" w:type="dxa"/>
            <w:vAlign w:val="bottom"/>
          </w:tcPr>
          <w:p>
            <w:pPr>
              <w:ind w:left="300"/>
              <w:spacing w:after="0"/>
              <w:rPr>
                <w:sz w:val="20"/>
                <w:szCs w:val="20"/>
                <w:color w:val="auto"/>
              </w:rPr>
            </w:pPr>
            <w:r>
              <w:rPr>
                <w:rFonts w:ascii="Arial" w:cs="Arial" w:eastAsia="Arial" w:hAnsi="Arial"/>
                <w:sz w:val="20"/>
                <w:szCs w:val="20"/>
                <w:color w:val="auto"/>
              </w:rPr>
              <w:t>Muscle Monster® Peanut Butter Cup</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440" w:type="dxa"/>
            <w:vAlign w:val="bottom"/>
          </w:tcPr>
          <w:p>
            <w:pPr>
              <w:ind w:left="180"/>
              <w:spacing w:after="0"/>
              <w:rPr>
                <w:sz w:val="20"/>
                <w:szCs w:val="20"/>
                <w:color w:val="auto"/>
              </w:rPr>
            </w:pPr>
            <w:r>
              <w:rPr>
                <w:rFonts w:ascii="Arial" w:cs="Arial" w:eastAsia="Arial" w:hAnsi="Arial"/>
                <w:sz w:val="20"/>
                <w:szCs w:val="20"/>
                <w:color w:val="auto"/>
              </w:rPr>
              <w:t>M3® Monster Energy® Super Concentrate</w:t>
            </w:r>
          </w:p>
        </w:tc>
      </w:tr>
    </w:tbl>
    <w:p>
      <w:pPr>
        <w:ind w:left="680" w:hanging="672"/>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20"/>
          <w:szCs w:val="20"/>
          <w:color w:val="auto"/>
        </w:rPr>
        <w:t>Monster Energy® Valentino Rossi</w:t>
      </w:r>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We have two operating and reportable segments, namely Direct Store Delivery (“DSD”), the principal products of which comprise energy drinks, and Warehouse (“Warehouse”), the principal products of which comprise juice-based and soda beverages. The DSD segment develops, markets and sells products primarily through an exclusive distributor network, whereas the Warehouse segment develops, markets and sells products primarily direct to retailers. Following the consummation of the TCCC Transaction, the Company anticipates that it will have two operating and reporting segments: Finished Products, the principal products of which will likely include the Company’s Monster Energy® drink products that currently make up the majority of the DSD segment, and Concentrate, the principal products of which will likely include the various energy drink brands transferred to the Company from TCCC.</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29"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8"/>
          <w:szCs w:val="18"/>
          <w:color w:val="auto"/>
        </w:rPr>
        <w:t>During the three-months ended March 31, 2015, we continued to expand our existing product lines and flavors and further developed our markets. In particular, we continued to focus on developing and marketing beverages that fall within the category generally described as the “alternative” beverage category. During the three-months ended March 31, 2015, we introduced the following products:</w:t>
      </w:r>
    </w:p>
    <w:p>
      <w:pPr>
        <w:spacing w:after="0" w:line="165" w:lineRule="exact"/>
        <w:rPr>
          <w:sz w:val="20"/>
          <w:szCs w:val="20"/>
          <w:color w:val="auto"/>
        </w:rPr>
      </w:pPr>
    </w:p>
    <w:p>
      <w:pPr>
        <w:ind w:left="560" w:hanging="240"/>
        <w:spacing w:after="0"/>
        <w:tabs>
          <w:tab w:leader="none" w:pos="560" w:val="left"/>
        </w:tabs>
        <w:numPr>
          <w:ilvl w:val="0"/>
          <w:numId w:val="28"/>
        </w:numPr>
        <w:rPr>
          <w:rFonts w:ascii="Arial" w:cs="Arial" w:eastAsia="Arial" w:hAnsi="Arial"/>
          <w:sz w:val="18"/>
          <w:szCs w:val="18"/>
          <w:color w:val="auto"/>
        </w:rPr>
      </w:pPr>
      <w:r>
        <w:rPr>
          <w:rFonts w:ascii="Arial" w:cs="Arial" w:eastAsia="Arial" w:hAnsi="Arial"/>
          <w:sz w:val="20"/>
          <w:szCs w:val="20"/>
          <w:color w:val="auto"/>
        </w:rPr>
        <w:t>Monster Energy® Ultra Citron™, a carbonated energy drink which contains zero calories and zero sugar (January 2015).</w:t>
      </w:r>
    </w:p>
    <w:p>
      <w:pPr>
        <w:spacing w:after="0" w:line="15" w:lineRule="exact"/>
        <w:rPr>
          <w:rFonts w:ascii="Arial" w:cs="Arial" w:eastAsia="Arial" w:hAnsi="Arial"/>
          <w:sz w:val="18"/>
          <w:szCs w:val="18"/>
          <w:color w:val="auto"/>
        </w:rPr>
      </w:pPr>
    </w:p>
    <w:p>
      <w:pPr>
        <w:ind w:left="560" w:hanging="240"/>
        <w:spacing w:after="0"/>
        <w:tabs>
          <w:tab w:leader="none" w:pos="560" w:val="left"/>
        </w:tabs>
        <w:numPr>
          <w:ilvl w:val="0"/>
          <w:numId w:val="28"/>
        </w:numPr>
        <w:rPr>
          <w:rFonts w:ascii="Arial" w:cs="Arial" w:eastAsia="Arial" w:hAnsi="Arial"/>
          <w:sz w:val="18"/>
          <w:szCs w:val="18"/>
          <w:color w:val="auto"/>
        </w:rPr>
      </w:pPr>
      <w:r>
        <w:rPr>
          <w:rFonts w:ascii="Arial" w:cs="Arial" w:eastAsia="Arial" w:hAnsi="Arial"/>
          <w:sz w:val="20"/>
          <w:szCs w:val="20"/>
          <w:color w:val="auto"/>
        </w:rPr>
        <w:t>Monster Rehab® Peach Tea + Energy (January 2015).</w:t>
      </w:r>
    </w:p>
    <w:p>
      <w:pPr>
        <w:spacing w:after="0" w:line="213"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In the normal course of business we discontinue certain products and/or product lines. Those products or product lines discontinued during the three-months ended March 31, 2015, either individually or in aggregate, did not have a material adverse impact on our financial position, results of operations or liquidity.</w:t>
      </w:r>
    </w:p>
    <w:p>
      <w:pPr>
        <w:spacing w:after="0" w:line="20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Our net sales of $626.8 million for the three-months ended March 31, 2015 represented record sales for our first fiscal quarter. The vast majority of our net sales are derived from our Monster Energy® brand energy drinks. Net sales of our Monster Energy® brand energy drinks were $552.2 million for the three-months ended March 31, 2015, an increase of $54.2 million, or 59.8% of our overall increase in net sales for the three-months ended March 31, 2015. Net sales for the three-months ended March 31, 2015 included $39.8 million related to the accelerated amortization of the deferred revenue balances associated with certain of the Company’s prior distributors, which represented 43.9% of our overall increase in net sales.</w:t>
      </w:r>
    </w:p>
    <w:p>
      <w:pPr>
        <w:spacing w:after="0" w:line="21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Changes in foreign currency exchange rates had an unfavorable impact on net sales of approximately 2% for the three-months ended March 31, 2015, which was primarily due to a stronger U.S. dollar compared to certain local currencies in which we conduct certain of our international business.</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Our DSD segment represented 96.7% and 95.9% of our consolidated net sales for the three-months ended March 31, 2015 and 2014, respectively. Our Warehouse segment represented 3.3% and 4.1% of our consolidated net sales for the three-months ended March 31, 2015 and 2014, respectively.</w:t>
      </w:r>
    </w:p>
    <w:p>
      <w:pPr>
        <w:sectPr>
          <w:pgSz w:w="11900" w:h="16883" w:orient="portrait"/>
          <w:cols w:equalWidth="0" w:num="1">
            <w:col w:w="11420"/>
          </w:cols>
          <w:pgMar w:left="240" w:top="121" w:right="239" w:bottom="0" w:gutter="0" w:footer="0" w:header="0"/>
        </w:sectPr>
      </w:pPr>
    </w:p>
    <w:bookmarkStart w:id="21" w:name="page22"/>
    <w:bookmarkEnd w:id="21"/>
    <w:p>
      <w:pPr>
        <w:spacing w:after="0" w:line="5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Our sales and marketing strategy for all our beverages is to focus our efforts on developing brand awareness through image enhancing programs and product sampling. We use our branded vehicles and other promotional vehicles at events where we offer samples of our products to consumers. We utilize “push-pull” methods to enhance shelf and display space exposure in sales outlets (including racks, coolers and barrel coolers), advertising, in-store promotions and in-store placement of point-of-sale materials to encourage demand from consumers for our products. We also support our brands with prize promotions, price promotions, competitions, endorsements from selected public and sports figures, personality endorsements (including from television and other well-known sports personalities), sampling and sponsorship of selected causes, events, athletes and teams. In-store posters, outdoor posters, print, radio and television advertising (directly and through our sponsorships and endorsements) and coupons may also be used to promote our brands.</w:t>
      </w:r>
    </w:p>
    <w:p>
      <w:pPr>
        <w:spacing w:after="0" w:line="18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We believe that one of the keys to success in the beverage industry is differentiation, making our brands and products visually distinctive from other beverages on the shelves of retailers. We review our products and packaging on an ongoing basis and, where practical, endeavor to make them different, better and unique. The labels and graphics for many of our products are redesigned from time to time to maximize their visibility and identification, wherever they may be placed in stores, which we will continue to reevaluate from time to time.</w:t>
      </w:r>
    </w:p>
    <w:p>
      <w:pPr>
        <w:spacing w:after="0" w:line="17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All of our beverage products are manufactured by various third party bottlers and co-packers situated throughout the United States and abroad, under separate arrangements with each party.</w:t>
      </w:r>
    </w:p>
    <w:p>
      <w:pPr>
        <w:spacing w:after="0" w:line="19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Our growth strategy includes expanding our international business. Gross sales to customers outside the United States amounted to $141.0 million and $144.3 million for the three-months ended March 31, 2015 and 2014, respectively. Such sales were approximately 21% and 23% of gross sales for the three-months ended March 31, 2015 and 2014, respectively. Changes in foreign currency exchange rates had an unfavorable impact on gross sales to customers outside the United Sates of approximately 11% for the three-months ended March 31, 2015, which was primarily due to a stronger U.S. dollar compared to certain local currencies in which we conduct certain of our international business.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Our customers are primarily full service beverage distributors, retail grocery and specialty chains, wholesalers, club stores, drug chains, mass merchandisers, convenience chains, health food distributors, food service customers and the military. Gross sales to our various customer types for the three-months ended March 31, 2015 and 2014 are reflected below. Such information includes sales made by us directly to the customer types concerned, which include our full service beverage distributors in the United States. Such full service beverage distributors in turn sell certain of our products to some of the same customer types listed below. We limit our description of our customer types to include only our sales to our full service distributors without reference to such distributors’ sales to their own customers.</w:t>
      </w:r>
    </w:p>
    <w:p>
      <w:pPr>
        <w:spacing w:after="0" w:line="314" w:lineRule="exact"/>
        <w:rPr>
          <w:sz w:val="20"/>
          <w:szCs w:val="20"/>
          <w:color w:val="auto"/>
        </w:rPr>
      </w:pPr>
    </w:p>
    <w:tbl>
      <w:tblPr>
        <w:tblLayout w:type="fixed"/>
        <w:tblInd w:w="1300" w:type="dxa"/>
        <w:tblCellMar>
          <w:top w:w="0" w:type="dxa"/>
          <w:left w:w="0" w:type="dxa"/>
          <w:bottom w:w="0" w:type="dxa"/>
          <w:right w:w="0" w:type="dxa"/>
        </w:tblCellMar>
      </w:tblPr>
      <w:tr>
        <w:trPr>
          <w:trHeight w:val="250"/>
        </w:trPr>
        <w:tc>
          <w:tcPr>
            <w:tcW w:w="5140" w:type="dxa"/>
            <w:vAlign w:val="bottom"/>
          </w:tcPr>
          <w:p>
            <w:pPr>
              <w:spacing w:after="0"/>
              <w:rPr>
                <w:sz w:val="21"/>
                <w:szCs w:val="21"/>
                <w:color w:val="auto"/>
              </w:rPr>
            </w:pPr>
          </w:p>
        </w:tc>
        <w:tc>
          <w:tcPr>
            <w:tcW w:w="3120" w:type="dxa"/>
            <w:vAlign w:val="bottom"/>
            <w:gridSpan w:val="4"/>
          </w:tcPr>
          <w:p>
            <w:pPr>
              <w:jc w:val="right"/>
              <w:ind w:right="621"/>
              <w:spacing w:after="0"/>
              <w:rPr>
                <w:sz w:val="20"/>
                <w:szCs w:val="20"/>
                <w:color w:val="auto"/>
              </w:rPr>
            </w:pPr>
            <w:r>
              <w:rPr>
                <w:rFonts w:ascii="Arial" w:cs="Arial" w:eastAsia="Arial" w:hAnsi="Arial"/>
                <w:sz w:val="20"/>
                <w:szCs w:val="20"/>
                <w:color w:val="auto"/>
              </w:rPr>
              <w:t>Three-Months Ended</w:t>
            </w:r>
          </w:p>
        </w:tc>
      </w:tr>
      <w:tr>
        <w:trPr>
          <w:trHeight w:val="280"/>
        </w:trPr>
        <w:tc>
          <w:tcPr>
            <w:tcW w:w="514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3"/>
          </w:tcPr>
          <w:p>
            <w:pPr>
              <w:jc w:val="right"/>
              <w:ind w:right="1061"/>
              <w:spacing w:after="0"/>
              <w:rPr>
                <w:sz w:val="20"/>
                <w:szCs w:val="20"/>
                <w:color w:val="auto"/>
              </w:rPr>
            </w:pPr>
            <w:r>
              <w:rPr>
                <w:rFonts w:ascii="Arial" w:cs="Arial" w:eastAsia="Arial" w:hAnsi="Arial"/>
                <w:sz w:val="20"/>
                <w:szCs w:val="20"/>
                <w:color w:val="auto"/>
              </w:rPr>
              <w:t>March 31,</w:t>
            </w:r>
          </w:p>
        </w:tc>
      </w:tr>
      <w:tr>
        <w:trPr>
          <w:trHeight w:val="277"/>
        </w:trPr>
        <w:tc>
          <w:tcPr>
            <w:tcW w:w="5140" w:type="dxa"/>
            <w:vAlign w:val="bottom"/>
          </w:tcPr>
          <w:p>
            <w:pPr>
              <w:spacing w:after="0"/>
              <w:rPr>
                <w:sz w:val="24"/>
                <w:szCs w:val="24"/>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2015</w:t>
            </w:r>
          </w:p>
        </w:tc>
        <w:tc>
          <w:tcPr>
            <w:tcW w:w="4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Borders>
              <w:bottom w:val="single" w:sz="8" w:color="auto"/>
            </w:tcBorders>
          </w:tcPr>
          <w:p>
            <w:pPr>
              <w:jc w:val="right"/>
              <w:ind w:right="421"/>
              <w:spacing w:after="0"/>
              <w:rPr>
                <w:sz w:val="20"/>
                <w:szCs w:val="20"/>
                <w:color w:val="auto"/>
              </w:rPr>
            </w:pPr>
            <w:r>
              <w:rPr>
                <w:rFonts w:ascii="Arial" w:cs="Arial" w:eastAsia="Arial" w:hAnsi="Arial"/>
                <w:sz w:val="20"/>
                <w:szCs w:val="20"/>
                <w:color w:val="auto"/>
              </w:rPr>
              <w:t>2014</w:t>
            </w:r>
          </w:p>
        </w:tc>
      </w:tr>
      <w:tr>
        <w:trPr>
          <w:trHeight w:val="281"/>
        </w:trPr>
        <w:tc>
          <w:tcPr>
            <w:tcW w:w="5140" w:type="dxa"/>
            <w:vAlign w:val="bottom"/>
          </w:tcPr>
          <w:p>
            <w:pPr>
              <w:spacing w:after="0"/>
              <w:rPr>
                <w:sz w:val="20"/>
                <w:szCs w:val="20"/>
                <w:color w:val="auto"/>
              </w:rPr>
            </w:pPr>
            <w:r>
              <w:rPr>
                <w:rFonts w:ascii="Arial" w:cs="Arial" w:eastAsia="Arial" w:hAnsi="Arial"/>
                <w:sz w:val="20"/>
                <w:szCs w:val="20"/>
                <w:color w:val="auto"/>
              </w:rPr>
              <w:t>Full service distributors</w:t>
            </w:r>
          </w:p>
        </w:tc>
        <w:tc>
          <w:tcPr>
            <w:tcW w:w="1020" w:type="dxa"/>
            <w:vAlign w:val="bottom"/>
          </w:tcPr>
          <w:p>
            <w:pPr>
              <w:jc w:val="right"/>
              <w:ind w:right="21"/>
              <w:spacing w:after="0"/>
              <w:rPr>
                <w:sz w:val="20"/>
                <w:szCs w:val="20"/>
                <w:color w:val="auto"/>
              </w:rPr>
            </w:pPr>
            <w:r>
              <w:rPr>
                <w:rFonts w:ascii="Arial" w:cs="Arial" w:eastAsia="Arial" w:hAnsi="Arial"/>
                <w:sz w:val="20"/>
                <w:szCs w:val="20"/>
                <w:color w:val="auto"/>
              </w:rPr>
              <w:t>65%</w:t>
            </w:r>
          </w:p>
        </w:tc>
        <w:tc>
          <w:tcPr>
            <w:tcW w:w="2100" w:type="dxa"/>
            <w:vAlign w:val="bottom"/>
            <w:gridSpan w:val="3"/>
          </w:tcPr>
          <w:p>
            <w:pPr>
              <w:jc w:val="right"/>
              <w:ind w:right="401"/>
              <w:spacing w:after="0"/>
              <w:rPr>
                <w:sz w:val="20"/>
                <w:szCs w:val="20"/>
                <w:color w:val="auto"/>
              </w:rPr>
            </w:pPr>
            <w:r>
              <w:rPr>
                <w:rFonts w:ascii="Arial" w:cs="Arial" w:eastAsia="Arial" w:hAnsi="Arial"/>
                <w:sz w:val="20"/>
                <w:szCs w:val="20"/>
                <w:color w:val="auto"/>
              </w:rPr>
              <w:t>62%</w:t>
            </w:r>
          </w:p>
        </w:tc>
      </w:tr>
      <w:tr>
        <w:trPr>
          <w:trHeight w:val="284"/>
        </w:trPr>
        <w:tc>
          <w:tcPr>
            <w:tcW w:w="5140" w:type="dxa"/>
            <w:vAlign w:val="bottom"/>
          </w:tcPr>
          <w:p>
            <w:pPr>
              <w:spacing w:after="0"/>
              <w:rPr>
                <w:sz w:val="20"/>
                <w:szCs w:val="20"/>
                <w:color w:val="auto"/>
              </w:rPr>
            </w:pPr>
            <w:r>
              <w:rPr>
                <w:rFonts w:ascii="Arial" w:cs="Arial" w:eastAsia="Arial" w:hAnsi="Arial"/>
                <w:sz w:val="20"/>
                <w:szCs w:val="20"/>
                <w:color w:val="auto"/>
              </w:rPr>
              <w:t>Club stores, drug chains &amp; mass merchandisers</w:t>
            </w:r>
          </w:p>
        </w:tc>
        <w:tc>
          <w:tcPr>
            <w:tcW w:w="1020" w:type="dxa"/>
            <w:vAlign w:val="bottom"/>
          </w:tcPr>
          <w:p>
            <w:pPr>
              <w:jc w:val="right"/>
              <w:ind w:right="21"/>
              <w:spacing w:after="0"/>
              <w:rPr>
                <w:sz w:val="20"/>
                <w:szCs w:val="20"/>
                <w:color w:val="auto"/>
              </w:rPr>
            </w:pPr>
            <w:r>
              <w:rPr>
                <w:rFonts w:ascii="Arial" w:cs="Arial" w:eastAsia="Arial" w:hAnsi="Arial"/>
                <w:sz w:val="20"/>
                <w:szCs w:val="20"/>
                <w:color w:val="auto"/>
              </w:rPr>
              <w:t>9%</w:t>
            </w:r>
          </w:p>
        </w:tc>
        <w:tc>
          <w:tcPr>
            <w:tcW w:w="2100" w:type="dxa"/>
            <w:vAlign w:val="bottom"/>
            <w:gridSpan w:val="3"/>
          </w:tcPr>
          <w:p>
            <w:pPr>
              <w:jc w:val="right"/>
              <w:ind w:right="401"/>
              <w:spacing w:after="0"/>
              <w:rPr>
                <w:sz w:val="20"/>
                <w:szCs w:val="20"/>
                <w:color w:val="auto"/>
              </w:rPr>
            </w:pPr>
            <w:r>
              <w:rPr>
                <w:rFonts w:ascii="Arial" w:cs="Arial" w:eastAsia="Arial" w:hAnsi="Arial"/>
                <w:sz w:val="20"/>
                <w:szCs w:val="20"/>
                <w:color w:val="auto"/>
              </w:rPr>
              <w:t>9%</w:t>
            </w:r>
          </w:p>
        </w:tc>
      </w:tr>
      <w:tr>
        <w:trPr>
          <w:trHeight w:val="284"/>
        </w:trPr>
        <w:tc>
          <w:tcPr>
            <w:tcW w:w="5140" w:type="dxa"/>
            <w:vAlign w:val="bottom"/>
          </w:tcPr>
          <w:p>
            <w:pPr>
              <w:spacing w:after="0"/>
              <w:rPr>
                <w:sz w:val="20"/>
                <w:szCs w:val="20"/>
                <w:color w:val="auto"/>
              </w:rPr>
            </w:pPr>
            <w:r>
              <w:rPr>
                <w:rFonts w:ascii="Arial" w:cs="Arial" w:eastAsia="Arial" w:hAnsi="Arial"/>
                <w:sz w:val="20"/>
                <w:szCs w:val="20"/>
                <w:color w:val="auto"/>
              </w:rPr>
              <w:t>Outside the U.S.</w:t>
            </w:r>
          </w:p>
        </w:tc>
        <w:tc>
          <w:tcPr>
            <w:tcW w:w="1020" w:type="dxa"/>
            <w:vAlign w:val="bottom"/>
          </w:tcPr>
          <w:p>
            <w:pPr>
              <w:jc w:val="right"/>
              <w:ind w:right="21"/>
              <w:spacing w:after="0"/>
              <w:rPr>
                <w:sz w:val="20"/>
                <w:szCs w:val="20"/>
                <w:color w:val="auto"/>
              </w:rPr>
            </w:pPr>
            <w:r>
              <w:rPr>
                <w:rFonts w:ascii="Arial" w:cs="Arial" w:eastAsia="Arial" w:hAnsi="Arial"/>
                <w:sz w:val="20"/>
                <w:szCs w:val="20"/>
                <w:color w:val="auto"/>
              </w:rPr>
              <w:t>21%</w:t>
            </w:r>
          </w:p>
        </w:tc>
        <w:tc>
          <w:tcPr>
            <w:tcW w:w="2100" w:type="dxa"/>
            <w:vAlign w:val="bottom"/>
            <w:gridSpan w:val="3"/>
          </w:tcPr>
          <w:p>
            <w:pPr>
              <w:jc w:val="right"/>
              <w:ind w:right="401"/>
              <w:spacing w:after="0"/>
              <w:rPr>
                <w:sz w:val="20"/>
                <w:szCs w:val="20"/>
                <w:color w:val="auto"/>
              </w:rPr>
            </w:pPr>
            <w:r>
              <w:rPr>
                <w:rFonts w:ascii="Arial" w:cs="Arial" w:eastAsia="Arial" w:hAnsi="Arial"/>
                <w:sz w:val="20"/>
                <w:szCs w:val="20"/>
                <w:color w:val="auto"/>
              </w:rPr>
              <w:t>23%</w:t>
            </w:r>
          </w:p>
        </w:tc>
      </w:tr>
      <w:tr>
        <w:trPr>
          <w:trHeight w:val="284"/>
        </w:trPr>
        <w:tc>
          <w:tcPr>
            <w:tcW w:w="5140" w:type="dxa"/>
            <w:vAlign w:val="bottom"/>
          </w:tcPr>
          <w:p>
            <w:pPr>
              <w:spacing w:after="0"/>
              <w:rPr>
                <w:sz w:val="20"/>
                <w:szCs w:val="20"/>
                <w:color w:val="auto"/>
              </w:rPr>
            </w:pPr>
            <w:r>
              <w:rPr>
                <w:rFonts w:ascii="Arial" w:cs="Arial" w:eastAsia="Arial" w:hAnsi="Arial"/>
                <w:sz w:val="20"/>
                <w:szCs w:val="20"/>
                <w:color w:val="auto"/>
              </w:rPr>
              <w:t>Retail grocery, specialty chains and wholesalers</w:t>
            </w:r>
          </w:p>
        </w:tc>
        <w:tc>
          <w:tcPr>
            <w:tcW w:w="1020" w:type="dxa"/>
            <w:vAlign w:val="bottom"/>
          </w:tcPr>
          <w:p>
            <w:pPr>
              <w:jc w:val="right"/>
              <w:ind w:right="21"/>
              <w:spacing w:after="0"/>
              <w:rPr>
                <w:sz w:val="20"/>
                <w:szCs w:val="20"/>
                <w:color w:val="auto"/>
              </w:rPr>
            </w:pPr>
            <w:r>
              <w:rPr>
                <w:rFonts w:ascii="Arial" w:cs="Arial" w:eastAsia="Arial" w:hAnsi="Arial"/>
                <w:sz w:val="20"/>
                <w:szCs w:val="20"/>
                <w:color w:val="auto"/>
              </w:rPr>
              <w:t>3%</w:t>
            </w:r>
          </w:p>
        </w:tc>
        <w:tc>
          <w:tcPr>
            <w:tcW w:w="2100" w:type="dxa"/>
            <w:vAlign w:val="bottom"/>
            <w:gridSpan w:val="3"/>
          </w:tcPr>
          <w:p>
            <w:pPr>
              <w:jc w:val="right"/>
              <w:ind w:right="401"/>
              <w:spacing w:after="0"/>
              <w:rPr>
                <w:sz w:val="20"/>
                <w:szCs w:val="20"/>
                <w:color w:val="auto"/>
              </w:rPr>
            </w:pPr>
            <w:r>
              <w:rPr>
                <w:rFonts w:ascii="Arial" w:cs="Arial" w:eastAsia="Arial" w:hAnsi="Arial"/>
                <w:sz w:val="20"/>
                <w:szCs w:val="20"/>
                <w:color w:val="auto"/>
              </w:rPr>
              <w:t>4%</w:t>
            </w:r>
          </w:p>
        </w:tc>
      </w:tr>
      <w:tr>
        <w:trPr>
          <w:trHeight w:val="284"/>
        </w:trPr>
        <w:tc>
          <w:tcPr>
            <w:tcW w:w="5140" w:type="dxa"/>
            <w:vAlign w:val="bottom"/>
          </w:tcPr>
          <w:p>
            <w:pPr>
              <w:spacing w:after="0"/>
              <w:rPr>
                <w:sz w:val="20"/>
                <w:szCs w:val="20"/>
                <w:color w:val="auto"/>
              </w:rPr>
            </w:pPr>
            <w:r>
              <w:rPr>
                <w:rFonts w:ascii="Arial" w:cs="Arial" w:eastAsia="Arial" w:hAnsi="Arial"/>
                <w:sz w:val="20"/>
                <w:szCs w:val="20"/>
                <w:color w:val="auto"/>
              </w:rPr>
              <w:t>Other</w:t>
            </w:r>
          </w:p>
        </w:tc>
        <w:tc>
          <w:tcPr>
            <w:tcW w:w="1020" w:type="dxa"/>
            <w:vAlign w:val="bottom"/>
          </w:tcPr>
          <w:p>
            <w:pPr>
              <w:jc w:val="right"/>
              <w:ind w:right="21"/>
              <w:spacing w:after="0"/>
              <w:rPr>
                <w:sz w:val="20"/>
                <w:szCs w:val="20"/>
                <w:color w:val="auto"/>
              </w:rPr>
            </w:pPr>
            <w:r>
              <w:rPr>
                <w:rFonts w:ascii="Arial" w:cs="Arial" w:eastAsia="Arial" w:hAnsi="Arial"/>
                <w:sz w:val="20"/>
                <w:szCs w:val="20"/>
                <w:color w:val="auto"/>
              </w:rPr>
              <w:t>2%</w:t>
            </w:r>
          </w:p>
        </w:tc>
        <w:tc>
          <w:tcPr>
            <w:tcW w:w="2100" w:type="dxa"/>
            <w:vAlign w:val="bottom"/>
            <w:gridSpan w:val="3"/>
          </w:tcPr>
          <w:p>
            <w:pPr>
              <w:jc w:val="right"/>
              <w:ind w:right="401"/>
              <w:spacing w:after="0"/>
              <w:rPr>
                <w:sz w:val="20"/>
                <w:szCs w:val="20"/>
                <w:color w:val="auto"/>
              </w:rPr>
            </w:pPr>
            <w:r>
              <w:rPr>
                <w:rFonts w:ascii="Arial" w:cs="Arial" w:eastAsia="Arial" w:hAnsi="Arial"/>
                <w:sz w:val="20"/>
                <w:szCs w:val="20"/>
                <w:color w:val="auto"/>
              </w:rPr>
              <w:t>2%</w:t>
            </w:r>
          </w:p>
        </w:tc>
      </w:tr>
    </w:tbl>
    <w:p>
      <w:pPr>
        <w:spacing w:after="0" w:line="35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Our customers include Coca-Cola Refreshments USA Inc. (“CCR”), Coca-Cola Enterprises, Coca-Cola Refreshments Canada, Ltd. (formerly known as Coca-Cola Bottling Company), CCBCC Operations, LLC, United Bottling Contracts Company, LLC, certain bottlers of the Coca-Cola Hellenic Bottling Company, Swire Coca-Cola, USA and certain other TCCC independent bottlers, Anheuser-Busch, Inc. (“AB”), select independent AB distributors, Asahi, Kalil Bottling Group, Wal-Mart, Inc. (including Sam’s Club) and Costco. In February 2015, in accordance with its existing agreements with the applicable AB Distributors, the Company sent notices of termination to the majority of the AB Distributors in the U.S. for the termination of their respective distribution agreements, to be effective at various dates beginning in March 2015. The associated distribution rights have been or will be transitioned to TCCC’s network of owned or controlled bottlers/distributors and independent bottling and distribution partners as of the effective date of termination of the affected AB Distributors’ rights in the applicable territories. A decision by any large customer to decrease amounts purchased from us or to cease carrying our products could have a material negative effect on our financial condition and consolidated results of operations. CCR accounted for approximately 35% and 31% of our net sales for the three-months ended March 31, 2015 and 2014, respectively.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sets forth key statistics for the three-months ended March 31, 2015 and 2014, respectively.</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tcPr>
          <w:p>
            <w:pPr>
              <w:spacing w:after="0"/>
              <w:rPr>
                <w:sz w:val="20"/>
                <w:szCs w:val="20"/>
                <w:color w:val="auto"/>
              </w:rPr>
            </w:pPr>
          </w:p>
        </w:tc>
        <w:tc>
          <w:tcPr>
            <w:tcW w:w="28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Three-Months Ended</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6"/>
              </w:rPr>
              <w:t>Percentage</w:t>
            </w:r>
          </w:p>
        </w:tc>
      </w:tr>
      <w:tr>
        <w:trPr>
          <w:trHeight w:val="270"/>
        </w:trPr>
        <w:tc>
          <w:tcPr>
            <w:tcW w:w="5340" w:type="dxa"/>
            <w:vAlign w:val="bottom"/>
          </w:tcPr>
          <w:p>
            <w:pPr>
              <w:spacing w:after="0"/>
              <w:rPr>
                <w:sz w:val="20"/>
                <w:szCs w:val="20"/>
                <w:color w:val="auto"/>
              </w:rPr>
            </w:pPr>
            <w:r>
              <w:rPr>
                <w:rFonts w:ascii="Arial" w:cs="Arial" w:eastAsia="Arial" w:hAnsi="Arial"/>
                <w:sz w:val="18"/>
                <w:szCs w:val="18"/>
                <w:color w:val="auto"/>
              </w:rPr>
              <w:t>(In thousands, except per share amounts)</w:t>
            </w: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March 31,</w:t>
            </w:r>
          </w:p>
        </w:tc>
        <w:tc>
          <w:tcPr>
            <w:tcW w:w="180" w:type="dxa"/>
            <w:vAlign w:val="bottom"/>
          </w:tcPr>
          <w:p>
            <w:pPr>
              <w:spacing w:after="0"/>
              <w:rPr>
                <w:sz w:val="23"/>
                <w:szCs w:val="23"/>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Change</w:t>
            </w:r>
          </w:p>
        </w:tc>
      </w:tr>
    </w:tbl>
    <w:p>
      <w:pPr>
        <w:sectPr>
          <w:pgSz w:w="11900" w:h="16897" w:orient="portrait"/>
          <w:cols w:equalWidth="0" w:num="1">
            <w:col w:w="11420"/>
          </w:cols>
          <w:pgMar w:left="240" w:top="352" w:right="239" w:bottom="0" w:gutter="0" w:footer="0" w:header="0"/>
        </w:sectPr>
      </w:pPr>
    </w:p>
    <w:bookmarkStart w:id="22" w:name="page23"/>
    <w:bookmarkEnd w:id="22"/>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vMerge w:val="restart"/>
          </w:tcPr>
          <w:p>
            <w:pPr>
              <w:spacing w:after="0"/>
              <w:rPr>
                <w:sz w:val="20"/>
                <w:szCs w:val="20"/>
                <w:color w:val="auto"/>
              </w:rPr>
            </w:pPr>
            <w:r>
              <w:rPr>
                <w:rFonts w:ascii="Arial" w:cs="Arial" w:eastAsia="Arial" w:hAnsi="Arial"/>
                <w:sz w:val="18"/>
                <w:szCs w:val="18"/>
                <w:color w:val="auto"/>
              </w:rPr>
              <w:t>Net sales¹</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20"/>
                <w:szCs w:val="20"/>
                <w:color w:val="auto"/>
              </w:rPr>
            </w:pPr>
          </w:p>
        </w:tc>
        <w:tc>
          <w:tcPr>
            <w:tcW w:w="12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15 vs. 14</w:t>
            </w:r>
          </w:p>
        </w:tc>
        <w:tc>
          <w:tcPr>
            <w:tcW w:w="0" w:type="dxa"/>
            <w:vAlign w:val="bottom"/>
          </w:tcPr>
          <w:p>
            <w:pPr>
              <w:spacing w:after="0"/>
              <w:rPr>
                <w:sz w:val="1"/>
                <w:szCs w:val="1"/>
                <w:color w:val="auto"/>
              </w:rPr>
            </w:pPr>
          </w:p>
        </w:tc>
      </w:tr>
      <w:tr>
        <w:trPr>
          <w:trHeight w:val="224"/>
        </w:trPr>
        <w:tc>
          <w:tcPr>
            <w:tcW w:w="5340" w:type="dxa"/>
            <w:vAlign w:val="bottom"/>
            <w:vMerge w:val="continue"/>
          </w:tcPr>
          <w:p>
            <w:pPr>
              <w:spacing w:after="0"/>
              <w:rPr>
                <w:sz w:val="19"/>
                <w:szCs w:val="19"/>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626,791</w:t>
            </w:r>
          </w:p>
        </w:tc>
        <w:tc>
          <w:tcPr>
            <w:tcW w:w="160" w:type="dxa"/>
            <w:vAlign w:val="bottom"/>
          </w:tcPr>
          <w:p>
            <w:pPr>
              <w:spacing w:after="0"/>
              <w:rPr>
                <w:sz w:val="19"/>
                <w:szCs w:val="19"/>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536,129</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499"/>
        </w:trPr>
        <w:tc>
          <w:tcPr>
            <w:tcW w:w="5340" w:type="dxa"/>
            <w:vAlign w:val="bottom"/>
          </w:tcPr>
          <w:p>
            <w:pPr>
              <w:spacing w:after="0"/>
              <w:rPr>
                <w:sz w:val="20"/>
                <w:szCs w:val="20"/>
                <w:color w:val="auto"/>
              </w:rPr>
            </w:pPr>
            <w:r>
              <w:rPr>
                <w:rFonts w:ascii="Arial" w:cs="Arial" w:eastAsia="Arial" w:hAnsi="Arial"/>
                <w:sz w:val="18"/>
                <w:szCs w:val="18"/>
                <w:color w:val="auto"/>
              </w:rPr>
              <w:t>Cost of sales</w:t>
            </w: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257,834</w:t>
            </w:r>
          </w:p>
        </w:tc>
        <w:tc>
          <w:tcPr>
            <w:tcW w:w="1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249,311</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50"/>
        </w:trPr>
        <w:tc>
          <w:tcPr>
            <w:tcW w:w="5340" w:type="dxa"/>
            <w:vAlign w:val="bottom"/>
          </w:tcPr>
          <w:p>
            <w:pPr>
              <w:spacing w:after="0"/>
              <w:rPr>
                <w:sz w:val="20"/>
                <w:szCs w:val="20"/>
                <w:color w:val="auto"/>
              </w:rPr>
            </w:pPr>
            <w:r>
              <w:rPr>
                <w:rFonts w:ascii="Arial" w:cs="Arial" w:eastAsia="Arial" w:hAnsi="Arial"/>
                <w:sz w:val="18"/>
                <w:szCs w:val="18"/>
                <w:color w:val="auto"/>
              </w:rPr>
              <w:t>Gross profit*¹</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368,957</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286,818</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57"/>
        </w:trPr>
        <w:tc>
          <w:tcPr>
            <w:tcW w:w="5340" w:type="dxa"/>
            <w:vAlign w:val="bottom"/>
          </w:tcPr>
          <w:p>
            <w:pPr>
              <w:spacing w:after="0"/>
              <w:rPr>
                <w:sz w:val="20"/>
                <w:szCs w:val="20"/>
                <w:color w:val="auto"/>
              </w:rPr>
            </w:pPr>
            <w:r>
              <w:rPr>
                <w:rFonts w:ascii="Arial" w:cs="Arial" w:eastAsia="Arial" w:hAnsi="Arial"/>
                <w:sz w:val="18"/>
                <w:szCs w:val="18"/>
                <w:color w:val="auto"/>
              </w:rPr>
              <w:t>Gross profit as a percentage of net sales¹</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58.9%</w:t>
            </w: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53.5%</w:t>
            </w:r>
          </w:p>
        </w:tc>
        <w:tc>
          <w:tcPr>
            <w:tcW w:w="1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5340" w:type="dxa"/>
            <w:vAlign w:val="bottom"/>
          </w:tcPr>
          <w:p>
            <w:pPr>
              <w:spacing w:after="0"/>
              <w:rPr>
                <w:sz w:val="20"/>
                <w:szCs w:val="20"/>
                <w:color w:val="auto"/>
              </w:rPr>
            </w:pPr>
            <w:r>
              <w:rPr>
                <w:rFonts w:ascii="Arial" w:cs="Arial" w:eastAsia="Arial" w:hAnsi="Arial"/>
                <w:sz w:val="18"/>
                <w:szCs w:val="18"/>
                <w:color w:val="auto"/>
              </w:rPr>
              <w:t>Operating expenses²</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361,328</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137,955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Arial" w:cs="Arial" w:eastAsia="Arial" w:hAnsi="Arial"/>
                <w:sz w:val="18"/>
                <w:szCs w:val="18"/>
                <w:color w:val="auto"/>
              </w:rPr>
              <w:t>Operating expenses as a percentage of net sales</w:t>
            </w: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1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6"/>
        </w:trPr>
        <w:tc>
          <w:tcPr>
            <w:tcW w:w="5340" w:type="dxa"/>
            <w:vAlign w:val="bottom"/>
          </w:tcPr>
          <w:p>
            <w:pPr>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7,629</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148,863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Arial" w:cs="Arial" w:eastAsia="Arial" w:hAnsi="Arial"/>
                <w:sz w:val="18"/>
                <w:szCs w:val="18"/>
                <w:color w:val="auto"/>
              </w:rPr>
              <w:t>Operating income as a percentage of net sales</w:t>
            </w: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27.8%</w:t>
            </w: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5340" w:type="dxa"/>
            <w:vAlign w:val="bottom"/>
          </w:tcPr>
          <w:p>
            <w:pPr>
              <w:spacing w:after="0"/>
              <w:rPr>
                <w:sz w:val="20"/>
                <w:szCs w:val="20"/>
                <w:color w:val="auto"/>
              </w:rPr>
            </w:pPr>
            <w:r>
              <w:rPr>
                <w:rFonts w:ascii="Arial" w:cs="Arial" w:eastAsia="Arial" w:hAnsi="Arial"/>
                <w:sz w:val="18"/>
                <w:szCs w:val="18"/>
                <w:color w:val="auto"/>
              </w:rPr>
              <w:t>Interest and other income, net</w:t>
            </w: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w:t>
            </w:r>
          </w:p>
        </w:tc>
        <w:tc>
          <w:tcPr>
            <w:tcW w:w="1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700.6%</w:t>
            </w:r>
          </w:p>
        </w:tc>
        <w:tc>
          <w:tcPr>
            <w:tcW w:w="0" w:type="dxa"/>
            <w:vAlign w:val="bottom"/>
          </w:tcPr>
          <w:p>
            <w:pPr>
              <w:spacing w:after="0"/>
              <w:rPr>
                <w:sz w:val="1"/>
                <w:szCs w:val="1"/>
                <w:color w:val="auto"/>
              </w:rPr>
            </w:pPr>
          </w:p>
        </w:tc>
      </w:tr>
      <w:tr>
        <w:trPr>
          <w:trHeight w:val="507"/>
        </w:trPr>
        <w:tc>
          <w:tcPr>
            <w:tcW w:w="534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8,862</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149,017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513"/>
        </w:trPr>
        <w:tc>
          <w:tcPr>
            <w:tcW w:w="53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4,448</w:t>
            </w:r>
          </w:p>
        </w:tc>
        <w:tc>
          <w:tcPr>
            <w:tcW w:w="1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53,767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426"/>
        </w:trPr>
        <w:tc>
          <w:tcPr>
            <w:tcW w:w="5340" w:type="dxa"/>
            <w:vAlign w:val="bottom"/>
          </w:tcPr>
          <w:p>
            <w:pPr>
              <w:spacing w:after="0"/>
              <w:rPr>
                <w:sz w:val="20"/>
                <w:szCs w:val="20"/>
                <w:color w:val="auto"/>
              </w:rPr>
            </w:pPr>
            <w:r>
              <w:rPr>
                <w:rFonts w:ascii="Arial" w:cs="Arial" w:eastAsia="Arial" w:hAnsi="Arial"/>
                <w:sz w:val="18"/>
                <w:szCs w:val="18"/>
                <w:color w:val="auto"/>
              </w:rPr>
              <w:t>Income taxes as a percentage of income before taxes</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50.2%</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36.1%</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340" w:type="dxa"/>
            <w:vAlign w:val="bottom"/>
          </w:tcPr>
          <w:p>
            <w:pPr>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4,414</w:t>
            </w:r>
          </w:p>
        </w:tc>
        <w:tc>
          <w:tcPr>
            <w:tcW w:w="160" w:type="dxa"/>
            <w:vAlign w:val="bottom"/>
          </w:tcPr>
          <w:p>
            <w:pPr>
              <w:spacing w:after="0"/>
              <w:rPr>
                <w:sz w:val="24"/>
                <w:szCs w:val="24"/>
                <w:color w:val="auto"/>
              </w:rPr>
            </w:pP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95,250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340" w:type="dxa"/>
            <w:vAlign w:val="bottom"/>
          </w:tcPr>
          <w:p>
            <w:pPr>
              <w:spacing w:after="0"/>
              <w:rPr>
                <w:sz w:val="20"/>
                <w:szCs w:val="20"/>
                <w:color w:val="auto"/>
              </w:rPr>
            </w:pPr>
            <w:r>
              <w:rPr>
                <w:rFonts w:ascii="Arial" w:cs="Arial" w:eastAsia="Arial" w:hAnsi="Arial"/>
                <w:sz w:val="18"/>
                <w:szCs w:val="18"/>
                <w:color w:val="auto"/>
              </w:rPr>
              <w:t>Net income as a percentage of net sales</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17.8%</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34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340" w:type="dxa"/>
            <w:vAlign w:val="bottom"/>
          </w:tcPr>
          <w:p>
            <w:pPr>
              <w:ind w:left="14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$0.03</w:t>
            </w: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$0.57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70"/>
        </w:trPr>
        <w:tc>
          <w:tcPr>
            <w:tcW w:w="5340" w:type="dxa"/>
            <w:vAlign w:val="bottom"/>
          </w:tcPr>
          <w:p>
            <w:pPr>
              <w:ind w:left="14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$0.03</w:t>
            </w: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$0.55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459"/>
        </w:trPr>
        <w:tc>
          <w:tcPr>
            <w:tcW w:w="5340" w:type="dxa"/>
            <w:vAlign w:val="bottom"/>
          </w:tcPr>
          <w:p>
            <w:pPr>
              <w:spacing w:after="0"/>
              <w:rPr>
                <w:sz w:val="20"/>
                <w:szCs w:val="20"/>
                <w:color w:val="auto"/>
              </w:rPr>
            </w:pPr>
            <w:r>
              <w:rPr>
                <w:rFonts w:ascii="Arial" w:cs="Arial" w:eastAsia="Arial" w:hAnsi="Arial"/>
                <w:sz w:val="18"/>
                <w:szCs w:val="18"/>
                <w:color w:val="auto"/>
              </w:rPr>
              <w:t>Case sales (in thousands)</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340" w:type="dxa"/>
            <w:vAlign w:val="bottom"/>
          </w:tcPr>
          <w:p>
            <w:pPr>
              <w:ind w:left="140"/>
              <w:spacing w:after="0"/>
              <w:rPr>
                <w:sz w:val="20"/>
                <w:szCs w:val="20"/>
                <w:color w:val="auto"/>
              </w:rPr>
            </w:pPr>
            <w:r>
              <w:rPr>
                <w:rFonts w:ascii="Arial" w:cs="Arial" w:eastAsia="Arial" w:hAnsi="Arial"/>
                <w:sz w:val="18"/>
                <w:szCs w:val="18"/>
                <w:color w:val="auto"/>
              </w:rPr>
              <w:t>(in 192-ounce case equivalents)</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57,779</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51,926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spacing w:after="0" w:line="278" w:lineRule="auto"/>
        <w:rPr>
          <w:sz w:val="20"/>
          <w:szCs w:val="20"/>
          <w:color w:val="auto"/>
        </w:rPr>
      </w:pPr>
      <w:r>
        <w:rPr>
          <w:rFonts w:ascii="Arial" w:cs="Arial" w:eastAsia="Arial" w:hAnsi="Arial"/>
          <w:sz w:val="16"/>
          <w:szCs w:val="16"/>
          <w:i w:val="1"/>
          <w:iCs w:val="1"/>
          <w:color w:val="auto"/>
        </w:rPr>
        <w:t>¹Includes $43.3 million and $3.7 million for the three-months ended March 31, 2015 and 2014, respectively, related to the recognition of deferred revenue. Included in the $43.3 million recognition of deferred revenue for the three-months ended March 31, 2015, is $39.8 million related to the accelerated amortization of the deferred revenue balances associated with certain of the Company’s prior distributors who were sent notices of termination during the first quarter of 2015.</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²Includes $206.0 million and $0.01 million for the three-months ended March 31, 2015 and 2014, respectively, related to distributor termination costs.</w:t>
      </w:r>
    </w:p>
    <w:p>
      <w:pPr>
        <w:spacing w:after="0" w:line="221" w:lineRule="exact"/>
        <w:rPr>
          <w:sz w:val="20"/>
          <w:szCs w:val="20"/>
          <w:color w:val="auto"/>
        </w:rPr>
      </w:pPr>
    </w:p>
    <w:p>
      <w:pPr>
        <w:jc w:val="both"/>
        <w:spacing w:after="0" w:line="278" w:lineRule="auto"/>
        <w:rPr>
          <w:sz w:val="20"/>
          <w:szCs w:val="20"/>
          <w:color w:val="auto"/>
        </w:rPr>
      </w:pPr>
      <w:r>
        <w:rPr>
          <w:rFonts w:ascii="Arial" w:cs="Arial" w:eastAsia="Arial" w:hAnsi="Arial"/>
          <w:sz w:val="16"/>
          <w:szCs w:val="16"/>
          <w:i w:val="1"/>
          <w:iCs w:val="1"/>
          <w:color w:val="auto"/>
        </w:rPr>
        <w:t>*Gross profit may not be comparable to that of other entities since some entities include all costs associated with their distribution process in cost of sales, whereas others exclude certain costs and instead include such costs within another line item such as operating expenses. We include out-bound freight and warehouse costs in operating expenses rather than in cost of sales.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Results of Operations for the Three-Months Ended March 31, 2015 Compared to the Three-Months Ended March 31, 2014.</w:t>
      </w:r>
    </w:p>
    <w:p>
      <w:pPr>
        <w:spacing w:after="0" w:line="24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were $626.8 million for the three-months ended March 31, 2015, an increase of approximately $90.7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16.9% higher than net sales of $536.1 million for the three-months ended March 31, 2014. The increase in net sales of our Monster Energy® brand energy drinks represented approximately $54.2 million, or 59.8%, of the overall increase in net sales. Net sales of our Monster Energy® brand energy drinks increased partially due to increased sales by volume as a result of increased domestic and international consumer demand. Net sales for the three-months ended March 31, 2015 included $39.8 million related to the accelerated amortization of the deferred revenue balances associated with certain of the Company’s prior distributors, which represented 43.9% of our overall increase in net sales. No other individual product line contributed either a material increase or decrease to net sales for the three-months ended March 31, 2015.</w:t>
      </w:r>
    </w:p>
    <w:p>
      <w:pPr>
        <w:spacing w:after="0" w:line="18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Changes in foreign currency exchange rates had an unfavorable impact on net sales of approximately 2% for the three-months ended March 31, 2015, which was primarily due to a stronger U.S. dollar compared to certain local currencies in which we conduct certain of our international business.</w:t>
      </w:r>
    </w:p>
    <w:p>
      <w:pPr>
        <w:spacing w:after="0" w:line="20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Case sales, in 192-ounce case equivalents, were 57.8 million cases for the three-months ended March 31, 2015, an increase of approximately 5.9 million cases or 11.3% higher than case sales of 51.9 million cases for the three-months ended March 31, 2014. The overall average net sales per case increased to $10.85 for the three-months ended March 31, 2015, which was 5.1% higher than the average net sales per case of $10.32 for the three-months ended March 31, 2014. Included in net sales was $39.8 million related to the accelerated amortization of the deferred revenue balances associated with certain of the Company’s prior distributors who were sent notices of termination during the first quarter of 2015.</w:t>
      </w:r>
    </w:p>
    <w:p>
      <w:pPr>
        <w:spacing w:after="0" w:line="21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Net sales for the DSD segment were $605.8 million for the three-months ended March 31, 2015, an increase of approximately $91.5 million, or 17.8% higher than net sales of $514.4 million for the three-months ended March 31, 2014. The increase in net sales of our Monster Energy® brand energy drinks represented approximately $54.2 million, or 59.2%, of the overall increase in net sales for the DSD segment. Net sales for the DSD segment of our Monster Energy® brand energy drinks increased partially due to increased sales by volume as a result of</w:t>
      </w:r>
    </w:p>
    <w:p>
      <w:pPr>
        <w:sectPr>
          <w:pgSz w:w="11900" w:h="16894" w:orient="portrait"/>
          <w:cols w:equalWidth="0" w:num="1">
            <w:col w:w="11420"/>
          </w:cols>
          <w:pgMar w:left="240" w:top="121" w:right="239" w:bottom="0" w:gutter="0" w:footer="0" w:header="0"/>
        </w:sectPr>
      </w:pPr>
    </w:p>
    <w:bookmarkStart w:id="23" w:name="page24"/>
    <w:bookmarkEnd w:id="23"/>
    <w:p>
      <w:pPr>
        <w:jc w:val="both"/>
        <w:spacing w:after="0" w:line="283" w:lineRule="auto"/>
        <w:rPr>
          <w:sz w:val="20"/>
          <w:szCs w:val="20"/>
          <w:color w:val="auto"/>
        </w:rPr>
      </w:pPr>
      <w:r>
        <w:rPr>
          <w:rFonts w:ascii="Arial" w:cs="Arial" w:eastAsia="Arial" w:hAnsi="Arial"/>
          <w:sz w:val="18"/>
          <w:szCs w:val="18"/>
          <w:color w:val="auto"/>
        </w:rPr>
        <w:t>increased domestic and international consumer demand. Net sales for the DSD segment for the three-months ended March 31, 2015 included $39.8 million related to the accelerated amortization of the deferred revenue balances associated with certain of the Company’s prior distributors, which represented 43.5% of our overall increase in net sales for the DSD segment. No other individual product line contributed either a material increase or decrease to net sales for the DSD segment for the three-months ended March 31, 2015.</w:t>
      </w:r>
    </w:p>
    <w:p>
      <w:pPr>
        <w:spacing w:after="0" w:line="17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Net sales for the Warehouse segment were $21.0 million for the three-months ended March 31, 2015, a decrease of approximately $0.8 million, or 3.7% lower than net sales of $21.8 million for the three-months ended March 31, 2014.</w:t>
      </w:r>
    </w:p>
    <w:p>
      <w:pPr>
        <w:spacing w:after="0" w:line="19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i w:val="1"/>
          <w:iCs w:val="1"/>
          <w:color w:val="auto"/>
        </w:rPr>
        <w:t xml:space="preserve">Gross Profit. </w:t>
      </w:r>
      <w:r>
        <w:rPr>
          <w:rFonts w:ascii="Arial" w:cs="Arial" w:eastAsia="Arial" w:hAnsi="Arial"/>
          <w:sz w:val="19"/>
          <w:szCs w:val="19"/>
          <w:color w:val="auto"/>
        </w:rPr>
        <w:t>Gross profit was $369.0 million for the three-months ended March 31, 2015, an increase of approximately $82.1 million,</w:t>
      </w:r>
      <w:r>
        <w:rPr>
          <w:rFonts w:ascii="Arial" w:cs="Arial" w:eastAsia="Arial" w:hAnsi="Arial"/>
          <w:sz w:val="19"/>
          <w:szCs w:val="19"/>
          <w:i w:val="1"/>
          <w:iCs w:val="1"/>
          <w:color w:val="auto"/>
        </w:rPr>
        <w:t xml:space="preserve"> </w:t>
      </w:r>
      <w:r>
        <w:rPr>
          <w:rFonts w:ascii="Arial" w:cs="Arial" w:eastAsia="Arial" w:hAnsi="Arial"/>
          <w:sz w:val="19"/>
          <w:szCs w:val="19"/>
          <w:color w:val="auto"/>
        </w:rPr>
        <w:t>or 28.6% higher than the gross profit of $286.8 million for the three-months ended March 31, 2014. Gross profit as a percentage of net sales increased to 58.9% for the three-months ended March 31, 2015 from 53.5% for the three-months ended March 31, 2014. The increase in gross profit dollars was primarily the result of the $54.2 million increase in net sales of our Monster Energy® brand energy drinks as well as the $39.8 million accelerated amortization of the deferred revenue balances associated with certain of the Company’s prior distributors. The increase in gross profit as a percentage of net sales was primarily attributable to the $39.8 million accelerated amortization of the deferred revenue balances associated with certain of the Company’s prior distributors as well as due to changes in product sales mix and lower costs of certain sweeteners and other raw materials.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i w:val="1"/>
          <w:iCs w:val="1"/>
          <w:color w:val="auto"/>
        </w:rPr>
        <w:t>Operating Expenses</w:t>
      </w:r>
      <w:r>
        <w:rPr>
          <w:rFonts w:ascii="Arial" w:cs="Arial" w:eastAsia="Arial" w:hAnsi="Arial"/>
          <w:sz w:val="19"/>
          <w:szCs w:val="19"/>
          <w:color w:val="auto"/>
        </w:rPr>
        <w:t>. Total operating expenses were $361.3 million for the three-months ended March 31, 2015, an increase of</w:t>
      </w:r>
      <w:r>
        <w:rPr>
          <w:rFonts w:ascii="Arial" w:cs="Arial" w:eastAsia="Arial" w:hAnsi="Arial"/>
          <w:sz w:val="19"/>
          <w:szCs w:val="19"/>
          <w:i w:val="1"/>
          <w:iCs w:val="1"/>
          <w:color w:val="auto"/>
        </w:rPr>
        <w:t xml:space="preserve"> </w:t>
      </w:r>
      <w:r>
        <w:rPr>
          <w:rFonts w:ascii="Arial" w:cs="Arial" w:eastAsia="Arial" w:hAnsi="Arial"/>
          <w:sz w:val="19"/>
          <w:szCs w:val="19"/>
          <w:color w:val="auto"/>
        </w:rPr>
        <w:t>approximately $223.4 million, or 161.9% higher than total operating expenses of $138.0 million for the three-months ended March 31, 2014. The increase in operating expenses was primarily due to increased costs of $206.0 million associated with terminating certain existing distributors. To a lesser extent, the increase in operating expenses was attributable to increased payroll expenses of $8.5 million (of which $7.2 million was related to payroll taxes in connection with the exercise of certain stock options), increased expenditures of $3.7 million for premiums, increased expenditures of $3.7 million for sponsorships and endorsements, and expenditures of $3.6 million for professional service costs and transaction expenses related to the TCCC Transaction.</w:t>
      </w:r>
    </w:p>
    <w:p>
      <w:pPr>
        <w:spacing w:after="0" w:line="19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i w:val="1"/>
          <w:iCs w:val="1"/>
          <w:color w:val="auto"/>
        </w:rPr>
        <w:t xml:space="preserve">Contribution Margin. </w:t>
      </w:r>
      <w:r>
        <w:rPr>
          <w:rFonts w:ascii="Arial" w:cs="Arial" w:eastAsia="Arial" w:hAnsi="Arial"/>
          <w:sz w:val="20"/>
          <w:szCs w:val="20"/>
          <w:color w:val="auto"/>
        </w:rPr>
        <w:t>Contribution margin for the DSD segment was $57.7 million for the three-months ended March 31, 2015, a</w:t>
      </w:r>
      <w:r>
        <w:rPr>
          <w:rFonts w:ascii="Arial" w:cs="Arial" w:eastAsia="Arial" w:hAnsi="Arial"/>
          <w:sz w:val="20"/>
          <w:szCs w:val="20"/>
          <w:i w:val="1"/>
          <w:iCs w:val="1"/>
          <w:color w:val="auto"/>
        </w:rPr>
        <w:t xml:space="preserve"> </w:t>
      </w:r>
      <w:r>
        <w:rPr>
          <w:rFonts w:ascii="Arial" w:cs="Arial" w:eastAsia="Arial" w:hAnsi="Arial"/>
          <w:sz w:val="20"/>
          <w:szCs w:val="20"/>
          <w:color w:val="auto"/>
        </w:rPr>
        <w:t>decrease of approximately $128.8 million, or 69.1% lower than contribution margin of $186.5 million for the three-months ended March 31, 2014. The decrease in the contribution margin for the DSD segment was primarily the result of the increased expenditures of $206.0 million relating to the costs associated with terminating certain existing distributors. Contribution margin for the Warehouse segment was ($0.04) million for the three-months ended March 31, 2015, approximately $0.3 million lower than contribution margin of $0.3 million for the three-months ended March 31, 2014.</w:t>
      </w:r>
    </w:p>
    <w:p>
      <w:pPr>
        <w:spacing w:after="0" w:line="21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i w:val="1"/>
          <w:iCs w:val="1"/>
          <w:color w:val="auto"/>
        </w:rPr>
        <w:t xml:space="preserve">Operating Income. </w:t>
      </w:r>
      <w:r>
        <w:rPr>
          <w:rFonts w:ascii="Arial" w:cs="Arial" w:eastAsia="Arial" w:hAnsi="Arial"/>
          <w:sz w:val="19"/>
          <w:szCs w:val="19"/>
          <w:color w:val="auto"/>
        </w:rPr>
        <w:t>Operating income was $7.6 million for the three-months ended March 31, 2015, a decrease of approximately</w:t>
      </w:r>
      <w:r>
        <w:rPr>
          <w:rFonts w:ascii="Arial" w:cs="Arial" w:eastAsia="Arial" w:hAnsi="Arial"/>
          <w:sz w:val="19"/>
          <w:szCs w:val="19"/>
          <w:i w:val="1"/>
          <w:iCs w:val="1"/>
          <w:color w:val="auto"/>
        </w:rPr>
        <w:t xml:space="preserve"> </w:t>
      </w:r>
      <w:r>
        <w:rPr>
          <w:rFonts w:ascii="Arial" w:cs="Arial" w:eastAsia="Arial" w:hAnsi="Arial"/>
          <w:sz w:val="19"/>
          <w:szCs w:val="19"/>
          <w:color w:val="auto"/>
        </w:rPr>
        <w:t>$141.2 million, or 94.9% lower than operating income of $148.9 million for the three-months ended March 31, 2014. Operating income as a percentage of net sales decreased to 1.2% for the three-months ended March 31, 2015 from 27.8% for the three-months ended March 31, 2014, primarily due to the increase in operating expenses as a percentage of net sales. The decrease in operating income in dollars was primarily due to an increase of $223.4 million in operating expenses, partially offset by an $82.1 million increase in gross profit. Operating income was $4.4 million and $1.7 million for the three-months ended March 31, 2015 and 2014, respectively, in relation to our operations in Africa, Asia, Australia, Europe, the Middle East and South America.</w:t>
      </w:r>
    </w:p>
    <w:p>
      <w:pPr>
        <w:spacing w:after="0" w:line="19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i w:val="1"/>
          <w:iCs w:val="1"/>
          <w:color w:val="auto"/>
        </w:rPr>
        <w:t>Interest and Other Income, net</w:t>
      </w:r>
      <w:r>
        <w:rPr>
          <w:rFonts w:ascii="Arial" w:cs="Arial" w:eastAsia="Arial" w:hAnsi="Arial"/>
          <w:sz w:val="19"/>
          <w:szCs w:val="19"/>
          <w:color w:val="auto"/>
        </w:rPr>
        <w:t>. Interest and other income, net was $1.2 million for the three-months ended March 31, 2015, as</w:t>
      </w:r>
      <w:r>
        <w:rPr>
          <w:rFonts w:ascii="Arial" w:cs="Arial" w:eastAsia="Arial" w:hAnsi="Arial"/>
          <w:sz w:val="19"/>
          <w:szCs w:val="19"/>
          <w:i w:val="1"/>
          <w:iCs w:val="1"/>
          <w:color w:val="auto"/>
        </w:rPr>
        <w:t xml:space="preserve"> </w:t>
      </w:r>
      <w:r>
        <w:rPr>
          <w:rFonts w:ascii="Arial" w:cs="Arial" w:eastAsia="Arial" w:hAnsi="Arial"/>
          <w:sz w:val="19"/>
          <w:szCs w:val="19"/>
          <w:color w:val="auto"/>
        </w:rPr>
        <w:t>compared to interest and other income, net of $0.2 million for the three-months ended March 31, 2014. Foreign currency transaction gains (losses) were $0.8 million and ($0.2) million for the three-months ended March 31, 2015 and 2014, respectively. The decrease in foreign currency losses during the three-months ended March 31, 2015 was primarily related to our foreign currency transactions in Europe. Interest income was $0.5 million and $0.4 million for the three-months ended March 31, 2015 and 2014, respectively.</w:t>
      </w:r>
    </w:p>
    <w:p>
      <w:pPr>
        <w:spacing w:after="0" w:line="19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i w:val="1"/>
          <w:iCs w:val="1"/>
          <w:color w:val="auto"/>
        </w:rPr>
        <w:t>Provision for Income Taxes</w:t>
      </w:r>
      <w:r>
        <w:rPr>
          <w:rFonts w:ascii="Arial" w:cs="Arial" w:eastAsia="Arial" w:hAnsi="Arial"/>
          <w:sz w:val="20"/>
          <w:szCs w:val="20"/>
          <w:color w:val="auto"/>
        </w:rPr>
        <w:t>. Provision for income taxes was $4.4 million for the three-months ended March 31, 2015, a decrease of</w:t>
      </w:r>
      <w:r>
        <w:rPr>
          <w:rFonts w:ascii="Arial" w:cs="Arial" w:eastAsia="Arial" w:hAnsi="Arial"/>
          <w:sz w:val="20"/>
          <w:szCs w:val="20"/>
          <w:i w:val="1"/>
          <w:iCs w:val="1"/>
          <w:color w:val="auto"/>
        </w:rPr>
        <w:t xml:space="preserve"> </w:t>
      </w:r>
      <w:r>
        <w:rPr>
          <w:rFonts w:ascii="Arial" w:cs="Arial" w:eastAsia="Arial" w:hAnsi="Arial"/>
          <w:sz w:val="20"/>
          <w:szCs w:val="20"/>
          <w:color w:val="auto"/>
        </w:rPr>
        <w:t>$49.3 million or 91.7% lower than the provision for income taxes of $53.8 million for the three-months ended March 31, 2014. The effective combined federal, state and foreign tax rate increased to 50.2% from 36.1% for the three-months ended March 31, 2015 and 2014, respectively. The increase in the effective tax rate was primarily due to the increase in the ratio of (i) the net losses in certain foreign subsidiaries that have no related income tax benefit as a result of the prior establishment of valuation allowances on their deferred tax assets, to (ii) the overall income before tax.</w:t>
      </w:r>
    </w:p>
    <w:p>
      <w:pPr>
        <w:spacing w:after="0" w:line="21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i w:val="1"/>
          <w:iCs w:val="1"/>
          <w:color w:val="auto"/>
        </w:rPr>
        <w:t>Net Income</w:t>
      </w:r>
      <w:r>
        <w:rPr>
          <w:rFonts w:ascii="Arial" w:cs="Arial" w:eastAsia="Arial" w:hAnsi="Arial"/>
          <w:sz w:val="19"/>
          <w:szCs w:val="19"/>
          <w:color w:val="auto"/>
        </w:rPr>
        <w:t>. Net income was $4.4 million for the three-months ended March 31, 2015, a decrease of $90.8 million or 95.4% lower than</w:t>
      </w:r>
      <w:r>
        <w:rPr>
          <w:rFonts w:ascii="Arial" w:cs="Arial" w:eastAsia="Arial" w:hAnsi="Arial"/>
          <w:sz w:val="19"/>
          <w:szCs w:val="19"/>
          <w:i w:val="1"/>
          <w:iCs w:val="1"/>
          <w:color w:val="auto"/>
        </w:rPr>
        <w:t xml:space="preserve"> </w:t>
      </w:r>
      <w:r>
        <w:rPr>
          <w:rFonts w:ascii="Arial" w:cs="Arial" w:eastAsia="Arial" w:hAnsi="Arial"/>
          <w:sz w:val="19"/>
          <w:szCs w:val="19"/>
          <w:color w:val="auto"/>
        </w:rPr>
        <w:t>net income of $95.3 million for the three-months ended March 31, 2014. The decrease in net income was primarily attributable to the increase in operating expenses of $223.4 million, partially offset by an $82.1 million increase in gross profit.</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23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9"/>
          <w:szCs w:val="19"/>
          <w:i w:val="1"/>
          <w:iCs w:val="1"/>
          <w:color w:val="auto"/>
        </w:rPr>
        <w:t xml:space="preserve">Gross Sales**. </w:t>
      </w:r>
      <w:r>
        <w:rPr>
          <w:rFonts w:ascii="Arial" w:cs="Arial" w:eastAsia="Arial" w:hAnsi="Arial"/>
          <w:sz w:val="19"/>
          <w:szCs w:val="19"/>
          <w:color w:val="auto"/>
        </w:rPr>
        <w:t>Gross sales were $710.2 million for the three-months ended March 31, 2015, an increase of approximately $96.5</w:t>
      </w:r>
      <w:r>
        <w:rPr>
          <w:rFonts w:ascii="Arial" w:cs="Arial" w:eastAsia="Arial" w:hAnsi="Arial"/>
          <w:sz w:val="19"/>
          <w:szCs w:val="19"/>
          <w:i w:val="1"/>
          <w:iCs w:val="1"/>
          <w:color w:val="auto"/>
        </w:rPr>
        <w:t xml:space="preserve"> </w:t>
      </w:r>
      <w:r>
        <w:rPr>
          <w:rFonts w:ascii="Arial" w:cs="Arial" w:eastAsia="Arial" w:hAnsi="Arial"/>
          <w:sz w:val="19"/>
          <w:szCs w:val="19"/>
          <w:color w:val="auto"/>
        </w:rPr>
        <w:t>million, or 15.7% higher than gross sales of $613.7 million for the three-months ended March 31, 2014. The increase in the gross sales of our Monster Energy® brand energy drinks represented approximately $60.4 million, or 62.6%, of the overall increase in gross sales. Gross sales of our Monster Energy® brand energy drinks increased primarily due to increased sales by volume as a result of increased domestic and international consumer demand. Gross sales for the three-months ended March 31, 2015</w:t>
      </w:r>
    </w:p>
    <w:p>
      <w:pPr>
        <w:sectPr>
          <w:pgSz w:w="11900" w:h="16838" w:orient="portrait"/>
          <w:cols w:equalWidth="0" w:num="1">
            <w:col w:w="11420"/>
          </w:cols>
          <w:pgMar w:left="240" w:top="121" w:right="239" w:bottom="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24" w:name="page25"/>
    <w:bookmarkEnd w:id="24"/>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included $39.8 million related to the accelerated amortization of the deferred revenue balances associated with certain of the Company’s prior distributors, which represented 41.2% of our overall increase in gross sales. No other individual product line contributed either a material increase or decrease to gross sales for the three-months ended March 31, 2015. Promotional and other allowances, as described in the footnote below, were $83.4 million for the three-months ended March 31, 2015, an increase of $5.8 million, or 7.5% higher than promotional and other allowances of $77.6 million for the three-months ended March 31, 2014. Promotional and other allowances as a percentage of gross sales decreased to 11.7% from 12.6% for the three-months ended March 31, 2015 and 2014, respectively.</w:t>
      </w:r>
    </w:p>
    <w:p>
      <w:pPr>
        <w:spacing w:after="0" w:line="179" w:lineRule="exact"/>
        <w:rPr>
          <w:sz w:val="20"/>
          <w:szCs w:val="20"/>
          <w:color w:val="auto"/>
        </w:rPr>
      </w:pPr>
    </w:p>
    <w:p>
      <w:pPr>
        <w:jc w:val="both"/>
        <w:ind w:firstLine="702"/>
        <w:spacing w:after="0" w:line="250" w:lineRule="auto"/>
        <w:rPr>
          <w:sz w:val="20"/>
          <w:szCs w:val="20"/>
          <w:color w:val="auto"/>
        </w:rPr>
      </w:pPr>
      <w:r>
        <w:rPr>
          <w:rFonts w:ascii="Arial" w:cs="Arial" w:eastAsia="Arial" w:hAnsi="Arial"/>
          <w:sz w:val="20"/>
          <w:szCs w:val="20"/>
          <w:color w:val="auto"/>
        </w:rPr>
        <w:t>Changes in foreign currency exchange rates had an unfavorable impact on gross sales of approximately 2% for the three-months ended March 31, 2015, which was primarily due to a stronger U.S. dollar compared to certain local currencies in which we conduct certain of our international business.</w:t>
      </w:r>
    </w:p>
    <w:p>
      <w:pPr>
        <w:spacing w:after="0" w:line="193" w:lineRule="exact"/>
        <w:rPr>
          <w:sz w:val="20"/>
          <w:szCs w:val="20"/>
          <w:color w:val="auto"/>
        </w:rPr>
      </w:pPr>
    </w:p>
    <w:p>
      <w:pPr>
        <w:jc w:val="both"/>
        <w:spacing w:after="0" w:line="289" w:lineRule="auto"/>
        <w:rPr>
          <w:sz w:val="20"/>
          <w:szCs w:val="20"/>
          <w:color w:val="auto"/>
        </w:rPr>
      </w:pPr>
      <w:r>
        <w:rPr>
          <w:rFonts w:ascii="Arial" w:cs="Arial" w:eastAsia="Arial" w:hAnsi="Arial"/>
          <w:sz w:val="15"/>
          <w:szCs w:val="15"/>
          <w:i w:val="1"/>
          <w:iCs w:val="1"/>
          <w:color w:val="auto"/>
        </w:rPr>
        <w:t>**Gross sales is used internally by management as an indicator of and to monitor operating performance, including sales performance of particular products, salesperson performance, product growth or declines and overall Company performance. The use of gross sales allows evaluation of sales performance before the effect of any promotional items, which can mask certain performance issues. We therefore believe that the presentation of gross sales provides a useful measure of our operating performance. Gross sales is not a measure that is recognized under GAAP and should not be considered as an alternative to net sales, which is determined in accordance with GAAP, and should not be used alone as an indicator of operating performance in place of net sales. Additionally, gross sales may not be comparable to similarly titled measures used by other companies, as gross sales has been defined by our internal reporting practices. In addition, gross sales may not be realized in the form of cash receipts as promotional payments and allowances may be deducted from payments received from certain customers.</w:t>
      </w:r>
    </w:p>
    <w:p>
      <w:pPr>
        <w:spacing w:after="0" w:line="17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The following table reconciles the non-GAAP financial measure of gross sales with the most directly comparable GAAP financial measure of net sales:</w:t>
      </w:r>
    </w:p>
    <w:p>
      <w:pPr>
        <w:spacing w:after="0" w:line="177" w:lineRule="exact"/>
        <w:rPr>
          <w:sz w:val="20"/>
          <w:szCs w:val="20"/>
          <w:color w:val="auto"/>
        </w:rPr>
      </w:pPr>
    </w:p>
    <w:tbl>
      <w:tblPr>
        <w:tblLayout w:type="fixed"/>
        <w:tblInd w:w="660" w:type="dxa"/>
        <w:tblCellMar>
          <w:top w:w="0" w:type="dxa"/>
          <w:left w:w="0" w:type="dxa"/>
          <w:bottom w:w="0" w:type="dxa"/>
          <w:right w:w="0" w:type="dxa"/>
        </w:tblCellMar>
      </w:tblPr>
      <w:tr>
        <w:trPr>
          <w:trHeight w:val="250"/>
        </w:trPr>
        <w:tc>
          <w:tcPr>
            <w:tcW w:w="4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700" w:type="dxa"/>
            <w:vAlign w:val="bottom"/>
            <w:gridSpan w:val="4"/>
          </w:tcPr>
          <w:p>
            <w:pPr>
              <w:jc w:val="right"/>
              <w:ind w:right="601"/>
              <w:spacing w:after="0"/>
              <w:rPr>
                <w:sz w:val="20"/>
                <w:szCs w:val="20"/>
                <w:color w:val="auto"/>
              </w:rPr>
            </w:pPr>
            <w:r>
              <w:rPr>
                <w:rFonts w:ascii="Arial" w:cs="Arial" w:eastAsia="Arial" w:hAnsi="Arial"/>
                <w:sz w:val="20"/>
                <w:szCs w:val="20"/>
                <w:color w:val="auto"/>
              </w:rPr>
              <w:t>Three-Months Ended</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20"/>
                <w:szCs w:val="20"/>
                <w:color w:val="auto"/>
                <w:w w:val="85"/>
              </w:rPr>
              <w:t>Percentage</w:t>
            </w:r>
          </w:p>
        </w:tc>
        <w:tc>
          <w:tcPr>
            <w:tcW w:w="0" w:type="dxa"/>
            <w:vAlign w:val="bottom"/>
          </w:tcPr>
          <w:p>
            <w:pPr>
              <w:spacing w:after="0"/>
              <w:rPr>
                <w:sz w:val="1"/>
                <w:szCs w:val="1"/>
                <w:color w:val="auto"/>
              </w:rPr>
            </w:pPr>
          </w:p>
        </w:tc>
      </w:tr>
      <w:tr>
        <w:trPr>
          <w:trHeight w:val="320"/>
        </w:trPr>
        <w:tc>
          <w:tcPr>
            <w:tcW w:w="4480" w:type="dxa"/>
            <w:vAlign w:val="bottom"/>
          </w:tcPr>
          <w:p>
            <w:pPr>
              <w:spacing w:after="0"/>
              <w:rPr>
                <w:sz w:val="20"/>
                <w:szCs w:val="20"/>
                <w:color w:val="auto"/>
              </w:rPr>
            </w:pPr>
            <w:r>
              <w:rPr>
                <w:rFonts w:ascii="Arial" w:cs="Arial" w:eastAsia="Arial" w:hAnsi="Arial"/>
                <w:sz w:val="20"/>
                <w:szCs w:val="20"/>
                <w:color w:val="auto"/>
              </w:rPr>
              <w:t>(In thousands, except per share amounts)</w:t>
            </w:r>
          </w:p>
        </w:tc>
        <w:tc>
          <w:tcPr>
            <w:tcW w:w="3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March 31,</w:t>
            </w: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5"/>
              </w:rPr>
              <w:t>Change</w:t>
            </w:r>
          </w:p>
        </w:tc>
        <w:tc>
          <w:tcPr>
            <w:tcW w:w="0" w:type="dxa"/>
            <w:vAlign w:val="bottom"/>
          </w:tcPr>
          <w:p>
            <w:pPr>
              <w:spacing w:after="0"/>
              <w:rPr>
                <w:sz w:val="1"/>
                <w:szCs w:val="1"/>
                <w:color w:val="auto"/>
              </w:rPr>
            </w:pPr>
          </w:p>
        </w:tc>
      </w:tr>
      <w:tr>
        <w:trPr>
          <w:trHeight w:val="223"/>
        </w:trPr>
        <w:tc>
          <w:tcPr>
            <w:tcW w:w="4480" w:type="dxa"/>
            <w:vAlign w:val="bottom"/>
            <w:vMerge w:val="restart"/>
          </w:tcPr>
          <w:p>
            <w:pPr>
              <w:spacing w:after="0"/>
              <w:rPr>
                <w:sz w:val="20"/>
                <w:szCs w:val="20"/>
                <w:color w:val="auto"/>
              </w:rPr>
            </w:pPr>
            <w:r>
              <w:rPr>
                <w:rFonts w:ascii="Arial" w:cs="Arial" w:eastAsia="Arial" w:hAnsi="Arial"/>
                <w:sz w:val="20"/>
                <w:szCs w:val="20"/>
                <w:color w:val="auto"/>
              </w:rPr>
              <w:t>Gross sales, net of discounts and returns</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21"/>
              <w:spacing w:after="0" w:line="223" w:lineRule="exact"/>
              <w:rPr>
                <w:sz w:val="20"/>
                <w:szCs w:val="20"/>
                <w:color w:val="auto"/>
              </w:rPr>
            </w:pPr>
            <w:r>
              <w:rPr>
                <w:rFonts w:ascii="Arial" w:cs="Arial" w:eastAsia="Arial" w:hAnsi="Arial"/>
                <w:sz w:val="20"/>
                <w:szCs w:val="20"/>
                <w:color w:val="auto"/>
              </w:rPr>
              <w:t>2015</w:t>
            </w:r>
          </w:p>
        </w:tc>
        <w:tc>
          <w:tcPr>
            <w:tcW w:w="1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41"/>
              <w:spacing w:after="0" w:line="223" w:lineRule="exact"/>
              <w:rPr>
                <w:sz w:val="20"/>
                <w:szCs w:val="20"/>
                <w:color w:val="auto"/>
              </w:rPr>
            </w:pPr>
            <w:r>
              <w:rPr>
                <w:rFonts w:ascii="Arial" w:cs="Arial" w:eastAsia="Arial" w:hAnsi="Arial"/>
                <w:sz w:val="20"/>
                <w:szCs w:val="20"/>
                <w:color w:val="auto"/>
              </w:rPr>
              <w:t>2014</w:t>
            </w: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center"/>
              <w:spacing w:after="0" w:line="223" w:lineRule="exact"/>
              <w:rPr>
                <w:sz w:val="20"/>
                <w:szCs w:val="20"/>
                <w:color w:val="auto"/>
              </w:rPr>
            </w:pPr>
            <w:r>
              <w:rPr>
                <w:rFonts w:ascii="Arial" w:cs="Arial" w:eastAsia="Arial" w:hAnsi="Arial"/>
                <w:sz w:val="20"/>
                <w:szCs w:val="20"/>
                <w:color w:val="auto"/>
                <w:w w:val="88"/>
              </w:rPr>
              <w:t>15 vs. 14</w:t>
            </w:r>
          </w:p>
        </w:tc>
        <w:tc>
          <w:tcPr>
            <w:tcW w:w="0" w:type="dxa"/>
            <w:vAlign w:val="bottom"/>
          </w:tcPr>
          <w:p>
            <w:pPr>
              <w:spacing w:after="0"/>
              <w:rPr>
                <w:sz w:val="1"/>
                <w:szCs w:val="1"/>
                <w:color w:val="auto"/>
              </w:rPr>
            </w:pPr>
          </w:p>
        </w:tc>
      </w:tr>
      <w:tr>
        <w:trPr>
          <w:trHeight w:val="244"/>
        </w:trPr>
        <w:tc>
          <w:tcPr>
            <w:tcW w:w="4480" w:type="dxa"/>
            <w:vAlign w:val="bottom"/>
            <w:vMerge w:val="continue"/>
          </w:tcPr>
          <w:p>
            <w:pPr>
              <w:spacing w:after="0"/>
              <w:rPr>
                <w:sz w:val="21"/>
                <w:szCs w:val="21"/>
                <w:color w:val="auto"/>
              </w:rPr>
            </w:pPr>
          </w:p>
        </w:tc>
        <w:tc>
          <w:tcPr>
            <w:tcW w:w="3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080" w:type="dxa"/>
            <w:vAlign w:val="bottom"/>
          </w:tcPr>
          <w:p>
            <w:pPr>
              <w:jc w:val="right"/>
              <w:ind w:right="21"/>
              <w:spacing w:after="0"/>
              <w:rPr>
                <w:sz w:val="20"/>
                <w:szCs w:val="20"/>
                <w:color w:val="auto"/>
              </w:rPr>
            </w:pPr>
            <w:r>
              <w:rPr>
                <w:rFonts w:ascii="Arial" w:cs="Arial" w:eastAsia="Arial" w:hAnsi="Arial"/>
                <w:sz w:val="20"/>
                <w:szCs w:val="20"/>
                <w:color w:val="auto"/>
              </w:rPr>
              <w:t>710,193</w:t>
            </w:r>
          </w:p>
        </w:tc>
        <w:tc>
          <w:tcPr>
            <w:tcW w:w="140" w:type="dxa"/>
            <w:vAlign w:val="bottom"/>
          </w:tcPr>
          <w:p>
            <w:pPr>
              <w:spacing w:after="0"/>
              <w:rPr>
                <w:sz w:val="21"/>
                <w:szCs w:val="21"/>
                <w:color w:val="auto"/>
              </w:rPr>
            </w:pPr>
          </w:p>
        </w:tc>
        <w:tc>
          <w:tcPr>
            <w:tcW w:w="44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41"/>
              <w:spacing w:after="0"/>
              <w:rPr>
                <w:sz w:val="20"/>
                <w:szCs w:val="20"/>
                <w:color w:val="auto"/>
              </w:rPr>
            </w:pPr>
            <w:r>
              <w:rPr>
                <w:rFonts w:ascii="Arial" w:cs="Arial" w:eastAsia="Arial" w:hAnsi="Arial"/>
                <w:sz w:val="20"/>
                <w:szCs w:val="20"/>
                <w:color w:val="auto"/>
              </w:rPr>
              <w:t>613,723</w:t>
            </w:r>
          </w:p>
        </w:tc>
        <w:tc>
          <w:tcPr>
            <w:tcW w:w="120" w:type="dxa"/>
            <w:vAlign w:val="bottom"/>
          </w:tcPr>
          <w:p>
            <w:pPr>
              <w:spacing w:after="0"/>
              <w:rPr>
                <w:sz w:val="21"/>
                <w:szCs w:val="21"/>
                <w:color w:val="auto"/>
              </w:rPr>
            </w:pPr>
          </w:p>
        </w:tc>
        <w:tc>
          <w:tcPr>
            <w:tcW w:w="1360" w:type="dxa"/>
            <w:vAlign w:val="bottom"/>
          </w:tcPr>
          <w:p>
            <w:pPr>
              <w:jc w:val="right"/>
              <w:ind w:right="41"/>
              <w:spacing w:after="0"/>
              <w:rPr>
                <w:sz w:val="20"/>
                <w:szCs w:val="20"/>
                <w:color w:val="auto"/>
              </w:rPr>
            </w:pPr>
            <w:r>
              <w:rPr>
                <w:rFonts w:ascii="Arial" w:cs="Arial" w:eastAsia="Arial" w:hAnsi="Arial"/>
                <w:sz w:val="20"/>
                <w:szCs w:val="20"/>
                <w:color w:val="auto"/>
              </w:rPr>
              <w:t>15.7%</w:t>
            </w:r>
          </w:p>
        </w:tc>
        <w:tc>
          <w:tcPr>
            <w:tcW w:w="0" w:type="dxa"/>
            <w:vAlign w:val="bottom"/>
          </w:tcPr>
          <w:p>
            <w:pPr>
              <w:spacing w:after="0"/>
              <w:rPr>
                <w:sz w:val="1"/>
                <w:szCs w:val="1"/>
                <w:color w:val="auto"/>
              </w:rPr>
            </w:pPr>
          </w:p>
        </w:tc>
      </w:tr>
      <w:tr>
        <w:trPr>
          <w:trHeight w:val="263"/>
        </w:trPr>
        <w:tc>
          <w:tcPr>
            <w:tcW w:w="4480" w:type="dxa"/>
            <w:vAlign w:val="bottom"/>
          </w:tcPr>
          <w:p>
            <w:pPr>
              <w:spacing w:after="0"/>
              <w:rPr>
                <w:sz w:val="20"/>
                <w:szCs w:val="20"/>
                <w:color w:val="auto"/>
              </w:rPr>
            </w:pPr>
            <w:r>
              <w:rPr>
                <w:rFonts w:ascii="Arial" w:cs="Arial" w:eastAsia="Arial" w:hAnsi="Arial"/>
                <w:sz w:val="20"/>
                <w:szCs w:val="20"/>
                <w:color w:val="auto"/>
              </w:rPr>
              <w:t>Less: Promotional and other allowances***</w:t>
            </w: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83,402</w:t>
            </w:r>
          </w:p>
        </w:tc>
        <w:tc>
          <w:tcPr>
            <w:tcW w:w="14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77,594</w:t>
            </w:r>
          </w:p>
        </w:tc>
        <w:tc>
          <w:tcPr>
            <w:tcW w:w="1480" w:type="dxa"/>
            <w:vAlign w:val="bottom"/>
            <w:gridSpan w:val="2"/>
          </w:tcPr>
          <w:p>
            <w:pPr>
              <w:jc w:val="right"/>
              <w:ind w:right="41"/>
              <w:spacing w:after="0"/>
              <w:rPr>
                <w:sz w:val="20"/>
                <w:szCs w:val="20"/>
                <w:color w:val="auto"/>
              </w:rPr>
            </w:pPr>
            <w:r>
              <w:rPr>
                <w:rFonts w:ascii="Arial" w:cs="Arial" w:eastAsia="Arial" w:hAnsi="Arial"/>
                <w:sz w:val="20"/>
                <w:szCs w:val="20"/>
                <w:color w:val="auto"/>
              </w:rPr>
              <w:t>7.5%</w:t>
            </w:r>
          </w:p>
        </w:tc>
        <w:tc>
          <w:tcPr>
            <w:tcW w:w="0" w:type="dxa"/>
            <w:vAlign w:val="bottom"/>
          </w:tcPr>
          <w:p>
            <w:pPr>
              <w:spacing w:after="0"/>
              <w:rPr>
                <w:sz w:val="1"/>
                <w:szCs w:val="1"/>
                <w:color w:val="auto"/>
              </w:rPr>
            </w:pPr>
          </w:p>
        </w:tc>
      </w:tr>
      <w:tr>
        <w:trPr>
          <w:trHeight w:val="237"/>
        </w:trPr>
        <w:tc>
          <w:tcPr>
            <w:tcW w:w="4480" w:type="dxa"/>
            <w:vAlign w:val="bottom"/>
          </w:tcPr>
          <w:p>
            <w:pPr>
              <w:spacing w:after="0"/>
              <w:rPr>
                <w:sz w:val="20"/>
                <w:szCs w:val="20"/>
                <w:color w:val="auto"/>
              </w:rPr>
            </w:pPr>
            <w:r>
              <w:rPr>
                <w:rFonts w:ascii="Arial" w:cs="Arial" w:eastAsia="Arial" w:hAnsi="Arial"/>
                <w:sz w:val="20"/>
                <w:szCs w:val="20"/>
                <w:color w:val="auto"/>
              </w:rPr>
              <w:t>Net Sales</w:t>
            </w:r>
          </w:p>
        </w:tc>
        <w:tc>
          <w:tcPr>
            <w:tcW w:w="3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626,791</w:t>
            </w:r>
          </w:p>
        </w:tc>
        <w:tc>
          <w:tcPr>
            <w:tcW w:w="140" w:type="dxa"/>
            <w:vAlign w:val="bottom"/>
          </w:tcPr>
          <w:p>
            <w:pPr>
              <w:spacing w:after="0"/>
              <w:rPr>
                <w:sz w:val="20"/>
                <w:szCs w:val="20"/>
                <w:color w:val="auto"/>
              </w:rPr>
            </w:pPr>
          </w:p>
        </w:tc>
        <w:tc>
          <w:tcPr>
            <w:tcW w:w="44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536,129</w:t>
            </w:r>
          </w:p>
        </w:tc>
        <w:tc>
          <w:tcPr>
            <w:tcW w:w="1480" w:type="dxa"/>
            <w:vAlign w:val="bottom"/>
            <w:gridSpan w:val="2"/>
          </w:tcPr>
          <w:p>
            <w:pPr>
              <w:jc w:val="right"/>
              <w:ind w:right="41"/>
              <w:spacing w:after="0"/>
              <w:rPr>
                <w:sz w:val="20"/>
                <w:szCs w:val="20"/>
                <w:color w:val="auto"/>
              </w:rPr>
            </w:pPr>
            <w:r>
              <w:rPr>
                <w:rFonts w:ascii="Arial" w:cs="Arial" w:eastAsia="Arial" w:hAnsi="Arial"/>
                <w:sz w:val="20"/>
                <w:szCs w:val="20"/>
                <w:color w:val="auto"/>
              </w:rPr>
              <w:t>16.9%</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spacing w:after="0" w:line="303" w:lineRule="auto"/>
        <w:rPr>
          <w:sz w:val="20"/>
          <w:szCs w:val="20"/>
          <w:color w:val="auto"/>
        </w:rPr>
      </w:pPr>
      <w:r>
        <w:rPr>
          <w:rFonts w:ascii="Arial" w:cs="Arial" w:eastAsia="Arial" w:hAnsi="Arial"/>
          <w:sz w:val="14"/>
          <w:szCs w:val="14"/>
          <w:i w:val="1"/>
          <w:iCs w:val="1"/>
          <w:color w:val="auto"/>
        </w:rPr>
        <w:t>***Although the expenditures described in this line item are determined in accordance with GAAP and meet GAAP requirements, the disclosure thereof does not conform with GAAP presentation requirements. Additionally, our definition of promotional and other allowances may not be comparable to similar items presented by other companies. Promotional and other allowances primarily include consideration given to the Company’s distributors or retail customers including, but not limited to the following:</w:t>
      </w:r>
    </w:p>
    <w:p>
      <w:pPr>
        <w:spacing w:after="0" w:line="2" w:lineRule="exact"/>
        <w:rPr>
          <w:sz w:val="20"/>
          <w:szCs w:val="20"/>
          <w:color w:val="auto"/>
        </w:rPr>
      </w:pPr>
    </w:p>
    <w:p>
      <w:pPr>
        <w:jc w:val="both"/>
        <w:ind w:firstLine="8"/>
        <w:spacing w:after="0" w:line="286" w:lineRule="auto"/>
        <w:tabs>
          <w:tab w:leader="none" w:pos="201" w:val="left"/>
        </w:tabs>
        <w:numPr>
          <w:ilvl w:val="0"/>
          <w:numId w:val="29"/>
        </w:numPr>
        <w:rPr>
          <w:rFonts w:ascii="Arial" w:cs="Arial" w:eastAsia="Arial" w:hAnsi="Arial"/>
          <w:sz w:val="15"/>
          <w:szCs w:val="15"/>
          <w:i w:val="1"/>
          <w:iCs w:val="1"/>
          <w:color w:val="auto"/>
        </w:rPr>
      </w:pPr>
      <w:r>
        <w:rPr>
          <w:rFonts w:ascii="Arial" w:cs="Arial" w:eastAsia="Arial" w:hAnsi="Arial"/>
          <w:sz w:val="15"/>
          <w:szCs w:val="15"/>
          <w:i w:val="1"/>
          <w:iCs w:val="1"/>
          <w:color w:val="auto"/>
        </w:rPr>
        <w:t>discounts granted off list prices to support price promotions to end-consumers by retailers; (ii) reimbursements given to the Company’s distributors for agreed portions of their promotional spend with retailers, including slotting, shelf space allowances and other fees for both new and existing products; (iii) the Company’s agreed share of fees given to distributors and/or directly to retailers for advertising, in-store marketing and promotional activities; (iv) the Company’s agreed share of slotting, shelf space allowances and other fees given directly to retailers; (v) incentives given to the Company’s distributors and/or retailers for achieving or exceeding certain predetermined sales goals; (vi) discounted or free products; (vii) contractual fees given to the Company’s distributors related to sales made by the Company direct to certain customers that fall within the distributors’ sales territories; and (viii) commissions paid to our customers. The presentation of promotional and other allowances facilitates an evaluation of their impact on the determination of net sales and the spending levels incurred or correlated with such sales. Promotional and other allowances constitute a material portion of our marketing activities. The Company’s promotional allowance programs with its numerous distributors and/or retailers are executed through separate agreements in the ordinary course of business. These agreements generally provide for one or more of the arrangements described above and are of varying durations, ranging from one week to one year. The primary drivers of our promotional and other allowance activities for the three-months ended March 31, 2015 and 2014 were (i) to increase sales volume and trial, (ii) to address market conditions, and (iii) to secure shelf and display space at retail.</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3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 xml:space="preserve">Cash flows (used in) provided by operating activities. </w:t>
      </w:r>
      <w:r>
        <w:rPr>
          <w:rFonts w:ascii="Arial" w:cs="Arial" w:eastAsia="Arial" w:hAnsi="Arial"/>
          <w:sz w:val="20"/>
          <w:szCs w:val="20"/>
          <w:color w:val="auto"/>
        </w:rPr>
        <w:t>We used $81.8 million of cash in operating activities for the three-months ended</w:t>
      </w:r>
      <w:r>
        <w:rPr>
          <w:rFonts w:ascii="Arial" w:cs="Arial" w:eastAsia="Arial" w:hAnsi="Arial"/>
          <w:sz w:val="20"/>
          <w:szCs w:val="20"/>
          <w:i w:val="1"/>
          <w:iCs w:val="1"/>
          <w:color w:val="auto"/>
        </w:rPr>
        <w:t xml:space="preserve"> </w:t>
      </w:r>
      <w:r>
        <w:rPr>
          <w:rFonts w:ascii="Arial" w:cs="Arial" w:eastAsia="Arial" w:hAnsi="Arial"/>
          <w:sz w:val="20"/>
          <w:szCs w:val="20"/>
          <w:color w:val="auto"/>
        </w:rPr>
        <w:t>March 31, 2015, as compared with net cash provided by operating activities of $136.4 million for the three-months ended March 31, 2014. The decrease of $218.2 million in cash flows from operations was primarily the result of an increase in the excess tax benefit from stock-based compensation and an increase in accounts receivable.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For the three-months ended March 31, 2015, cash used in operating activities was primarily attributable to a $184.7 million excess tax benefit from stock-based compensation, a $68.1 million increase in accounts receivable, a $40.0 million decrease in deferred revenue, a $26.5 million increase in inventories, a $13.5 million increase in prepaid income taxes, a $7.9 million decrease in accrued compensation, a $4.3 million decrease in income tax payable and a $2.2 million decrease in accrued promotional allowances. For the three-months ended March 31, 2015, cash used in operating activities was reduced due to a $206.0 million increase in accrued distributor terminations, a $42.7 million increase in accounts payable and a $5.4 million increase in accrued liabilities as well as net income earned of $4.4 million and adjustments for certain non-cash expenses consisting of $6.5 million of depreciation and amortization and $6.4 million of stock-based compensation.</w:t>
      </w:r>
    </w:p>
    <w:p>
      <w:pPr>
        <w:spacing w:after="0" w:line="183"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6"/>
          <w:szCs w:val="16"/>
          <w:color w:val="auto"/>
        </w:rPr>
        <w:t>For the three-months ended March 31, 2014, cash provided by operating activities was primarily attributable to net income earned of $95.3 million and adjustments for certain non-cash expenses, consisting of $7.0 million of stock-based compensation and $6.5 million of depreciation and other amortization. For the three-months ended March 31, 2014, cash provided by operating activities also increased due to a $39.1 million increase in income taxes payable, a $17.4 million decrease in inventory, a $14.7 million increase in accrued promotional allowances, a $6.1 million increase in accounts payable, a $4.6 million increase in accrued liabilities and a $4.4 million decrease in prepaid income taxes. For the three-months ended March 31, 2014, cash provided by operating activities was reduced due to a $42.5 million increase in</w:t>
      </w:r>
    </w:p>
    <w:p>
      <w:pPr>
        <w:sectPr>
          <w:pgSz w:w="11900" w:h="16838" w:orient="portrait"/>
          <w:cols w:equalWidth="0" w:num="1">
            <w:col w:w="11420"/>
          </w:cols>
          <w:pgMar w:left="240" w:top="366" w:right="239" w:bottom="0" w:gutter="0" w:footer="0" w:header="0"/>
        </w:sectPr>
      </w:pPr>
    </w:p>
    <w:bookmarkStart w:id="25" w:name="page26"/>
    <w:bookmarkEnd w:id="25"/>
    <w:p>
      <w:pPr>
        <w:spacing w:after="0" w:line="10"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accounts receivable, a $7.1 million increase in prepaid expenses and other current assets, a $5.8 million decrease in accrued compensation, a $2.6 million tax benefit from the exercise of stock options and a $1.5 million decrease in deferred revenue.</w:t>
      </w:r>
    </w:p>
    <w:p>
      <w:pPr>
        <w:spacing w:after="0" w:line="18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i w:val="1"/>
          <w:iCs w:val="1"/>
          <w:color w:val="auto"/>
        </w:rPr>
        <w:t xml:space="preserve">Cash flows provided by (used in) investing activities. </w:t>
      </w:r>
      <w:r>
        <w:rPr>
          <w:rFonts w:ascii="Arial" w:cs="Arial" w:eastAsia="Arial" w:hAnsi="Arial"/>
          <w:sz w:val="19"/>
          <w:szCs w:val="19"/>
          <w:color w:val="auto"/>
        </w:rPr>
        <w:t>We generated $129.6 million of cash from investing activities for the three-months ended March 31, 2015 as compared to cash used of $43.9 million for the three-months March 31, 2014. The increase in cash flows provided by investing activities of $173.6 million was primarily the result of the overall decrease in our investments in order to repurchase our common stock during the three-months ended March 31, 2015 (2.2 million shares were purchased from employees in lieu of cash payments for options exercised or withholding taxes due for a total amount of $251.4 million).</w:t>
      </w:r>
    </w:p>
    <w:p>
      <w:pPr>
        <w:spacing w:after="0" w:line="19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Net cash provided by investing activities was $129.6 million for the three-months ended March 31, 2015, as compared to net cash used in investing activities of $43.9 million for the three-months ended March 31, 2014. For the three-months ended March 31, 2015, cash used in investing activities was primarily attributable to purchases of held-to-maturity investments, purchases of property and equipment, and additions to intangibles. For the three-months ended March 31, 2014, cash used in investing activities was primarily attributable to purchases of held-to-maturity investments and to purchases of property and equipment. For both the three-months ended March 31, 2015 and 2014, cash provided by investing activities was primarily attributable to maturities of held-to-maturity investments. For both the three-months ended March 31, 2015 and 2014, cash used in investing activities also included the acquisitions of fixed assets consisting of vans and promotional vehicles, coolers and other equipment to support our marketing and promotional activities, production equipment, furniture and fixtures, office and computer equipment, computer software, and equipment used for sales and administrative activities, as well as certain leasehold improvements. We expect to continue to use a portion of our cash in excess of our requirements for operations for purchasing short-term and long-term investments, and for other corporate purposes, leasehold improvements, the acquisition of capital equipment, specifically, vans, trucks and promotional vehicles, coolers, other promotional equipment, merchandise displays, warehousing racks as well as items of production equipment required to produce certain of our existing and/or new products and to develop our brand in international markets. From time to time, we may also purchase additional real property related to our beverage business and/or acquire compatible businesses as a use of cash in excess of our requirements for operations.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2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i w:val="1"/>
          <w:iCs w:val="1"/>
          <w:color w:val="auto"/>
        </w:rPr>
        <w:t xml:space="preserve">Cash flows (used in) provided by financing activities. </w:t>
      </w:r>
      <w:r>
        <w:rPr>
          <w:rFonts w:ascii="Arial" w:cs="Arial" w:eastAsia="Arial" w:hAnsi="Arial"/>
          <w:sz w:val="20"/>
          <w:szCs w:val="20"/>
          <w:color w:val="auto"/>
        </w:rPr>
        <w:t>We used $47.8 million of cash in financing activities for the three-months ended</w:t>
      </w:r>
      <w:r>
        <w:rPr>
          <w:rFonts w:ascii="Arial" w:cs="Arial" w:eastAsia="Arial" w:hAnsi="Arial"/>
          <w:sz w:val="20"/>
          <w:szCs w:val="20"/>
          <w:i w:val="1"/>
          <w:iCs w:val="1"/>
          <w:color w:val="auto"/>
        </w:rPr>
        <w:t xml:space="preserve"> </w:t>
      </w:r>
      <w:r>
        <w:rPr>
          <w:rFonts w:ascii="Arial" w:cs="Arial" w:eastAsia="Arial" w:hAnsi="Arial"/>
          <w:sz w:val="20"/>
          <w:szCs w:val="20"/>
          <w:color w:val="auto"/>
        </w:rPr>
        <w:t>March 31, 2015 as compared to cash provided by financing activities of $7.7 million for the three-months ended March 31, 2014. The decrease in cash flows provided by financing activities of $55.5 million was primarily the result of the repurchases of our common stock during the three-months ended March 31, 2015 (2.2 million shares were purchased from employees in lieu of cash payments for options exercised or withholding taxes due for a total amount of $251.4 million).</w:t>
      </w:r>
    </w:p>
    <w:p>
      <w:pPr>
        <w:spacing w:after="0" w:line="20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For the three-months ended March 31, 2015, cash used in financing activities was primarily attributable to repurchases of our common stock amounting to $251.4 million. For the three-months ended March 31, 2015 cash provided by financing activities was primarily related to a $184.7 million excess tax benefit from stock-based compensation and the $19.1 million received from the issuance of common stock in connection with the exercise of certain stock options. For the three-months ended March 31, 2014, cash provided by financing activities was primarily attributable to $5.7 million received from the issuance of common stock in connection with the exercise of certain stock options and a $2.6 million excess tax benefit from stock-based compensation.</w:t>
      </w:r>
    </w:p>
    <w:p>
      <w:pPr>
        <w:spacing w:after="0" w:line="21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Purchases of inventories, increases in accounts receivable and other assets, acquisition of property and equipment (including real property and coolers), leasehold improvements, acquisition and maintenance of trademarks, payments of accounts payable, income taxes payable and purchases of our common stock are expected to remain our principal recurring use of cash.</w:t>
      </w:r>
    </w:p>
    <w:p>
      <w:pPr>
        <w:spacing w:after="0" w:line="18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i w:val="1"/>
          <w:iCs w:val="1"/>
          <w:color w:val="auto"/>
        </w:rPr>
        <w:t xml:space="preserve">Cash and cash equivalents, short-term and long-term investments. </w:t>
      </w:r>
      <w:r>
        <w:rPr>
          <w:rFonts w:ascii="Arial" w:cs="Arial" w:eastAsia="Arial" w:hAnsi="Arial"/>
          <w:sz w:val="20"/>
          <w:szCs w:val="20"/>
          <w:color w:val="auto"/>
        </w:rPr>
        <w:t>At March 31, 2015, we had $362.8 million in cash and cash</w:t>
      </w:r>
      <w:r>
        <w:rPr>
          <w:rFonts w:ascii="Arial" w:cs="Arial" w:eastAsia="Arial" w:hAnsi="Arial"/>
          <w:sz w:val="20"/>
          <w:szCs w:val="20"/>
          <w:i w:val="1"/>
          <w:iCs w:val="1"/>
          <w:color w:val="auto"/>
        </w:rPr>
        <w:t xml:space="preserve"> </w:t>
      </w:r>
      <w:r>
        <w:rPr>
          <w:rFonts w:ascii="Arial" w:cs="Arial" w:eastAsia="Arial" w:hAnsi="Arial"/>
          <w:sz w:val="20"/>
          <w:szCs w:val="20"/>
          <w:color w:val="auto"/>
        </w:rPr>
        <w:t>equivalents and $688.5 million in short-term and long-term investments. We have historically invested these amounts in U.S. Treasury bills, U.S. government agency securities and municipal securities (which may have an auction reset feature), commercial paper and money market funds meeting certain criteria. We maintain our investments for cash management purposes and not for purposes of speculation. Our risk management policies emphasize credit quality (primarily based on short-term ratings by nationally recognized statistical organizations) in selecting and maintaining our investments. We regularly assess market risk of our investments and believe our current policies and investment practices adequately limit those risks. However, certain of these investments are subject to general credit, liquidity, market and interest rate risks. These market risks associated with our investment portfolio may have an adverse effect on our future results of operations, liquidity and financial condition.</w:t>
      </w:r>
    </w:p>
    <w:p>
      <w:pPr>
        <w:spacing w:after="0" w:line="20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Of our $362.8 million of cash and cash equivalents held at March 31, 2015, $101.4 million was held by our foreign subsidiaries. No short-term or long-term investments were held by our foreign subsidiaries at March 31, 2015. We do not intend, nor do we foresee a need, to repatriate undistributed earnings of our foreign subsidiaries other than to repay certain intercompany debt owed to our U.S. operations. Under current tax laws, if funds in excess of intercompany amounts owed were repatriated to our U.S. operations, we would be required to accrue and pay additional income taxes on such excess funds at the tax rates then in effect.</w:t>
      </w:r>
    </w:p>
    <w:p>
      <w:pPr>
        <w:spacing w:after="0" w:line="19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We believe that cash available from operations, including our cash resources and access to credit, will be sufficient for our working capital needs, including purchase commitments for raw materials and inventory, increases in accounts receivable, payments of tax liabilities, expansion and development needs, purchases of shares of our common stock, as well as any purchases of capital assets, equipment and properties, through at least the next 12 months. Based on our current plans, at this time we estimate that capital expenditures are likely to be less than $120.0 million through March 31, 2016. However, following the consummation of the TCCC Transaction, we anticipate changes to our cash and cash equivalents and capital expenditures, which may cause a change in the estimates provided above; see Notes to Condensed Consolidated Financial Statements — Note 2. Acquisitions and Divestitures.</w:t>
      </w:r>
    </w:p>
    <w:p>
      <w:pPr>
        <w:sectPr>
          <w:pgSz w:w="11900" w:h="16848" w:orient="portrait"/>
          <w:cols w:equalWidth="0" w:num="1">
            <w:col w:w="11420"/>
          </w:cols>
          <w:pgMar w:left="240" w:top="121" w:right="239" w:bottom="0" w:gutter="0" w:footer="0" w:header="0"/>
        </w:sectPr>
      </w:pP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ectPr>
          <w:pgSz w:w="11900" w:h="16848" w:orient="portrait"/>
          <w:cols w:equalWidth="0" w:num="1">
            <w:col w:w="11420"/>
          </w:cols>
          <w:pgMar w:left="240" w:top="121" w:right="239" w:bottom="0" w:gutter="0" w:footer="0" w:header="0"/>
          <w:type w:val="continuous"/>
        </w:sectPr>
      </w:pPr>
    </w:p>
    <w:bookmarkStart w:id="26" w:name="page27"/>
    <w:bookmarkEnd w:id="26"/>
    <w:p>
      <w:pPr>
        <w:spacing w:after="0"/>
        <w:rPr>
          <w:rFonts w:ascii="Arial" w:cs="Arial" w:eastAsia="Arial" w:hAnsi="Arial"/>
          <w:sz w:val="20"/>
          <w:szCs w:val="20"/>
          <w:u w:val="single" w:color="auto"/>
          <w:color w:val="0000EE"/>
        </w:rPr>
      </w:pPr>
      <w:r>
        <w:rPr>
          <w:rFonts w:ascii="Arial" w:cs="Arial" w:eastAsia="Arial" w:hAnsi="Arial"/>
          <w:sz w:val="20"/>
          <w:szCs w:val="20"/>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
        <w:r>
          <w:rPr>
            <w:rFonts w:ascii="Arial" w:cs="Arial" w:eastAsia="Arial" w:hAnsi="Arial"/>
            <w:sz w:val="20"/>
            <w:szCs w:val="20"/>
            <w:u w:val="single" w:color="auto"/>
            <w:color w:val="0000EE"/>
          </w:rPr>
          <w:t>Table of Contents</w:t>
        </w:r>
      </w:hyperlink>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represents a summary of the Company’s contractual commitments and related scheduled maturities as of March 31,</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2015:</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3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4360" w:type="dxa"/>
            <w:vAlign w:val="bottom"/>
            <w:tcBorders>
              <w:bottom w:val="single" w:sz="8" w:color="auto"/>
            </w:tcBorders>
            <w:gridSpan w:val="8"/>
          </w:tcPr>
          <w:p>
            <w:pPr>
              <w:ind w:left="280"/>
              <w:spacing w:after="0"/>
              <w:rPr>
                <w:sz w:val="20"/>
                <w:szCs w:val="20"/>
                <w:color w:val="auto"/>
              </w:rPr>
            </w:pPr>
            <w:r>
              <w:rPr>
                <w:rFonts w:ascii="Arial" w:cs="Arial" w:eastAsia="Arial" w:hAnsi="Arial"/>
                <w:sz w:val="22"/>
                <w:szCs w:val="22"/>
                <w:color w:val="auto"/>
              </w:rPr>
              <w:t>Payments due by period (in thousands)</w:t>
            </w: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r>
      <w:tr>
        <w:trPr>
          <w:trHeight w:val="268"/>
        </w:trPr>
        <w:tc>
          <w:tcPr>
            <w:tcW w:w="3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2"/>
          </w:tcPr>
          <w:p>
            <w:pPr>
              <w:ind w:left="40"/>
              <w:spacing w:after="0"/>
              <w:rPr>
                <w:sz w:val="20"/>
                <w:szCs w:val="20"/>
                <w:color w:val="auto"/>
              </w:rPr>
            </w:pPr>
            <w:r>
              <w:rPr>
                <w:rFonts w:ascii="Arial" w:cs="Arial" w:eastAsia="Arial" w:hAnsi="Arial"/>
                <w:sz w:val="22"/>
                <w:szCs w:val="22"/>
                <w:color w:val="auto"/>
              </w:rPr>
              <w:t>Less than</w:t>
            </w:r>
          </w:p>
        </w:tc>
        <w:tc>
          <w:tcPr>
            <w:tcW w:w="340" w:type="dxa"/>
            <w:vAlign w:val="bottom"/>
          </w:tcPr>
          <w:p>
            <w:pPr>
              <w:spacing w:after="0"/>
              <w:rPr>
                <w:sz w:val="23"/>
                <w:szCs w:val="23"/>
                <w:color w:val="auto"/>
              </w:rPr>
            </w:pPr>
          </w:p>
        </w:tc>
        <w:tc>
          <w:tcPr>
            <w:tcW w:w="1040" w:type="dxa"/>
            <w:vAlign w:val="bottom"/>
          </w:tcPr>
          <w:p>
            <w:pPr>
              <w:jc w:val="right"/>
              <w:ind w:right="452"/>
              <w:spacing w:after="0"/>
              <w:rPr>
                <w:sz w:val="20"/>
                <w:szCs w:val="20"/>
                <w:color w:val="auto"/>
              </w:rPr>
            </w:pPr>
            <w:r>
              <w:rPr>
                <w:rFonts w:ascii="Arial" w:cs="Arial" w:eastAsia="Arial" w:hAnsi="Arial"/>
                <w:sz w:val="22"/>
                <w:szCs w:val="22"/>
                <w:color w:val="auto"/>
              </w:rPr>
              <w:t>1-3</w:t>
            </w: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412"/>
              <w:spacing w:after="0"/>
              <w:rPr>
                <w:sz w:val="20"/>
                <w:szCs w:val="20"/>
                <w:color w:val="auto"/>
              </w:rPr>
            </w:pPr>
            <w:r>
              <w:rPr>
                <w:rFonts w:ascii="Arial" w:cs="Arial" w:eastAsia="Arial" w:hAnsi="Arial"/>
                <w:sz w:val="22"/>
                <w:szCs w:val="22"/>
                <w:color w:val="auto"/>
              </w:rPr>
              <w:t>3-5</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ind w:right="132"/>
              <w:spacing w:after="0"/>
              <w:rPr>
                <w:sz w:val="20"/>
                <w:szCs w:val="20"/>
                <w:color w:val="auto"/>
              </w:rPr>
            </w:pPr>
            <w:r>
              <w:rPr>
                <w:rFonts w:ascii="Arial" w:cs="Arial" w:eastAsia="Arial" w:hAnsi="Arial"/>
                <w:sz w:val="22"/>
                <w:szCs w:val="22"/>
                <w:color w:val="auto"/>
                <w:w w:val="88"/>
              </w:rPr>
              <w:t>More than</w:t>
            </w:r>
          </w:p>
        </w:tc>
      </w:tr>
      <w:tr>
        <w:trPr>
          <w:trHeight w:val="266"/>
        </w:trPr>
        <w:tc>
          <w:tcPr>
            <w:tcW w:w="3500" w:type="dxa"/>
            <w:vAlign w:val="bottom"/>
            <w:tcBorders>
              <w:bottom w:val="single" w:sz="8" w:color="auto"/>
            </w:tcBorders>
          </w:tcPr>
          <w:p>
            <w:pPr>
              <w:ind w:left="1240"/>
              <w:spacing w:after="0"/>
              <w:rPr>
                <w:sz w:val="20"/>
                <w:szCs w:val="20"/>
                <w:color w:val="auto"/>
              </w:rPr>
            </w:pPr>
            <w:r>
              <w:rPr>
                <w:rFonts w:ascii="Arial" w:cs="Arial" w:eastAsia="Arial" w:hAnsi="Arial"/>
                <w:sz w:val="22"/>
                <w:szCs w:val="22"/>
                <w:color w:val="auto"/>
              </w:rPr>
              <w:t>Obligations</w:t>
            </w:r>
          </w:p>
        </w:tc>
        <w:tc>
          <w:tcPr>
            <w:tcW w:w="28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52"/>
              <w:spacing w:after="0"/>
              <w:rPr>
                <w:sz w:val="20"/>
                <w:szCs w:val="20"/>
                <w:color w:val="auto"/>
              </w:rPr>
            </w:pPr>
            <w:r>
              <w:rPr>
                <w:rFonts w:ascii="Arial" w:cs="Arial" w:eastAsia="Arial" w:hAnsi="Arial"/>
                <w:sz w:val="22"/>
                <w:szCs w:val="22"/>
                <w:color w:val="auto"/>
              </w:rPr>
              <w:t>Total</w:t>
            </w:r>
          </w:p>
        </w:tc>
        <w:tc>
          <w:tcPr>
            <w:tcW w:w="1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color w:val="auto"/>
              </w:rPr>
              <w:t>1 year</w:t>
            </w:r>
          </w:p>
        </w:tc>
        <w:tc>
          <w:tcPr>
            <w:tcW w:w="1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52"/>
              <w:spacing w:after="0"/>
              <w:rPr>
                <w:sz w:val="20"/>
                <w:szCs w:val="20"/>
                <w:color w:val="auto"/>
              </w:rPr>
            </w:pPr>
            <w:r>
              <w:rPr>
                <w:rFonts w:ascii="Arial" w:cs="Arial" w:eastAsia="Arial" w:hAnsi="Arial"/>
                <w:sz w:val="22"/>
                <w:szCs w:val="22"/>
                <w:color w:val="auto"/>
              </w:rPr>
              <w:t>years</w:t>
            </w:r>
          </w:p>
        </w:tc>
        <w:tc>
          <w:tcPr>
            <w:tcW w:w="1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32"/>
              <w:spacing w:after="0"/>
              <w:rPr>
                <w:sz w:val="20"/>
                <w:szCs w:val="20"/>
                <w:color w:val="auto"/>
              </w:rPr>
            </w:pPr>
            <w:r>
              <w:rPr>
                <w:rFonts w:ascii="Arial" w:cs="Arial" w:eastAsia="Arial" w:hAnsi="Arial"/>
                <w:sz w:val="22"/>
                <w:szCs w:val="22"/>
                <w:color w:val="auto"/>
              </w:rPr>
              <w:t>years</w:t>
            </w:r>
          </w:p>
        </w:tc>
        <w:tc>
          <w:tcPr>
            <w:tcW w:w="1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272"/>
              <w:spacing w:after="0"/>
              <w:rPr>
                <w:sz w:val="20"/>
                <w:szCs w:val="20"/>
                <w:color w:val="auto"/>
              </w:rPr>
            </w:pPr>
            <w:r>
              <w:rPr>
                <w:rFonts w:ascii="Arial" w:cs="Arial" w:eastAsia="Arial" w:hAnsi="Arial"/>
                <w:sz w:val="22"/>
                <w:szCs w:val="22"/>
                <w:color w:val="auto"/>
              </w:rPr>
              <w:t>5 years</w:t>
            </w:r>
          </w:p>
        </w:tc>
      </w:tr>
      <w:tr>
        <w:trPr>
          <w:trHeight w:val="490"/>
        </w:trPr>
        <w:tc>
          <w:tcPr>
            <w:tcW w:w="3780" w:type="dxa"/>
            <w:vAlign w:val="bottom"/>
            <w:gridSpan w:val="2"/>
          </w:tcPr>
          <w:p>
            <w:pPr>
              <w:ind w:left="40"/>
              <w:spacing w:after="0"/>
              <w:rPr>
                <w:sz w:val="20"/>
                <w:szCs w:val="20"/>
                <w:color w:val="auto"/>
              </w:rPr>
            </w:pPr>
            <w:r>
              <w:rPr>
                <w:rFonts w:ascii="Arial" w:cs="Arial" w:eastAsia="Arial" w:hAnsi="Arial"/>
                <w:sz w:val="22"/>
                <w:szCs w:val="22"/>
                <w:color w:val="auto"/>
              </w:rPr>
              <w:t>Contractual Obligations¹</w:t>
            </w:r>
          </w:p>
        </w:tc>
        <w:tc>
          <w:tcPr>
            <w:tcW w:w="36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1020" w:type="dxa"/>
            <w:vAlign w:val="bottom"/>
          </w:tcPr>
          <w:p>
            <w:pPr>
              <w:jc w:val="right"/>
              <w:ind w:right="12"/>
              <w:spacing w:after="0"/>
              <w:rPr>
                <w:sz w:val="20"/>
                <w:szCs w:val="20"/>
                <w:color w:val="auto"/>
              </w:rPr>
            </w:pPr>
            <w:r>
              <w:rPr>
                <w:rFonts w:ascii="Arial" w:cs="Arial" w:eastAsia="Arial" w:hAnsi="Arial"/>
                <w:sz w:val="22"/>
                <w:szCs w:val="22"/>
                <w:color w:val="auto"/>
              </w:rPr>
              <w:t>93,293</w:t>
            </w:r>
          </w:p>
        </w:tc>
        <w:tc>
          <w:tcPr>
            <w:tcW w:w="18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22"/>
                <w:szCs w:val="22"/>
                <w:color w:val="auto"/>
              </w:rPr>
              <w:t>$</w:t>
            </w:r>
          </w:p>
        </w:tc>
        <w:tc>
          <w:tcPr>
            <w:tcW w:w="1140" w:type="dxa"/>
            <w:vAlign w:val="bottom"/>
          </w:tcPr>
          <w:p>
            <w:pPr>
              <w:jc w:val="right"/>
              <w:ind w:right="12"/>
              <w:spacing w:after="0"/>
              <w:rPr>
                <w:sz w:val="20"/>
                <w:szCs w:val="20"/>
                <w:color w:val="auto"/>
              </w:rPr>
            </w:pPr>
            <w:r>
              <w:rPr>
                <w:rFonts w:ascii="Arial" w:cs="Arial" w:eastAsia="Arial" w:hAnsi="Arial"/>
                <w:sz w:val="22"/>
                <w:szCs w:val="22"/>
                <w:color w:val="auto"/>
              </w:rPr>
              <w:t>54,873</w:t>
            </w:r>
          </w:p>
        </w:tc>
        <w:tc>
          <w:tcPr>
            <w:tcW w:w="180" w:type="dxa"/>
            <w:vAlign w:val="bottom"/>
          </w:tcPr>
          <w:p>
            <w:pPr>
              <w:spacing w:after="0"/>
              <w:rPr>
                <w:sz w:val="24"/>
                <w:szCs w:val="24"/>
                <w:color w:val="auto"/>
              </w:rPr>
            </w:pPr>
          </w:p>
        </w:tc>
        <w:tc>
          <w:tcPr>
            <w:tcW w:w="34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1040" w:type="dxa"/>
            <w:vAlign w:val="bottom"/>
          </w:tcPr>
          <w:p>
            <w:pPr>
              <w:jc w:val="right"/>
              <w:ind w:right="32"/>
              <w:spacing w:after="0"/>
              <w:rPr>
                <w:sz w:val="20"/>
                <w:szCs w:val="20"/>
                <w:color w:val="auto"/>
              </w:rPr>
            </w:pPr>
            <w:r>
              <w:rPr>
                <w:rFonts w:ascii="Arial" w:cs="Arial" w:eastAsia="Arial" w:hAnsi="Arial"/>
                <w:sz w:val="22"/>
                <w:szCs w:val="22"/>
                <w:color w:val="auto"/>
              </w:rPr>
              <w:t>36,391</w:t>
            </w:r>
          </w:p>
        </w:tc>
        <w:tc>
          <w:tcPr>
            <w:tcW w:w="1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22"/>
                <w:szCs w:val="22"/>
                <w:color w:val="auto"/>
              </w:rPr>
              <w:t>$</w:t>
            </w:r>
          </w:p>
        </w:tc>
        <w:tc>
          <w:tcPr>
            <w:tcW w:w="1020" w:type="dxa"/>
            <w:vAlign w:val="bottom"/>
          </w:tcPr>
          <w:p>
            <w:pPr>
              <w:jc w:val="right"/>
              <w:ind w:right="12"/>
              <w:spacing w:after="0"/>
              <w:rPr>
                <w:sz w:val="20"/>
                <w:szCs w:val="20"/>
                <w:color w:val="auto"/>
              </w:rPr>
            </w:pPr>
            <w:r>
              <w:rPr>
                <w:rFonts w:ascii="Arial" w:cs="Arial" w:eastAsia="Arial" w:hAnsi="Arial"/>
                <w:sz w:val="22"/>
                <w:szCs w:val="22"/>
                <w:color w:val="auto"/>
              </w:rPr>
              <w:t>2,029</w:t>
            </w:r>
          </w:p>
        </w:tc>
        <w:tc>
          <w:tcPr>
            <w:tcW w:w="1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22"/>
                <w:szCs w:val="22"/>
                <w:color w:val="auto"/>
              </w:rPr>
              <w:t>$</w:t>
            </w:r>
          </w:p>
        </w:tc>
        <w:tc>
          <w:tcPr>
            <w:tcW w:w="1140" w:type="dxa"/>
            <w:vAlign w:val="bottom"/>
          </w:tcPr>
          <w:p>
            <w:pPr>
              <w:jc w:val="right"/>
              <w:ind w:right="32"/>
              <w:spacing w:after="0"/>
              <w:rPr>
                <w:sz w:val="20"/>
                <w:szCs w:val="20"/>
                <w:color w:val="auto"/>
              </w:rPr>
            </w:pPr>
            <w:r>
              <w:rPr>
                <w:rFonts w:ascii="Arial" w:cs="Arial" w:eastAsia="Arial" w:hAnsi="Arial"/>
                <w:sz w:val="22"/>
                <w:szCs w:val="22"/>
                <w:color w:val="auto"/>
              </w:rPr>
              <w:t>-</w:t>
            </w:r>
          </w:p>
        </w:tc>
      </w:tr>
      <w:tr>
        <w:trPr>
          <w:trHeight w:val="297"/>
        </w:trPr>
        <w:tc>
          <w:tcPr>
            <w:tcW w:w="3780" w:type="dxa"/>
            <w:vAlign w:val="bottom"/>
            <w:gridSpan w:val="2"/>
          </w:tcPr>
          <w:p>
            <w:pPr>
              <w:ind w:left="40"/>
              <w:spacing w:after="0"/>
              <w:rPr>
                <w:sz w:val="20"/>
                <w:szCs w:val="20"/>
                <w:color w:val="auto"/>
              </w:rPr>
            </w:pPr>
            <w:r>
              <w:rPr>
                <w:rFonts w:ascii="Arial" w:cs="Arial" w:eastAsia="Arial" w:hAnsi="Arial"/>
                <w:sz w:val="22"/>
                <w:szCs w:val="22"/>
                <w:color w:val="auto"/>
              </w:rPr>
              <w:t>Capital Leases</w:t>
            </w:r>
          </w:p>
        </w:tc>
        <w:tc>
          <w:tcPr>
            <w:tcW w:w="360" w:type="dxa"/>
            <w:vAlign w:val="bottom"/>
          </w:tcPr>
          <w:p>
            <w:pPr>
              <w:spacing w:after="0"/>
              <w:rPr>
                <w:sz w:val="24"/>
                <w:szCs w:val="24"/>
                <w:color w:val="auto"/>
              </w:rPr>
            </w:pPr>
          </w:p>
        </w:tc>
        <w:tc>
          <w:tcPr>
            <w:tcW w:w="1020" w:type="dxa"/>
            <w:vAlign w:val="bottom"/>
          </w:tcPr>
          <w:p>
            <w:pPr>
              <w:jc w:val="right"/>
              <w:ind w:right="12"/>
              <w:spacing w:after="0"/>
              <w:rPr>
                <w:sz w:val="20"/>
                <w:szCs w:val="20"/>
                <w:color w:val="auto"/>
              </w:rPr>
            </w:pPr>
            <w:r>
              <w:rPr>
                <w:rFonts w:ascii="Arial" w:cs="Arial" w:eastAsia="Arial" w:hAnsi="Arial"/>
                <w:sz w:val="22"/>
                <w:szCs w:val="22"/>
                <w:color w:val="auto"/>
              </w:rPr>
              <w:t>461</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ind w:right="12"/>
              <w:spacing w:after="0"/>
              <w:rPr>
                <w:sz w:val="20"/>
                <w:szCs w:val="20"/>
                <w:color w:val="auto"/>
              </w:rPr>
            </w:pPr>
            <w:r>
              <w:rPr>
                <w:rFonts w:ascii="Arial" w:cs="Arial" w:eastAsia="Arial" w:hAnsi="Arial"/>
                <w:sz w:val="22"/>
                <w:szCs w:val="22"/>
                <w:color w:val="auto"/>
              </w:rPr>
              <w:t>461</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ind w:right="32"/>
              <w:spacing w:after="0"/>
              <w:rPr>
                <w:sz w:val="20"/>
                <w:szCs w:val="20"/>
                <w:color w:val="auto"/>
              </w:rPr>
            </w:pPr>
            <w:r>
              <w:rPr>
                <w:rFonts w:ascii="Arial" w:cs="Arial" w:eastAsia="Arial" w:hAnsi="Arial"/>
                <w:sz w:val="22"/>
                <w:szCs w:val="22"/>
                <w:color w:val="auto"/>
              </w:rPr>
              <w:t>-</w:t>
            </w:r>
          </w:p>
        </w:tc>
      </w:tr>
      <w:tr>
        <w:trPr>
          <w:trHeight w:val="297"/>
        </w:trPr>
        <w:tc>
          <w:tcPr>
            <w:tcW w:w="3780" w:type="dxa"/>
            <w:vAlign w:val="bottom"/>
            <w:gridSpan w:val="2"/>
          </w:tcPr>
          <w:p>
            <w:pPr>
              <w:ind w:left="40"/>
              <w:spacing w:after="0"/>
              <w:rPr>
                <w:sz w:val="20"/>
                <w:szCs w:val="20"/>
                <w:color w:val="auto"/>
              </w:rPr>
            </w:pPr>
            <w:r>
              <w:rPr>
                <w:rFonts w:ascii="Arial" w:cs="Arial" w:eastAsia="Arial" w:hAnsi="Arial"/>
                <w:sz w:val="22"/>
                <w:szCs w:val="22"/>
                <w:color w:val="auto"/>
              </w:rPr>
              <w:t>Operating Leases</w:t>
            </w:r>
          </w:p>
        </w:tc>
        <w:tc>
          <w:tcPr>
            <w:tcW w:w="360" w:type="dxa"/>
            <w:vAlign w:val="bottom"/>
          </w:tcPr>
          <w:p>
            <w:pPr>
              <w:spacing w:after="0"/>
              <w:rPr>
                <w:sz w:val="24"/>
                <w:szCs w:val="24"/>
                <w:color w:val="auto"/>
              </w:rPr>
            </w:pPr>
          </w:p>
        </w:tc>
        <w:tc>
          <w:tcPr>
            <w:tcW w:w="1020" w:type="dxa"/>
            <w:vAlign w:val="bottom"/>
          </w:tcPr>
          <w:p>
            <w:pPr>
              <w:jc w:val="right"/>
              <w:ind w:right="12"/>
              <w:spacing w:after="0"/>
              <w:rPr>
                <w:sz w:val="20"/>
                <w:szCs w:val="20"/>
                <w:color w:val="auto"/>
              </w:rPr>
            </w:pPr>
            <w:r>
              <w:rPr>
                <w:rFonts w:ascii="Arial" w:cs="Arial" w:eastAsia="Arial" w:hAnsi="Arial"/>
                <w:sz w:val="22"/>
                <w:szCs w:val="22"/>
                <w:color w:val="auto"/>
              </w:rPr>
              <w:t>11,528</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ind w:right="12"/>
              <w:spacing w:after="0"/>
              <w:rPr>
                <w:sz w:val="20"/>
                <w:szCs w:val="20"/>
                <w:color w:val="auto"/>
              </w:rPr>
            </w:pPr>
            <w:r>
              <w:rPr>
                <w:rFonts w:ascii="Arial" w:cs="Arial" w:eastAsia="Arial" w:hAnsi="Arial"/>
                <w:sz w:val="22"/>
                <w:szCs w:val="22"/>
                <w:color w:val="auto"/>
              </w:rPr>
              <w:t>5,035</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ind w:right="32"/>
              <w:spacing w:after="0"/>
              <w:rPr>
                <w:sz w:val="20"/>
                <w:szCs w:val="20"/>
                <w:color w:val="auto"/>
              </w:rPr>
            </w:pPr>
            <w:r>
              <w:rPr>
                <w:rFonts w:ascii="Arial" w:cs="Arial" w:eastAsia="Arial" w:hAnsi="Arial"/>
                <w:sz w:val="22"/>
                <w:szCs w:val="22"/>
                <w:color w:val="auto"/>
              </w:rPr>
              <w:t>4,501</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ind w:right="12"/>
              <w:spacing w:after="0"/>
              <w:rPr>
                <w:sz w:val="20"/>
                <w:szCs w:val="20"/>
                <w:color w:val="auto"/>
              </w:rPr>
            </w:pPr>
            <w:r>
              <w:rPr>
                <w:rFonts w:ascii="Arial" w:cs="Arial" w:eastAsia="Arial" w:hAnsi="Arial"/>
                <w:sz w:val="22"/>
                <w:szCs w:val="22"/>
                <w:color w:val="auto"/>
              </w:rPr>
              <w:t>963</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ind w:right="32"/>
              <w:spacing w:after="0"/>
              <w:rPr>
                <w:sz w:val="20"/>
                <w:szCs w:val="20"/>
                <w:color w:val="auto"/>
              </w:rPr>
            </w:pPr>
            <w:r>
              <w:rPr>
                <w:rFonts w:ascii="Arial" w:cs="Arial" w:eastAsia="Arial" w:hAnsi="Arial"/>
                <w:sz w:val="22"/>
                <w:szCs w:val="22"/>
                <w:color w:val="auto"/>
              </w:rPr>
              <w:t>1,029</w:t>
            </w:r>
          </w:p>
        </w:tc>
      </w:tr>
      <w:tr>
        <w:trPr>
          <w:trHeight w:val="287"/>
        </w:trPr>
        <w:tc>
          <w:tcPr>
            <w:tcW w:w="3780" w:type="dxa"/>
            <w:vAlign w:val="bottom"/>
            <w:gridSpan w:val="2"/>
          </w:tcPr>
          <w:p>
            <w:pPr>
              <w:ind w:left="40"/>
              <w:spacing w:after="0"/>
              <w:rPr>
                <w:sz w:val="20"/>
                <w:szCs w:val="20"/>
                <w:color w:val="auto"/>
              </w:rPr>
            </w:pPr>
            <w:r>
              <w:rPr>
                <w:rFonts w:ascii="Arial" w:cs="Arial" w:eastAsia="Arial" w:hAnsi="Arial"/>
                <w:sz w:val="22"/>
                <w:szCs w:val="22"/>
                <w:color w:val="auto"/>
              </w:rPr>
              <w:t>Purchase Commitments²</w:t>
            </w: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22,480</w:t>
            </w:r>
          </w:p>
        </w:tc>
        <w:tc>
          <w:tcPr>
            <w:tcW w:w="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22,480</w:t>
            </w:r>
          </w:p>
        </w:tc>
        <w:tc>
          <w:tcPr>
            <w:tcW w:w="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w:t>
            </w:r>
          </w:p>
        </w:tc>
      </w:tr>
      <w:tr>
        <w:trPr>
          <w:trHeight w:val="237"/>
        </w:trPr>
        <w:tc>
          <w:tcPr>
            <w:tcW w:w="3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Borders>
              <w:bottom w:val="single" w:sz="8" w:color="auto"/>
            </w:tcBorders>
          </w:tcPr>
          <w:p>
            <w:pPr>
              <w:jc w:val="right"/>
              <w:ind w:right="32"/>
              <w:spacing w:after="0" w:line="237" w:lineRule="exact"/>
              <w:rPr>
                <w:sz w:val="20"/>
                <w:szCs w:val="20"/>
                <w:color w:val="auto"/>
              </w:rPr>
            </w:pPr>
            <w:r>
              <w:rPr>
                <w:rFonts w:ascii="Arial" w:cs="Arial" w:eastAsia="Arial" w:hAnsi="Arial"/>
                <w:sz w:val="22"/>
                <w:szCs w:val="22"/>
                <w:color w:val="auto"/>
              </w:rPr>
              <w:t>$</w:t>
            </w:r>
          </w:p>
        </w:tc>
        <w:tc>
          <w:tcPr>
            <w:tcW w:w="1020" w:type="dxa"/>
            <w:vAlign w:val="bottom"/>
            <w:tcBorders>
              <w:bottom w:val="single" w:sz="8" w:color="auto"/>
            </w:tcBorders>
          </w:tcPr>
          <w:p>
            <w:pPr>
              <w:jc w:val="right"/>
              <w:ind w:right="12"/>
              <w:spacing w:after="0" w:line="237" w:lineRule="exact"/>
              <w:rPr>
                <w:sz w:val="20"/>
                <w:szCs w:val="20"/>
                <w:color w:val="auto"/>
              </w:rPr>
            </w:pPr>
            <w:r>
              <w:rPr>
                <w:rFonts w:ascii="Arial" w:cs="Arial" w:eastAsia="Arial" w:hAnsi="Arial"/>
                <w:sz w:val="22"/>
                <w:szCs w:val="22"/>
                <w:color w:val="auto"/>
              </w:rPr>
              <w:t>127,762</w:t>
            </w:r>
          </w:p>
        </w:tc>
        <w:tc>
          <w:tcPr>
            <w:tcW w:w="180" w:type="dxa"/>
            <w:vAlign w:val="bottom"/>
          </w:tcPr>
          <w:p>
            <w:pPr>
              <w:spacing w:after="0"/>
              <w:rPr>
                <w:sz w:val="20"/>
                <w:szCs w:val="20"/>
                <w:color w:val="auto"/>
              </w:rPr>
            </w:pPr>
          </w:p>
        </w:tc>
        <w:tc>
          <w:tcPr>
            <w:tcW w:w="24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w:t>
            </w:r>
          </w:p>
        </w:tc>
        <w:tc>
          <w:tcPr>
            <w:tcW w:w="1140" w:type="dxa"/>
            <w:vAlign w:val="bottom"/>
            <w:tcBorders>
              <w:bottom w:val="single" w:sz="8" w:color="auto"/>
            </w:tcBorders>
          </w:tcPr>
          <w:p>
            <w:pPr>
              <w:jc w:val="right"/>
              <w:ind w:right="12"/>
              <w:spacing w:after="0" w:line="237" w:lineRule="exact"/>
              <w:rPr>
                <w:sz w:val="20"/>
                <w:szCs w:val="20"/>
                <w:color w:val="auto"/>
              </w:rPr>
            </w:pPr>
            <w:r>
              <w:rPr>
                <w:rFonts w:ascii="Arial" w:cs="Arial" w:eastAsia="Arial" w:hAnsi="Arial"/>
                <w:sz w:val="22"/>
                <w:szCs w:val="22"/>
                <w:color w:val="auto"/>
              </w:rPr>
              <w:t>82,849</w:t>
            </w:r>
          </w:p>
        </w:tc>
        <w:tc>
          <w:tcPr>
            <w:tcW w:w="180" w:type="dxa"/>
            <w:vAlign w:val="bottom"/>
          </w:tcPr>
          <w:p>
            <w:pPr>
              <w:spacing w:after="0"/>
              <w:rPr>
                <w:sz w:val="20"/>
                <w:szCs w:val="20"/>
                <w:color w:val="auto"/>
              </w:rPr>
            </w:pPr>
          </w:p>
        </w:tc>
        <w:tc>
          <w:tcPr>
            <w:tcW w:w="340" w:type="dxa"/>
            <w:vAlign w:val="bottom"/>
            <w:tcBorders>
              <w:bottom w:val="single" w:sz="8" w:color="auto"/>
            </w:tcBorders>
          </w:tcPr>
          <w:p>
            <w:pPr>
              <w:jc w:val="right"/>
              <w:ind w:right="12"/>
              <w:spacing w:after="0" w:line="237" w:lineRule="exact"/>
              <w:rPr>
                <w:sz w:val="20"/>
                <w:szCs w:val="20"/>
                <w:color w:val="auto"/>
              </w:rPr>
            </w:pPr>
            <w:r>
              <w:rPr>
                <w:rFonts w:ascii="Arial" w:cs="Arial" w:eastAsia="Arial" w:hAnsi="Arial"/>
                <w:sz w:val="22"/>
                <w:szCs w:val="22"/>
                <w:color w:val="auto"/>
              </w:rPr>
              <w:t>$</w:t>
            </w:r>
          </w:p>
        </w:tc>
        <w:tc>
          <w:tcPr>
            <w:tcW w:w="1040" w:type="dxa"/>
            <w:vAlign w:val="bottom"/>
            <w:tcBorders>
              <w:bottom w:val="single" w:sz="8" w:color="auto"/>
            </w:tcBorders>
          </w:tcPr>
          <w:p>
            <w:pPr>
              <w:jc w:val="right"/>
              <w:ind w:right="32"/>
              <w:spacing w:after="0" w:line="237" w:lineRule="exact"/>
              <w:rPr>
                <w:sz w:val="20"/>
                <w:szCs w:val="20"/>
                <w:color w:val="auto"/>
              </w:rPr>
            </w:pPr>
            <w:r>
              <w:rPr>
                <w:rFonts w:ascii="Arial" w:cs="Arial" w:eastAsia="Arial" w:hAnsi="Arial"/>
                <w:sz w:val="22"/>
                <w:szCs w:val="22"/>
                <w:color w:val="auto"/>
              </w:rPr>
              <w:t>40,892</w:t>
            </w:r>
          </w:p>
        </w:tc>
        <w:tc>
          <w:tcPr>
            <w:tcW w:w="160" w:type="dxa"/>
            <w:vAlign w:val="bottom"/>
          </w:tcPr>
          <w:p>
            <w:pPr>
              <w:spacing w:after="0"/>
              <w:rPr>
                <w:sz w:val="20"/>
                <w:szCs w:val="20"/>
                <w:color w:val="auto"/>
              </w:rPr>
            </w:pPr>
          </w:p>
        </w:tc>
        <w:tc>
          <w:tcPr>
            <w:tcW w:w="32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w:t>
            </w:r>
          </w:p>
        </w:tc>
        <w:tc>
          <w:tcPr>
            <w:tcW w:w="1020" w:type="dxa"/>
            <w:vAlign w:val="bottom"/>
            <w:tcBorders>
              <w:bottom w:val="single" w:sz="8" w:color="auto"/>
            </w:tcBorders>
          </w:tcPr>
          <w:p>
            <w:pPr>
              <w:jc w:val="right"/>
              <w:ind w:right="12"/>
              <w:spacing w:after="0" w:line="237" w:lineRule="exact"/>
              <w:rPr>
                <w:sz w:val="20"/>
                <w:szCs w:val="20"/>
                <w:color w:val="auto"/>
              </w:rPr>
            </w:pPr>
            <w:r>
              <w:rPr>
                <w:rFonts w:ascii="Arial" w:cs="Arial" w:eastAsia="Arial" w:hAnsi="Arial"/>
                <w:sz w:val="22"/>
                <w:szCs w:val="22"/>
                <w:color w:val="auto"/>
              </w:rPr>
              <w:t>2,992</w:t>
            </w:r>
          </w:p>
        </w:tc>
        <w:tc>
          <w:tcPr>
            <w:tcW w:w="160" w:type="dxa"/>
            <w:vAlign w:val="bottom"/>
          </w:tcPr>
          <w:p>
            <w:pPr>
              <w:spacing w:after="0"/>
              <w:rPr>
                <w:sz w:val="20"/>
                <w:szCs w:val="20"/>
                <w:color w:val="auto"/>
              </w:rPr>
            </w:pPr>
          </w:p>
        </w:tc>
        <w:tc>
          <w:tcPr>
            <w:tcW w:w="24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w:t>
            </w:r>
          </w:p>
        </w:tc>
        <w:tc>
          <w:tcPr>
            <w:tcW w:w="1140" w:type="dxa"/>
            <w:vAlign w:val="bottom"/>
            <w:tcBorders>
              <w:bottom w:val="single" w:sz="8" w:color="auto"/>
            </w:tcBorders>
          </w:tcPr>
          <w:p>
            <w:pPr>
              <w:jc w:val="right"/>
              <w:ind w:right="32"/>
              <w:spacing w:after="0" w:line="237" w:lineRule="exact"/>
              <w:rPr>
                <w:sz w:val="20"/>
                <w:szCs w:val="20"/>
                <w:color w:val="auto"/>
              </w:rPr>
            </w:pPr>
            <w:r>
              <w:rPr>
                <w:rFonts w:ascii="Arial" w:cs="Arial" w:eastAsia="Arial" w:hAnsi="Arial"/>
                <w:sz w:val="22"/>
                <w:szCs w:val="22"/>
                <w:color w:val="auto"/>
              </w:rPr>
              <w:t>1,029</w:t>
            </w:r>
          </w:p>
        </w:tc>
      </w:tr>
      <w:tr>
        <w:trPr>
          <w:trHeight w:val="20"/>
        </w:trPr>
        <w:tc>
          <w:tcPr>
            <w:tcW w:w="3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¹Contractual obligations include our obligations related to sponsorships and other commitments.</w:t>
      </w:r>
    </w:p>
    <w:p>
      <w:pPr>
        <w:spacing w:after="0" w:line="104"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²Purchase commitments include obligations made by us and our subsidiaries to various suppliers for raw materials used in the production of our products. These obligations vary in terms, but are generally satisfied within one year.</w:t>
      </w:r>
    </w:p>
    <w:p>
      <w:pPr>
        <w:spacing w:after="0" w:line="18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In addition, approximately $0.9 million of unrecognized tax benefits have been recorded as liabilities as of March 31, 2015. It is expected that the amount of unrecognized tax benefits will not significantly change within the next 12 months. We have also recorded a liability for potential penalties and interest of $0.4 million as of March 31, 2015.</w:t>
      </w:r>
    </w:p>
    <w:p>
      <w:pPr>
        <w:spacing w:after="0" w:line="20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In April 2015, we entered into an agreement, subject to the attainment of requisite entitlements, to acquire approximately 56 acres of vacant land located in Jurupa Valley, CA for an estimated purchase price of $38.1 million. We plan to construct a new warehouse on such land, which will replace our existing leased warehouse space located in Corona, CA. We have deposited $0.5 million into escrow with the balance due at closing. There is no assurance we will be successful in obtaining the requisite entitlements.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Sales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discloses selected quarterly data regarding sales for the three-months ended March 31, 2015 and 2014, respectively.</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Data from any one or more quarters or periods is not necessarily indicative of annual results or continuing trends.</w:t>
      </w:r>
    </w:p>
    <w:p>
      <w:pPr>
        <w:spacing w:after="0" w:line="2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Sales of beverages are expressed in unit case volume. A “unit case” means a unit of measurement equal to 192 U.S. fluid ounces of finished beverage (24 eight-ounce servings). Unit case volume means the number of unit cases (or unit case equivalents) of beverages sold by us.</w:t>
      </w:r>
    </w:p>
    <w:p>
      <w:pPr>
        <w:spacing w:after="0" w:line="20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Our quarterly results of operations reflect seasonal trends that are primarily the result of increased demand in the warmer months of the year. It has been our experience that beverage sales tend to be lower during the first and fourth quarters of each calendar year. Because the primary historical market for our products is California, which has a year-long temperate climate, the effect of seasonal fluctuations on quarterly results may have been somewhat mitigated; however, such fluctuations may become more pronounced with the expansion of the distribution of our products outside of California. In addition, our experience with our energy drink products suggests they may be less seasonal than the seasonality expected from traditional beverages. Quarterly fluctuations may also be affected by other factors including the introduction of new products, the opening of new markets where temperature fluctuations are more pronounced, the addition of new bottlers, customers and distributors, changes in the sales mix of our products and changes in advertising and promotional expenses.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29" w:lineRule="exact"/>
        <w:rPr>
          <w:sz w:val="20"/>
          <w:szCs w:val="20"/>
          <w:color w:val="auto"/>
        </w:rPr>
      </w:pPr>
    </w:p>
    <w:tbl>
      <w:tblPr>
        <w:tblLayout w:type="fixed"/>
        <w:tblInd w:w="2280" w:type="dxa"/>
        <w:tblCellMar>
          <w:top w:w="0" w:type="dxa"/>
          <w:left w:w="0" w:type="dxa"/>
          <w:bottom w:w="0" w:type="dxa"/>
          <w:right w:w="0" w:type="dxa"/>
        </w:tblCellMar>
      </w:tblPr>
      <w:tr>
        <w:trPr>
          <w:trHeight w:val="250"/>
        </w:trPr>
        <w:tc>
          <w:tcPr>
            <w:tcW w:w="3380" w:type="dxa"/>
            <w:vAlign w:val="bottom"/>
            <w:gridSpan w:val="2"/>
          </w:tcPr>
          <w:p>
            <w:pPr>
              <w:spacing w:after="0"/>
              <w:rPr>
                <w:sz w:val="20"/>
                <w:szCs w:val="20"/>
                <w:color w:val="auto"/>
              </w:rPr>
            </w:pPr>
            <w:r>
              <w:rPr>
                <w:rFonts w:ascii="Arial" w:cs="Arial" w:eastAsia="Arial" w:hAnsi="Arial"/>
                <w:sz w:val="20"/>
                <w:szCs w:val="20"/>
                <w:color w:val="auto"/>
              </w:rPr>
              <w:t>(In thousands, except average</w:t>
            </w:r>
          </w:p>
        </w:tc>
        <w:tc>
          <w:tcPr>
            <w:tcW w:w="400" w:type="dxa"/>
            <w:vAlign w:val="bottom"/>
          </w:tcPr>
          <w:p>
            <w:pPr>
              <w:spacing w:after="0"/>
              <w:rPr>
                <w:sz w:val="21"/>
                <w:szCs w:val="21"/>
                <w:color w:val="auto"/>
              </w:rPr>
            </w:pPr>
          </w:p>
        </w:tc>
        <w:tc>
          <w:tcPr>
            <w:tcW w:w="2960" w:type="dxa"/>
            <w:vAlign w:val="bottom"/>
            <w:gridSpan w:val="4"/>
          </w:tcPr>
          <w:p>
            <w:pPr>
              <w:jc w:val="right"/>
              <w:ind w:right="741"/>
              <w:spacing w:after="0"/>
              <w:rPr>
                <w:sz w:val="20"/>
                <w:szCs w:val="20"/>
                <w:color w:val="auto"/>
              </w:rPr>
            </w:pPr>
            <w:r>
              <w:rPr>
                <w:rFonts w:ascii="Arial" w:cs="Arial" w:eastAsia="Arial" w:hAnsi="Arial"/>
                <w:sz w:val="20"/>
                <w:szCs w:val="20"/>
                <w:color w:val="auto"/>
              </w:rPr>
              <w:t>Three-Months Ended</w:t>
            </w:r>
          </w:p>
        </w:tc>
      </w:tr>
      <w:tr>
        <w:trPr>
          <w:trHeight w:val="266"/>
        </w:trPr>
        <w:tc>
          <w:tcPr>
            <w:tcW w:w="3380" w:type="dxa"/>
            <w:vAlign w:val="bottom"/>
            <w:gridSpan w:val="2"/>
          </w:tcPr>
          <w:p>
            <w:pPr>
              <w:ind w:left="180"/>
              <w:spacing w:after="0"/>
              <w:rPr>
                <w:sz w:val="20"/>
                <w:szCs w:val="20"/>
                <w:color w:val="auto"/>
              </w:rPr>
            </w:pPr>
            <w:r>
              <w:rPr>
                <w:rFonts w:ascii="Arial" w:cs="Arial" w:eastAsia="Arial" w:hAnsi="Arial"/>
                <w:sz w:val="20"/>
                <w:szCs w:val="20"/>
                <w:color w:val="auto"/>
              </w:rPr>
              <w:t>net sales per case)</w:t>
            </w:r>
          </w:p>
        </w:tc>
        <w:tc>
          <w:tcPr>
            <w:tcW w:w="400" w:type="dxa"/>
            <w:vAlign w:val="bottom"/>
          </w:tcPr>
          <w:p>
            <w:pPr>
              <w:spacing w:after="0"/>
              <w:rPr>
                <w:sz w:val="23"/>
                <w:szCs w:val="23"/>
                <w:color w:val="auto"/>
              </w:rPr>
            </w:pPr>
          </w:p>
        </w:tc>
        <w:tc>
          <w:tcPr>
            <w:tcW w:w="1820" w:type="dxa"/>
            <w:vAlign w:val="bottom"/>
            <w:gridSpan w:val="3"/>
          </w:tcPr>
          <w:p>
            <w:pPr>
              <w:jc w:val="right"/>
              <w:ind w:right="41"/>
              <w:spacing w:after="0"/>
              <w:rPr>
                <w:sz w:val="20"/>
                <w:szCs w:val="20"/>
                <w:color w:val="auto"/>
              </w:rPr>
            </w:pPr>
            <w:r>
              <w:rPr>
                <w:rFonts w:ascii="Arial" w:cs="Arial" w:eastAsia="Arial" w:hAnsi="Arial"/>
                <w:sz w:val="20"/>
                <w:szCs w:val="20"/>
                <w:color w:val="auto"/>
              </w:rPr>
              <w:t>March 31,</w:t>
            </w:r>
          </w:p>
        </w:tc>
        <w:tc>
          <w:tcPr>
            <w:tcW w:w="1140" w:type="dxa"/>
            <w:vAlign w:val="bottom"/>
          </w:tcPr>
          <w:p>
            <w:pPr>
              <w:spacing w:after="0"/>
              <w:rPr>
                <w:sz w:val="23"/>
                <w:szCs w:val="23"/>
                <w:color w:val="auto"/>
              </w:rPr>
            </w:pPr>
          </w:p>
        </w:tc>
      </w:tr>
      <w:tr>
        <w:trPr>
          <w:trHeight w:val="223"/>
        </w:trPr>
        <w:tc>
          <w:tcPr>
            <w:tcW w:w="31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01"/>
              <w:spacing w:after="0" w:line="223" w:lineRule="exact"/>
              <w:rPr>
                <w:sz w:val="20"/>
                <w:szCs w:val="20"/>
                <w:color w:val="auto"/>
              </w:rPr>
            </w:pPr>
            <w:r>
              <w:rPr>
                <w:rFonts w:ascii="Arial" w:cs="Arial" w:eastAsia="Arial" w:hAnsi="Arial"/>
                <w:sz w:val="20"/>
                <w:szCs w:val="20"/>
                <w:color w:val="auto"/>
              </w:rPr>
              <w:t>2015</w:t>
            </w:r>
          </w:p>
        </w:tc>
        <w:tc>
          <w:tcPr>
            <w:tcW w:w="160" w:type="dxa"/>
            <w:vAlign w:val="bottom"/>
            <w:tcBorders>
              <w:top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501"/>
              <w:spacing w:after="0" w:line="223" w:lineRule="exact"/>
              <w:rPr>
                <w:sz w:val="20"/>
                <w:szCs w:val="20"/>
                <w:color w:val="auto"/>
              </w:rPr>
            </w:pPr>
            <w:r>
              <w:rPr>
                <w:rFonts w:ascii="Arial" w:cs="Arial" w:eastAsia="Arial" w:hAnsi="Arial"/>
                <w:sz w:val="20"/>
                <w:szCs w:val="20"/>
                <w:color w:val="auto"/>
              </w:rPr>
              <w:t>2014</w:t>
            </w:r>
          </w:p>
        </w:tc>
      </w:tr>
      <w:tr>
        <w:trPr>
          <w:trHeight w:val="457"/>
        </w:trPr>
        <w:tc>
          <w:tcPr>
            <w:tcW w:w="3380" w:type="dxa"/>
            <w:vAlign w:val="bottom"/>
            <w:gridSpan w:val="2"/>
          </w:tcPr>
          <w:p>
            <w:pPr>
              <w:spacing w:after="0"/>
              <w:rPr>
                <w:sz w:val="20"/>
                <w:szCs w:val="20"/>
                <w:color w:val="auto"/>
              </w:rPr>
            </w:pPr>
            <w:r>
              <w:rPr>
                <w:rFonts w:ascii="Arial" w:cs="Arial" w:eastAsia="Arial" w:hAnsi="Arial"/>
                <w:sz w:val="20"/>
                <w:szCs w:val="20"/>
                <w:color w:val="auto"/>
              </w:rPr>
              <w:t>Net sales¹</w:t>
            </w:r>
          </w:p>
        </w:tc>
        <w:tc>
          <w:tcPr>
            <w:tcW w:w="40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626,791</w:t>
            </w:r>
          </w:p>
        </w:tc>
        <w:tc>
          <w:tcPr>
            <w:tcW w:w="160" w:type="dxa"/>
            <w:vAlign w:val="bottom"/>
          </w:tcPr>
          <w:p>
            <w:pPr>
              <w:spacing w:after="0"/>
              <w:rPr>
                <w:sz w:val="24"/>
                <w:szCs w:val="24"/>
                <w:color w:val="auto"/>
              </w:rPr>
            </w:pPr>
          </w:p>
        </w:tc>
        <w:tc>
          <w:tcPr>
            <w:tcW w:w="46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41"/>
              <w:spacing w:after="0"/>
              <w:rPr>
                <w:sz w:val="20"/>
                <w:szCs w:val="20"/>
                <w:color w:val="auto"/>
              </w:rPr>
            </w:pPr>
            <w:r>
              <w:rPr>
                <w:rFonts w:ascii="Arial" w:cs="Arial" w:eastAsia="Arial" w:hAnsi="Arial"/>
                <w:sz w:val="20"/>
                <w:szCs w:val="20"/>
                <w:color w:val="auto"/>
              </w:rPr>
              <w:t>536,129</w:t>
            </w:r>
          </w:p>
        </w:tc>
      </w:tr>
      <w:tr>
        <w:trPr>
          <w:trHeight w:val="249"/>
        </w:trPr>
        <w:tc>
          <w:tcPr>
            <w:tcW w:w="3380" w:type="dxa"/>
            <w:vAlign w:val="bottom"/>
            <w:gridSpan w:val="2"/>
          </w:tcPr>
          <w:p>
            <w:pPr>
              <w:spacing w:after="0"/>
              <w:rPr>
                <w:sz w:val="20"/>
                <w:szCs w:val="20"/>
                <w:color w:val="auto"/>
              </w:rPr>
            </w:pPr>
            <w:r>
              <w:rPr>
                <w:rFonts w:ascii="Arial" w:cs="Arial" w:eastAsia="Arial" w:hAnsi="Arial"/>
                <w:sz w:val="20"/>
                <w:szCs w:val="20"/>
                <w:color w:val="auto"/>
              </w:rPr>
              <w:t>Case sales (192-ounce case</w:t>
            </w: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6"/>
        </w:trPr>
        <w:tc>
          <w:tcPr>
            <w:tcW w:w="3380" w:type="dxa"/>
            <w:vAlign w:val="bottom"/>
            <w:gridSpan w:val="2"/>
          </w:tcPr>
          <w:p>
            <w:pPr>
              <w:ind w:left="180"/>
              <w:spacing w:after="0"/>
              <w:rPr>
                <w:sz w:val="20"/>
                <w:szCs w:val="20"/>
                <w:color w:val="auto"/>
              </w:rPr>
            </w:pPr>
            <w:r>
              <w:rPr>
                <w:rFonts w:ascii="Arial" w:cs="Arial" w:eastAsia="Arial" w:hAnsi="Arial"/>
                <w:sz w:val="20"/>
                <w:szCs w:val="20"/>
                <w:color w:val="auto"/>
              </w:rPr>
              <w:t>equivalents)</w:t>
            </w:r>
          </w:p>
        </w:tc>
        <w:tc>
          <w:tcPr>
            <w:tcW w:w="4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57,779</w:t>
            </w:r>
          </w:p>
        </w:tc>
        <w:tc>
          <w:tcPr>
            <w:tcW w:w="16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51,926</w:t>
            </w:r>
          </w:p>
        </w:tc>
      </w:tr>
      <w:tr>
        <w:trPr>
          <w:trHeight w:val="223"/>
        </w:trPr>
        <w:tc>
          <w:tcPr>
            <w:tcW w:w="3380" w:type="dxa"/>
            <w:vAlign w:val="bottom"/>
            <w:gridSpan w:val="2"/>
          </w:tcPr>
          <w:p>
            <w:pPr>
              <w:spacing w:after="0" w:line="223" w:lineRule="exact"/>
              <w:rPr>
                <w:sz w:val="20"/>
                <w:szCs w:val="20"/>
                <w:color w:val="auto"/>
              </w:rPr>
            </w:pPr>
            <w:r>
              <w:rPr>
                <w:rFonts w:ascii="Arial" w:cs="Arial" w:eastAsia="Arial" w:hAnsi="Arial"/>
                <w:sz w:val="20"/>
                <w:szCs w:val="20"/>
                <w:color w:val="auto"/>
              </w:rPr>
              <w:t>Average net sales per case</w:t>
            </w:r>
          </w:p>
        </w:tc>
        <w:tc>
          <w:tcPr>
            <w:tcW w:w="400" w:type="dxa"/>
            <w:vAlign w:val="bottom"/>
            <w:tcBorders>
              <w:bottom w:val="single" w:sz="8" w:color="auto"/>
            </w:tcBorders>
          </w:tcPr>
          <w:p>
            <w:pPr>
              <w:jc w:val="right"/>
              <w:ind w:right="101"/>
              <w:spacing w:after="0" w:line="223" w:lineRule="exact"/>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10.85</w:t>
            </w:r>
          </w:p>
        </w:tc>
        <w:tc>
          <w:tcPr>
            <w:tcW w:w="160" w:type="dxa"/>
            <w:vAlign w:val="bottom"/>
          </w:tcPr>
          <w:p>
            <w:pPr>
              <w:spacing w:after="0"/>
              <w:rPr>
                <w:sz w:val="19"/>
                <w:szCs w:val="19"/>
                <w:color w:val="auto"/>
              </w:rPr>
            </w:pPr>
          </w:p>
        </w:tc>
        <w:tc>
          <w:tcPr>
            <w:tcW w:w="460" w:type="dxa"/>
            <w:vAlign w:val="bottom"/>
            <w:tcBorders>
              <w:bottom w:val="single" w:sz="8" w:color="auto"/>
            </w:tcBorders>
          </w:tcPr>
          <w:p>
            <w:pPr>
              <w:jc w:val="right"/>
              <w:ind w:right="161"/>
              <w:spacing w:after="0" w:line="223" w:lineRule="exact"/>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10.32</w:t>
            </w:r>
          </w:p>
        </w:tc>
      </w:tr>
      <w:tr>
        <w:trPr>
          <w:trHeight w:val="20"/>
        </w:trPr>
        <w:tc>
          <w:tcPr>
            <w:tcW w:w="3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right="60" w:firstLine="648"/>
        <w:spacing w:after="0" w:line="273" w:lineRule="auto"/>
        <w:rPr>
          <w:sz w:val="20"/>
          <w:szCs w:val="20"/>
          <w:color w:val="auto"/>
        </w:rPr>
      </w:pPr>
      <w:r>
        <w:rPr>
          <w:rFonts w:ascii="Arial" w:cs="Arial" w:eastAsia="Arial" w:hAnsi="Arial"/>
          <w:sz w:val="16"/>
          <w:szCs w:val="16"/>
          <w:i w:val="1"/>
          <w:iCs w:val="1"/>
          <w:color w:val="auto"/>
        </w:rPr>
        <w:t>¹Includes $39.8 million for the three-months ended March 31, 2015, related to the accelerated amortization of the deferred revenue balances associated with certain of the Company’s prior distributors who were sent notices of termination during the first quarter of 2015. Excluding the acceleration of deferred revenue, the average net sales price per case decreased to $10.16 for the three-months ended March 31, 2015, which was 1.6% lower than the average net sales per case of $10.32 for the three-months ended March 31, 2014.</w:t>
      </w:r>
    </w:p>
    <w:p>
      <w:pPr>
        <w:spacing w:after="0" w:line="196" w:lineRule="exact"/>
        <w:rPr>
          <w:sz w:val="20"/>
          <w:szCs w:val="20"/>
          <w:color w:val="auto"/>
        </w:rPr>
      </w:pPr>
    </w:p>
    <w:p>
      <w:pPr>
        <w:ind w:right="200" w:firstLine="648"/>
        <w:spacing w:after="0" w:line="260" w:lineRule="auto"/>
        <w:rPr>
          <w:sz w:val="20"/>
          <w:szCs w:val="20"/>
          <w:color w:val="auto"/>
        </w:rPr>
      </w:pPr>
      <w:r>
        <w:rPr>
          <w:rFonts w:ascii="Arial" w:cs="Arial" w:eastAsia="Arial" w:hAnsi="Arial"/>
          <w:sz w:val="20"/>
          <w:szCs w:val="20"/>
          <w:color w:val="auto"/>
        </w:rPr>
        <w:t>See Item 2, “Management’s Discussion and Analysis of Financial Condition and Results of Operations - Our Business” for additional information related to the increase in sales.</w:t>
      </w:r>
    </w:p>
    <w:p>
      <w:pPr>
        <w:sectPr>
          <w:pgSz w:w="11900" w:h="16838" w:orient="portrait"/>
          <w:cols w:equalWidth="0" w:num="1">
            <w:col w:w="11420"/>
          </w:cols>
          <w:pgMar w:left="240" w:top="514" w:right="239" w:bottom="0" w:gutter="0" w:footer="0" w:header="0"/>
        </w:sectPr>
      </w:pPr>
    </w:p>
    <w:bookmarkStart w:id="27" w:name="page28"/>
    <w:bookmarkEnd w:id="27"/>
    <w:p>
      <w:pPr>
        <w:spacing w:after="0" w:line="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w:t>
      </w:r>
    </w:p>
    <w:p>
      <w:pPr>
        <w:spacing w:after="0" w:line="23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There have been no material changes to our critical accounting policies from the information provided in Item 7, “Management’s Discussion and Analysis of Financial Condition and Results of Operations”, included in our Form 10-K for the fiscal year ended December 31, 2014.</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Accounting Pronouncements</w:t>
      </w:r>
    </w:p>
    <w:p>
      <w:pPr>
        <w:spacing w:after="0" w:line="235" w:lineRule="exact"/>
        <w:rPr>
          <w:sz w:val="20"/>
          <w:szCs w:val="20"/>
          <w:color w:val="auto"/>
        </w:rPr>
      </w:pPr>
    </w:p>
    <w:p>
      <w:pPr>
        <w:jc w:val="both"/>
        <w:ind w:firstLine="441"/>
        <w:spacing w:after="0" w:line="244" w:lineRule="auto"/>
        <w:rPr>
          <w:sz w:val="20"/>
          <w:szCs w:val="20"/>
          <w:color w:val="auto"/>
        </w:rPr>
      </w:pPr>
      <w:r>
        <w:rPr>
          <w:rFonts w:ascii="Arial" w:cs="Arial" w:eastAsia="Arial" w:hAnsi="Arial"/>
          <w:sz w:val="20"/>
          <w:szCs w:val="20"/>
          <w:color w:val="auto"/>
        </w:rPr>
        <w:t>In September 2014, the Company elected to early adopt FASB ASU No. 2014-08, “Presentation of Financial Statements and Property, Plant, and Equipment - Reporting Discontinued Operations and Disclosures of Disposals of Components of an Entity”. ASU 2014-08 provides new guidance related to the definition of a discontinued operation and requires new disclosures of both discontinued operations and certain other disposals that do not meet the definition of a discontinued operation. The adoption of ASU 2014-08 did not have a material impact on the Company’s financial position, results of operations or liquidity.</w:t>
      </w:r>
    </w:p>
    <w:p>
      <w:pPr>
        <w:spacing w:after="0" w:line="208"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9"/>
          <w:szCs w:val="19"/>
          <w:color w:val="auto"/>
        </w:rPr>
        <w:t>In June 2014, the Financial Accounting Standards Board (the “FASB”) issued Accounting Standards Update (“ASU”) No. 2014-12, “Compensation—Stock Compensation (Topic 718): Accounting for Share-Based Payments When the Terms of an Award Provide That a Performance Target Could Be Achieved after the Requisite Service Period (a consensus of the FASB Emerging Issues Task Force)”. ASU 2014-12 clarifies that a performance target that affects vesting and that could be achieved after the requisite service period be treated as a performance condition. A reporting entity should apply existing guidance in Topic 718 as it relates to awards with performance conditions that affect vesting to account for such awards. As such, the performance target should not be reflected in estimating the grant-date fair value of the award. Compensation cost should be recognized in the period in which it becomes probable that the performance target will be achieved and should represent the compensation cost attributable to the period(s) for which the requisite service has already been rendered. ASU 2014-12 is effective for annual periods, and interim periods within those years, beginning after December 15, 2015. Early adoption is permitted. ASU 2014-12 may be applied either (a) prospectively to all awards granted or modified after the effective date or (b) retrospectively to all awards with performance targets that are outstanding as of the beginning of the earliest annual period presented in the financial statements and to all new or modified awards thereafter. The adoption of ASU 2014-12 is not expected to have a material impact on the Company’s financial position, results of operations or liquidity.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In May 2014, the FASB issued ASU No. 2014-09, “Revenue from Contracts with Customers”, which supersedes previous revenue recognition guidance. ASU 2014-09 requires that a company recognize revenue at an amount that reflects the consideration to which the company expects to be entitled in exchange for transferring goods or services to a customer. In applying the new guidance, a company will</w:t>
      </w:r>
    </w:p>
    <w:p>
      <w:pPr>
        <w:spacing w:after="0" w:line="1" w:lineRule="exact"/>
        <w:rPr>
          <w:sz w:val="20"/>
          <w:szCs w:val="20"/>
          <w:color w:val="auto"/>
        </w:rPr>
      </w:pPr>
    </w:p>
    <w:p>
      <w:pPr>
        <w:ind w:left="320" w:hanging="312"/>
        <w:spacing w:after="0"/>
        <w:tabs>
          <w:tab w:leader="none" w:pos="320" w:val="left"/>
        </w:tabs>
        <w:numPr>
          <w:ilvl w:val="0"/>
          <w:numId w:val="30"/>
        </w:numPr>
        <w:rPr>
          <w:rFonts w:ascii="Arial" w:cs="Arial" w:eastAsia="Arial" w:hAnsi="Arial"/>
          <w:sz w:val="19"/>
          <w:szCs w:val="19"/>
          <w:color w:val="auto"/>
        </w:rPr>
      </w:pPr>
      <w:r>
        <w:rPr>
          <w:rFonts w:ascii="Arial" w:cs="Arial" w:eastAsia="Arial" w:hAnsi="Arial"/>
          <w:sz w:val="19"/>
          <w:szCs w:val="19"/>
          <w:color w:val="auto"/>
        </w:rPr>
        <w:t>identify the contract(s) with a customer; (2) identify the performance obligations in the contract; (3) determine the transaction price;</w:t>
      </w:r>
    </w:p>
    <w:p>
      <w:pPr>
        <w:spacing w:after="0" w:line="11" w:lineRule="exact"/>
        <w:rPr>
          <w:rFonts w:ascii="Arial" w:cs="Arial" w:eastAsia="Arial" w:hAnsi="Arial"/>
          <w:sz w:val="19"/>
          <w:szCs w:val="19"/>
          <w:color w:val="auto"/>
        </w:rPr>
      </w:pPr>
    </w:p>
    <w:p>
      <w:pPr>
        <w:jc w:val="both"/>
        <w:ind w:firstLine="8"/>
        <w:spacing w:after="0" w:line="241" w:lineRule="auto"/>
        <w:tabs>
          <w:tab w:leader="none" w:pos="317" w:val="left"/>
        </w:tabs>
        <w:numPr>
          <w:ilvl w:val="0"/>
          <w:numId w:val="31"/>
        </w:numPr>
        <w:rPr>
          <w:rFonts w:ascii="Arial" w:cs="Arial" w:eastAsia="Arial" w:hAnsi="Arial"/>
          <w:sz w:val="20"/>
          <w:szCs w:val="20"/>
          <w:color w:val="auto"/>
        </w:rPr>
      </w:pPr>
      <w:r>
        <w:rPr>
          <w:rFonts w:ascii="Arial" w:cs="Arial" w:eastAsia="Arial" w:hAnsi="Arial"/>
          <w:sz w:val="20"/>
          <w:szCs w:val="20"/>
          <w:color w:val="auto"/>
        </w:rPr>
        <w:t>allocate the transaction price to the contract’s performance obligations; and (5) recognize revenue when (or as) the entity satisfies a performance obligation. ASU 2014-09 is effective for reporting periods beginning after December 15, 2016 and can be adopted using either a full retrospective or modified approach. The Company is currently evaluating the impact of ASU 2014-09 on its financial position, results of operations and liquidity.</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Inflation</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We believe inflation did not have a significant impact on our results of operations for the periods presented.</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3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Certain statements made in this report may constitute forward-looking statements (within the meaning of Section 27A of the Securities Act of 1933, as amended, and Section 21E of the Securities Exchange Act of 1934, as amended) (the “Exchange Act”) regarding the expectations of management with respect to revenues, profitability, adequacy of funds from operations and our existing credit facility, among other things. All statements containing a projection of revenues, income (loss), earnings (loss) per share, capital expenditures, dividends, capital structure or other financial items, a statement of management’s plans and objectives for future operations, or a statement of future economic performance contained in management’s discussion and analysis of financial condition and results of operations, including statements related to new products, volume growth and statements encompassing general optimism about future operating results and non-historical information, are forward-looking statements within the meaning of the Act. Without limiting the foregoing, the words “believes,” “thinks,” “anticipates,” “plans,” “expects,” and similar expressions are intended to identify forward-looking statements.</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Management cautions that these statements are qualified by their terms and/or important factors, many of which are outside our control, involve a number of risks, uncertainties and other factors, that could cause actual results and events to differ materially from the statements made including, but not limited to, the following:</w:t>
      </w:r>
    </w:p>
    <w:p>
      <w:pPr>
        <w:spacing w:after="0" w:line="200" w:lineRule="exact"/>
        <w:rPr>
          <w:sz w:val="20"/>
          <w:szCs w:val="20"/>
          <w:color w:val="auto"/>
        </w:rPr>
      </w:pPr>
    </w:p>
    <w:p>
      <w:pPr>
        <w:ind w:left="500" w:hanging="492"/>
        <w:spacing w:after="0"/>
        <w:tabs>
          <w:tab w:leader="none" w:pos="500" w:val="left"/>
        </w:tabs>
        <w:numPr>
          <w:ilvl w:val="0"/>
          <w:numId w:val="32"/>
        </w:numPr>
        <w:rPr>
          <w:rFonts w:ascii="Arial" w:cs="Arial" w:eastAsia="Arial" w:hAnsi="Arial"/>
          <w:sz w:val="20"/>
          <w:szCs w:val="20"/>
          <w:color w:val="auto"/>
        </w:rPr>
      </w:pPr>
      <w:r>
        <w:rPr>
          <w:rFonts w:ascii="Arial" w:cs="Arial" w:eastAsia="Arial" w:hAnsi="Arial"/>
          <w:sz w:val="20"/>
          <w:szCs w:val="20"/>
          <w:color w:val="auto"/>
        </w:rPr>
        <w:t>Our ability to consummate the TCCC Transaction or recognize any benefits from the TCCC Transaction;</w:t>
      </w:r>
    </w:p>
    <w:p>
      <w:pPr>
        <w:spacing w:after="0" w:line="15" w:lineRule="exact"/>
        <w:rPr>
          <w:rFonts w:ascii="Arial" w:cs="Arial" w:eastAsia="Arial" w:hAnsi="Arial"/>
          <w:sz w:val="20"/>
          <w:szCs w:val="20"/>
          <w:color w:val="auto"/>
        </w:rPr>
      </w:pPr>
    </w:p>
    <w:p>
      <w:pPr>
        <w:ind w:left="500" w:hanging="492"/>
        <w:spacing w:after="0"/>
        <w:tabs>
          <w:tab w:leader="none" w:pos="500" w:val="left"/>
        </w:tabs>
        <w:numPr>
          <w:ilvl w:val="0"/>
          <w:numId w:val="32"/>
        </w:numPr>
        <w:rPr>
          <w:rFonts w:ascii="Arial" w:cs="Arial" w:eastAsia="Arial" w:hAnsi="Arial"/>
          <w:sz w:val="19"/>
          <w:szCs w:val="19"/>
          <w:color w:val="auto"/>
        </w:rPr>
      </w:pPr>
      <w:r>
        <w:rPr>
          <w:rFonts w:ascii="Arial" w:cs="Arial" w:eastAsia="Arial" w:hAnsi="Arial"/>
          <w:sz w:val="19"/>
          <w:szCs w:val="19"/>
          <w:color w:val="auto"/>
        </w:rPr>
        <w:t>Following the TCCC Transaction, the effect of our extensive commercial arrangements with TCCC on our future performance;</w:t>
      </w:r>
    </w:p>
    <w:p>
      <w:pPr>
        <w:spacing w:after="0" w:line="11" w:lineRule="exact"/>
        <w:rPr>
          <w:rFonts w:ascii="Arial" w:cs="Arial" w:eastAsia="Arial" w:hAnsi="Arial"/>
          <w:sz w:val="19"/>
          <w:szCs w:val="19"/>
          <w:color w:val="auto"/>
        </w:rPr>
      </w:pPr>
    </w:p>
    <w:p>
      <w:pPr>
        <w:ind w:left="500" w:hanging="492"/>
        <w:spacing w:after="0" w:line="239" w:lineRule="auto"/>
        <w:tabs>
          <w:tab w:leader="none" w:pos="500" w:val="left"/>
        </w:tabs>
        <w:numPr>
          <w:ilvl w:val="0"/>
          <w:numId w:val="32"/>
        </w:numPr>
        <w:rPr>
          <w:rFonts w:ascii="Arial" w:cs="Arial" w:eastAsia="Arial" w:hAnsi="Arial"/>
          <w:sz w:val="20"/>
          <w:szCs w:val="20"/>
          <w:color w:val="auto"/>
        </w:rPr>
      </w:pPr>
      <w:r>
        <w:rPr>
          <w:rFonts w:ascii="Arial" w:cs="Arial" w:eastAsia="Arial" w:hAnsi="Arial"/>
          <w:sz w:val="20"/>
          <w:szCs w:val="20"/>
          <w:color w:val="auto"/>
        </w:rPr>
        <w:t>Following the TCCC Transaction, the effect of TCCC becoming one of our significant shareholders and the potential divergence of TCCC’s interests from those of our other shareholders;</w:t>
      </w:r>
    </w:p>
    <w:p>
      <w:pPr>
        <w:spacing w:after="0" w:line="1" w:lineRule="exact"/>
        <w:rPr>
          <w:rFonts w:ascii="Arial" w:cs="Arial" w:eastAsia="Arial" w:hAnsi="Arial"/>
          <w:sz w:val="20"/>
          <w:szCs w:val="20"/>
          <w:color w:val="auto"/>
        </w:rPr>
      </w:pPr>
    </w:p>
    <w:p>
      <w:pPr>
        <w:ind w:left="500" w:hanging="492"/>
        <w:spacing w:after="0" w:line="239" w:lineRule="auto"/>
        <w:tabs>
          <w:tab w:leader="none" w:pos="500" w:val="left"/>
        </w:tabs>
        <w:numPr>
          <w:ilvl w:val="0"/>
          <w:numId w:val="32"/>
        </w:numPr>
        <w:rPr>
          <w:rFonts w:ascii="Arial" w:cs="Arial" w:eastAsia="Arial" w:hAnsi="Arial"/>
          <w:sz w:val="20"/>
          <w:szCs w:val="20"/>
          <w:color w:val="auto"/>
        </w:rPr>
      </w:pPr>
      <w:r>
        <w:rPr>
          <w:rFonts w:ascii="Arial" w:cs="Arial" w:eastAsia="Arial" w:hAnsi="Arial"/>
          <w:sz w:val="20"/>
          <w:szCs w:val="20"/>
          <w:color w:val="auto"/>
        </w:rPr>
        <w:t>Disruption in distribution or sales and/or decline in sales due to the termination and/or appointment of existing and/or new domestic and/or international distributors;</w:t>
      </w:r>
    </w:p>
    <w:p>
      <w:pPr>
        <w:spacing w:after="0" w:line="1" w:lineRule="exact"/>
        <w:rPr>
          <w:rFonts w:ascii="Arial" w:cs="Arial" w:eastAsia="Arial" w:hAnsi="Arial"/>
          <w:sz w:val="20"/>
          <w:szCs w:val="20"/>
          <w:color w:val="auto"/>
        </w:rPr>
      </w:pPr>
    </w:p>
    <w:p>
      <w:pPr>
        <w:ind w:left="500" w:hanging="492"/>
        <w:spacing w:after="0"/>
        <w:tabs>
          <w:tab w:leader="none" w:pos="500" w:val="left"/>
        </w:tabs>
        <w:numPr>
          <w:ilvl w:val="0"/>
          <w:numId w:val="32"/>
        </w:numPr>
        <w:rPr>
          <w:rFonts w:ascii="Arial" w:cs="Arial" w:eastAsia="Arial" w:hAnsi="Arial"/>
          <w:sz w:val="20"/>
          <w:szCs w:val="20"/>
          <w:color w:val="auto"/>
        </w:rPr>
      </w:pPr>
      <w:r>
        <w:rPr>
          <w:rFonts w:ascii="Arial" w:cs="Arial" w:eastAsia="Arial" w:hAnsi="Arial"/>
          <w:sz w:val="20"/>
          <w:szCs w:val="20"/>
          <w:color w:val="auto"/>
        </w:rPr>
        <w:t>Lack of anticipated demand for our products in international markets;</w:t>
      </w:r>
    </w:p>
    <w:p>
      <w:pPr>
        <w:ind w:left="500" w:hanging="492"/>
        <w:spacing w:after="0"/>
        <w:tabs>
          <w:tab w:leader="none" w:pos="500" w:val="left"/>
        </w:tabs>
        <w:numPr>
          <w:ilvl w:val="0"/>
          <w:numId w:val="32"/>
        </w:numPr>
        <w:rPr>
          <w:rFonts w:ascii="Arial" w:cs="Arial" w:eastAsia="Arial" w:hAnsi="Arial"/>
          <w:sz w:val="20"/>
          <w:szCs w:val="20"/>
          <w:color w:val="auto"/>
        </w:rPr>
      </w:pPr>
      <w:r>
        <w:rPr>
          <w:rFonts w:ascii="Arial" w:cs="Arial" w:eastAsia="Arial" w:hAnsi="Arial"/>
          <w:sz w:val="20"/>
          <w:szCs w:val="20"/>
          <w:color w:val="auto"/>
        </w:rPr>
        <w:t>Unfavorable regulations, including taxation requirements, product registration requirements, tariffs and/or trade restrictions;</w:t>
      </w:r>
    </w:p>
    <w:p>
      <w:pPr>
        <w:jc w:val="both"/>
        <w:ind w:left="500" w:hanging="492"/>
        <w:spacing w:after="0" w:line="269" w:lineRule="auto"/>
        <w:tabs>
          <w:tab w:leader="none" w:pos="500"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 effect of inquiries from and/or actions by state attorneys general, the Federal Trade Commission (the “FTC”), the FDA, municipalities or city attorneys and/or other government agencies and/or quasi-government agencies and/or government officials,</w:t>
      </w:r>
    </w:p>
    <w:p>
      <w:pPr>
        <w:sectPr>
          <w:pgSz w:w="11900" w:h="16900" w:orient="portrait"/>
          <w:cols w:equalWidth="0" w:num="1">
            <w:col w:w="11420"/>
          </w:cols>
          <w:pgMar w:left="240" w:top="115" w:right="239" w:bottom="0" w:gutter="0" w:footer="0" w:header="0"/>
        </w:sectPr>
      </w:pPr>
    </w:p>
    <w:bookmarkStart w:id="28" w:name="page29"/>
    <w:bookmarkEnd w:id="28"/>
    <w:p>
      <w:pPr>
        <w:spacing w:after="0" w:line="35" w:lineRule="exact"/>
        <w:rPr>
          <w:sz w:val="20"/>
          <w:szCs w:val="20"/>
          <w:color w:val="auto"/>
        </w:rPr>
      </w:pPr>
    </w:p>
    <w:p>
      <w:pPr>
        <w:ind w:left="500"/>
        <w:spacing w:after="0" w:line="248" w:lineRule="auto"/>
        <w:rPr>
          <w:sz w:val="20"/>
          <w:szCs w:val="20"/>
          <w:color w:val="auto"/>
        </w:rPr>
      </w:pPr>
      <w:r>
        <w:rPr>
          <w:rFonts w:ascii="Arial" w:cs="Arial" w:eastAsia="Arial" w:hAnsi="Arial"/>
          <w:sz w:val="20"/>
          <w:szCs w:val="20"/>
          <w:color w:val="auto"/>
        </w:rPr>
        <w:t>including members of Congress, into the advertising, marketing, promotion, ingredients, sale and/or consumption of our energy drink products, including voluntary changes to our business practices;</w:t>
      </w:r>
    </w:p>
    <w:p>
      <w:pPr>
        <w:spacing w:after="0" w:line="1" w:lineRule="exact"/>
        <w:rPr>
          <w:sz w:val="20"/>
          <w:szCs w:val="20"/>
          <w:color w:val="auto"/>
        </w:rPr>
      </w:pPr>
    </w:p>
    <w:p>
      <w:pPr>
        <w:ind w:left="500" w:hanging="492"/>
        <w:spacing w:after="0"/>
        <w:tabs>
          <w:tab w:leader="none" w:pos="500" w:val="left"/>
        </w:tabs>
        <w:numPr>
          <w:ilvl w:val="0"/>
          <w:numId w:val="33"/>
        </w:numPr>
        <w:rPr>
          <w:rFonts w:ascii="Arial" w:cs="Arial" w:eastAsia="Arial" w:hAnsi="Arial"/>
          <w:sz w:val="20"/>
          <w:szCs w:val="20"/>
          <w:color w:val="auto"/>
        </w:rPr>
      </w:pPr>
      <w:r>
        <w:rPr>
          <w:rFonts w:ascii="Arial" w:cs="Arial" w:eastAsia="Arial" w:hAnsi="Arial"/>
          <w:sz w:val="20"/>
          <w:szCs w:val="20"/>
          <w:color w:val="auto"/>
        </w:rPr>
        <w:t>Our ability to achieve profitability from our operations outside the United States;</w:t>
      </w:r>
    </w:p>
    <w:p>
      <w:pPr>
        <w:ind w:left="500" w:hanging="492"/>
        <w:spacing w:after="0" w:line="269" w:lineRule="auto"/>
        <w:tabs>
          <w:tab w:leader="none" w:pos="500" w:val="left"/>
        </w:tabs>
        <w:numPr>
          <w:ilvl w:val="0"/>
          <w:numId w:val="33"/>
        </w:numPr>
        <w:rPr>
          <w:rFonts w:ascii="Arial" w:cs="Arial" w:eastAsia="Arial" w:hAnsi="Arial"/>
          <w:sz w:val="19"/>
          <w:szCs w:val="19"/>
          <w:color w:val="auto"/>
        </w:rPr>
      </w:pPr>
      <w:r>
        <w:rPr>
          <w:rFonts w:ascii="Arial" w:cs="Arial" w:eastAsia="Arial" w:hAnsi="Arial"/>
          <w:sz w:val="19"/>
          <w:szCs w:val="19"/>
          <w:color w:val="auto"/>
        </w:rPr>
        <w:t>Our ability to manage legal and regulatory requirements in foreign jurisdictions, potential difficulties in staffing and managing foreign operations, potentially higher incidence of fraud or corruption and credit risk of foreign customers and distributors;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6" w:lineRule="exact"/>
        <w:rPr>
          <w:sz w:val="20"/>
          <w:szCs w:val="20"/>
          <w:color w:val="auto"/>
        </w:rPr>
      </w:pPr>
    </w:p>
    <w:p>
      <w:pPr>
        <w:ind w:left="500" w:hanging="492"/>
        <w:spacing w:after="0" w:line="247" w:lineRule="auto"/>
        <w:tabs>
          <w:tab w:leader="none" w:pos="500" w:val="left"/>
        </w:tabs>
        <w:numPr>
          <w:ilvl w:val="0"/>
          <w:numId w:val="34"/>
        </w:numPr>
        <w:rPr>
          <w:rFonts w:ascii="Arial" w:cs="Arial" w:eastAsia="Arial" w:hAnsi="Arial"/>
          <w:sz w:val="20"/>
          <w:szCs w:val="20"/>
          <w:color w:val="auto"/>
        </w:rPr>
      </w:pPr>
      <w:r>
        <w:rPr>
          <w:rFonts w:ascii="Arial" w:cs="Arial" w:eastAsia="Arial" w:hAnsi="Arial"/>
          <w:sz w:val="20"/>
          <w:szCs w:val="20"/>
          <w:color w:val="auto"/>
        </w:rPr>
        <w:t>Our ability to produce our products in international markets in which they are sold, thereby reducing freight costs and/or product damages;</w:t>
      </w:r>
    </w:p>
    <w:p>
      <w:pPr>
        <w:spacing w:after="0" w:line="1" w:lineRule="exact"/>
        <w:rPr>
          <w:rFonts w:ascii="Arial" w:cs="Arial" w:eastAsia="Arial" w:hAnsi="Arial"/>
          <w:sz w:val="20"/>
          <w:szCs w:val="20"/>
          <w:color w:val="auto"/>
        </w:rPr>
      </w:pPr>
    </w:p>
    <w:p>
      <w:pPr>
        <w:ind w:left="500" w:hanging="492"/>
        <w:spacing w:after="0"/>
        <w:tabs>
          <w:tab w:leader="none" w:pos="500" w:val="left"/>
        </w:tabs>
        <w:numPr>
          <w:ilvl w:val="0"/>
          <w:numId w:val="34"/>
        </w:numPr>
        <w:rPr>
          <w:rFonts w:ascii="Arial" w:cs="Arial" w:eastAsia="Arial" w:hAnsi="Arial"/>
          <w:sz w:val="20"/>
          <w:szCs w:val="20"/>
          <w:color w:val="auto"/>
        </w:rPr>
      </w:pPr>
      <w:r>
        <w:rPr>
          <w:rFonts w:ascii="Arial" w:cs="Arial" w:eastAsia="Arial" w:hAnsi="Arial"/>
          <w:sz w:val="20"/>
          <w:szCs w:val="20"/>
          <w:color w:val="auto"/>
        </w:rPr>
        <w:t>Our ability to effectively manage our inventories and/or our accounts receivables;</w:t>
      </w:r>
    </w:p>
    <w:p>
      <w:pPr>
        <w:ind w:left="500" w:hanging="492"/>
        <w:spacing w:after="0" w:line="239" w:lineRule="auto"/>
        <w:tabs>
          <w:tab w:leader="none" w:pos="500" w:val="left"/>
        </w:tabs>
        <w:numPr>
          <w:ilvl w:val="0"/>
          <w:numId w:val="34"/>
        </w:numPr>
        <w:rPr>
          <w:rFonts w:ascii="Arial" w:cs="Arial" w:eastAsia="Arial" w:hAnsi="Arial"/>
          <w:sz w:val="20"/>
          <w:szCs w:val="20"/>
          <w:color w:val="auto"/>
        </w:rPr>
      </w:pPr>
      <w:r>
        <w:rPr>
          <w:rFonts w:ascii="Arial" w:cs="Arial" w:eastAsia="Arial" w:hAnsi="Arial"/>
          <w:sz w:val="20"/>
          <w:szCs w:val="20"/>
          <w:color w:val="auto"/>
        </w:rPr>
        <w:t>Our foreign currency exchange rate risk with respect to our sales, expenses, profits, assets and liabilities denominated in currencies other than the U.S. dollar, which will continue to increase as foreign sales increase;</w:t>
      </w:r>
    </w:p>
    <w:p>
      <w:pPr>
        <w:spacing w:after="0" w:line="1" w:lineRule="exact"/>
        <w:rPr>
          <w:rFonts w:ascii="Arial" w:cs="Arial" w:eastAsia="Arial" w:hAnsi="Arial"/>
          <w:sz w:val="20"/>
          <w:szCs w:val="20"/>
          <w:color w:val="auto"/>
        </w:rPr>
      </w:pPr>
    </w:p>
    <w:p>
      <w:pPr>
        <w:ind w:left="500" w:hanging="492"/>
        <w:spacing w:after="0"/>
        <w:tabs>
          <w:tab w:leader="none" w:pos="500" w:val="left"/>
        </w:tabs>
        <w:numPr>
          <w:ilvl w:val="0"/>
          <w:numId w:val="34"/>
        </w:numPr>
        <w:rPr>
          <w:rFonts w:ascii="Arial" w:cs="Arial" w:eastAsia="Arial" w:hAnsi="Arial"/>
          <w:sz w:val="20"/>
          <w:szCs w:val="20"/>
          <w:color w:val="auto"/>
        </w:rPr>
      </w:pPr>
      <w:r>
        <w:rPr>
          <w:rFonts w:ascii="Arial" w:cs="Arial" w:eastAsia="Arial" w:hAnsi="Arial"/>
          <w:sz w:val="20"/>
          <w:szCs w:val="20"/>
          <w:color w:val="auto"/>
        </w:rPr>
        <w:t>Changes in accounting standards may affect our reported profitability;</w:t>
      </w:r>
    </w:p>
    <w:p>
      <w:pPr>
        <w:ind w:left="500" w:hanging="492"/>
        <w:spacing w:after="0" w:line="239" w:lineRule="auto"/>
        <w:tabs>
          <w:tab w:leader="none" w:pos="500" w:val="left"/>
        </w:tabs>
        <w:numPr>
          <w:ilvl w:val="0"/>
          <w:numId w:val="34"/>
        </w:numPr>
        <w:rPr>
          <w:rFonts w:ascii="Arial" w:cs="Arial" w:eastAsia="Arial" w:hAnsi="Arial"/>
          <w:sz w:val="20"/>
          <w:szCs w:val="20"/>
          <w:color w:val="auto"/>
        </w:rPr>
      </w:pPr>
      <w:r>
        <w:rPr>
          <w:rFonts w:ascii="Arial" w:cs="Arial" w:eastAsia="Arial" w:hAnsi="Arial"/>
          <w:sz w:val="20"/>
          <w:szCs w:val="20"/>
          <w:color w:val="auto"/>
        </w:rPr>
        <w:t>Any proceedings which may be brought against us by the Securities and Exchange Commission (the “SEC”), the FDA, the FTC or other governmental agencies or bodies;</w:t>
      </w:r>
    </w:p>
    <w:p>
      <w:pPr>
        <w:spacing w:after="0" w:line="1" w:lineRule="exact"/>
        <w:rPr>
          <w:rFonts w:ascii="Arial" w:cs="Arial" w:eastAsia="Arial" w:hAnsi="Arial"/>
          <w:sz w:val="20"/>
          <w:szCs w:val="20"/>
          <w:color w:val="auto"/>
        </w:rPr>
      </w:pPr>
    </w:p>
    <w:p>
      <w:pPr>
        <w:ind w:left="500" w:hanging="492"/>
        <w:spacing w:after="0" w:line="239" w:lineRule="auto"/>
        <w:tabs>
          <w:tab w:leader="none" w:pos="50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outcome of shareholder securities litigation and/or shareholder derivative actions filed against us and/or against certain of our officers and directors, and the possibility of other private shareholder litigation;</w:t>
      </w:r>
    </w:p>
    <w:p>
      <w:pPr>
        <w:spacing w:after="0" w:line="1" w:lineRule="exact"/>
        <w:rPr>
          <w:rFonts w:ascii="Arial" w:cs="Arial" w:eastAsia="Arial" w:hAnsi="Arial"/>
          <w:sz w:val="20"/>
          <w:szCs w:val="20"/>
          <w:color w:val="auto"/>
        </w:rPr>
      </w:pPr>
    </w:p>
    <w:p>
      <w:pPr>
        <w:ind w:left="500" w:hanging="492"/>
        <w:spacing w:after="0"/>
        <w:tabs>
          <w:tab w:leader="none" w:pos="50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possibility of future shareholder derivative actions or shareholder securities litigation filed against us;</w:t>
      </w:r>
    </w:p>
    <w:p>
      <w:pPr>
        <w:jc w:val="both"/>
        <w:ind w:left="500" w:right="20" w:hanging="492"/>
        <w:spacing w:after="0" w:line="239" w:lineRule="auto"/>
        <w:tabs>
          <w:tab w:leader="none" w:pos="50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outcome of product liability litigation and/or class action litigation regarding the safety of our products and/or the ingredients in and/or claims made in connection with our products and/or alleging false advertising, marketing and/or promotion, and the possibility of future product liability and/or class action lawsuits;</w:t>
      </w:r>
    </w:p>
    <w:p>
      <w:pPr>
        <w:spacing w:after="0" w:line="1" w:lineRule="exact"/>
        <w:rPr>
          <w:rFonts w:ascii="Arial" w:cs="Arial" w:eastAsia="Arial" w:hAnsi="Arial"/>
          <w:sz w:val="20"/>
          <w:szCs w:val="20"/>
          <w:color w:val="auto"/>
        </w:rPr>
      </w:pPr>
    </w:p>
    <w:p>
      <w:pPr>
        <w:ind w:left="500" w:hanging="492"/>
        <w:spacing w:after="0"/>
        <w:tabs>
          <w:tab w:leader="none" w:pos="50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current uncertainty and volatility in the national and global economy;</w:t>
      </w:r>
    </w:p>
    <w:p>
      <w:pPr>
        <w:ind w:left="500" w:hanging="492"/>
        <w:spacing w:after="0"/>
        <w:tabs>
          <w:tab w:leader="none" w:pos="500" w:val="left"/>
        </w:tabs>
        <w:numPr>
          <w:ilvl w:val="0"/>
          <w:numId w:val="34"/>
        </w:numPr>
        <w:rPr>
          <w:rFonts w:ascii="Arial" w:cs="Arial" w:eastAsia="Arial" w:hAnsi="Arial"/>
          <w:sz w:val="20"/>
          <w:szCs w:val="20"/>
          <w:color w:val="auto"/>
        </w:rPr>
      </w:pPr>
      <w:r>
        <w:rPr>
          <w:rFonts w:ascii="Arial" w:cs="Arial" w:eastAsia="Arial" w:hAnsi="Arial"/>
          <w:sz w:val="20"/>
          <w:szCs w:val="20"/>
          <w:color w:val="auto"/>
        </w:rPr>
        <w:t>Our ability to address any significant deficiencies or material weakness in our internal controls over financial reporting;</w:t>
      </w:r>
    </w:p>
    <w:p>
      <w:pPr>
        <w:ind w:left="500" w:hanging="492"/>
        <w:spacing w:after="0"/>
        <w:tabs>
          <w:tab w:leader="none" w:pos="500" w:val="left"/>
        </w:tabs>
        <w:numPr>
          <w:ilvl w:val="0"/>
          <w:numId w:val="34"/>
        </w:numPr>
        <w:rPr>
          <w:rFonts w:ascii="Arial" w:cs="Arial" w:eastAsia="Arial" w:hAnsi="Arial"/>
          <w:sz w:val="20"/>
          <w:szCs w:val="20"/>
          <w:color w:val="auto"/>
        </w:rPr>
      </w:pPr>
      <w:r>
        <w:rPr>
          <w:rFonts w:ascii="Arial" w:cs="Arial" w:eastAsia="Arial" w:hAnsi="Arial"/>
          <w:sz w:val="20"/>
          <w:szCs w:val="20"/>
          <w:color w:val="auto"/>
        </w:rPr>
        <w:t>Our ability to continue to generate sufficient cash flows to support capital expansion plans and general operating activities;</w:t>
      </w:r>
    </w:p>
    <w:p>
      <w:pPr>
        <w:ind w:left="500" w:hanging="492"/>
        <w:spacing w:after="0" w:line="239" w:lineRule="auto"/>
        <w:tabs>
          <w:tab w:leader="none" w:pos="500" w:val="left"/>
        </w:tabs>
        <w:numPr>
          <w:ilvl w:val="0"/>
          <w:numId w:val="34"/>
        </w:numPr>
        <w:rPr>
          <w:rFonts w:ascii="Arial" w:cs="Arial" w:eastAsia="Arial" w:hAnsi="Arial"/>
          <w:sz w:val="20"/>
          <w:szCs w:val="20"/>
          <w:color w:val="auto"/>
        </w:rPr>
      </w:pPr>
      <w:r>
        <w:rPr>
          <w:rFonts w:ascii="Arial" w:cs="Arial" w:eastAsia="Arial" w:hAnsi="Arial"/>
          <w:sz w:val="20"/>
          <w:szCs w:val="20"/>
          <w:color w:val="auto"/>
        </w:rPr>
        <w:t>Decreased demand for our products resulting from changes in consumer preferences and/or from decreased consumer discretionary spending power and/or from higher gasoline prices;</w:t>
      </w:r>
    </w:p>
    <w:p>
      <w:pPr>
        <w:spacing w:after="0" w:line="1" w:lineRule="exact"/>
        <w:rPr>
          <w:rFonts w:ascii="Arial" w:cs="Arial" w:eastAsia="Arial" w:hAnsi="Arial"/>
          <w:sz w:val="20"/>
          <w:szCs w:val="20"/>
          <w:color w:val="auto"/>
        </w:rPr>
      </w:pPr>
    </w:p>
    <w:p>
      <w:pPr>
        <w:ind w:left="500" w:hanging="492"/>
        <w:spacing w:after="0"/>
        <w:tabs>
          <w:tab w:leader="none" w:pos="500" w:val="left"/>
        </w:tabs>
        <w:numPr>
          <w:ilvl w:val="0"/>
          <w:numId w:val="34"/>
        </w:numPr>
        <w:rPr>
          <w:rFonts w:ascii="Arial" w:cs="Arial" w:eastAsia="Arial" w:hAnsi="Arial"/>
          <w:sz w:val="20"/>
          <w:szCs w:val="20"/>
          <w:color w:val="auto"/>
        </w:rPr>
      </w:pPr>
      <w:r>
        <w:rPr>
          <w:rFonts w:ascii="Arial" w:cs="Arial" w:eastAsia="Arial" w:hAnsi="Arial"/>
          <w:sz w:val="20"/>
          <w:szCs w:val="20"/>
          <w:color w:val="auto"/>
        </w:rPr>
        <w:t>Changes in demand that are weather related, particularly in areas outside of California;</w:t>
      </w:r>
    </w:p>
    <w:p>
      <w:pPr>
        <w:ind w:left="500" w:hanging="492"/>
        <w:spacing w:after="0" w:line="239" w:lineRule="auto"/>
        <w:tabs>
          <w:tab w:leader="none" w:pos="500" w:val="left"/>
        </w:tabs>
        <w:numPr>
          <w:ilvl w:val="0"/>
          <w:numId w:val="34"/>
        </w:numPr>
        <w:rPr>
          <w:rFonts w:ascii="Arial" w:cs="Arial" w:eastAsia="Arial" w:hAnsi="Arial"/>
          <w:sz w:val="20"/>
          <w:szCs w:val="20"/>
          <w:color w:val="auto"/>
        </w:rPr>
      </w:pPr>
      <w:r>
        <w:rPr>
          <w:rFonts w:ascii="Arial" w:cs="Arial" w:eastAsia="Arial" w:hAnsi="Arial"/>
          <w:sz w:val="20"/>
          <w:szCs w:val="20"/>
          <w:color w:val="auto"/>
        </w:rPr>
        <w:t>Competitive products and pricing pressures and our ability to gain or maintain our share of sales in the marketplace as a result of actions by competitors;</w:t>
      </w:r>
    </w:p>
    <w:p>
      <w:pPr>
        <w:spacing w:after="0" w:line="1" w:lineRule="exact"/>
        <w:rPr>
          <w:rFonts w:ascii="Arial" w:cs="Arial" w:eastAsia="Arial" w:hAnsi="Arial"/>
          <w:sz w:val="20"/>
          <w:szCs w:val="20"/>
          <w:color w:val="auto"/>
        </w:rPr>
      </w:pPr>
    </w:p>
    <w:p>
      <w:pPr>
        <w:ind w:left="500" w:hanging="492"/>
        <w:spacing w:after="0"/>
        <w:tabs>
          <w:tab w:leader="none" w:pos="500" w:val="left"/>
        </w:tabs>
        <w:numPr>
          <w:ilvl w:val="0"/>
          <w:numId w:val="34"/>
        </w:numPr>
        <w:rPr>
          <w:rFonts w:ascii="Arial" w:cs="Arial" w:eastAsia="Arial" w:hAnsi="Arial"/>
          <w:sz w:val="20"/>
          <w:szCs w:val="20"/>
          <w:color w:val="auto"/>
        </w:rPr>
      </w:pPr>
      <w:r>
        <w:rPr>
          <w:rFonts w:ascii="Arial" w:cs="Arial" w:eastAsia="Arial" w:hAnsi="Arial"/>
          <w:sz w:val="20"/>
          <w:szCs w:val="20"/>
          <w:color w:val="auto"/>
        </w:rPr>
        <w:t>Our ability to introduce new products;</w:t>
      </w:r>
    </w:p>
    <w:p>
      <w:pPr>
        <w:ind w:left="500" w:hanging="492"/>
        <w:spacing w:after="0"/>
        <w:tabs>
          <w:tab w:leader="none" w:pos="500" w:val="left"/>
        </w:tabs>
        <w:numPr>
          <w:ilvl w:val="0"/>
          <w:numId w:val="34"/>
        </w:numPr>
        <w:rPr>
          <w:rFonts w:ascii="Arial" w:cs="Arial" w:eastAsia="Arial" w:hAnsi="Arial"/>
          <w:sz w:val="20"/>
          <w:szCs w:val="20"/>
          <w:color w:val="auto"/>
        </w:rPr>
      </w:pPr>
      <w:r>
        <w:rPr>
          <w:rFonts w:ascii="Arial" w:cs="Arial" w:eastAsia="Arial" w:hAnsi="Arial"/>
          <w:sz w:val="20"/>
          <w:szCs w:val="20"/>
          <w:color w:val="auto"/>
        </w:rPr>
        <w:t>An inability to achieve volume growth through product and packaging initiatives;</w:t>
      </w:r>
    </w:p>
    <w:p>
      <w:pPr>
        <w:ind w:left="500" w:hanging="492"/>
        <w:spacing w:after="0" w:line="239" w:lineRule="auto"/>
        <w:tabs>
          <w:tab w:leader="none" w:pos="500" w:val="left"/>
        </w:tabs>
        <w:numPr>
          <w:ilvl w:val="0"/>
          <w:numId w:val="34"/>
        </w:numPr>
        <w:rPr>
          <w:rFonts w:ascii="Arial" w:cs="Arial" w:eastAsia="Arial" w:hAnsi="Arial"/>
          <w:sz w:val="20"/>
          <w:szCs w:val="20"/>
          <w:color w:val="auto"/>
        </w:rPr>
      </w:pPr>
      <w:r>
        <w:rPr>
          <w:rFonts w:ascii="Arial" w:cs="Arial" w:eastAsia="Arial" w:hAnsi="Arial"/>
          <w:sz w:val="20"/>
          <w:szCs w:val="20"/>
          <w:color w:val="auto"/>
        </w:rPr>
        <w:t>Our ability to sustain the current level of sales and/or increase the sales of our Monster Energy® brand energy drinks and/or our other products, including, following the TCCC Transaction, the energy drinks we will acquire from TCCC;</w:t>
      </w:r>
    </w:p>
    <w:p>
      <w:pPr>
        <w:spacing w:after="0" w:line="1" w:lineRule="exact"/>
        <w:rPr>
          <w:rFonts w:ascii="Arial" w:cs="Arial" w:eastAsia="Arial" w:hAnsi="Arial"/>
          <w:sz w:val="20"/>
          <w:szCs w:val="20"/>
          <w:color w:val="auto"/>
        </w:rPr>
      </w:pPr>
    </w:p>
    <w:p>
      <w:pPr>
        <w:jc w:val="both"/>
        <w:ind w:left="500" w:hanging="492"/>
        <w:spacing w:after="0" w:line="299" w:lineRule="auto"/>
        <w:tabs>
          <w:tab w:leader="none" w:pos="5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impact of criticism of our energy drink products and/or the energy drink market generally and/or legislation enacted, whether as a result of such criticism or otherwise, that restrict the sale of energy drinks (including prohibiting the sale of energy drinks at certain establishments or pursuant to certain governmental programs), limit caffeine content in beverages, require certain product labeling disclosures and/or warnings, impose excise and/or sales taxes, limit product sizes or impose age restrictions for the sale of energy drinks;</w:t>
      </w:r>
    </w:p>
    <w:p>
      <w:pPr>
        <w:spacing w:after="0" w:line="1" w:lineRule="exact"/>
        <w:rPr>
          <w:rFonts w:ascii="Arial" w:cs="Arial" w:eastAsia="Arial" w:hAnsi="Arial"/>
          <w:sz w:val="16"/>
          <w:szCs w:val="16"/>
          <w:color w:val="auto"/>
        </w:rPr>
      </w:pPr>
    </w:p>
    <w:p>
      <w:pPr>
        <w:jc w:val="both"/>
        <w:ind w:left="500" w:hanging="492"/>
        <w:spacing w:after="0" w:line="269"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comply with and/or resulting lower consumer demand for energy drinks due to proposed and/or future U.S. federal, state and local laws and regulations and/or proposed or existing laws and regulations in certain foreign jurisdictions and/or any changes therein, including changes in taxation requirements (including tax rate changes, new tax laws, new and/or increased excise and/or sales and/or other taxes on our products and revised tax law interpretations) and environmental laws, as well as the FFD&amp;C Act, including as amended by the Dietary Supplement Health and Education Act, and regulations made thereunder or in connection therewith, as well as changes in any other food, drug or similar laws in the United States and internationally, especially those that may restrict the sale of energy drinks (including prohibiting the sale of energy drinks at certain establishments or pursuant to certain governmental programs), limit caffeine content in beverages, require certain product labeling disclosures and/or warnings, impose excise taxes, limit product sizes, or impose age restrictions for the sale of energy drinks, as well as laws and regulations or rules made or enforced by the FDA, and/or the Bureau of Alcohol, Tobacco and Firearms and Explosives, and/or the Federal Trade Commission;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6" w:lineRule="exact"/>
        <w:rPr>
          <w:sz w:val="20"/>
          <w:szCs w:val="20"/>
          <w:color w:val="auto"/>
        </w:rPr>
      </w:pPr>
    </w:p>
    <w:p>
      <w:pPr>
        <w:jc w:val="both"/>
        <w:ind w:left="500" w:right="20" w:hanging="492"/>
        <w:spacing w:after="0" w:line="245" w:lineRule="auto"/>
        <w:tabs>
          <w:tab w:leader="none" w:pos="500" w:val="left"/>
        </w:tabs>
        <w:numPr>
          <w:ilvl w:val="0"/>
          <w:numId w:val="35"/>
        </w:numPr>
        <w:rPr>
          <w:rFonts w:ascii="Arial" w:cs="Arial" w:eastAsia="Arial" w:hAnsi="Arial"/>
          <w:sz w:val="20"/>
          <w:szCs w:val="20"/>
          <w:color w:val="auto"/>
        </w:rPr>
      </w:pPr>
      <w:r>
        <w:rPr>
          <w:rFonts w:ascii="Arial" w:cs="Arial" w:eastAsia="Arial" w:hAnsi="Arial"/>
          <w:sz w:val="20"/>
          <w:szCs w:val="20"/>
          <w:color w:val="auto"/>
        </w:rPr>
        <w:t>Our ability to satisfy all criteria set forth in any model energy drink guidelines, including, without limitation, those adopted by the American Beverage Association, of which the Company is a member, and/or any international beverage association and the impact on the Company of such guidelines;</w:t>
      </w:r>
    </w:p>
    <w:p>
      <w:pPr>
        <w:ind w:left="500" w:hanging="492"/>
        <w:spacing w:after="0"/>
        <w:tabs>
          <w:tab w:leader="none" w:pos="500" w:val="left"/>
        </w:tabs>
        <w:numPr>
          <w:ilvl w:val="0"/>
          <w:numId w:val="35"/>
        </w:numPr>
        <w:rPr>
          <w:rFonts w:ascii="Arial" w:cs="Arial" w:eastAsia="Arial" w:hAnsi="Arial"/>
          <w:sz w:val="20"/>
          <w:szCs w:val="20"/>
          <w:color w:val="auto"/>
        </w:rPr>
      </w:pPr>
      <w:r>
        <w:rPr>
          <w:rFonts w:ascii="Arial" w:cs="Arial" w:eastAsia="Arial" w:hAnsi="Arial"/>
          <w:sz w:val="20"/>
          <w:szCs w:val="20"/>
          <w:color w:val="auto"/>
        </w:rPr>
        <w:t>Disruptions in the timely import or export of our products and/or ingredients due to port strikes and related labor issues;</w:t>
      </w:r>
    </w:p>
    <w:p>
      <w:pPr>
        <w:ind w:left="500" w:hanging="492"/>
        <w:spacing w:after="0"/>
        <w:tabs>
          <w:tab w:leader="none" w:pos="500"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effect of unfavorable or adverse public relations and/or press and/or articles, comments and/or media attention;</w:t>
      </w:r>
    </w:p>
    <w:p>
      <w:pPr>
        <w:jc w:val="both"/>
        <w:ind w:left="500" w:hanging="492"/>
        <w:spacing w:after="0" w:line="252" w:lineRule="auto"/>
        <w:tabs>
          <w:tab w:leader="none" w:pos="500" w:val="left"/>
        </w:tabs>
        <w:numPr>
          <w:ilvl w:val="0"/>
          <w:numId w:val="35"/>
        </w:numPr>
        <w:rPr>
          <w:rFonts w:ascii="Arial" w:cs="Arial" w:eastAsia="Arial" w:hAnsi="Arial"/>
          <w:sz w:val="19"/>
          <w:szCs w:val="19"/>
          <w:color w:val="auto"/>
        </w:rPr>
      </w:pPr>
      <w:r>
        <w:rPr>
          <w:rFonts w:ascii="Arial" w:cs="Arial" w:eastAsia="Arial" w:hAnsi="Arial"/>
          <w:sz w:val="19"/>
          <w:szCs w:val="19"/>
          <w:color w:val="auto"/>
        </w:rPr>
        <w:t>Changes in the cost, quality and availability of containers, packaging materials, aluminum, the Mid West and other premiums, raw materials and other ingredients and juice concentrates, and our ability to obtain and/or maintain favorable supply arrangements and relationships and procure timely and/or sufficient production of all or any of our products to meet customer demand;</w:t>
      </w:r>
    </w:p>
    <w:p>
      <w:pPr>
        <w:ind w:left="500" w:right="20" w:hanging="492"/>
        <w:spacing w:after="0" w:line="239" w:lineRule="auto"/>
        <w:tabs>
          <w:tab w:leader="none" w:pos="500" w:val="left"/>
        </w:tabs>
        <w:numPr>
          <w:ilvl w:val="0"/>
          <w:numId w:val="35"/>
        </w:numPr>
        <w:rPr>
          <w:rFonts w:ascii="Arial" w:cs="Arial" w:eastAsia="Arial" w:hAnsi="Arial"/>
          <w:sz w:val="20"/>
          <w:szCs w:val="20"/>
          <w:color w:val="auto"/>
        </w:rPr>
      </w:pPr>
      <w:r>
        <w:rPr>
          <w:rFonts w:ascii="Arial" w:cs="Arial" w:eastAsia="Arial" w:hAnsi="Arial"/>
          <w:sz w:val="20"/>
          <w:szCs w:val="20"/>
          <w:color w:val="auto"/>
        </w:rPr>
        <w:t>We currently purchase certain raw materials from a limited number of suppliers. Any corporate activity among these suppliers could have an impact on our cost of sales;</w:t>
      </w:r>
    </w:p>
    <w:p>
      <w:pPr>
        <w:spacing w:after="0" w:line="1" w:lineRule="exact"/>
        <w:rPr>
          <w:rFonts w:ascii="Arial" w:cs="Arial" w:eastAsia="Arial" w:hAnsi="Arial"/>
          <w:sz w:val="20"/>
          <w:szCs w:val="20"/>
          <w:color w:val="auto"/>
        </w:rPr>
      </w:pPr>
    </w:p>
    <w:p>
      <w:pPr>
        <w:ind w:left="500" w:hanging="492"/>
        <w:spacing w:after="0" w:line="239" w:lineRule="auto"/>
        <w:tabs>
          <w:tab w:leader="none" w:pos="500" w:val="left"/>
        </w:tabs>
        <w:numPr>
          <w:ilvl w:val="0"/>
          <w:numId w:val="35"/>
        </w:numPr>
        <w:rPr>
          <w:rFonts w:ascii="Arial" w:cs="Arial" w:eastAsia="Arial" w:hAnsi="Arial"/>
          <w:sz w:val="20"/>
          <w:szCs w:val="20"/>
          <w:color w:val="auto"/>
        </w:rPr>
      </w:pPr>
      <w:r>
        <w:rPr>
          <w:rFonts w:ascii="Arial" w:cs="Arial" w:eastAsia="Arial" w:hAnsi="Arial"/>
          <w:sz w:val="20"/>
          <w:szCs w:val="20"/>
          <w:color w:val="auto"/>
        </w:rPr>
        <w:t>Our ability to pass on to our customers all or a portion of any increases in the costs of raw materials and/or ingredients and/or commodities and/or other cost inputs affecting our business;</w:t>
      </w:r>
    </w:p>
    <w:p>
      <w:pPr>
        <w:spacing w:after="0" w:line="1" w:lineRule="exact"/>
        <w:rPr>
          <w:rFonts w:ascii="Arial" w:cs="Arial" w:eastAsia="Arial" w:hAnsi="Arial"/>
          <w:sz w:val="20"/>
          <w:szCs w:val="20"/>
          <w:color w:val="auto"/>
        </w:rPr>
      </w:pPr>
    </w:p>
    <w:p>
      <w:pPr>
        <w:jc w:val="both"/>
        <w:ind w:left="500" w:hanging="492"/>
        <w:spacing w:after="0" w:line="241" w:lineRule="auto"/>
        <w:tabs>
          <w:tab w:leader="none" w:pos="500" w:val="left"/>
        </w:tabs>
        <w:numPr>
          <w:ilvl w:val="0"/>
          <w:numId w:val="35"/>
        </w:numPr>
        <w:rPr>
          <w:rFonts w:ascii="Arial" w:cs="Arial" w:eastAsia="Arial" w:hAnsi="Arial"/>
          <w:sz w:val="20"/>
          <w:szCs w:val="20"/>
          <w:color w:val="auto"/>
        </w:rPr>
      </w:pPr>
      <w:r>
        <w:rPr>
          <w:rFonts w:ascii="Arial" w:cs="Arial" w:eastAsia="Arial" w:hAnsi="Arial"/>
          <w:sz w:val="20"/>
          <w:szCs w:val="20"/>
          <w:color w:val="auto"/>
        </w:rPr>
        <w:t>Our ability to achieve both domestic and international forecasts, which may be based on projected volumes and sales of many product types and/or new products, certain of which are more profitable than others; there can be no assurance that we will achieve projected levels of sales as well as forecasted product and/or geographic mixes;</w:t>
      </w:r>
    </w:p>
    <w:p>
      <w:pPr>
        <w:sectPr>
          <w:pgSz w:w="11900" w:h="16874" w:orient="portrait"/>
          <w:cols w:equalWidth="0" w:num="1">
            <w:col w:w="11420"/>
          </w:cols>
          <w:pgMar w:left="240" w:top="121" w:right="239" w:bottom="0" w:gutter="0" w:footer="0" w:header="0"/>
        </w:sectPr>
      </w:pPr>
    </w:p>
    <w:bookmarkStart w:id="29" w:name="page30"/>
    <w:bookmarkEnd w:id="29"/>
    <w:p>
      <w:pPr>
        <w:ind w:left="500" w:hanging="492"/>
        <w:spacing w:after="0" w:line="248" w:lineRule="auto"/>
        <w:tabs>
          <w:tab w:leader="none" w:pos="500" w:val="left"/>
        </w:tabs>
        <w:numPr>
          <w:ilvl w:val="0"/>
          <w:numId w:val="36"/>
        </w:numPr>
        <w:rPr>
          <w:rFonts w:ascii="Arial" w:cs="Arial" w:eastAsia="Arial" w:hAnsi="Arial"/>
          <w:sz w:val="20"/>
          <w:szCs w:val="20"/>
          <w:color w:val="auto"/>
        </w:rPr>
      </w:pPr>
      <w:r>
        <w:rPr>
          <w:rFonts w:ascii="Arial" w:cs="Arial" w:eastAsia="Arial" w:hAnsi="Arial"/>
          <w:sz w:val="20"/>
          <w:szCs w:val="20"/>
          <w:color w:val="auto"/>
        </w:rPr>
        <w:t>Our ability to penetrate new domestic and/or international markets and/or gain approval or mitigate the delay in securing approval for the sale of our products in various countries;</w:t>
      </w:r>
    </w:p>
    <w:p>
      <w:pPr>
        <w:spacing w:after="0" w:line="1" w:lineRule="exact"/>
        <w:rPr>
          <w:rFonts w:ascii="Arial" w:cs="Arial" w:eastAsia="Arial" w:hAnsi="Arial"/>
          <w:sz w:val="20"/>
          <w:szCs w:val="20"/>
          <w:color w:val="auto"/>
        </w:rPr>
      </w:pPr>
    </w:p>
    <w:p>
      <w:pPr>
        <w:ind w:left="500" w:hanging="492"/>
        <w:spacing w:after="0"/>
        <w:tabs>
          <w:tab w:leader="none" w:pos="500" w:val="left"/>
        </w:tabs>
        <w:numPr>
          <w:ilvl w:val="0"/>
          <w:numId w:val="36"/>
        </w:numPr>
        <w:rPr>
          <w:rFonts w:ascii="Arial" w:cs="Arial" w:eastAsia="Arial" w:hAnsi="Arial"/>
          <w:sz w:val="20"/>
          <w:szCs w:val="20"/>
          <w:color w:val="auto"/>
        </w:rPr>
      </w:pPr>
      <w:r>
        <w:rPr>
          <w:rFonts w:ascii="Arial" w:cs="Arial" w:eastAsia="Arial" w:hAnsi="Arial"/>
          <w:sz w:val="20"/>
          <w:szCs w:val="20"/>
          <w:color w:val="auto"/>
        </w:rPr>
        <w:t>Economic or political instability in one or more of our international markets;</w:t>
      </w:r>
    </w:p>
    <w:p>
      <w:pPr>
        <w:ind w:left="500" w:hanging="492"/>
        <w:spacing w:after="0"/>
        <w:tabs>
          <w:tab w:leader="none" w:pos="500" w:val="left"/>
        </w:tabs>
        <w:numPr>
          <w:ilvl w:val="0"/>
          <w:numId w:val="36"/>
        </w:numPr>
        <w:rPr>
          <w:rFonts w:ascii="Arial" w:cs="Arial" w:eastAsia="Arial" w:hAnsi="Arial"/>
          <w:sz w:val="20"/>
          <w:szCs w:val="20"/>
          <w:color w:val="auto"/>
        </w:rPr>
      </w:pPr>
      <w:r>
        <w:rPr>
          <w:rFonts w:ascii="Arial" w:cs="Arial" w:eastAsia="Arial" w:hAnsi="Arial"/>
          <w:sz w:val="20"/>
          <w:szCs w:val="20"/>
          <w:color w:val="auto"/>
        </w:rPr>
        <w:t>Our ability to secure and/or retain competent and/or effective distributors internationally;</w:t>
      </w:r>
    </w:p>
    <w:p>
      <w:pPr>
        <w:ind w:left="500" w:hanging="492"/>
        <w:spacing w:after="0" w:line="239" w:lineRule="auto"/>
        <w:tabs>
          <w:tab w:leader="none" w:pos="500"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effectiveness of sales and/or marketing efforts of distributors of our products, most of which distribute products that are competitive with our products;</w:t>
      </w:r>
    </w:p>
    <w:p>
      <w:pPr>
        <w:spacing w:after="0" w:line="1" w:lineRule="exact"/>
        <w:rPr>
          <w:rFonts w:ascii="Arial" w:cs="Arial" w:eastAsia="Arial" w:hAnsi="Arial"/>
          <w:sz w:val="20"/>
          <w:szCs w:val="20"/>
          <w:color w:val="auto"/>
        </w:rPr>
      </w:pPr>
    </w:p>
    <w:p>
      <w:pPr>
        <w:jc w:val="both"/>
        <w:ind w:left="500" w:hanging="492"/>
        <w:spacing w:after="0" w:line="239" w:lineRule="auto"/>
        <w:tabs>
          <w:tab w:leader="none" w:pos="500" w:val="left"/>
        </w:tabs>
        <w:numPr>
          <w:ilvl w:val="0"/>
          <w:numId w:val="36"/>
        </w:numPr>
        <w:rPr>
          <w:rFonts w:ascii="Arial" w:cs="Arial" w:eastAsia="Arial" w:hAnsi="Arial"/>
          <w:sz w:val="20"/>
          <w:szCs w:val="20"/>
          <w:color w:val="auto"/>
        </w:rPr>
      </w:pPr>
      <w:r>
        <w:rPr>
          <w:rFonts w:ascii="Arial" w:cs="Arial" w:eastAsia="Arial" w:hAnsi="Arial"/>
          <w:sz w:val="20"/>
          <w:szCs w:val="20"/>
          <w:color w:val="auto"/>
        </w:rPr>
        <w:t>Unilateral decisions by distributors, convenience chains, grocery chains, specialty chain stores, club stores and other customers to discontinue carrying all or any of our products that they are carrying at any time and/or restrict the range of our products they carry and/or devote less resources to the sale of our products;</w:t>
      </w:r>
    </w:p>
    <w:p>
      <w:pPr>
        <w:spacing w:after="0" w:line="1" w:lineRule="exact"/>
        <w:rPr>
          <w:rFonts w:ascii="Arial" w:cs="Arial" w:eastAsia="Arial" w:hAnsi="Arial"/>
          <w:sz w:val="20"/>
          <w:szCs w:val="20"/>
          <w:color w:val="auto"/>
        </w:rPr>
      </w:pPr>
    </w:p>
    <w:p>
      <w:pPr>
        <w:ind w:left="500" w:hanging="492"/>
        <w:spacing w:after="0"/>
        <w:tabs>
          <w:tab w:leader="none" w:pos="500"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costs and/or effectiveness, now or in the future, of our advertising, marketing and promotional strategies;</w:t>
      </w:r>
    </w:p>
    <w:p>
      <w:pPr>
        <w:ind w:left="500" w:hanging="492"/>
        <w:spacing w:after="0"/>
        <w:tabs>
          <w:tab w:leader="none" w:pos="500" w:val="left"/>
        </w:tabs>
        <w:numPr>
          <w:ilvl w:val="0"/>
          <w:numId w:val="36"/>
        </w:numPr>
        <w:rPr>
          <w:rFonts w:ascii="Arial" w:cs="Arial" w:eastAsia="Arial" w:hAnsi="Arial"/>
          <w:sz w:val="20"/>
          <w:szCs w:val="20"/>
          <w:color w:val="auto"/>
        </w:rPr>
      </w:pPr>
      <w:r>
        <w:rPr>
          <w:rFonts w:ascii="Arial" w:cs="Arial" w:eastAsia="Arial" w:hAnsi="Arial"/>
          <w:sz w:val="20"/>
          <w:szCs w:val="20"/>
          <w:color w:val="auto"/>
        </w:rPr>
        <w:t>Changes in product category consumption;</w:t>
      </w:r>
    </w:p>
    <w:p>
      <w:pPr>
        <w:ind w:left="500" w:hanging="492"/>
        <w:spacing w:after="0"/>
        <w:tabs>
          <w:tab w:leader="none" w:pos="500" w:val="left"/>
        </w:tabs>
        <w:numPr>
          <w:ilvl w:val="0"/>
          <w:numId w:val="36"/>
        </w:numPr>
        <w:rPr>
          <w:rFonts w:ascii="Arial" w:cs="Arial" w:eastAsia="Arial" w:hAnsi="Arial"/>
          <w:sz w:val="20"/>
          <w:szCs w:val="20"/>
          <w:color w:val="auto"/>
        </w:rPr>
      </w:pPr>
      <w:r>
        <w:rPr>
          <w:rFonts w:ascii="Arial" w:cs="Arial" w:eastAsia="Arial" w:hAnsi="Arial"/>
          <w:sz w:val="20"/>
          <w:szCs w:val="20"/>
          <w:color w:val="auto"/>
        </w:rPr>
        <w:t>Unforeseen economic and political changes;</w:t>
      </w:r>
    </w:p>
    <w:p>
      <w:pPr>
        <w:ind w:left="500" w:hanging="492"/>
        <w:spacing w:after="0"/>
        <w:tabs>
          <w:tab w:leader="none" w:pos="500" w:val="left"/>
        </w:tabs>
        <w:numPr>
          <w:ilvl w:val="0"/>
          <w:numId w:val="36"/>
        </w:numPr>
        <w:rPr>
          <w:rFonts w:ascii="Arial" w:cs="Arial" w:eastAsia="Arial" w:hAnsi="Arial"/>
          <w:sz w:val="20"/>
          <w:szCs w:val="20"/>
          <w:color w:val="auto"/>
        </w:rPr>
      </w:pPr>
      <w:r>
        <w:rPr>
          <w:rFonts w:ascii="Arial" w:cs="Arial" w:eastAsia="Arial" w:hAnsi="Arial"/>
          <w:sz w:val="20"/>
          <w:szCs w:val="20"/>
          <w:color w:val="auto"/>
        </w:rPr>
        <w:t>Possible recalls of our products and/or defective production;</w:t>
      </w:r>
    </w:p>
    <w:p>
      <w:pPr>
        <w:ind w:left="500" w:right="20" w:hanging="492"/>
        <w:spacing w:after="0" w:line="239" w:lineRule="auto"/>
        <w:tabs>
          <w:tab w:leader="none" w:pos="500" w:val="left"/>
        </w:tabs>
        <w:numPr>
          <w:ilvl w:val="0"/>
          <w:numId w:val="36"/>
        </w:numPr>
        <w:rPr>
          <w:rFonts w:ascii="Arial" w:cs="Arial" w:eastAsia="Arial" w:hAnsi="Arial"/>
          <w:sz w:val="20"/>
          <w:szCs w:val="20"/>
          <w:color w:val="auto"/>
        </w:rPr>
      </w:pPr>
      <w:r>
        <w:rPr>
          <w:rFonts w:ascii="Arial" w:cs="Arial" w:eastAsia="Arial" w:hAnsi="Arial"/>
          <w:sz w:val="20"/>
          <w:szCs w:val="20"/>
          <w:color w:val="auto"/>
        </w:rPr>
        <w:t>Our ability to make suitable arrangements for the co-packing of any of our products both domestically and internationally and/or the timely replacement of discontinued co-packing arrangements;</w:t>
      </w:r>
    </w:p>
    <w:p>
      <w:pPr>
        <w:spacing w:after="0" w:line="1" w:lineRule="exact"/>
        <w:rPr>
          <w:rFonts w:ascii="Arial" w:cs="Arial" w:eastAsia="Arial" w:hAnsi="Arial"/>
          <w:sz w:val="20"/>
          <w:szCs w:val="20"/>
          <w:color w:val="auto"/>
        </w:rPr>
      </w:pPr>
    </w:p>
    <w:p>
      <w:pPr>
        <w:ind w:left="500" w:hanging="492"/>
        <w:spacing w:after="0"/>
        <w:tabs>
          <w:tab w:leader="none" w:pos="500" w:val="left"/>
        </w:tabs>
        <w:numPr>
          <w:ilvl w:val="0"/>
          <w:numId w:val="36"/>
        </w:numPr>
        <w:rPr>
          <w:rFonts w:ascii="Arial" w:cs="Arial" w:eastAsia="Arial" w:hAnsi="Arial"/>
          <w:sz w:val="20"/>
          <w:szCs w:val="20"/>
          <w:color w:val="auto"/>
        </w:rPr>
      </w:pPr>
      <w:r>
        <w:rPr>
          <w:rFonts w:ascii="Arial" w:cs="Arial" w:eastAsia="Arial" w:hAnsi="Arial"/>
          <w:sz w:val="20"/>
          <w:szCs w:val="20"/>
          <w:color w:val="auto"/>
        </w:rPr>
        <w:t>Our ability to make suitable arrangements for the timely procurement of non-defective raw materials;</w:t>
      </w:r>
    </w:p>
    <w:p>
      <w:pPr>
        <w:ind w:left="500" w:right="20" w:hanging="492"/>
        <w:spacing w:after="0" w:line="239" w:lineRule="auto"/>
        <w:tabs>
          <w:tab w:leader="none" w:pos="500" w:val="left"/>
        </w:tabs>
        <w:numPr>
          <w:ilvl w:val="0"/>
          <w:numId w:val="36"/>
        </w:numPr>
        <w:rPr>
          <w:rFonts w:ascii="Arial" w:cs="Arial" w:eastAsia="Arial" w:hAnsi="Arial"/>
          <w:sz w:val="20"/>
          <w:szCs w:val="20"/>
          <w:color w:val="auto"/>
        </w:rPr>
      </w:pPr>
      <w:r>
        <w:rPr>
          <w:rFonts w:ascii="Arial" w:cs="Arial" w:eastAsia="Arial" w:hAnsi="Arial"/>
          <w:sz w:val="20"/>
          <w:szCs w:val="20"/>
          <w:color w:val="auto"/>
        </w:rPr>
        <w:t>Our inability to protect and/or the loss of our intellectual property rights and/or our inability to use our trademarks and/or trade names or designs in certain countries;</w:t>
      </w:r>
    </w:p>
    <w:p>
      <w:pPr>
        <w:spacing w:after="0" w:line="1" w:lineRule="exact"/>
        <w:rPr>
          <w:rFonts w:ascii="Arial" w:cs="Arial" w:eastAsia="Arial" w:hAnsi="Arial"/>
          <w:sz w:val="20"/>
          <w:szCs w:val="20"/>
          <w:color w:val="auto"/>
        </w:rPr>
      </w:pPr>
    </w:p>
    <w:p>
      <w:pPr>
        <w:ind w:left="500" w:hanging="492"/>
        <w:spacing w:after="0"/>
        <w:tabs>
          <w:tab w:leader="none" w:pos="500" w:val="left"/>
        </w:tabs>
        <w:numPr>
          <w:ilvl w:val="0"/>
          <w:numId w:val="36"/>
        </w:numPr>
        <w:rPr>
          <w:rFonts w:ascii="Arial" w:cs="Arial" w:eastAsia="Arial" w:hAnsi="Arial"/>
          <w:sz w:val="20"/>
          <w:szCs w:val="20"/>
          <w:color w:val="auto"/>
        </w:rPr>
      </w:pPr>
      <w:r>
        <w:rPr>
          <w:rFonts w:ascii="Arial" w:cs="Arial" w:eastAsia="Arial" w:hAnsi="Arial"/>
          <w:sz w:val="20"/>
          <w:szCs w:val="20"/>
          <w:color w:val="auto"/>
        </w:rPr>
        <w:t>Volatility of stock prices which may restrict stock sales, stock purchases or other opportunities;</w:t>
      </w:r>
    </w:p>
    <w:p>
      <w:pPr>
        <w:ind w:left="500" w:right="20" w:hanging="492"/>
        <w:spacing w:after="0" w:line="239" w:lineRule="auto"/>
        <w:tabs>
          <w:tab w:leader="none" w:pos="500" w:val="left"/>
        </w:tabs>
        <w:numPr>
          <w:ilvl w:val="0"/>
          <w:numId w:val="36"/>
        </w:numPr>
        <w:rPr>
          <w:rFonts w:ascii="Arial" w:cs="Arial" w:eastAsia="Arial" w:hAnsi="Arial"/>
          <w:sz w:val="20"/>
          <w:szCs w:val="20"/>
          <w:color w:val="auto"/>
        </w:rPr>
      </w:pPr>
      <w:r>
        <w:rPr>
          <w:rFonts w:ascii="Arial" w:cs="Arial" w:eastAsia="Arial" w:hAnsi="Arial"/>
          <w:sz w:val="20"/>
          <w:szCs w:val="20"/>
          <w:color w:val="auto"/>
        </w:rPr>
        <w:t>Provisions in our organizational documents and/or control by insiders which may prevent changes in control even if such changes would be beneficial to other stockholders;</w:t>
      </w:r>
    </w:p>
    <w:p>
      <w:pPr>
        <w:spacing w:after="0" w:line="1" w:lineRule="exact"/>
        <w:rPr>
          <w:rFonts w:ascii="Arial" w:cs="Arial" w:eastAsia="Arial" w:hAnsi="Arial"/>
          <w:sz w:val="20"/>
          <w:szCs w:val="20"/>
          <w:color w:val="auto"/>
        </w:rPr>
      </w:pPr>
    </w:p>
    <w:p>
      <w:pPr>
        <w:ind w:left="500" w:hanging="492"/>
        <w:spacing w:after="0"/>
        <w:tabs>
          <w:tab w:leader="none" w:pos="500"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failure of our bottlers and contract packers to manufacture our products on a timely basis or at all;</w:t>
      </w:r>
    </w:p>
    <w:p>
      <w:pPr>
        <w:ind w:left="500" w:hanging="492"/>
        <w:spacing w:after="0"/>
        <w:tabs>
          <w:tab w:leader="none" w:pos="500" w:val="left"/>
        </w:tabs>
        <w:numPr>
          <w:ilvl w:val="0"/>
          <w:numId w:val="36"/>
        </w:numPr>
        <w:rPr>
          <w:rFonts w:ascii="Arial" w:cs="Arial" w:eastAsia="Arial" w:hAnsi="Arial"/>
          <w:sz w:val="20"/>
          <w:szCs w:val="20"/>
          <w:color w:val="auto"/>
        </w:rPr>
      </w:pPr>
      <w:r>
        <w:rPr>
          <w:rFonts w:ascii="Arial" w:cs="Arial" w:eastAsia="Arial" w:hAnsi="Arial"/>
          <w:sz w:val="20"/>
          <w:szCs w:val="20"/>
          <w:color w:val="auto"/>
        </w:rPr>
        <w:t>Exposure to significant liabilities due to litigation, legal or regulatory proceedings;</w:t>
      </w:r>
    </w:p>
    <w:p>
      <w:pPr>
        <w:ind w:left="500" w:hanging="492"/>
        <w:spacing w:after="0" w:line="239" w:lineRule="auto"/>
        <w:tabs>
          <w:tab w:leader="none" w:pos="500" w:val="left"/>
        </w:tabs>
        <w:numPr>
          <w:ilvl w:val="0"/>
          <w:numId w:val="36"/>
        </w:numPr>
        <w:rPr>
          <w:rFonts w:ascii="Arial" w:cs="Arial" w:eastAsia="Arial" w:hAnsi="Arial"/>
          <w:sz w:val="20"/>
          <w:szCs w:val="20"/>
          <w:color w:val="auto"/>
        </w:rPr>
      </w:pPr>
      <w:r>
        <w:rPr>
          <w:rFonts w:ascii="Arial" w:cs="Arial" w:eastAsia="Arial" w:hAnsi="Arial"/>
          <w:sz w:val="20"/>
          <w:szCs w:val="20"/>
          <w:color w:val="auto"/>
        </w:rPr>
        <w:t>Any disruption in and/or lack of effectiveness of our information technology systems, including breaches of cyber security, that disrupts our business or negatively impacts customer relationships; and</w:t>
      </w:r>
    </w:p>
    <w:p>
      <w:pPr>
        <w:spacing w:after="0" w:line="1" w:lineRule="exact"/>
        <w:rPr>
          <w:rFonts w:ascii="Arial" w:cs="Arial" w:eastAsia="Arial" w:hAnsi="Arial"/>
          <w:sz w:val="20"/>
          <w:szCs w:val="20"/>
          <w:color w:val="auto"/>
        </w:rPr>
      </w:pPr>
    </w:p>
    <w:p>
      <w:pPr>
        <w:ind w:left="500" w:hanging="492"/>
        <w:spacing w:after="0"/>
        <w:tabs>
          <w:tab w:leader="none" w:pos="500" w:val="left"/>
        </w:tabs>
        <w:numPr>
          <w:ilvl w:val="0"/>
          <w:numId w:val="36"/>
        </w:numPr>
        <w:rPr>
          <w:rFonts w:ascii="Arial" w:cs="Arial" w:eastAsia="Arial" w:hAnsi="Arial"/>
          <w:sz w:val="20"/>
          <w:szCs w:val="20"/>
          <w:color w:val="auto"/>
        </w:rPr>
      </w:pPr>
      <w:r>
        <w:rPr>
          <w:rFonts w:ascii="Arial" w:cs="Arial" w:eastAsia="Arial" w:hAnsi="Arial"/>
          <w:sz w:val="20"/>
          <w:szCs w:val="20"/>
          <w:color w:val="auto"/>
        </w:rPr>
        <w:t>Recruitment and retention of senior management, other key employees and our employee base in general.</w:t>
      </w:r>
    </w:p>
    <w:p>
      <w:pPr>
        <w:spacing w:after="0" w:line="21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The foregoing list of important factors and other risks detailed from time to time in our reports filed with the SEC is not exhaustive. See the section entitled “Risk Factors” in our Form 10-K for the fiscal year ended December 31, 2014, for a more complete discussion of these risks and uncertainties and for other risks and uncertainties. Those factors and the other risk factors described therein are not necessarily all of the important factors that could cause actual results or developments to differ materially from those expressed in any of our forward-looking statements. Other unknown or unpredictable factors also could harm our results.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Consequently, our actual results could be materially different from the results described or anticipated by our forward-looking statements, due to the inherent uncertainty of estimates, forecasts and projections and may be better or worse than anticipated. Given these uncertainties, you should not rely on forward-looking statements. Forward-looking statements represent our estimates and assumptions only as of the date that they were made. We expressly disclaim any duty to provide updates to forward-looking statements, and the estimates and assumptions associated with them, after the date of this report, in order to reflect changes in circumstances or expectations or the occurrence of unanticipated events except to the extent required by applicable securities laws.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23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There have been no material changes in our market risk during the three-months ended March 31, 2015 compared with the disclosures in Part II, Item 7A of our Annual Report on Form 10-K for the year ended December 31, 2014.</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CONTROLS AND PROCEDURES</w:t>
      </w:r>
    </w:p>
    <w:p>
      <w:pPr>
        <w:spacing w:after="0" w:line="23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i w:val="1"/>
          <w:iCs w:val="1"/>
          <w:color w:val="auto"/>
        </w:rPr>
        <w:t xml:space="preserve">Evaluation of Disclosure Controls and Procedures </w:t>
      </w:r>
      <w:r>
        <w:rPr>
          <w:rFonts w:ascii="Arial" w:cs="Arial" w:eastAsia="Arial" w:hAnsi="Arial"/>
          <w:sz w:val="19"/>
          <w:szCs w:val="19"/>
          <w:color w:val="auto"/>
        </w:rPr>
        <w:t>– Under the supervision and with the participation of the Company’s management,</w:t>
      </w:r>
      <w:r>
        <w:rPr>
          <w:rFonts w:ascii="Arial" w:cs="Arial" w:eastAsia="Arial" w:hAnsi="Arial"/>
          <w:sz w:val="19"/>
          <w:szCs w:val="19"/>
          <w:i w:val="1"/>
          <w:iCs w:val="1"/>
          <w:color w:val="auto"/>
        </w:rPr>
        <w:t xml:space="preserve"> </w:t>
      </w:r>
      <w:r>
        <w:rPr>
          <w:rFonts w:ascii="Arial" w:cs="Arial" w:eastAsia="Arial" w:hAnsi="Arial"/>
          <w:sz w:val="19"/>
          <w:szCs w:val="19"/>
          <w:color w:val="auto"/>
        </w:rPr>
        <w:t>including our Chief Executive Officer and Chief Financial Officer, we have evaluated the effectiveness of the design and operation of our disclosure controls and procedures (as defined in Rules 13(a)-15(e) and 15(d)-15(e) of the Exchange Act) as of the end of the period covered by this report. Based upon this evaluation, the Chief Executive Officer and Chief Financial Officer have concluded that our disclosure controls and procedures are adequate and effective to ensure that information we are required to disclose in reports that we file or submit under the Exchange Act is (1) recorded, processed, summarized and reported within the time periods specified in rules and forms of the SEC and (2) accumulated and communicated to our management, including its principal executive and principal financial officers, as appropriate, to allow timely decisions regarding required disclosures.</w:t>
      </w:r>
    </w:p>
    <w:p>
      <w:pPr>
        <w:spacing w:after="0" w:line="19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 xml:space="preserve">Changes in Internal Control Over Financial Reporting </w:t>
      </w:r>
      <w:r>
        <w:rPr>
          <w:rFonts w:ascii="Arial" w:cs="Arial" w:eastAsia="Arial" w:hAnsi="Arial"/>
          <w:sz w:val="20"/>
          <w:szCs w:val="20"/>
          <w:color w:val="auto"/>
        </w:rPr>
        <w:t>– There were no changes in the Company’s internal controls over financial</w:t>
      </w:r>
      <w:r>
        <w:rPr>
          <w:rFonts w:ascii="Arial" w:cs="Arial" w:eastAsia="Arial" w:hAnsi="Arial"/>
          <w:sz w:val="20"/>
          <w:szCs w:val="20"/>
          <w:i w:val="1"/>
          <w:iCs w:val="1"/>
          <w:color w:val="auto"/>
        </w:rPr>
        <w:t xml:space="preserve"> </w:t>
      </w:r>
      <w:r>
        <w:rPr>
          <w:rFonts w:ascii="Arial" w:cs="Arial" w:eastAsia="Arial" w:hAnsi="Arial"/>
          <w:sz w:val="20"/>
          <w:szCs w:val="20"/>
          <w:color w:val="auto"/>
        </w:rPr>
        <w:t>reporting during the quarter ended March 31, 2015, that have materially affected, or are reasonably likely to materially affect, our internal control over financial reporting.</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II - OTHER INFORMATION</w:t>
      </w:r>
    </w:p>
    <w:p>
      <w:pPr>
        <w:spacing w:after="0" w:line="229" w:lineRule="exact"/>
        <w:rPr>
          <w:sz w:val="20"/>
          <w:szCs w:val="20"/>
          <w:color w:val="auto"/>
        </w:rPr>
      </w:pPr>
    </w:p>
    <w:p>
      <w:pPr>
        <w:spacing w:after="0"/>
        <w:tabs>
          <w:tab w:leader="none" w:pos="940" w:val="left"/>
        </w:tabs>
        <w:rPr>
          <w:sz w:val="20"/>
          <w:szCs w:val="20"/>
          <w:color w:val="auto"/>
        </w:rPr>
      </w:pPr>
      <w:r>
        <w:rPr>
          <w:rFonts w:ascii="Arial" w:cs="Arial" w:eastAsia="Arial" w:hAnsi="Arial"/>
          <w:sz w:val="20"/>
          <w:szCs w:val="20"/>
          <w:b w:val="1"/>
          <w:bCs w:val="1"/>
          <w:color w:val="auto"/>
        </w:rPr>
        <w:t>ITEM 1.</w:t>
      </w:r>
      <w:r>
        <w:rPr>
          <w:sz w:val="20"/>
          <w:szCs w:val="20"/>
          <w:color w:val="auto"/>
        </w:rPr>
        <w:tab/>
      </w:r>
      <w:r>
        <w:rPr>
          <w:rFonts w:ascii="Arial" w:cs="Arial" w:eastAsia="Arial" w:hAnsi="Arial"/>
          <w:sz w:val="19"/>
          <w:szCs w:val="19"/>
          <w:b w:val="1"/>
          <w:bCs w:val="1"/>
          <w:color w:val="auto"/>
        </w:rPr>
        <w:t>LEGAL PROCEEDINGS</w:t>
      </w:r>
    </w:p>
    <w:p>
      <w:pPr>
        <w:spacing w:after="0" w:line="23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The information required by this Item is incorporated herein by reference to the Notes to Condensed Consolidated Financial Statements —Note 11. Commitments and Contingencies: Legal Proceedings in Part I, Item 1, of this Quarterly Report on Form 10-Q.</w:t>
      </w:r>
    </w:p>
    <w:p>
      <w:pPr>
        <w:sectPr>
          <w:pgSz w:w="11900" w:h="16838" w:orient="portrait"/>
          <w:cols w:equalWidth="0" w:num="1">
            <w:col w:w="11420"/>
          </w:cols>
          <w:pgMar w:left="240" w:top="121" w:right="239" w:bottom="0" w:gutter="0" w:footer="0" w:header="0"/>
        </w:sectPr>
      </w:pPr>
    </w:p>
    <w:bookmarkStart w:id="30" w:name="page31"/>
    <w:bookmarkEnd w:id="30"/>
    <w:p>
      <w:pPr>
        <w:spacing w:after="0"/>
        <w:tabs>
          <w:tab w:leader="none" w:pos="1540" w:val="left"/>
        </w:tabs>
        <w:rPr>
          <w:sz w:val="20"/>
          <w:szCs w:val="20"/>
          <w:color w:val="auto"/>
        </w:rPr>
      </w:pPr>
      <w:r>
        <w:rPr>
          <w:rFonts w:ascii="Arial" w:cs="Arial" w:eastAsia="Arial" w:hAnsi="Arial"/>
          <w:sz w:val="20"/>
          <w:szCs w:val="20"/>
          <w:b w:val="1"/>
          <w:bCs w:val="1"/>
          <w:color w:val="auto"/>
        </w:rPr>
        <w:t>ITEM 1A.</w:t>
      </w:r>
      <w:r>
        <w:rPr>
          <w:sz w:val="20"/>
          <w:szCs w:val="20"/>
          <w:color w:val="auto"/>
        </w:rPr>
        <w:tab/>
      </w:r>
      <w:r>
        <w:rPr>
          <w:rFonts w:ascii="Arial" w:cs="Arial" w:eastAsia="Arial" w:hAnsi="Arial"/>
          <w:sz w:val="19"/>
          <w:szCs w:val="19"/>
          <w:b w:val="1"/>
          <w:bCs w:val="1"/>
          <w:color w:val="auto"/>
        </w:rPr>
        <w:t>RISK FACTORS</w:t>
      </w:r>
    </w:p>
    <w:p>
      <w:pPr>
        <w:spacing w:after="0" w:line="23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Our Risk Factors are discussed in our Annual Report on Form 10-K for the fiscal year ended December 31, 2014. There have been no material changes with respect to the risk factors disclosed in our Annual Report on Form 10-K for the period ended December 31, 2014.</w:t>
      </w:r>
    </w:p>
    <w:p>
      <w:pPr>
        <w:spacing w:after="0" w:line="138" w:lineRule="exact"/>
        <w:rPr>
          <w:sz w:val="20"/>
          <w:szCs w:val="20"/>
          <w:color w:val="auto"/>
        </w:rPr>
      </w:pPr>
    </w:p>
    <w:p>
      <w:pPr>
        <w:spacing w:after="0"/>
        <w:tabs>
          <w:tab w:leader="none" w:pos="1540" w:val="left"/>
        </w:tabs>
        <w:rPr>
          <w:sz w:val="20"/>
          <w:szCs w:val="20"/>
          <w:color w:val="auto"/>
        </w:rPr>
      </w:pPr>
      <w:r>
        <w:rPr>
          <w:rFonts w:ascii="Arial" w:cs="Arial" w:eastAsia="Arial" w:hAnsi="Arial"/>
          <w:sz w:val="20"/>
          <w:szCs w:val="20"/>
          <w:b w:val="1"/>
          <w:bCs w:val="1"/>
          <w:color w:val="auto"/>
        </w:rPr>
        <w:t>ITEM 2.</w:t>
      </w:r>
      <w:r>
        <w:rPr>
          <w:sz w:val="20"/>
          <w:szCs w:val="20"/>
          <w:color w:val="auto"/>
        </w:rPr>
        <w:tab/>
      </w:r>
      <w:r>
        <w:rPr>
          <w:rFonts w:ascii="Arial" w:cs="Arial" w:eastAsia="Arial" w:hAnsi="Arial"/>
          <w:sz w:val="19"/>
          <w:szCs w:val="19"/>
          <w:b w:val="1"/>
          <w:bCs w:val="1"/>
          <w:color w:val="auto"/>
        </w:rPr>
        <w:t>UNREGISTERED SALES OF EQUITY SECURITIES AND USE OF PROCEEDS</w:t>
      </w:r>
    </w:p>
    <w:p>
      <w:pPr>
        <w:spacing w:after="0" w:line="23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During the three-months ended March 31, 2015, 2.2 million shares were purchased from employees in lieu of cash payments for options exercised or withholding taxes due for a total amount of $251.4 million. While such purchases are considered common stock repurchases, they are not counted as purchases against our authorized share repurchase program, including the April 2013 Repurchase Plan.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20"/>
          <w:szCs w:val="20"/>
          <w:u w:val="single" w:color="auto"/>
          <w:color w:val="0000EE"/>
        </w:rPr>
      </w:pPr>
      <w:hyperlink w:anchor="page1">
        <w:r>
          <w:rPr>
            <w:rFonts w:ascii="Arial" w:cs="Arial" w:eastAsia="Arial" w:hAnsi="Arial"/>
            <w:sz w:val="20"/>
            <w:szCs w:val="20"/>
            <w:u w:val="single" w:color="auto"/>
            <w:color w:val="0000EE"/>
          </w:rPr>
          <w:t>Table of Contents</w:t>
        </w:r>
      </w:hyperlink>
    </w:p>
    <w:p>
      <w:pPr>
        <w:spacing w:after="0" w:line="210" w:lineRule="exact"/>
        <w:rPr>
          <w:sz w:val="20"/>
          <w:szCs w:val="20"/>
          <w:color w:val="auto"/>
        </w:rPr>
      </w:pPr>
    </w:p>
    <w:p>
      <w:pPr>
        <w:spacing w:after="0"/>
        <w:tabs>
          <w:tab w:leader="none" w:pos="154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9"/>
          <w:szCs w:val="19"/>
          <w:b w:val="1"/>
          <w:bCs w:val="1"/>
          <w:color w:val="auto"/>
        </w:rPr>
        <w:t>DEFAULTS UPON SENIOR SECURITIES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None.</w:t>
      </w:r>
    </w:p>
    <w:p>
      <w:pPr>
        <w:spacing w:after="0" w:line="223" w:lineRule="exact"/>
        <w:rPr>
          <w:sz w:val="20"/>
          <w:szCs w:val="20"/>
          <w:color w:val="auto"/>
        </w:rPr>
      </w:pPr>
    </w:p>
    <w:p>
      <w:pPr>
        <w:spacing w:after="0"/>
        <w:tabs>
          <w:tab w:leader="none" w:pos="154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9"/>
          <w:szCs w:val="19"/>
          <w:b w:val="1"/>
          <w:bCs w:val="1"/>
          <w:color w:val="auto"/>
        </w:rPr>
        <w:t>MINE SAFETY DISCLOSURES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spacing w:after="0"/>
        <w:tabs>
          <w:tab w:leader="none" w:pos="154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20"/>
          <w:szCs w:val="20"/>
          <w:b w:val="1"/>
          <w:bCs w:val="1"/>
          <w:color w:val="auto"/>
        </w:rPr>
        <w:t>OTHER INFORMATION</w:t>
      </w:r>
    </w:p>
    <w:p>
      <w:pPr>
        <w:spacing w:after="0" w:line="23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The 2015 Annual Meeting of Stockholders (the “2015 Annual Meeting”) of the Company has been scheduled for August 7, 2015. Because the date of the 2015 Annual Meeting is more than 30 days after the anniversary date of the Company’s 2014 Annual Meeting of Stockholders, in accordance with Rule 14a-5(f) under the Exchange Act, the Company is informing stockholders of the change.</w:t>
      </w:r>
    </w:p>
    <w:p>
      <w:pPr>
        <w:spacing w:after="0" w:line="18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For stockholders who wish to present a proposal to be considered for inclusion in our proxy statement and for consideration at the 2015 Annual Meeting, pursuant to Rule 14a-8 under the Exchange Act, the proposal must be delivered to the Office of the Secretary at the Company’s principal executive offices prior to the close of business on May 18, 2015. Stockholder proposals must otherwise comply with the requirements of Rule 14a-8 of the Exchange Act.</w:t>
      </w:r>
    </w:p>
    <w:p>
      <w:pPr>
        <w:spacing w:after="0" w:line="20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Changing the date of the 2015 Annual Meeting does not affect the notification deadline for stockholders who wish to present a proposal for nominations or other business for consideration at the 2015 Annual Meeting, but who do not intend for the proposal to be included in our proxy statement. Pursuant to the advance notice provisions contained in our by-laws, such notification deadline has passed.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140" w:type="dxa"/>
            <w:vAlign w:val="bottom"/>
          </w:tcPr>
          <w:p>
            <w:pPr>
              <w:spacing w:after="0"/>
              <w:rPr>
                <w:sz w:val="20"/>
                <w:szCs w:val="20"/>
                <w:color w:val="auto"/>
              </w:rPr>
            </w:pPr>
            <w:r>
              <w:rPr>
                <w:rFonts w:ascii="Arial" w:cs="Arial" w:eastAsia="Arial" w:hAnsi="Arial"/>
                <w:sz w:val="20"/>
                <w:szCs w:val="20"/>
                <w:b w:val="1"/>
                <w:bCs w:val="1"/>
                <w:color w:val="auto"/>
              </w:rPr>
              <w:t>ITEM 6.</w:t>
            </w:r>
          </w:p>
        </w:tc>
        <w:tc>
          <w:tcPr>
            <w:tcW w:w="10220" w:type="dxa"/>
            <w:vAlign w:val="bottom"/>
          </w:tcPr>
          <w:p>
            <w:pPr>
              <w:ind w:left="420"/>
              <w:spacing w:after="0"/>
              <w:rPr>
                <w:sz w:val="20"/>
                <w:szCs w:val="20"/>
                <w:color w:val="auto"/>
              </w:rPr>
            </w:pPr>
            <w:r>
              <w:rPr>
                <w:rFonts w:ascii="Arial" w:cs="Arial" w:eastAsia="Arial" w:hAnsi="Arial"/>
                <w:sz w:val="20"/>
                <w:szCs w:val="20"/>
                <w:b w:val="1"/>
                <w:bCs w:val="1"/>
                <w:color w:val="auto"/>
              </w:rPr>
              <w:t>EXHIBITS</w:t>
            </w:r>
          </w:p>
        </w:tc>
      </w:tr>
      <w:tr>
        <w:trPr>
          <w:trHeight w:val="662"/>
        </w:trPr>
        <w:tc>
          <w:tcPr>
            <w:tcW w:w="1140" w:type="dxa"/>
            <w:vAlign w:val="bottom"/>
          </w:tcPr>
          <w:p>
            <w:pPr>
              <w:spacing w:after="0"/>
              <w:rPr>
                <w:sz w:val="20"/>
                <w:szCs w:val="20"/>
                <w:color w:val="auto"/>
              </w:rPr>
            </w:pPr>
            <w:r>
              <w:rPr>
                <w:rFonts w:ascii="Arial" w:cs="Arial" w:eastAsia="Arial" w:hAnsi="Arial"/>
                <w:sz w:val="20"/>
                <w:szCs w:val="20"/>
                <w:color w:val="auto"/>
              </w:rPr>
              <w:t>10.1*</w:t>
            </w:r>
          </w:p>
        </w:tc>
        <w:tc>
          <w:tcPr>
            <w:tcW w:w="10220" w:type="dxa"/>
            <w:vAlign w:val="bottom"/>
          </w:tcPr>
          <w:p>
            <w:pPr>
              <w:ind w:left="420"/>
              <w:spacing w:after="0"/>
              <w:rPr>
                <w:sz w:val="20"/>
                <w:szCs w:val="20"/>
                <w:color w:val="auto"/>
              </w:rPr>
            </w:pPr>
            <w:r>
              <w:rPr>
                <w:rFonts w:ascii="Arial" w:cs="Arial" w:eastAsia="Arial" w:hAnsi="Arial"/>
                <w:sz w:val="20"/>
                <w:szCs w:val="20"/>
                <w:color w:val="auto"/>
              </w:rPr>
              <w:t>Letter Agreement between the Company and Mark Hall, dated March 12, 2015.</w:t>
            </w:r>
          </w:p>
        </w:tc>
      </w:tr>
      <w:tr>
        <w:trPr>
          <w:trHeight w:val="438"/>
        </w:trPr>
        <w:tc>
          <w:tcPr>
            <w:tcW w:w="1140" w:type="dxa"/>
            <w:vAlign w:val="bottom"/>
          </w:tcPr>
          <w:p>
            <w:pPr>
              <w:spacing w:after="0"/>
              <w:rPr>
                <w:sz w:val="20"/>
                <w:szCs w:val="20"/>
                <w:color w:val="auto"/>
              </w:rPr>
            </w:pPr>
            <w:r>
              <w:rPr>
                <w:rFonts w:ascii="Arial" w:cs="Arial" w:eastAsia="Arial" w:hAnsi="Arial"/>
                <w:sz w:val="20"/>
                <w:szCs w:val="20"/>
                <w:color w:val="auto"/>
              </w:rPr>
              <w:t>10.2**#</w:t>
            </w:r>
          </w:p>
        </w:tc>
        <w:tc>
          <w:tcPr>
            <w:tcW w:w="10220" w:type="dxa"/>
            <w:vAlign w:val="bottom"/>
          </w:tcPr>
          <w:p>
            <w:pPr>
              <w:ind w:left="420"/>
              <w:spacing w:after="0"/>
              <w:rPr>
                <w:sz w:val="20"/>
                <w:szCs w:val="20"/>
                <w:color w:val="auto"/>
              </w:rPr>
            </w:pPr>
            <w:r>
              <w:rPr>
                <w:rFonts w:ascii="Arial" w:cs="Arial" w:eastAsia="Arial" w:hAnsi="Arial"/>
                <w:sz w:val="20"/>
                <w:szCs w:val="20"/>
                <w:color w:val="auto"/>
                <w:w w:val="89"/>
              </w:rPr>
              <w:t>Amended and Restated Distribution Agreement, dated as of March 18, 2015, between Monster Energy Company and Coca-</w:t>
            </w:r>
          </w:p>
        </w:tc>
      </w:tr>
      <w:tr>
        <w:trPr>
          <w:trHeight w:val="230"/>
        </w:trPr>
        <w:tc>
          <w:tcPr>
            <w:tcW w:w="1140" w:type="dxa"/>
            <w:vAlign w:val="bottom"/>
          </w:tcPr>
          <w:p>
            <w:pPr>
              <w:spacing w:after="0"/>
              <w:rPr>
                <w:sz w:val="19"/>
                <w:szCs w:val="19"/>
                <w:color w:val="auto"/>
              </w:rPr>
            </w:pPr>
          </w:p>
        </w:tc>
        <w:tc>
          <w:tcPr>
            <w:tcW w:w="10220" w:type="dxa"/>
            <w:vAlign w:val="bottom"/>
          </w:tcPr>
          <w:p>
            <w:pPr>
              <w:ind w:left="420"/>
              <w:spacing w:after="0"/>
              <w:rPr>
                <w:sz w:val="20"/>
                <w:szCs w:val="20"/>
                <w:color w:val="auto"/>
              </w:rPr>
            </w:pPr>
            <w:r>
              <w:rPr>
                <w:rFonts w:ascii="Arial" w:cs="Arial" w:eastAsia="Arial" w:hAnsi="Arial"/>
                <w:sz w:val="20"/>
                <w:szCs w:val="20"/>
                <w:color w:val="auto"/>
                <w:w w:val="93"/>
              </w:rPr>
              <w:t>Cola Refreshments USA, Inc. (incorporated by reference to Exhibit 10.1 to New Laser Corporation’s Form S-4/A dated</w:t>
            </w:r>
          </w:p>
        </w:tc>
      </w:tr>
      <w:tr>
        <w:trPr>
          <w:trHeight w:val="250"/>
        </w:trPr>
        <w:tc>
          <w:tcPr>
            <w:tcW w:w="1140" w:type="dxa"/>
            <w:vAlign w:val="bottom"/>
          </w:tcPr>
          <w:p>
            <w:pPr>
              <w:spacing w:after="0"/>
              <w:rPr>
                <w:sz w:val="21"/>
                <w:szCs w:val="21"/>
                <w:color w:val="auto"/>
              </w:rPr>
            </w:pPr>
          </w:p>
        </w:tc>
        <w:tc>
          <w:tcPr>
            <w:tcW w:w="10220" w:type="dxa"/>
            <w:vAlign w:val="bottom"/>
          </w:tcPr>
          <w:p>
            <w:pPr>
              <w:ind w:left="420"/>
              <w:spacing w:after="0"/>
              <w:rPr>
                <w:sz w:val="20"/>
                <w:szCs w:val="20"/>
                <w:color w:val="auto"/>
              </w:rPr>
            </w:pPr>
            <w:r>
              <w:rPr>
                <w:rFonts w:ascii="Arial" w:cs="Arial" w:eastAsia="Arial" w:hAnsi="Arial"/>
                <w:sz w:val="20"/>
                <w:szCs w:val="20"/>
                <w:color w:val="auto"/>
              </w:rPr>
              <w:t>April 21, 2015).</w:t>
            </w:r>
          </w:p>
        </w:tc>
      </w:tr>
      <w:tr>
        <w:trPr>
          <w:trHeight w:val="459"/>
        </w:trPr>
        <w:tc>
          <w:tcPr>
            <w:tcW w:w="1140" w:type="dxa"/>
            <w:vAlign w:val="bottom"/>
          </w:tcPr>
          <w:p>
            <w:pPr>
              <w:spacing w:after="0"/>
              <w:rPr>
                <w:sz w:val="20"/>
                <w:szCs w:val="20"/>
                <w:color w:val="auto"/>
              </w:rPr>
            </w:pPr>
            <w:r>
              <w:rPr>
                <w:rFonts w:ascii="Arial" w:cs="Arial" w:eastAsia="Arial" w:hAnsi="Arial"/>
                <w:sz w:val="20"/>
                <w:szCs w:val="20"/>
                <w:color w:val="auto"/>
              </w:rPr>
              <w:t>31.1*</w:t>
            </w:r>
          </w:p>
        </w:tc>
        <w:tc>
          <w:tcPr>
            <w:tcW w:w="10220" w:type="dxa"/>
            <w:vAlign w:val="bottom"/>
          </w:tcPr>
          <w:p>
            <w:pPr>
              <w:ind w:left="420"/>
              <w:spacing w:after="0"/>
              <w:rPr>
                <w:sz w:val="20"/>
                <w:szCs w:val="20"/>
                <w:color w:val="auto"/>
              </w:rPr>
            </w:pPr>
            <w:r>
              <w:rPr>
                <w:rFonts w:ascii="Arial" w:cs="Arial" w:eastAsia="Arial" w:hAnsi="Arial"/>
                <w:sz w:val="20"/>
                <w:szCs w:val="20"/>
                <w:color w:val="auto"/>
              </w:rPr>
              <w:t>Certification of Chief Executive Officer Pursuant to Section 302 of the Sarbanes-Oxley Act of 2002</w:t>
            </w:r>
          </w:p>
        </w:tc>
      </w:tr>
      <w:tr>
        <w:trPr>
          <w:trHeight w:val="459"/>
        </w:trPr>
        <w:tc>
          <w:tcPr>
            <w:tcW w:w="1140" w:type="dxa"/>
            <w:vAlign w:val="bottom"/>
          </w:tcPr>
          <w:p>
            <w:pPr>
              <w:spacing w:after="0"/>
              <w:rPr>
                <w:sz w:val="20"/>
                <w:szCs w:val="20"/>
                <w:color w:val="auto"/>
              </w:rPr>
            </w:pPr>
            <w:r>
              <w:rPr>
                <w:rFonts w:ascii="Arial" w:cs="Arial" w:eastAsia="Arial" w:hAnsi="Arial"/>
                <w:sz w:val="20"/>
                <w:szCs w:val="20"/>
                <w:color w:val="auto"/>
              </w:rPr>
              <w:t>31.2*</w:t>
            </w:r>
          </w:p>
        </w:tc>
        <w:tc>
          <w:tcPr>
            <w:tcW w:w="10220" w:type="dxa"/>
            <w:vAlign w:val="bottom"/>
          </w:tcPr>
          <w:p>
            <w:pPr>
              <w:ind w:left="420"/>
              <w:spacing w:after="0"/>
              <w:rPr>
                <w:sz w:val="20"/>
                <w:szCs w:val="20"/>
                <w:color w:val="auto"/>
              </w:rPr>
            </w:pPr>
            <w:r>
              <w:rPr>
                <w:rFonts w:ascii="Arial" w:cs="Arial" w:eastAsia="Arial" w:hAnsi="Arial"/>
                <w:sz w:val="20"/>
                <w:szCs w:val="20"/>
                <w:color w:val="auto"/>
              </w:rPr>
              <w:t>Certification of Chief Financial Officer Pursuant to Section 302 of the Sarbanes-Oxley Act of 2002</w:t>
            </w:r>
          </w:p>
        </w:tc>
      </w:tr>
      <w:tr>
        <w:trPr>
          <w:trHeight w:val="438"/>
        </w:trPr>
        <w:tc>
          <w:tcPr>
            <w:tcW w:w="1140" w:type="dxa"/>
            <w:vAlign w:val="bottom"/>
          </w:tcPr>
          <w:p>
            <w:pPr>
              <w:spacing w:after="0"/>
              <w:rPr>
                <w:sz w:val="20"/>
                <w:szCs w:val="20"/>
                <w:color w:val="auto"/>
              </w:rPr>
            </w:pPr>
            <w:r>
              <w:rPr>
                <w:rFonts w:ascii="Arial" w:cs="Arial" w:eastAsia="Arial" w:hAnsi="Arial"/>
                <w:sz w:val="20"/>
                <w:szCs w:val="20"/>
                <w:color w:val="auto"/>
              </w:rPr>
              <w:t>32.1*</w:t>
            </w:r>
          </w:p>
        </w:tc>
        <w:tc>
          <w:tcPr>
            <w:tcW w:w="10220" w:type="dxa"/>
            <w:vAlign w:val="bottom"/>
          </w:tcPr>
          <w:p>
            <w:pPr>
              <w:ind w:left="420"/>
              <w:spacing w:after="0"/>
              <w:rPr>
                <w:sz w:val="20"/>
                <w:szCs w:val="20"/>
                <w:color w:val="auto"/>
              </w:rPr>
            </w:pPr>
            <w:r>
              <w:rPr>
                <w:rFonts w:ascii="Arial" w:cs="Arial" w:eastAsia="Arial" w:hAnsi="Arial"/>
                <w:sz w:val="20"/>
                <w:szCs w:val="20"/>
                <w:color w:val="auto"/>
                <w:w w:val="93"/>
              </w:rPr>
              <w:t>Certification of Chief Executive Officer Pursuant to 18 U.S.C. Section 1350, as Adopted Pursuant to Section 906 of the</w:t>
            </w:r>
          </w:p>
        </w:tc>
      </w:tr>
      <w:tr>
        <w:trPr>
          <w:trHeight w:val="250"/>
        </w:trPr>
        <w:tc>
          <w:tcPr>
            <w:tcW w:w="1140" w:type="dxa"/>
            <w:vAlign w:val="bottom"/>
          </w:tcPr>
          <w:p>
            <w:pPr>
              <w:spacing w:after="0"/>
              <w:rPr>
                <w:sz w:val="21"/>
                <w:szCs w:val="21"/>
                <w:color w:val="auto"/>
              </w:rPr>
            </w:pPr>
          </w:p>
        </w:tc>
        <w:tc>
          <w:tcPr>
            <w:tcW w:w="10220" w:type="dxa"/>
            <w:vAlign w:val="bottom"/>
          </w:tcPr>
          <w:p>
            <w:pPr>
              <w:ind w:left="420"/>
              <w:spacing w:after="0"/>
              <w:rPr>
                <w:sz w:val="20"/>
                <w:szCs w:val="20"/>
                <w:color w:val="auto"/>
              </w:rPr>
            </w:pPr>
            <w:r>
              <w:rPr>
                <w:rFonts w:ascii="Arial" w:cs="Arial" w:eastAsia="Arial" w:hAnsi="Arial"/>
                <w:sz w:val="20"/>
                <w:szCs w:val="20"/>
                <w:color w:val="auto"/>
              </w:rPr>
              <w:t>Sarbanes-Oxley Act of 2002</w:t>
            </w:r>
          </w:p>
        </w:tc>
      </w:tr>
      <w:tr>
        <w:trPr>
          <w:trHeight w:val="438"/>
        </w:trPr>
        <w:tc>
          <w:tcPr>
            <w:tcW w:w="1140" w:type="dxa"/>
            <w:vAlign w:val="bottom"/>
          </w:tcPr>
          <w:p>
            <w:pPr>
              <w:spacing w:after="0"/>
              <w:rPr>
                <w:sz w:val="20"/>
                <w:szCs w:val="20"/>
                <w:color w:val="auto"/>
              </w:rPr>
            </w:pPr>
            <w:r>
              <w:rPr>
                <w:rFonts w:ascii="Arial" w:cs="Arial" w:eastAsia="Arial" w:hAnsi="Arial"/>
                <w:sz w:val="20"/>
                <w:szCs w:val="20"/>
                <w:color w:val="auto"/>
              </w:rPr>
              <w:t>32.2*</w:t>
            </w:r>
          </w:p>
        </w:tc>
        <w:tc>
          <w:tcPr>
            <w:tcW w:w="10220" w:type="dxa"/>
            <w:vAlign w:val="bottom"/>
          </w:tcPr>
          <w:p>
            <w:pPr>
              <w:ind w:left="420"/>
              <w:spacing w:after="0"/>
              <w:rPr>
                <w:sz w:val="20"/>
                <w:szCs w:val="20"/>
                <w:color w:val="auto"/>
              </w:rPr>
            </w:pPr>
            <w:r>
              <w:rPr>
                <w:rFonts w:ascii="Arial" w:cs="Arial" w:eastAsia="Arial" w:hAnsi="Arial"/>
                <w:sz w:val="20"/>
                <w:szCs w:val="20"/>
                <w:color w:val="auto"/>
                <w:w w:val="93"/>
              </w:rPr>
              <w:t>Certification by Chief Financial Officer Pursuant to 18 U.S.C. Section 1350, as Adopted Pursuant to Section 906 of the</w:t>
            </w:r>
          </w:p>
        </w:tc>
      </w:tr>
      <w:tr>
        <w:trPr>
          <w:trHeight w:val="250"/>
        </w:trPr>
        <w:tc>
          <w:tcPr>
            <w:tcW w:w="1140" w:type="dxa"/>
            <w:vAlign w:val="bottom"/>
          </w:tcPr>
          <w:p>
            <w:pPr>
              <w:spacing w:after="0"/>
              <w:rPr>
                <w:sz w:val="21"/>
                <w:szCs w:val="21"/>
                <w:color w:val="auto"/>
              </w:rPr>
            </w:pPr>
          </w:p>
        </w:tc>
        <w:tc>
          <w:tcPr>
            <w:tcW w:w="10220" w:type="dxa"/>
            <w:vAlign w:val="bottom"/>
          </w:tcPr>
          <w:p>
            <w:pPr>
              <w:ind w:left="420"/>
              <w:spacing w:after="0"/>
              <w:rPr>
                <w:sz w:val="20"/>
                <w:szCs w:val="20"/>
                <w:color w:val="auto"/>
              </w:rPr>
            </w:pPr>
            <w:r>
              <w:rPr>
                <w:rFonts w:ascii="Arial" w:cs="Arial" w:eastAsia="Arial" w:hAnsi="Arial"/>
                <w:sz w:val="20"/>
                <w:szCs w:val="20"/>
                <w:color w:val="auto"/>
              </w:rPr>
              <w:t>Sarbanes-Oxley Act of 2002</w:t>
            </w:r>
          </w:p>
        </w:tc>
      </w:tr>
      <w:tr>
        <w:trPr>
          <w:trHeight w:val="438"/>
        </w:trPr>
        <w:tc>
          <w:tcPr>
            <w:tcW w:w="1140" w:type="dxa"/>
            <w:vAlign w:val="bottom"/>
          </w:tcPr>
          <w:p>
            <w:pPr>
              <w:spacing w:after="0"/>
              <w:rPr>
                <w:sz w:val="20"/>
                <w:szCs w:val="20"/>
                <w:color w:val="auto"/>
              </w:rPr>
            </w:pPr>
            <w:r>
              <w:rPr>
                <w:rFonts w:ascii="Arial" w:cs="Arial" w:eastAsia="Arial" w:hAnsi="Arial"/>
                <w:sz w:val="20"/>
                <w:szCs w:val="20"/>
                <w:color w:val="auto"/>
              </w:rPr>
              <w:t>101*</w:t>
            </w:r>
          </w:p>
        </w:tc>
        <w:tc>
          <w:tcPr>
            <w:tcW w:w="10220" w:type="dxa"/>
            <w:vAlign w:val="bottom"/>
          </w:tcPr>
          <w:p>
            <w:pPr>
              <w:ind w:left="420"/>
              <w:spacing w:after="0"/>
              <w:rPr>
                <w:sz w:val="20"/>
                <w:szCs w:val="20"/>
                <w:color w:val="auto"/>
              </w:rPr>
            </w:pPr>
            <w:r>
              <w:rPr>
                <w:rFonts w:ascii="Arial" w:cs="Arial" w:eastAsia="Arial" w:hAnsi="Arial"/>
                <w:sz w:val="20"/>
                <w:szCs w:val="20"/>
                <w:color w:val="auto"/>
                <w:w w:val="92"/>
              </w:rPr>
              <w:t>The following financial information from Monster Beverage Corporation’s Quarterly Report on Form 10-Q for the quarter</w:t>
            </w:r>
          </w:p>
        </w:tc>
      </w:tr>
      <w:tr>
        <w:trPr>
          <w:trHeight w:val="230"/>
        </w:trPr>
        <w:tc>
          <w:tcPr>
            <w:tcW w:w="1140" w:type="dxa"/>
            <w:vAlign w:val="bottom"/>
          </w:tcPr>
          <w:p>
            <w:pPr>
              <w:spacing w:after="0"/>
              <w:rPr>
                <w:sz w:val="19"/>
                <w:szCs w:val="19"/>
                <w:color w:val="auto"/>
              </w:rPr>
            </w:pPr>
          </w:p>
        </w:tc>
        <w:tc>
          <w:tcPr>
            <w:tcW w:w="10220" w:type="dxa"/>
            <w:vAlign w:val="bottom"/>
          </w:tcPr>
          <w:p>
            <w:pPr>
              <w:ind w:left="420"/>
              <w:spacing w:after="0"/>
              <w:rPr>
                <w:sz w:val="20"/>
                <w:szCs w:val="20"/>
                <w:color w:val="auto"/>
              </w:rPr>
            </w:pPr>
            <w:r>
              <w:rPr>
                <w:rFonts w:ascii="Arial" w:cs="Arial" w:eastAsia="Arial" w:hAnsi="Arial"/>
                <w:sz w:val="20"/>
                <w:szCs w:val="20"/>
                <w:color w:val="auto"/>
                <w:w w:val="95"/>
              </w:rPr>
              <w:t>ended March 31, 2015, formatted in XBRL (eXtensible Business Reporting Language): (i) Condensed Consolidated</w:t>
            </w:r>
          </w:p>
        </w:tc>
      </w:tr>
      <w:tr>
        <w:trPr>
          <w:trHeight w:val="230"/>
        </w:trPr>
        <w:tc>
          <w:tcPr>
            <w:tcW w:w="1140" w:type="dxa"/>
            <w:vAlign w:val="bottom"/>
          </w:tcPr>
          <w:p>
            <w:pPr>
              <w:spacing w:after="0"/>
              <w:rPr>
                <w:sz w:val="19"/>
                <w:szCs w:val="19"/>
                <w:color w:val="auto"/>
              </w:rPr>
            </w:pPr>
          </w:p>
        </w:tc>
        <w:tc>
          <w:tcPr>
            <w:tcW w:w="10220" w:type="dxa"/>
            <w:vAlign w:val="bottom"/>
          </w:tcPr>
          <w:p>
            <w:pPr>
              <w:ind w:left="420"/>
              <w:spacing w:after="0"/>
              <w:rPr>
                <w:sz w:val="20"/>
                <w:szCs w:val="20"/>
                <w:color w:val="auto"/>
              </w:rPr>
            </w:pPr>
            <w:r>
              <w:rPr>
                <w:rFonts w:ascii="Arial" w:cs="Arial" w:eastAsia="Arial" w:hAnsi="Arial"/>
                <w:sz w:val="20"/>
                <w:szCs w:val="20"/>
                <w:color w:val="auto"/>
                <w:w w:val="90"/>
              </w:rPr>
              <w:t>Balance Sheets as of March 31, 2015 and December 31, 2014, (ii) Condensed Consolidated Statements of Income for the</w:t>
            </w:r>
          </w:p>
        </w:tc>
      </w:tr>
      <w:tr>
        <w:trPr>
          <w:trHeight w:val="246"/>
        </w:trPr>
        <w:tc>
          <w:tcPr>
            <w:tcW w:w="1140" w:type="dxa"/>
            <w:vAlign w:val="bottom"/>
          </w:tcPr>
          <w:p>
            <w:pPr>
              <w:spacing w:after="0"/>
              <w:rPr>
                <w:sz w:val="21"/>
                <w:szCs w:val="21"/>
                <w:color w:val="auto"/>
              </w:rPr>
            </w:pPr>
          </w:p>
        </w:tc>
        <w:tc>
          <w:tcPr>
            <w:tcW w:w="10220" w:type="dxa"/>
            <w:vAlign w:val="bottom"/>
          </w:tcPr>
          <w:p>
            <w:pPr>
              <w:ind w:left="420"/>
              <w:spacing w:after="0"/>
              <w:rPr>
                <w:sz w:val="20"/>
                <w:szCs w:val="20"/>
                <w:color w:val="auto"/>
              </w:rPr>
            </w:pPr>
            <w:r>
              <w:rPr>
                <w:rFonts w:ascii="Arial" w:cs="Arial" w:eastAsia="Arial" w:hAnsi="Arial"/>
                <w:sz w:val="20"/>
                <w:szCs w:val="20"/>
                <w:color w:val="auto"/>
                <w:w w:val="89"/>
              </w:rPr>
              <w:t>three-months ended March 31, 2015 and 2014, (iii) Condensed Consolidated Statements of Comprehensive Income for the</w:t>
            </w:r>
          </w:p>
        </w:tc>
      </w:tr>
    </w:tbl>
    <w:p>
      <w:pPr>
        <w:ind w:left="1560" w:right="20"/>
        <w:spacing w:after="0" w:line="269" w:lineRule="auto"/>
        <w:rPr>
          <w:sz w:val="20"/>
          <w:szCs w:val="20"/>
          <w:color w:val="auto"/>
        </w:rPr>
      </w:pPr>
      <w:r>
        <w:rPr>
          <w:rFonts w:ascii="Arial" w:cs="Arial" w:eastAsia="Arial" w:hAnsi="Arial"/>
          <w:sz w:val="19"/>
          <w:szCs w:val="19"/>
          <w:color w:val="auto"/>
        </w:rPr>
        <w:t>three-months ended March 31, 2015 and 2014, (iv) Condensed Consolidated Statements of Cash Flows for the three-months ended March 31, 2015 and 2014, and (v) the Notes to Condensed Consolidated Financial Statements.</w:t>
      </w:r>
    </w:p>
    <w:p>
      <w:pPr>
        <w:spacing w:after="0" w:line="200" w:lineRule="exact"/>
        <w:rPr>
          <w:sz w:val="20"/>
          <w:szCs w:val="20"/>
          <w:color w:val="auto"/>
        </w:rPr>
      </w:pPr>
    </w:p>
    <w:p>
      <w:pPr>
        <w:spacing w:after="0" w:line="207" w:lineRule="exact"/>
        <w:rPr>
          <w:sz w:val="20"/>
          <w:szCs w:val="20"/>
          <w:color w:val="auto"/>
        </w:rPr>
      </w:pPr>
    </w:p>
    <w:p>
      <w:pPr>
        <w:ind w:right="9860" w:firstLine="8"/>
        <w:spacing w:after="0" w:line="278" w:lineRule="auto"/>
        <w:tabs>
          <w:tab w:leader="none" w:pos="247"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Filed herewith ** Previously filed</w:t>
      </w:r>
    </w:p>
    <w:p>
      <w:pPr>
        <w:spacing w:after="0" w:line="1" w:lineRule="exact"/>
        <w:rPr>
          <w:rFonts w:ascii="Arial" w:cs="Arial" w:eastAsia="Arial" w:hAnsi="Arial"/>
          <w:sz w:val="18"/>
          <w:szCs w:val="18"/>
          <w:b w:val="1"/>
          <w:bCs w:val="1"/>
          <w:color w:val="auto"/>
        </w:rPr>
      </w:pPr>
    </w:p>
    <w:p>
      <w:pPr>
        <w:ind w:left="260" w:hanging="243"/>
        <w:spacing w:after="0" w:line="244" w:lineRule="auto"/>
        <w:rPr>
          <w:rFonts w:ascii="Arial" w:cs="Arial" w:eastAsia="Arial" w:hAnsi="Arial"/>
          <w:sz w:val="18"/>
          <w:szCs w:val="18"/>
          <w:b w:val="1"/>
          <w:bCs w:val="1"/>
          <w:color w:val="auto"/>
        </w:rPr>
      </w:pPr>
      <w:r>
        <w:rPr>
          <w:rFonts w:ascii="Arial" w:cs="Arial" w:eastAsia="Arial" w:hAnsi="Arial"/>
          <w:sz w:val="20"/>
          <w:szCs w:val="20"/>
          <w:b w:val="1"/>
          <w:bCs w:val="1"/>
          <w:color w:val="auto"/>
        </w:rPr>
        <w:t># Confidential treatment has been requested for certain information contained in this exhibit. Such information has been omitted and filed separately with the SEC.</w:t>
      </w:r>
    </w:p>
    <w:p>
      <w:pPr>
        <w:sectPr>
          <w:pgSz w:w="11900" w:h="16838" w:orient="portrait"/>
          <w:cols w:equalWidth="0" w:num="1">
            <w:col w:w="11420"/>
          </w:cols>
          <w:pgMar w:left="240" w:top="115" w:right="239" w:bottom="0"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115" w:right="239" w:bottom="0" w:gutter="0" w:footer="0" w:header="0"/>
          <w:type w:val="continuous"/>
        </w:sectPr>
      </w:pPr>
    </w:p>
    <w:bookmarkStart w:id="31" w:name="page32"/>
    <w:bookmarkEnd w:id="31"/>
    <w:p>
      <w:pPr>
        <w:spacing w:after="0"/>
        <w:rPr>
          <w:rFonts w:ascii="Arial" w:cs="Arial" w:eastAsia="Arial" w:hAnsi="Arial"/>
          <w:sz w:val="20"/>
          <w:szCs w:val="20"/>
          <w:u w:val="single" w:color="auto"/>
          <w:color w:val="0000EE"/>
        </w:rPr>
      </w:pPr>
      <w:r>
        <w:rPr>
          <w:rFonts w:ascii="Arial" w:cs="Arial" w:eastAsia="Arial" w:hAnsi="Arial"/>
          <w:sz w:val="20"/>
          <w:szCs w:val="20"/>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
        <w:r>
          <w:rPr>
            <w:rFonts w:ascii="Arial" w:cs="Arial" w:eastAsia="Arial" w:hAnsi="Arial"/>
            <w:sz w:val="20"/>
            <w:szCs w:val="20"/>
            <w:u w:val="single" w:color="auto"/>
            <w:color w:val="0000EE"/>
          </w:rPr>
          <w:t>Table of Contents</w:t>
        </w:r>
      </w:hyperlink>
    </w:p>
    <w:p>
      <w:pPr>
        <w:spacing w:after="0" w:line="223"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SIGNATURES</w:t>
      </w:r>
    </w:p>
    <w:p>
      <w:pPr>
        <w:spacing w:after="0" w:line="235"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Arial" w:cs="Arial" w:eastAsia="Arial" w:hAnsi="Arial"/>
                <w:sz w:val="20"/>
                <w:szCs w:val="20"/>
                <w:color w:val="auto"/>
              </w:rPr>
              <w:t>MONSTER BEVERAGE CORPORATION</w:t>
            </w:r>
          </w:p>
        </w:tc>
      </w:tr>
      <w:tr>
        <w:trPr>
          <w:trHeight w:val="250"/>
        </w:trPr>
        <w:tc>
          <w:tcPr>
            <w:tcW w:w="360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5740" w:type="dxa"/>
            <w:vAlign w:val="bottom"/>
            <w:gridSpan w:val="2"/>
          </w:tcPr>
          <w:p>
            <w:pPr>
              <w:spacing w:after="0"/>
              <w:rPr>
                <w:sz w:val="20"/>
                <w:szCs w:val="20"/>
                <w:color w:val="auto"/>
              </w:rPr>
            </w:pPr>
            <w:r>
              <w:rPr>
                <w:rFonts w:ascii="Arial" w:cs="Arial" w:eastAsia="Arial" w:hAnsi="Arial"/>
                <w:sz w:val="20"/>
                <w:szCs w:val="20"/>
                <w:color w:val="auto"/>
              </w:rPr>
              <w:t>Registrant</w:t>
            </w:r>
          </w:p>
        </w:tc>
      </w:tr>
      <w:tr>
        <w:trPr>
          <w:trHeight w:val="644"/>
        </w:trPr>
        <w:tc>
          <w:tcPr>
            <w:tcW w:w="3600" w:type="dxa"/>
            <w:vAlign w:val="bottom"/>
          </w:tcPr>
          <w:p>
            <w:pPr>
              <w:spacing w:after="0"/>
              <w:rPr>
                <w:sz w:val="20"/>
                <w:szCs w:val="20"/>
                <w:color w:val="auto"/>
              </w:rPr>
            </w:pPr>
            <w:r>
              <w:rPr>
                <w:rFonts w:ascii="Arial" w:cs="Arial" w:eastAsia="Arial" w:hAnsi="Arial"/>
                <w:sz w:val="20"/>
                <w:szCs w:val="20"/>
                <w:color w:val="auto"/>
              </w:rPr>
              <w:t>Date: May 11, 2015</w:t>
            </w:r>
          </w:p>
        </w:tc>
        <w:tc>
          <w:tcPr>
            <w:tcW w:w="2120" w:type="dxa"/>
            <w:vAlign w:val="bottom"/>
          </w:tcPr>
          <w:p>
            <w:pPr>
              <w:spacing w:after="0"/>
              <w:rPr>
                <w:sz w:val="24"/>
                <w:szCs w:val="24"/>
                <w:color w:val="auto"/>
              </w:rPr>
            </w:pPr>
          </w:p>
        </w:tc>
        <w:tc>
          <w:tcPr>
            <w:tcW w:w="5740" w:type="dxa"/>
            <w:vAlign w:val="bottom"/>
            <w:gridSpan w:val="2"/>
          </w:tcPr>
          <w:p>
            <w:pPr>
              <w:spacing w:after="0"/>
              <w:rPr>
                <w:sz w:val="20"/>
                <w:szCs w:val="20"/>
                <w:color w:val="auto"/>
              </w:rPr>
            </w:pPr>
            <w:r>
              <w:rPr>
                <w:rFonts w:ascii="Arial" w:cs="Arial" w:eastAsia="Arial" w:hAnsi="Arial"/>
                <w:sz w:val="20"/>
                <w:szCs w:val="20"/>
                <w:color w:val="auto"/>
              </w:rPr>
              <w:t>/s/ RODNEY C. SACKS</w:t>
            </w:r>
          </w:p>
        </w:tc>
      </w:tr>
      <w:tr>
        <w:trPr>
          <w:trHeight w:val="233"/>
        </w:trPr>
        <w:tc>
          <w:tcPr>
            <w:tcW w:w="36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98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Rodney C. Sacks</w:t>
            </w:r>
          </w:p>
        </w:tc>
        <w:tc>
          <w:tcPr>
            <w:tcW w:w="3760" w:type="dxa"/>
            <w:vAlign w:val="bottom"/>
          </w:tcPr>
          <w:p>
            <w:pPr>
              <w:spacing w:after="0"/>
              <w:rPr>
                <w:sz w:val="20"/>
                <w:szCs w:val="20"/>
                <w:color w:val="auto"/>
              </w:rPr>
            </w:pPr>
          </w:p>
        </w:tc>
      </w:tr>
      <w:tr>
        <w:trPr>
          <w:trHeight w:val="230"/>
        </w:trPr>
        <w:tc>
          <w:tcPr>
            <w:tcW w:w="36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Arial" w:cs="Arial" w:eastAsia="Arial" w:hAnsi="Arial"/>
                <w:sz w:val="20"/>
                <w:szCs w:val="20"/>
                <w:color w:val="auto"/>
              </w:rPr>
              <w:t>Chairman of the Board of Directors</w:t>
            </w:r>
          </w:p>
        </w:tc>
      </w:tr>
      <w:tr>
        <w:trPr>
          <w:trHeight w:val="250"/>
        </w:trPr>
        <w:tc>
          <w:tcPr>
            <w:tcW w:w="360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5740" w:type="dxa"/>
            <w:vAlign w:val="bottom"/>
            <w:gridSpan w:val="2"/>
          </w:tcPr>
          <w:p>
            <w:pPr>
              <w:spacing w:after="0"/>
              <w:rPr>
                <w:sz w:val="20"/>
                <w:szCs w:val="20"/>
                <w:color w:val="auto"/>
              </w:rPr>
            </w:pPr>
            <w:r>
              <w:rPr>
                <w:rFonts w:ascii="Arial" w:cs="Arial" w:eastAsia="Arial" w:hAnsi="Arial"/>
                <w:sz w:val="20"/>
                <w:szCs w:val="20"/>
                <w:color w:val="auto"/>
              </w:rPr>
              <w:t>and Chief Executive Officer</w:t>
            </w:r>
          </w:p>
        </w:tc>
      </w:tr>
      <w:tr>
        <w:trPr>
          <w:trHeight w:val="428"/>
        </w:trPr>
        <w:tc>
          <w:tcPr>
            <w:tcW w:w="3600" w:type="dxa"/>
            <w:vAlign w:val="bottom"/>
          </w:tcPr>
          <w:p>
            <w:pPr>
              <w:spacing w:after="0"/>
              <w:rPr>
                <w:sz w:val="24"/>
                <w:szCs w:val="24"/>
                <w:color w:val="auto"/>
              </w:rPr>
            </w:pPr>
          </w:p>
        </w:tc>
        <w:tc>
          <w:tcPr>
            <w:tcW w:w="4100" w:type="dxa"/>
            <w:vAlign w:val="bottom"/>
            <w:gridSpan w:val="2"/>
          </w:tcPr>
          <w:p>
            <w:pPr>
              <w:jc w:val="right"/>
              <w:ind w:right="1801"/>
              <w:spacing w:after="0"/>
              <w:rPr>
                <w:sz w:val="20"/>
                <w:szCs w:val="20"/>
                <w:color w:val="auto"/>
              </w:rPr>
            </w:pPr>
            <w:r>
              <w:rPr>
                <w:rFonts w:ascii="Arial" w:cs="Arial" w:eastAsia="Arial" w:hAnsi="Arial"/>
                <w:sz w:val="18"/>
                <w:szCs w:val="18"/>
                <w:color w:val="auto"/>
              </w:rPr>
              <w:t>46</w:t>
            </w:r>
          </w:p>
        </w:tc>
        <w:tc>
          <w:tcPr>
            <w:tcW w:w="3760" w:type="dxa"/>
            <w:vAlign w:val="bottom"/>
          </w:tcPr>
          <w:p>
            <w:pPr>
              <w:spacing w:after="0"/>
              <w:rPr>
                <w:sz w:val="24"/>
                <w:szCs w:val="24"/>
                <w:color w:val="auto"/>
              </w:rPr>
            </w:pPr>
          </w:p>
        </w:tc>
      </w:tr>
      <w:tr>
        <w:trPr>
          <w:trHeight w:val="132"/>
        </w:trPr>
        <w:tc>
          <w:tcPr>
            <w:tcW w:w="3600" w:type="dxa"/>
            <w:vAlign w:val="bottom"/>
            <w:tcBorders>
              <w:bottom w:val="single" w:sz="8" w:color="010101"/>
            </w:tcBorders>
          </w:tcPr>
          <w:p>
            <w:pPr>
              <w:spacing w:after="0"/>
              <w:rPr>
                <w:sz w:val="11"/>
                <w:szCs w:val="11"/>
                <w:color w:val="auto"/>
              </w:rPr>
            </w:pPr>
          </w:p>
        </w:tc>
        <w:tc>
          <w:tcPr>
            <w:tcW w:w="2120" w:type="dxa"/>
            <w:vAlign w:val="bottom"/>
            <w:tcBorders>
              <w:bottom w:val="single" w:sz="8" w:color="010101"/>
            </w:tcBorders>
          </w:tcPr>
          <w:p>
            <w:pPr>
              <w:spacing w:after="0"/>
              <w:rPr>
                <w:sz w:val="11"/>
                <w:szCs w:val="11"/>
                <w:color w:val="auto"/>
              </w:rPr>
            </w:pPr>
          </w:p>
        </w:tc>
        <w:tc>
          <w:tcPr>
            <w:tcW w:w="1980" w:type="dxa"/>
            <w:vAlign w:val="bottom"/>
            <w:tcBorders>
              <w:bottom w:val="single" w:sz="8" w:color="010101"/>
            </w:tcBorders>
          </w:tcPr>
          <w:p>
            <w:pPr>
              <w:spacing w:after="0"/>
              <w:rPr>
                <w:sz w:val="11"/>
                <w:szCs w:val="11"/>
                <w:color w:val="auto"/>
              </w:rPr>
            </w:pPr>
          </w:p>
        </w:tc>
        <w:tc>
          <w:tcPr>
            <w:tcW w:w="376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14" w:right="199" w:bottom="1440" w:gutter="0" w:footer="0" w:header="0"/>
        </w:sectPr>
      </w:pPr>
    </w:p>
    <w:bookmarkStart w:id="32" w:name="page33"/>
    <w:bookmarkEnd w:id="32"/>
    <w:p>
      <w:pPr>
        <w:spacing w:after="0" w:line="1" w:lineRule="exact"/>
        <w:rPr>
          <w:sz w:val="20"/>
          <w:szCs w:val="20"/>
          <w:color w:val="auto"/>
        </w:rPr>
      </w:pPr>
    </w:p>
    <w:p>
      <w:pPr>
        <w:ind w:left="10300"/>
        <w:spacing w:after="0"/>
        <w:rPr>
          <w:sz w:val="20"/>
          <w:szCs w:val="20"/>
          <w:color w:val="auto"/>
        </w:rPr>
      </w:pPr>
      <w:r>
        <w:rPr>
          <w:rFonts w:ascii="Arial" w:cs="Arial" w:eastAsia="Arial" w:hAnsi="Arial"/>
          <w:sz w:val="19"/>
          <w:szCs w:val="19"/>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187960</wp:posOffset>
            </wp:positionV>
            <wp:extent cx="6174740" cy="9436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174740"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ind w:right="40"/>
        <w:spacing w:after="0"/>
        <w:rPr>
          <w:sz w:val="20"/>
          <w:szCs w:val="20"/>
          <w:color w:val="auto"/>
        </w:rPr>
      </w:pPr>
      <w:r>
        <w:rPr>
          <w:rFonts w:ascii="Arial" w:cs="Arial" w:eastAsia="Arial" w:hAnsi="Arial"/>
          <w:sz w:val="22"/>
          <w:szCs w:val="22"/>
          <w:color w:val="auto"/>
        </w:rPr>
        <w:t>1 MONSTER WAY</w:t>
      </w:r>
    </w:p>
    <w:p>
      <w:pPr>
        <w:jc w:val="right"/>
        <w:ind w:right="40"/>
        <w:spacing w:after="0" w:line="238" w:lineRule="auto"/>
        <w:rPr>
          <w:sz w:val="20"/>
          <w:szCs w:val="20"/>
          <w:color w:val="auto"/>
        </w:rPr>
      </w:pPr>
      <w:r>
        <w:rPr>
          <w:rFonts w:ascii="Arial" w:cs="Arial" w:eastAsia="Arial" w:hAnsi="Arial"/>
          <w:sz w:val="22"/>
          <w:szCs w:val="22"/>
          <w:color w:val="auto"/>
        </w:rPr>
        <w:t>CORONA, CA 92879</w:t>
      </w:r>
    </w:p>
    <w:p>
      <w:pPr>
        <w:jc w:val="right"/>
        <w:ind w:right="40"/>
        <w:spacing w:after="0" w:line="230" w:lineRule="auto"/>
        <w:rPr>
          <w:sz w:val="20"/>
          <w:szCs w:val="20"/>
          <w:color w:val="auto"/>
        </w:rPr>
      </w:pPr>
      <w:r>
        <w:rPr>
          <w:rFonts w:ascii="Arial" w:cs="Arial" w:eastAsia="Arial" w:hAnsi="Arial"/>
          <w:sz w:val="22"/>
          <w:szCs w:val="22"/>
          <w:color w:val="auto"/>
        </w:rPr>
        <w:t>PHONE: 951/739-6200</w:t>
      </w:r>
    </w:p>
    <w:p>
      <w:pPr>
        <w:spacing w:after="0" w:line="1" w:lineRule="exact"/>
        <w:rPr>
          <w:sz w:val="20"/>
          <w:szCs w:val="20"/>
          <w:color w:val="auto"/>
        </w:rPr>
      </w:pPr>
    </w:p>
    <w:p>
      <w:pPr>
        <w:jc w:val="right"/>
        <w:ind w:right="40"/>
        <w:spacing w:after="0"/>
        <w:rPr>
          <w:sz w:val="20"/>
          <w:szCs w:val="20"/>
          <w:color w:val="auto"/>
        </w:rPr>
      </w:pPr>
      <w:r>
        <w:rPr>
          <w:rFonts w:ascii="Arial" w:cs="Arial" w:eastAsia="Arial" w:hAnsi="Arial"/>
          <w:sz w:val="22"/>
          <w:szCs w:val="22"/>
          <w:color w:val="auto"/>
        </w:rPr>
        <w:t>FAX: 951/739-6210</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March 12, 2015</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Mark Hall</w:t>
      </w:r>
    </w:p>
    <w:p>
      <w:pPr>
        <w:spacing w:after="0" w:line="238" w:lineRule="auto"/>
        <w:rPr>
          <w:sz w:val="20"/>
          <w:szCs w:val="20"/>
          <w:color w:val="auto"/>
        </w:rPr>
      </w:pPr>
      <w:r>
        <w:rPr>
          <w:rFonts w:ascii="Arial" w:cs="Arial" w:eastAsia="Arial" w:hAnsi="Arial"/>
          <w:sz w:val="22"/>
          <w:szCs w:val="22"/>
          <w:color w:val="auto"/>
        </w:rPr>
        <w:t>78-7025 Ola Mau Street</w:t>
      </w:r>
    </w:p>
    <w:p>
      <w:pPr>
        <w:spacing w:after="0"/>
        <w:rPr>
          <w:sz w:val="20"/>
          <w:szCs w:val="20"/>
          <w:color w:val="auto"/>
        </w:rPr>
      </w:pPr>
      <w:r>
        <w:rPr>
          <w:rFonts w:ascii="Arial" w:cs="Arial" w:eastAsia="Arial" w:hAnsi="Arial"/>
          <w:sz w:val="22"/>
          <w:szCs w:val="22"/>
          <w:color w:val="auto"/>
        </w:rPr>
        <w:t>Kailua Kona, HI 96740</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By Hand Delivery</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Dear Mark,</w:t>
      </w:r>
    </w:p>
    <w:p>
      <w:pPr>
        <w:spacing w:after="0" w:line="233" w:lineRule="exact"/>
        <w:rPr>
          <w:sz w:val="20"/>
          <w:szCs w:val="20"/>
          <w:color w:val="auto"/>
        </w:rPr>
      </w:pPr>
    </w:p>
    <w:p>
      <w:pPr>
        <w:jc w:val="both"/>
        <w:ind w:right="40"/>
        <w:spacing w:after="0" w:line="297" w:lineRule="auto"/>
        <w:rPr>
          <w:sz w:val="20"/>
          <w:szCs w:val="20"/>
          <w:color w:val="auto"/>
        </w:rPr>
      </w:pPr>
      <w:r>
        <w:rPr>
          <w:rFonts w:ascii="Arial" w:cs="Arial" w:eastAsia="Arial" w:hAnsi="Arial"/>
          <w:sz w:val="19"/>
          <w:szCs w:val="19"/>
          <w:color w:val="auto"/>
        </w:rPr>
        <w:t>This letter (the “Agreement”) will confirm your recent discussions with the Executive Committee in regard to your position change from Chief Brand Officer to Chief Marketing Officer on a full-time basis, effective as of January 1, 2015. This Agreement with Monster Energy Company (“Monster Energy” or “the Company”) will be in accordance with the following terms and conditions.</w:t>
      </w:r>
    </w:p>
    <w:p>
      <w:pPr>
        <w:spacing w:after="0" w:line="161" w:lineRule="exact"/>
        <w:rPr>
          <w:sz w:val="20"/>
          <w:szCs w:val="20"/>
          <w:color w:val="auto"/>
        </w:rPr>
      </w:pPr>
    </w:p>
    <w:p>
      <w:pPr>
        <w:ind w:left="800" w:hanging="792"/>
        <w:spacing w:after="0"/>
        <w:tabs>
          <w:tab w:leader="none" w:pos="800"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Total Compensation.</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080" w:type="dxa"/>
            <w:vAlign w:val="bottom"/>
          </w:tcPr>
          <w:p>
            <w:pPr>
              <w:ind w:left="800"/>
              <w:spacing w:after="0"/>
              <w:rPr>
                <w:sz w:val="20"/>
                <w:szCs w:val="20"/>
                <w:color w:val="auto"/>
              </w:rPr>
            </w:pPr>
            <w:r>
              <w:rPr>
                <w:rFonts w:ascii="Arial" w:cs="Arial" w:eastAsia="Arial" w:hAnsi="Arial"/>
                <w:sz w:val="22"/>
                <w:szCs w:val="22"/>
                <w:color w:val="auto"/>
                <w:w w:val="84"/>
              </w:rPr>
              <w:t>1.1</w:t>
            </w:r>
          </w:p>
        </w:tc>
        <w:tc>
          <w:tcPr>
            <w:tcW w:w="2220" w:type="dxa"/>
            <w:vAlign w:val="bottom"/>
          </w:tcPr>
          <w:p>
            <w:pPr>
              <w:ind w:left="40"/>
              <w:spacing w:after="0"/>
              <w:rPr>
                <w:sz w:val="20"/>
                <w:szCs w:val="20"/>
                <w:color w:val="auto"/>
              </w:rPr>
            </w:pPr>
            <w:r>
              <w:rPr>
                <w:rFonts w:ascii="Arial" w:cs="Arial" w:eastAsia="Arial" w:hAnsi="Arial"/>
                <w:sz w:val="22"/>
                <w:szCs w:val="22"/>
                <w:color w:val="auto"/>
              </w:rPr>
              <w:t>Base Salary:</w:t>
            </w:r>
          </w:p>
        </w:tc>
        <w:tc>
          <w:tcPr>
            <w:tcW w:w="8160" w:type="dxa"/>
            <w:vAlign w:val="bottom"/>
          </w:tcPr>
          <w:p>
            <w:pPr>
              <w:ind w:left="380"/>
              <w:spacing w:after="0"/>
              <w:rPr>
                <w:sz w:val="20"/>
                <w:szCs w:val="20"/>
                <w:color w:val="auto"/>
              </w:rPr>
            </w:pPr>
            <w:r>
              <w:rPr>
                <w:rFonts w:ascii="Arial" w:cs="Arial" w:eastAsia="Arial" w:hAnsi="Arial"/>
                <w:sz w:val="22"/>
                <w:szCs w:val="22"/>
                <w:color w:val="auto"/>
              </w:rPr>
              <w:t>$19,230.77 paid bi-weekly. (Annualized to $500,000 for illustration only).</w:t>
            </w:r>
          </w:p>
        </w:tc>
      </w:tr>
      <w:tr>
        <w:trPr>
          <w:trHeight w:val="486"/>
        </w:trPr>
        <w:tc>
          <w:tcPr>
            <w:tcW w:w="1080" w:type="dxa"/>
            <w:vAlign w:val="bottom"/>
          </w:tcPr>
          <w:p>
            <w:pPr>
              <w:ind w:left="800"/>
              <w:spacing w:after="0"/>
              <w:rPr>
                <w:sz w:val="20"/>
                <w:szCs w:val="20"/>
                <w:color w:val="auto"/>
              </w:rPr>
            </w:pPr>
            <w:r>
              <w:rPr>
                <w:rFonts w:ascii="Arial" w:cs="Arial" w:eastAsia="Arial" w:hAnsi="Arial"/>
                <w:sz w:val="22"/>
                <w:szCs w:val="22"/>
                <w:color w:val="auto"/>
                <w:w w:val="84"/>
              </w:rPr>
              <w:t>1.2</w:t>
            </w:r>
          </w:p>
        </w:tc>
        <w:tc>
          <w:tcPr>
            <w:tcW w:w="2220" w:type="dxa"/>
            <w:vAlign w:val="bottom"/>
          </w:tcPr>
          <w:p>
            <w:pPr>
              <w:ind w:left="40"/>
              <w:spacing w:after="0"/>
              <w:rPr>
                <w:sz w:val="20"/>
                <w:szCs w:val="20"/>
                <w:color w:val="auto"/>
              </w:rPr>
            </w:pPr>
            <w:r>
              <w:rPr>
                <w:rFonts w:ascii="Arial" w:cs="Arial" w:eastAsia="Arial" w:hAnsi="Arial"/>
                <w:sz w:val="22"/>
                <w:szCs w:val="22"/>
                <w:color w:val="auto"/>
              </w:rPr>
              <w:t>Auto Allowance:</w:t>
            </w:r>
          </w:p>
        </w:tc>
        <w:tc>
          <w:tcPr>
            <w:tcW w:w="8160" w:type="dxa"/>
            <w:vAlign w:val="bottom"/>
          </w:tcPr>
          <w:p>
            <w:pPr>
              <w:ind w:left="380"/>
              <w:spacing w:after="0"/>
              <w:rPr>
                <w:sz w:val="20"/>
                <w:szCs w:val="20"/>
                <w:color w:val="auto"/>
              </w:rPr>
            </w:pPr>
            <w:r>
              <w:rPr>
                <w:rFonts w:ascii="Arial" w:cs="Arial" w:eastAsia="Arial" w:hAnsi="Arial"/>
                <w:sz w:val="22"/>
                <w:szCs w:val="22"/>
                <w:color w:val="auto"/>
              </w:rPr>
              <w:t>$500.00 per month. (Annualized to $6,000 for illustration only).</w:t>
            </w:r>
          </w:p>
        </w:tc>
      </w:tr>
      <w:tr>
        <w:trPr>
          <w:trHeight w:val="486"/>
        </w:trPr>
        <w:tc>
          <w:tcPr>
            <w:tcW w:w="1080" w:type="dxa"/>
            <w:vAlign w:val="bottom"/>
          </w:tcPr>
          <w:p>
            <w:pPr>
              <w:ind w:left="800"/>
              <w:spacing w:after="0"/>
              <w:rPr>
                <w:sz w:val="20"/>
                <w:szCs w:val="20"/>
                <w:color w:val="auto"/>
              </w:rPr>
            </w:pPr>
            <w:r>
              <w:rPr>
                <w:rFonts w:ascii="Arial" w:cs="Arial" w:eastAsia="Arial" w:hAnsi="Arial"/>
                <w:sz w:val="22"/>
                <w:szCs w:val="22"/>
                <w:color w:val="auto"/>
                <w:w w:val="84"/>
              </w:rPr>
              <w:t>1.3</w:t>
            </w:r>
          </w:p>
        </w:tc>
        <w:tc>
          <w:tcPr>
            <w:tcW w:w="2220" w:type="dxa"/>
            <w:vAlign w:val="bottom"/>
          </w:tcPr>
          <w:p>
            <w:pPr>
              <w:ind w:left="40"/>
              <w:spacing w:after="0"/>
              <w:rPr>
                <w:sz w:val="20"/>
                <w:szCs w:val="20"/>
                <w:color w:val="auto"/>
              </w:rPr>
            </w:pPr>
            <w:r>
              <w:rPr>
                <w:rFonts w:ascii="Arial" w:cs="Arial" w:eastAsia="Arial" w:hAnsi="Arial"/>
                <w:sz w:val="22"/>
                <w:szCs w:val="22"/>
                <w:color w:val="auto"/>
              </w:rPr>
              <w:t>Gasoline Allowance:</w:t>
            </w:r>
          </w:p>
        </w:tc>
        <w:tc>
          <w:tcPr>
            <w:tcW w:w="8160" w:type="dxa"/>
            <w:vAlign w:val="bottom"/>
          </w:tcPr>
          <w:p>
            <w:pPr>
              <w:ind w:left="380"/>
              <w:spacing w:after="0"/>
              <w:rPr>
                <w:sz w:val="20"/>
                <w:szCs w:val="20"/>
                <w:color w:val="auto"/>
              </w:rPr>
            </w:pPr>
            <w:r>
              <w:rPr>
                <w:rFonts w:ascii="Arial" w:cs="Arial" w:eastAsia="Arial" w:hAnsi="Arial"/>
                <w:sz w:val="22"/>
                <w:szCs w:val="22"/>
                <w:color w:val="auto"/>
              </w:rPr>
              <w:t>Reimbursement of costs.</w:t>
            </w:r>
          </w:p>
        </w:tc>
      </w:tr>
      <w:tr>
        <w:trPr>
          <w:trHeight w:val="455"/>
        </w:trPr>
        <w:tc>
          <w:tcPr>
            <w:tcW w:w="1080" w:type="dxa"/>
            <w:vAlign w:val="bottom"/>
          </w:tcPr>
          <w:p>
            <w:pPr>
              <w:ind w:left="800"/>
              <w:spacing w:after="0"/>
              <w:rPr>
                <w:sz w:val="20"/>
                <w:szCs w:val="20"/>
                <w:color w:val="auto"/>
              </w:rPr>
            </w:pPr>
            <w:r>
              <w:rPr>
                <w:rFonts w:ascii="Arial" w:cs="Arial" w:eastAsia="Arial" w:hAnsi="Arial"/>
                <w:sz w:val="22"/>
                <w:szCs w:val="22"/>
                <w:color w:val="auto"/>
                <w:w w:val="84"/>
              </w:rPr>
              <w:t>1.4</w:t>
            </w:r>
          </w:p>
        </w:tc>
        <w:tc>
          <w:tcPr>
            <w:tcW w:w="2220" w:type="dxa"/>
            <w:vAlign w:val="bottom"/>
          </w:tcPr>
          <w:p>
            <w:pPr>
              <w:ind w:left="40"/>
              <w:spacing w:after="0"/>
              <w:rPr>
                <w:sz w:val="20"/>
                <w:szCs w:val="20"/>
                <w:color w:val="auto"/>
              </w:rPr>
            </w:pPr>
            <w:r>
              <w:rPr>
                <w:rFonts w:ascii="Arial" w:cs="Arial" w:eastAsia="Arial" w:hAnsi="Arial"/>
                <w:sz w:val="22"/>
                <w:szCs w:val="22"/>
                <w:color w:val="auto"/>
              </w:rPr>
              <w:t>Health Plan:</w:t>
            </w:r>
          </w:p>
        </w:tc>
        <w:tc>
          <w:tcPr>
            <w:tcW w:w="8160" w:type="dxa"/>
            <w:vAlign w:val="bottom"/>
          </w:tcPr>
          <w:p>
            <w:pPr>
              <w:ind w:left="380"/>
              <w:spacing w:after="0"/>
              <w:rPr>
                <w:sz w:val="20"/>
                <w:szCs w:val="20"/>
                <w:color w:val="auto"/>
              </w:rPr>
            </w:pPr>
            <w:r>
              <w:rPr>
                <w:rFonts w:ascii="Arial" w:cs="Arial" w:eastAsia="Arial" w:hAnsi="Arial"/>
                <w:sz w:val="22"/>
                <w:szCs w:val="22"/>
                <w:color w:val="auto"/>
                <w:w w:val="97"/>
              </w:rPr>
              <w:t>Employee and family will be fully covered by the Company in accordance with the</w:t>
            </w:r>
          </w:p>
        </w:tc>
      </w:tr>
      <w:tr>
        <w:trPr>
          <w:trHeight w:val="243"/>
        </w:trPr>
        <w:tc>
          <w:tcPr>
            <w:tcW w:w="10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8160" w:type="dxa"/>
            <w:vAlign w:val="bottom"/>
          </w:tcPr>
          <w:p>
            <w:pPr>
              <w:ind w:left="380"/>
              <w:spacing w:after="0" w:line="243" w:lineRule="exact"/>
              <w:rPr>
                <w:sz w:val="20"/>
                <w:szCs w:val="20"/>
                <w:color w:val="auto"/>
              </w:rPr>
            </w:pPr>
            <w:r>
              <w:rPr>
                <w:rFonts w:ascii="Arial" w:cs="Arial" w:eastAsia="Arial" w:hAnsi="Arial"/>
                <w:sz w:val="22"/>
                <w:szCs w:val="22"/>
                <w:color w:val="auto"/>
                <w:w w:val="91"/>
              </w:rPr>
              <w:t>rules and procedures set forth in the Company’s Employee Handbook and in the Group</w:t>
            </w:r>
          </w:p>
        </w:tc>
      </w:tr>
      <w:tr>
        <w:trPr>
          <w:trHeight w:val="243"/>
        </w:trPr>
        <w:tc>
          <w:tcPr>
            <w:tcW w:w="10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8160" w:type="dxa"/>
            <w:vAlign w:val="bottom"/>
          </w:tcPr>
          <w:p>
            <w:pPr>
              <w:ind w:left="380"/>
              <w:spacing w:after="0" w:line="243" w:lineRule="exact"/>
              <w:rPr>
                <w:sz w:val="20"/>
                <w:szCs w:val="20"/>
                <w:color w:val="auto"/>
              </w:rPr>
            </w:pPr>
            <w:r>
              <w:rPr>
                <w:rFonts w:ascii="Arial" w:cs="Arial" w:eastAsia="Arial" w:hAnsi="Arial"/>
                <w:sz w:val="22"/>
                <w:szCs w:val="22"/>
                <w:color w:val="auto"/>
                <w:w w:val="93"/>
              </w:rPr>
              <w:t>Insurance Plan documents. This includes medical insurance, dental insurance, vision</w:t>
            </w:r>
          </w:p>
        </w:tc>
      </w:tr>
      <w:tr>
        <w:trPr>
          <w:trHeight w:val="275"/>
        </w:trPr>
        <w:tc>
          <w:tcPr>
            <w:tcW w:w="108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8160" w:type="dxa"/>
            <w:vAlign w:val="bottom"/>
          </w:tcPr>
          <w:p>
            <w:pPr>
              <w:ind w:left="380"/>
              <w:spacing w:after="0"/>
              <w:rPr>
                <w:sz w:val="20"/>
                <w:szCs w:val="20"/>
                <w:color w:val="auto"/>
              </w:rPr>
            </w:pPr>
            <w:r>
              <w:rPr>
                <w:rFonts w:ascii="Arial" w:cs="Arial" w:eastAsia="Arial" w:hAnsi="Arial"/>
                <w:sz w:val="22"/>
                <w:szCs w:val="22"/>
                <w:color w:val="auto"/>
              </w:rPr>
              <w:t>insurance, life insurance and long/short term disability insurance.</w:t>
            </w:r>
          </w:p>
        </w:tc>
      </w:tr>
      <w:tr>
        <w:trPr>
          <w:trHeight w:val="455"/>
        </w:trPr>
        <w:tc>
          <w:tcPr>
            <w:tcW w:w="1080" w:type="dxa"/>
            <w:vAlign w:val="bottom"/>
          </w:tcPr>
          <w:p>
            <w:pPr>
              <w:ind w:left="800"/>
              <w:spacing w:after="0"/>
              <w:rPr>
                <w:sz w:val="20"/>
                <w:szCs w:val="20"/>
                <w:color w:val="auto"/>
              </w:rPr>
            </w:pPr>
            <w:r>
              <w:rPr>
                <w:rFonts w:ascii="Arial" w:cs="Arial" w:eastAsia="Arial" w:hAnsi="Arial"/>
                <w:sz w:val="22"/>
                <w:szCs w:val="22"/>
                <w:color w:val="auto"/>
                <w:w w:val="84"/>
              </w:rPr>
              <w:t>1.5</w:t>
            </w:r>
          </w:p>
        </w:tc>
        <w:tc>
          <w:tcPr>
            <w:tcW w:w="2220" w:type="dxa"/>
            <w:vAlign w:val="bottom"/>
          </w:tcPr>
          <w:p>
            <w:pPr>
              <w:ind w:left="40"/>
              <w:spacing w:after="0"/>
              <w:rPr>
                <w:sz w:val="20"/>
                <w:szCs w:val="20"/>
                <w:color w:val="auto"/>
              </w:rPr>
            </w:pPr>
            <w:r>
              <w:rPr>
                <w:rFonts w:ascii="Arial" w:cs="Arial" w:eastAsia="Arial" w:hAnsi="Arial"/>
                <w:sz w:val="22"/>
                <w:szCs w:val="22"/>
                <w:color w:val="auto"/>
              </w:rPr>
              <w:t>401(k) Plan:</w:t>
            </w:r>
          </w:p>
        </w:tc>
        <w:tc>
          <w:tcPr>
            <w:tcW w:w="8160" w:type="dxa"/>
            <w:vAlign w:val="bottom"/>
          </w:tcPr>
          <w:p>
            <w:pPr>
              <w:ind w:left="380"/>
              <w:spacing w:after="0"/>
              <w:rPr>
                <w:sz w:val="20"/>
                <w:szCs w:val="20"/>
                <w:color w:val="auto"/>
              </w:rPr>
            </w:pPr>
            <w:r>
              <w:rPr>
                <w:rFonts w:ascii="Arial" w:cs="Arial" w:eastAsia="Arial" w:hAnsi="Arial"/>
                <w:sz w:val="22"/>
                <w:szCs w:val="22"/>
                <w:color w:val="auto"/>
                <w:w w:val="89"/>
              </w:rPr>
              <w:t>The Company has a 401(k) Plan. The Company may make a matching contribution to the</w:t>
            </w:r>
          </w:p>
        </w:tc>
      </w:tr>
      <w:tr>
        <w:trPr>
          <w:trHeight w:val="243"/>
        </w:trPr>
        <w:tc>
          <w:tcPr>
            <w:tcW w:w="10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8160" w:type="dxa"/>
            <w:vAlign w:val="bottom"/>
          </w:tcPr>
          <w:p>
            <w:pPr>
              <w:ind w:left="380"/>
              <w:spacing w:after="0" w:line="243" w:lineRule="exact"/>
              <w:rPr>
                <w:sz w:val="20"/>
                <w:szCs w:val="20"/>
                <w:color w:val="auto"/>
              </w:rPr>
            </w:pPr>
            <w:r>
              <w:rPr>
                <w:rFonts w:ascii="Arial" w:cs="Arial" w:eastAsia="Arial" w:hAnsi="Arial"/>
                <w:sz w:val="22"/>
                <w:szCs w:val="22"/>
                <w:color w:val="auto"/>
                <w:w w:val="97"/>
              </w:rPr>
              <w:t>Plan and is currently matching 25% of your deferrals up to 8% of pay on a per pay</w:t>
            </w:r>
          </w:p>
        </w:tc>
      </w:tr>
      <w:tr>
        <w:trPr>
          <w:trHeight w:val="275"/>
        </w:trPr>
        <w:tc>
          <w:tcPr>
            <w:tcW w:w="108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8160" w:type="dxa"/>
            <w:vAlign w:val="bottom"/>
          </w:tcPr>
          <w:p>
            <w:pPr>
              <w:ind w:left="380"/>
              <w:spacing w:after="0"/>
              <w:rPr>
                <w:sz w:val="20"/>
                <w:szCs w:val="20"/>
                <w:color w:val="auto"/>
              </w:rPr>
            </w:pPr>
            <w:r>
              <w:rPr>
                <w:rFonts w:ascii="Arial" w:cs="Arial" w:eastAsia="Arial" w:hAnsi="Arial"/>
                <w:sz w:val="22"/>
                <w:szCs w:val="22"/>
                <w:color w:val="auto"/>
              </w:rPr>
              <w:t>period basis. You remain eligible to participate in the Plan.</w:t>
            </w:r>
          </w:p>
        </w:tc>
      </w:tr>
      <w:tr>
        <w:trPr>
          <w:trHeight w:val="422"/>
        </w:trPr>
        <w:tc>
          <w:tcPr>
            <w:tcW w:w="10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8160" w:type="dxa"/>
            <w:vAlign w:val="bottom"/>
          </w:tcPr>
          <w:p>
            <w:pPr>
              <w:ind w:left="200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w:t>
            </w:r>
            <w:r>
              <w:rPr>
                <w:rFonts w:ascii="Arial" w:cs="Arial" w:eastAsia="Arial" w:hAnsi="Arial"/>
                <w:sz w:val="18"/>
                <w:szCs w:val="18"/>
                <w:color w:val="auto"/>
              </w:rPr>
              <w:t xml:space="preserve"> of </w:t>
            </w:r>
            <w:r>
              <w:rPr>
                <w:rFonts w:ascii="Arial" w:cs="Arial" w:eastAsia="Arial" w:hAnsi="Arial"/>
                <w:sz w:val="18"/>
                <w:szCs w:val="18"/>
                <w:b w:val="1"/>
                <w:bCs w:val="1"/>
                <w:color w:val="auto"/>
              </w:rPr>
              <w:t>4</w:t>
            </w:r>
          </w:p>
        </w:tc>
      </w:tr>
      <w:tr>
        <w:trPr>
          <w:trHeight w:val="132"/>
        </w:trPr>
        <w:tc>
          <w:tcPr>
            <w:tcW w:w="1080" w:type="dxa"/>
            <w:vAlign w:val="bottom"/>
            <w:tcBorders>
              <w:bottom w:val="single" w:sz="8" w:color="010101"/>
            </w:tcBorders>
          </w:tcPr>
          <w:p>
            <w:pPr>
              <w:spacing w:after="0"/>
              <w:rPr>
                <w:sz w:val="11"/>
                <w:szCs w:val="11"/>
                <w:color w:val="auto"/>
              </w:rPr>
            </w:pPr>
          </w:p>
        </w:tc>
        <w:tc>
          <w:tcPr>
            <w:tcW w:w="2220" w:type="dxa"/>
            <w:vAlign w:val="bottom"/>
            <w:tcBorders>
              <w:bottom w:val="single" w:sz="8" w:color="010101"/>
            </w:tcBorders>
          </w:tcPr>
          <w:p>
            <w:pPr>
              <w:spacing w:after="0"/>
              <w:rPr>
                <w:sz w:val="11"/>
                <w:szCs w:val="11"/>
                <w:color w:val="auto"/>
              </w:rPr>
            </w:pPr>
          </w:p>
        </w:tc>
        <w:tc>
          <w:tcPr>
            <w:tcW w:w="8160" w:type="dxa"/>
            <w:vAlign w:val="bottom"/>
            <w:tcBorders>
              <w:bottom w:val="single" w:sz="8" w:color="010101"/>
            </w:tcBorders>
          </w:tcPr>
          <w:p>
            <w:pPr>
              <w:spacing w:after="0"/>
              <w:rPr>
                <w:sz w:val="11"/>
                <w:szCs w:val="11"/>
                <w:color w:val="auto"/>
              </w:rPr>
            </w:pPr>
          </w:p>
        </w:tc>
      </w:tr>
      <w:tr>
        <w:trPr>
          <w:trHeight w:val="786"/>
        </w:trPr>
        <w:tc>
          <w:tcPr>
            <w:tcW w:w="1080" w:type="dxa"/>
            <w:vAlign w:val="bottom"/>
          </w:tcPr>
          <w:p>
            <w:pPr>
              <w:ind w:left="800"/>
              <w:spacing w:after="0"/>
              <w:rPr>
                <w:sz w:val="20"/>
                <w:szCs w:val="20"/>
                <w:color w:val="auto"/>
              </w:rPr>
            </w:pPr>
            <w:r>
              <w:rPr>
                <w:rFonts w:ascii="Arial" w:cs="Arial" w:eastAsia="Arial" w:hAnsi="Arial"/>
                <w:sz w:val="22"/>
                <w:szCs w:val="22"/>
                <w:color w:val="auto"/>
                <w:w w:val="84"/>
              </w:rPr>
              <w:t>1.6</w:t>
            </w:r>
          </w:p>
        </w:tc>
        <w:tc>
          <w:tcPr>
            <w:tcW w:w="2220" w:type="dxa"/>
            <w:vAlign w:val="bottom"/>
          </w:tcPr>
          <w:p>
            <w:pPr>
              <w:ind w:left="40"/>
              <w:spacing w:after="0"/>
              <w:rPr>
                <w:sz w:val="20"/>
                <w:szCs w:val="20"/>
                <w:color w:val="auto"/>
              </w:rPr>
            </w:pPr>
            <w:r>
              <w:rPr>
                <w:rFonts w:ascii="Arial" w:cs="Arial" w:eastAsia="Arial" w:hAnsi="Arial"/>
                <w:sz w:val="22"/>
                <w:szCs w:val="22"/>
                <w:color w:val="auto"/>
              </w:rPr>
              <w:t>Expenses:</w:t>
            </w:r>
          </w:p>
        </w:tc>
        <w:tc>
          <w:tcPr>
            <w:tcW w:w="8160" w:type="dxa"/>
            <w:vAlign w:val="bottom"/>
          </w:tcPr>
          <w:p>
            <w:pPr>
              <w:ind w:left="380"/>
              <w:spacing w:after="0"/>
              <w:rPr>
                <w:sz w:val="20"/>
                <w:szCs w:val="20"/>
                <w:color w:val="auto"/>
              </w:rPr>
            </w:pPr>
            <w:r>
              <w:rPr>
                <w:rFonts w:ascii="Arial" w:cs="Arial" w:eastAsia="Arial" w:hAnsi="Arial"/>
                <w:sz w:val="22"/>
                <w:szCs w:val="22"/>
                <w:color w:val="auto"/>
                <w:w w:val="93"/>
              </w:rPr>
              <w:t>Expense  reports  are  submitted  weekly.  All  business-related  expenses  are  to  be</w:t>
            </w:r>
          </w:p>
        </w:tc>
      </w:tr>
      <w:tr>
        <w:trPr>
          <w:trHeight w:val="243"/>
        </w:trPr>
        <w:tc>
          <w:tcPr>
            <w:tcW w:w="10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8160" w:type="dxa"/>
            <w:vAlign w:val="bottom"/>
          </w:tcPr>
          <w:p>
            <w:pPr>
              <w:ind w:left="380"/>
              <w:spacing w:after="0" w:line="243" w:lineRule="exact"/>
              <w:rPr>
                <w:sz w:val="20"/>
                <w:szCs w:val="20"/>
                <w:color w:val="auto"/>
              </w:rPr>
            </w:pPr>
            <w:r>
              <w:rPr>
                <w:rFonts w:ascii="Arial" w:cs="Arial" w:eastAsia="Arial" w:hAnsi="Arial"/>
                <w:sz w:val="22"/>
                <w:szCs w:val="22"/>
                <w:color w:val="auto"/>
                <w:w w:val="88"/>
              </w:rPr>
              <w:t>documented according to the Internal Revenue Service guidelines and in accordance with</w:t>
            </w:r>
          </w:p>
        </w:tc>
      </w:tr>
      <w:tr>
        <w:trPr>
          <w:trHeight w:val="275"/>
        </w:trPr>
        <w:tc>
          <w:tcPr>
            <w:tcW w:w="108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8160" w:type="dxa"/>
            <w:vAlign w:val="bottom"/>
          </w:tcPr>
          <w:p>
            <w:pPr>
              <w:ind w:left="380"/>
              <w:spacing w:after="0"/>
              <w:rPr>
                <w:sz w:val="20"/>
                <w:szCs w:val="20"/>
                <w:color w:val="auto"/>
              </w:rPr>
            </w:pPr>
            <w:r>
              <w:rPr>
                <w:rFonts w:ascii="Arial" w:cs="Arial" w:eastAsia="Arial" w:hAnsi="Arial"/>
                <w:sz w:val="22"/>
                <w:szCs w:val="22"/>
                <w:color w:val="auto"/>
              </w:rPr>
              <w:t>the Company’s policy on such expenditures.</w:t>
            </w:r>
          </w:p>
        </w:tc>
      </w:tr>
      <w:tr>
        <w:trPr>
          <w:trHeight w:val="455"/>
        </w:trPr>
        <w:tc>
          <w:tcPr>
            <w:tcW w:w="1080" w:type="dxa"/>
            <w:vAlign w:val="bottom"/>
          </w:tcPr>
          <w:p>
            <w:pPr>
              <w:ind w:left="800"/>
              <w:spacing w:after="0"/>
              <w:rPr>
                <w:sz w:val="20"/>
                <w:szCs w:val="20"/>
                <w:color w:val="auto"/>
              </w:rPr>
            </w:pPr>
            <w:r>
              <w:rPr>
                <w:rFonts w:ascii="Arial" w:cs="Arial" w:eastAsia="Arial" w:hAnsi="Arial"/>
                <w:sz w:val="22"/>
                <w:szCs w:val="22"/>
                <w:color w:val="auto"/>
                <w:w w:val="84"/>
              </w:rPr>
              <w:t>1.7</w:t>
            </w:r>
          </w:p>
        </w:tc>
        <w:tc>
          <w:tcPr>
            <w:tcW w:w="2220" w:type="dxa"/>
            <w:vAlign w:val="bottom"/>
          </w:tcPr>
          <w:p>
            <w:pPr>
              <w:ind w:left="40"/>
              <w:spacing w:after="0"/>
              <w:rPr>
                <w:sz w:val="20"/>
                <w:szCs w:val="20"/>
                <w:color w:val="auto"/>
              </w:rPr>
            </w:pPr>
            <w:r>
              <w:rPr>
                <w:rFonts w:ascii="Arial" w:cs="Arial" w:eastAsia="Arial" w:hAnsi="Arial"/>
                <w:sz w:val="22"/>
                <w:szCs w:val="22"/>
                <w:color w:val="auto"/>
              </w:rPr>
              <w:t>Vacation:</w:t>
            </w:r>
          </w:p>
        </w:tc>
        <w:tc>
          <w:tcPr>
            <w:tcW w:w="8160" w:type="dxa"/>
            <w:vAlign w:val="bottom"/>
          </w:tcPr>
          <w:p>
            <w:pPr>
              <w:ind w:left="380"/>
              <w:spacing w:after="0"/>
              <w:rPr>
                <w:sz w:val="20"/>
                <w:szCs w:val="20"/>
                <w:color w:val="auto"/>
              </w:rPr>
            </w:pPr>
            <w:r>
              <w:rPr>
                <w:rFonts w:ascii="Arial" w:cs="Arial" w:eastAsia="Arial" w:hAnsi="Arial"/>
                <w:sz w:val="22"/>
                <w:szCs w:val="22"/>
                <w:color w:val="auto"/>
                <w:w w:val="90"/>
              </w:rPr>
              <w:t>You will receive 6.154 vacation hours per pay period (annualized to 160 hours (4 weeks)</w:t>
            </w:r>
          </w:p>
        </w:tc>
      </w:tr>
      <w:tr>
        <w:trPr>
          <w:trHeight w:val="243"/>
        </w:trPr>
        <w:tc>
          <w:tcPr>
            <w:tcW w:w="10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8160" w:type="dxa"/>
            <w:vAlign w:val="bottom"/>
          </w:tcPr>
          <w:p>
            <w:pPr>
              <w:ind w:left="380"/>
              <w:spacing w:after="0" w:line="243" w:lineRule="exact"/>
              <w:rPr>
                <w:sz w:val="20"/>
                <w:szCs w:val="20"/>
                <w:color w:val="auto"/>
              </w:rPr>
            </w:pPr>
            <w:r>
              <w:rPr>
                <w:rFonts w:ascii="Arial" w:cs="Arial" w:eastAsia="Arial" w:hAnsi="Arial"/>
                <w:sz w:val="22"/>
                <w:szCs w:val="22"/>
                <w:color w:val="auto"/>
                <w:w w:val="93"/>
              </w:rPr>
              <w:t>per year for illustration purposes only).  Vacation accrual and terms are subject to the</w:t>
            </w:r>
          </w:p>
        </w:tc>
      </w:tr>
      <w:tr>
        <w:trPr>
          <w:trHeight w:val="275"/>
        </w:trPr>
        <w:tc>
          <w:tcPr>
            <w:tcW w:w="108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8160" w:type="dxa"/>
            <w:vAlign w:val="bottom"/>
          </w:tcPr>
          <w:p>
            <w:pPr>
              <w:ind w:left="380"/>
              <w:spacing w:after="0"/>
              <w:rPr>
                <w:sz w:val="20"/>
                <w:szCs w:val="20"/>
                <w:color w:val="auto"/>
              </w:rPr>
            </w:pPr>
            <w:r>
              <w:rPr>
                <w:rFonts w:ascii="Arial" w:cs="Arial" w:eastAsia="Arial" w:hAnsi="Arial"/>
                <w:sz w:val="22"/>
                <w:szCs w:val="22"/>
                <w:color w:val="auto"/>
              </w:rPr>
              <w:t>provisions of the Company’s vacation policy in effect from time to time.</w:t>
            </w:r>
          </w:p>
        </w:tc>
      </w:tr>
      <w:tr>
        <w:trPr>
          <w:trHeight w:val="455"/>
        </w:trPr>
        <w:tc>
          <w:tcPr>
            <w:tcW w:w="1080" w:type="dxa"/>
            <w:vAlign w:val="bottom"/>
          </w:tcPr>
          <w:p>
            <w:pPr>
              <w:ind w:left="800"/>
              <w:spacing w:after="0"/>
              <w:rPr>
                <w:sz w:val="20"/>
                <w:szCs w:val="20"/>
                <w:color w:val="auto"/>
              </w:rPr>
            </w:pPr>
            <w:r>
              <w:rPr>
                <w:rFonts w:ascii="Arial" w:cs="Arial" w:eastAsia="Arial" w:hAnsi="Arial"/>
                <w:sz w:val="22"/>
                <w:szCs w:val="22"/>
                <w:color w:val="auto"/>
                <w:w w:val="84"/>
              </w:rPr>
              <w:t>1.8</w:t>
            </w:r>
          </w:p>
        </w:tc>
        <w:tc>
          <w:tcPr>
            <w:tcW w:w="2220" w:type="dxa"/>
            <w:vAlign w:val="bottom"/>
          </w:tcPr>
          <w:p>
            <w:pPr>
              <w:ind w:left="40"/>
              <w:spacing w:after="0"/>
              <w:rPr>
                <w:sz w:val="20"/>
                <w:szCs w:val="20"/>
                <w:color w:val="auto"/>
              </w:rPr>
            </w:pPr>
            <w:r>
              <w:rPr>
                <w:rFonts w:ascii="Arial" w:cs="Arial" w:eastAsia="Arial" w:hAnsi="Arial"/>
                <w:sz w:val="22"/>
                <w:szCs w:val="22"/>
                <w:color w:val="auto"/>
              </w:rPr>
              <w:t>Bonus:</w:t>
            </w:r>
          </w:p>
        </w:tc>
        <w:tc>
          <w:tcPr>
            <w:tcW w:w="8160" w:type="dxa"/>
            <w:vAlign w:val="bottom"/>
          </w:tcPr>
          <w:p>
            <w:pPr>
              <w:ind w:left="380"/>
              <w:spacing w:after="0"/>
              <w:rPr>
                <w:sz w:val="20"/>
                <w:szCs w:val="20"/>
                <w:color w:val="auto"/>
              </w:rPr>
            </w:pPr>
            <w:r>
              <w:rPr>
                <w:rFonts w:ascii="Arial" w:cs="Arial" w:eastAsia="Arial" w:hAnsi="Arial"/>
                <w:sz w:val="22"/>
                <w:szCs w:val="22"/>
                <w:color w:val="auto"/>
                <w:w w:val="96"/>
              </w:rPr>
              <w:t>The awarding of any bonus is in Monster Energy Company’s sole discretion and, if</w:t>
            </w:r>
          </w:p>
        </w:tc>
      </w:tr>
      <w:tr>
        <w:trPr>
          <w:trHeight w:val="243"/>
        </w:trPr>
        <w:tc>
          <w:tcPr>
            <w:tcW w:w="10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8160" w:type="dxa"/>
            <w:vAlign w:val="bottom"/>
          </w:tcPr>
          <w:p>
            <w:pPr>
              <w:ind w:left="380"/>
              <w:spacing w:after="0" w:line="243" w:lineRule="exact"/>
              <w:rPr>
                <w:sz w:val="20"/>
                <w:szCs w:val="20"/>
                <w:color w:val="auto"/>
              </w:rPr>
            </w:pPr>
            <w:r>
              <w:rPr>
                <w:rFonts w:ascii="Arial" w:cs="Arial" w:eastAsia="Arial" w:hAnsi="Arial"/>
                <w:sz w:val="22"/>
                <w:szCs w:val="22"/>
                <w:color w:val="auto"/>
                <w:w w:val="91"/>
              </w:rPr>
              <w:t>awarded, will be based on your individual performance and the results achieved in your</w:t>
            </w:r>
          </w:p>
        </w:tc>
      </w:tr>
      <w:tr>
        <w:trPr>
          <w:trHeight w:val="243"/>
        </w:trPr>
        <w:tc>
          <w:tcPr>
            <w:tcW w:w="10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8160" w:type="dxa"/>
            <w:vAlign w:val="bottom"/>
          </w:tcPr>
          <w:p>
            <w:pPr>
              <w:ind w:left="380"/>
              <w:spacing w:after="0" w:line="243" w:lineRule="exact"/>
              <w:rPr>
                <w:sz w:val="20"/>
                <w:szCs w:val="20"/>
                <w:color w:val="auto"/>
              </w:rPr>
            </w:pPr>
            <w:r>
              <w:rPr>
                <w:rFonts w:ascii="Arial" w:cs="Arial" w:eastAsia="Arial" w:hAnsi="Arial"/>
                <w:sz w:val="22"/>
                <w:szCs w:val="22"/>
                <w:color w:val="auto"/>
                <w:w w:val="96"/>
              </w:rPr>
              <w:t>respective areas as well as on the Company’s overall performance. Input from your</w:t>
            </w:r>
          </w:p>
        </w:tc>
      </w:tr>
      <w:tr>
        <w:trPr>
          <w:trHeight w:val="275"/>
        </w:trPr>
        <w:tc>
          <w:tcPr>
            <w:tcW w:w="108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8160" w:type="dxa"/>
            <w:vAlign w:val="bottom"/>
          </w:tcPr>
          <w:p>
            <w:pPr>
              <w:ind w:left="380"/>
              <w:spacing w:after="0"/>
              <w:rPr>
                <w:sz w:val="20"/>
                <w:szCs w:val="20"/>
                <w:color w:val="auto"/>
              </w:rPr>
            </w:pPr>
            <w:r>
              <w:rPr>
                <w:rFonts w:ascii="Arial" w:cs="Arial" w:eastAsia="Arial" w:hAnsi="Arial"/>
                <w:sz w:val="22"/>
                <w:szCs w:val="22"/>
                <w:color w:val="auto"/>
              </w:rPr>
              <w:t>immediate superiors may be taken into account in such evaluation.</w:t>
            </w:r>
          </w:p>
        </w:tc>
      </w:tr>
      <w:tr>
        <w:trPr>
          <w:trHeight w:val="455"/>
        </w:trPr>
        <w:tc>
          <w:tcPr>
            <w:tcW w:w="1080" w:type="dxa"/>
            <w:vAlign w:val="bottom"/>
          </w:tcPr>
          <w:p>
            <w:pPr>
              <w:ind w:left="800"/>
              <w:spacing w:after="0"/>
              <w:rPr>
                <w:sz w:val="20"/>
                <w:szCs w:val="20"/>
                <w:color w:val="auto"/>
              </w:rPr>
            </w:pPr>
            <w:r>
              <w:rPr>
                <w:rFonts w:ascii="Arial" w:cs="Arial" w:eastAsia="Arial" w:hAnsi="Arial"/>
                <w:sz w:val="22"/>
                <w:szCs w:val="22"/>
                <w:color w:val="auto"/>
                <w:w w:val="84"/>
              </w:rPr>
              <w:t>1.9</w:t>
            </w:r>
          </w:p>
        </w:tc>
        <w:tc>
          <w:tcPr>
            <w:tcW w:w="2220" w:type="dxa"/>
            <w:vAlign w:val="bottom"/>
          </w:tcPr>
          <w:p>
            <w:pPr>
              <w:ind w:left="40"/>
              <w:spacing w:after="0"/>
              <w:rPr>
                <w:sz w:val="20"/>
                <w:szCs w:val="20"/>
                <w:color w:val="auto"/>
              </w:rPr>
            </w:pPr>
            <w:r>
              <w:rPr>
                <w:rFonts w:ascii="Arial" w:cs="Arial" w:eastAsia="Arial" w:hAnsi="Arial"/>
                <w:sz w:val="22"/>
                <w:szCs w:val="22"/>
                <w:color w:val="auto"/>
              </w:rPr>
              <w:t>Travel and</w:t>
            </w:r>
          </w:p>
        </w:tc>
        <w:tc>
          <w:tcPr>
            <w:tcW w:w="8160" w:type="dxa"/>
            <w:vAlign w:val="bottom"/>
          </w:tcPr>
          <w:p>
            <w:pPr>
              <w:ind w:left="380"/>
              <w:spacing w:after="0"/>
              <w:rPr>
                <w:sz w:val="20"/>
                <w:szCs w:val="20"/>
                <w:color w:val="auto"/>
              </w:rPr>
            </w:pPr>
            <w:r>
              <w:rPr>
                <w:rFonts w:ascii="Arial" w:cs="Arial" w:eastAsia="Arial" w:hAnsi="Arial"/>
                <w:sz w:val="22"/>
                <w:szCs w:val="22"/>
                <w:color w:val="auto"/>
                <w:w w:val="91"/>
              </w:rPr>
              <w:t>Travel and accommodations while on business are to be conducted in accordance with</w:t>
            </w:r>
          </w:p>
        </w:tc>
      </w:tr>
      <w:tr>
        <w:trPr>
          <w:trHeight w:val="275"/>
        </w:trPr>
        <w:tc>
          <w:tcPr>
            <w:tcW w:w="1080" w:type="dxa"/>
            <w:vAlign w:val="bottom"/>
          </w:tcPr>
          <w:p>
            <w:pPr>
              <w:spacing w:after="0"/>
              <w:rPr>
                <w:sz w:val="23"/>
                <w:szCs w:val="23"/>
                <w:color w:val="auto"/>
              </w:rPr>
            </w:pPr>
          </w:p>
        </w:tc>
        <w:tc>
          <w:tcPr>
            <w:tcW w:w="2220" w:type="dxa"/>
            <w:vAlign w:val="bottom"/>
          </w:tcPr>
          <w:p>
            <w:pPr>
              <w:ind w:left="40"/>
              <w:spacing w:after="0"/>
              <w:rPr>
                <w:sz w:val="20"/>
                <w:szCs w:val="20"/>
                <w:color w:val="auto"/>
              </w:rPr>
            </w:pPr>
            <w:r>
              <w:rPr>
                <w:rFonts w:ascii="Arial" w:cs="Arial" w:eastAsia="Arial" w:hAnsi="Arial"/>
                <w:sz w:val="22"/>
                <w:szCs w:val="22"/>
                <w:color w:val="auto"/>
              </w:rPr>
              <w:t>Accommodations:</w:t>
            </w:r>
          </w:p>
        </w:tc>
        <w:tc>
          <w:tcPr>
            <w:tcW w:w="8160" w:type="dxa"/>
            <w:vAlign w:val="bottom"/>
          </w:tcPr>
          <w:p>
            <w:pPr>
              <w:ind w:left="380"/>
              <w:spacing w:after="0"/>
              <w:rPr>
                <w:sz w:val="20"/>
                <w:szCs w:val="20"/>
                <w:color w:val="auto"/>
              </w:rPr>
            </w:pPr>
            <w:r>
              <w:rPr>
                <w:rFonts w:ascii="Arial" w:cs="Arial" w:eastAsia="Arial" w:hAnsi="Arial"/>
                <w:sz w:val="22"/>
                <w:szCs w:val="22"/>
                <w:color w:val="auto"/>
              </w:rPr>
              <w:t>the Company’s policies in effect from time to time.</w:t>
            </w:r>
          </w:p>
        </w:tc>
      </w:tr>
      <w:tr>
        <w:trPr>
          <w:trHeight w:val="455"/>
        </w:trPr>
        <w:tc>
          <w:tcPr>
            <w:tcW w:w="3300" w:type="dxa"/>
            <w:vAlign w:val="bottom"/>
            <w:gridSpan w:val="2"/>
          </w:tcPr>
          <w:p>
            <w:pPr>
              <w:ind w:left="800"/>
              <w:spacing w:after="0"/>
              <w:rPr>
                <w:sz w:val="20"/>
                <w:szCs w:val="20"/>
                <w:color w:val="auto"/>
              </w:rPr>
            </w:pPr>
            <w:r>
              <w:rPr>
                <w:rFonts w:ascii="Arial" w:cs="Arial" w:eastAsia="Arial" w:hAnsi="Arial"/>
                <w:sz w:val="22"/>
                <w:szCs w:val="22"/>
                <w:color w:val="auto"/>
              </w:rPr>
              <w:t>1.10 Insurability:</w:t>
            </w:r>
          </w:p>
        </w:tc>
        <w:tc>
          <w:tcPr>
            <w:tcW w:w="8160" w:type="dxa"/>
            <w:vAlign w:val="bottom"/>
          </w:tcPr>
          <w:p>
            <w:pPr>
              <w:ind w:left="380"/>
              <w:spacing w:after="0"/>
              <w:rPr>
                <w:sz w:val="20"/>
                <w:szCs w:val="20"/>
                <w:color w:val="auto"/>
              </w:rPr>
            </w:pPr>
            <w:r>
              <w:rPr>
                <w:rFonts w:ascii="Arial" w:cs="Arial" w:eastAsia="Arial" w:hAnsi="Arial"/>
                <w:sz w:val="22"/>
                <w:szCs w:val="22"/>
                <w:color w:val="auto"/>
                <w:w w:val="95"/>
              </w:rPr>
              <w:t>As a condition of your employment you may be required to drive a company vehicle.</w:t>
            </w:r>
          </w:p>
        </w:tc>
      </w:tr>
      <w:tr>
        <w:trPr>
          <w:trHeight w:val="243"/>
        </w:trPr>
        <w:tc>
          <w:tcPr>
            <w:tcW w:w="10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8160" w:type="dxa"/>
            <w:vAlign w:val="bottom"/>
          </w:tcPr>
          <w:p>
            <w:pPr>
              <w:ind w:left="380"/>
              <w:spacing w:after="0" w:line="243" w:lineRule="exact"/>
              <w:rPr>
                <w:sz w:val="20"/>
                <w:szCs w:val="20"/>
                <w:color w:val="auto"/>
              </w:rPr>
            </w:pPr>
            <w:r>
              <w:rPr>
                <w:rFonts w:ascii="Arial" w:cs="Arial" w:eastAsia="Arial" w:hAnsi="Arial"/>
                <w:sz w:val="22"/>
                <w:szCs w:val="22"/>
                <w:color w:val="auto"/>
                <w:w w:val="88"/>
              </w:rPr>
              <w:t>You must be able to meet the insurance requirements of the Company’s insurance carrier.</w:t>
            </w:r>
          </w:p>
        </w:tc>
      </w:tr>
      <w:tr>
        <w:trPr>
          <w:trHeight w:val="243"/>
        </w:trPr>
        <w:tc>
          <w:tcPr>
            <w:tcW w:w="10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8160" w:type="dxa"/>
            <w:vAlign w:val="bottom"/>
          </w:tcPr>
          <w:p>
            <w:pPr>
              <w:ind w:left="380"/>
              <w:spacing w:after="0" w:line="243" w:lineRule="exact"/>
              <w:rPr>
                <w:sz w:val="20"/>
                <w:szCs w:val="20"/>
                <w:color w:val="auto"/>
              </w:rPr>
            </w:pPr>
            <w:r>
              <w:rPr>
                <w:rFonts w:ascii="Arial" w:cs="Arial" w:eastAsia="Arial" w:hAnsi="Arial"/>
                <w:sz w:val="22"/>
                <w:szCs w:val="22"/>
                <w:color w:val="auto"/>
                <w:w w:val="92"/>
              </w:rPr>
              <w:t>During the course of your employment your driving record will be checked periodically.</w:t>
            </w:r>
          </w:p>
        </w:tc>
      </w:tr>
      <w:tr>
        <w:trPr>
          <w:trHeight w:val="275"/>
        </w:trPr>
        <w:tc>
          <w:tcPr>
            <w:tcW w:w="108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8160" w:type="dxa"/>
            <w:vAlign w:val="bottom"/>
          </w:tcPr>
          <w:p>
            <w:pPr>
              <w:ind w:left="380"/>
              <w:spacing w:after="0"/>
              <w:rPr>
                <w:sz w:val="20"/>
                <w:szCs w:val="20"/>
                <w:color w:val="auto"/>
              </w:rPr>
            </w:pPr>
            <w:r>
              <w:rPr>
                <w:rFonts w:ascii="Arial" w:cs="Arial" w:eastAsia="Arial" w:hAnsi="Arial"/>
                <w:sz w:val="22"/>
                <w:szCs w:val="22"/>
                <w:color w:val="auto"/>
                <w:w w:val="95"/>
              </w:rPr>
              <w:t>Moreover, you agree to immediately report any change to your driving status, traffic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-3481070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-3481070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40" w:orient="portrait"/>
          <w:cols w:equalWidth="0" w:num="1">
            <w:col w:w="11460"/>
          </w:cols>
          <w:pgMar w:left="240" w:top="111" w:right="199" w:bottom="0" w:gutter="0" w:footer="0" w:header="0"/>
        </w:sectPr>
      </w:pPr>
    </w:p>
    <w:bookmarkStart w:id="33" w:name="page34"/>
    <w:bookmarkEnd w:id="33"/>
    <w:p>
      <w:pPr>
        <w:jc w:val="both"/>
        <w:ind w:left="3680"/>
        <w:spacing w:after="0" w:line="236" w:lineRule="auto"/>
        <w:rPr>
          <w:sz w:val="20"/>
          <w:szCs w:val="20"/>
          <w:color w:val="auto"/>
        </w:rPr>
      </w:pPr>
      <w:r>
        <w:rPr>
          <w:rFonts w:ascii="Arial" w:cs="Arial" w:eastAsia="Arial" w:hAnsi="Arial"/>
          <w:sz w:val="22"/>
          <w:szCs w:val="22"/>
          <w:color w:val="auto"/>
        </w:rPr>
        <w:t>violation or accident you are involved in (of any kind and regardless of whether it was work related) to the Company as soon as possible after the driving status change, violation or accident occurred. Should you become uninsurable with the Company’s insurance carrier, your employment may be terminated at any time thereafter by the Company with or without notice.</w:t>
      </w:r>
    </w:p>
    <w:p>
      <w:pPr>
        <w:spacing w:after="0" w:line="188"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Termination.</w:t>
      </w:r>
    </w:p>
    <w:p>
      <w:pPr>
        <w:spacing w:after="0" w:line="20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At-Will Employment:</w:t>
      </w:r>
      <w:r>
        <w:rPr>
          <w:rFonts w:ascii="Arial" w:cs="Arial" w:eastAsia="Arial" w:hAnsi="Arial"/>
          <w:sz w:val="22"/>
          <w:szCs w:val="22"/>
          <w:color w:val="auto"/>
        </w:rPr>
        <w:t xml:space="preserve"> It is to be understood that your employment with the Company is of an at-will nature, for no specified period of time. Regardless of the length of service, you are free to terminate your employment at any time, for any reason, although your giving advance notice is always appreciated. Likewise, the Company is free to terminate your employment at any time, for any reason, with or without cause and with or without advance notice. The Company makes no guarantee or contract of continued employment. No one may change the at-will nature of your employment, except in writing and signed by either the Chairman or President of Monster Energy Company.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w:t>
      </w:r>
      <w:r>
        <w:rPr>
          <w:rFonts w:ascii="Arial" w:cs="Arial" w:eastAsia="Arial" w:hAnsi="Arial"/>
          <w:sz w:val="18"/>
          <w:szCs w:val="18"/>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9"/>
          <w:szCs w:val="19"/>
          <w:color w:val="auto"/>
        </w:rPr>
        <w:t xml:space="preserve">2.2 </w:t>
      </w:r>
      <w:r>
        <w:rPr>
          <w:rFonts w:ascii="Arial" w:cs="Arial" w:eastAsia="Arial" w:hAnsi="Arial"/>
          <w:sz w:val="19"/>
          <w:szCs w:val="19"/>
          <w:u w:val="single" w:color="auto"/>
          <w:color w:val="auto"/>
        </w:rPr>
        <w:t>Termination Without Cause:</w:t>
      </w:r>
      <w:r>
        <w:rPr>
          <w:rFonts w:ascii="Arial" w:cs="Arial" w:eastAsia="Arial" w:hAnsi="Arial"/>
          <w:sz w:val="19"/>
          <w:szCs w:val="19"/>
          <w:color w:val="auto"/>
        </w:rPr>
        <w:t xml:space="preserve"> If the Company intends to terminate your employment without cause, you will receive three (3) months (the “Severance Period”) of severance pay, or severance pay as negotiated between the parties, subject to:</w:t>
      </w:r>
    </w:p>
    <w:p>
      <w:pPr>
        <w:spacing w:after="0" w:line="2" w:lineRule="exact"/>
        <w:rPr>
          <w:sz w:val="20"/>
          <w:szCs w:val="20"/>
          <w:color w:val="auto"/>
        </w:rPr>
      </w:pPr>
    </w:p>
    <w:p>
      <w:pPr>
        <w:jc w:val="both"/>
        <w:ind w:firstLine="8"/>
        <w:spacing w:after="0" w:line="280" w:lineRule="auto"/>
        <w:tabs>
          <w:tab w:leader="none" w:pos="332" w:val="left"/>
        </w:tabs>
        <w:numPr>
          <w:ilvl w:val="0"/>
          <w:numId w:val="40"/>
        </w:numPr>
        <w:rPr>
          <w:rFonts w:ascii="Arial" w:cs="Arial" w:eastAsia="Arial" w:hAnsi="Arial"/>
          <w:sz w:val="19"/>
          <w:szCs w:val="19"/>
          <w:color w:val="auto"/>
        </w:rPr>
      </w:pPr>
      <w:r>
        <w:rPr>
          <w:rFonts w:ascii="Arial" w:cs="Arial" w:eastAsia="Arial" w:hAnsi="Arial"/>
          <w:sz w:val="19"/>
          <w:szCs w:val="19"/>
          <w:color w:val="auto"/>
        </w:rPr>
        <w:t>appropriate payroll and tax deductions as required by law; (2) your compliance with all other terms and conditions of this Agreement; and (3) your execution of a reasonable and standard severance agreement (which will include, among other things, a general release of all claims by you against the Company, its Agents and Affiliates). During the Severance Period, you shall remain an inactive, regular employee and continue to receive all employee benefits applicable to you as an active, regular employee.</w:t>
      </w:r>
    </w:p>
    <w:p>
      <w:pPr>
        <w:spacing w:after="0" w:line="15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2.3 </w:t>
      </w:r>
      <w:r>
        <w:rPr>
          <w:rFonts w:ascii="Arial" w:cs="Arial" w:eastAsia="Arial" w:hAnsi="Arial"/>
          <w:sz w:val="19"/>
          <w:szCs w:val="19"/>
          <w:u w:val="single" w:color="auto"/>
          <w:color w:val="auto"/>
        </w:rPr>
        <w:t>Termination With Cause:</w:t>
      </w:r>
      <w:r>
        <w:rPr>
          <w:rFonts w:ascii="Arial" w:cs="Arial" w:eastAsia="Arial" w:hAnsi="Arial"/>
          <w:sz w:val="19"/>
          <w:szCs w:val="19"/>
          <w:color w:val="auto"/>
        </w:rPr>
        <w:t xml:space="preserve"> If the Company terminates your employment for “Good Cause”, or if you terminate your employment for any reason, the Company is not obligated to pay severance. As noted previously, although you are not obligated to give advance notice, it is always appreciated. For the purposes of this Agreement, the term “Good Cause” shall include:</w:t>
      </w:r>
    </w:p>
    <w:p>
      <w:pPr>
        <w:spacing w:after="0" w:line="134"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2.3.1 Your neglect, breach of duty, or any failure by you to perform, to the reasonable satisfaction of your supervisor and/or the Executive Committee of the Board of the Company;</w:t>
      </w:r>
    </w:p>
    <w:p>
      <w:pPr>
        <w:spacing w:after="0" w:line="173" w:lineRule="exact"/>
        <w:rPr>
          <w:sz w:val="20"/>
          <w:szCs w:val="20"/>
          <w:color w:val="auto"/>
        </w:rPr>
      </w:pPr>
    </w:p>
    <w:p>
      <w:pPr>
        <w:jc w:val="both"/>
        <w:ind w:firstLine="1297"/>
        <w:spacing w:after="0" w:line="328" w:lineRule="auto"/>
        <w:rPr>
          <w:sz w:val="20"/>
          <w:szCs w:val="20"/>
          <w:color w:val="auto"/>
        </w:rPr>
      </w:pPr>
      <w:r>
        <w:rPr>
          <w:rFonts w:ascii="Arial" w:cs="Arial" w:eastAsia="Arial" w:hAnsi="Arial"/>
          <w:sz w:val="19"/>
          <w:szCs w:val="19"/>
          <w:color w:val="auto"/>
        </w:rPr>
        <w:t>2.3.2 Your conviction of a felony, or any determination by the Executive Committee of the Board of the commission of theft, larceny, embezzlement, fraud, dishonesty, illegality, moral turpitude, harassment, or gross mismanagement;</w:t>
      </w:r>
    </w:p>
    <w:p>
      <w:pPr>
        <w:spacing w:after="0" w:line="105"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2.3.3 Your death or material disability to such an extent that you, even with reasonable accommodation, are precluded from performing the essential duties of your position; or</w:t>
      </w:r>
    </w:p>
    <w:p>
      <w:pPr>
        <w:spacing w:after="0" w:line="200"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2.3.4</w:t>
      </w:r>
      <w:r>
        <w:rPr>
          <w:sz w:val="20"/>
          <w:szCs w:val="20"/>
          <w:color w:val="auto"/>
        </w:rPr>
        <w:tab/>
      </w:r>
      <w:r>
        <w:rPr>
          <w:rFonts w:ascii="Arial" w:cs="Arial" w:eastAsia="Arial" w:hAnsi="Arial"/>
          <w:sz w:val="19"/>
          <w:szCs w:val="19"/>
          <w:color w:val="auto"/>
        </w:rPr>
        <w:t>Your breach of this Agreement or any fiduciary duties to the Company.</w:t>
      </w:r>
    </w:p>
    <w:p>
      <w:pPr>
        <w:spacing w:after="0" w:line="206"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Proprietary Information, Confidentiality, Intellectual Property and Non-Solicitation.</w:t>
      </w:r>
    </w:p>
    <w:p>
      <w:pPr>
        <w:spacing w:after="0" w:line="20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You agree that all the terms and conditions contained in the Employee Proprietary Information, Confidentiality, Intellectual Property and Non-Solicitation Agreement attached hereto as Exhibit A are incorporated herein and shall be binding upon you. Please note that you are required to separately sign the attached Exhibit A at the same time as you sign this Agreement.</w:t>
      </w:r>
    </w:p>
    <w:p>
      <w:pPr>
        <w:spacing w:after="0" w:line="5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You further represent and warrant that: (i) you do not possess and will not use in the performance of your services to the Company any information of a confidential or proprietary nature that you may have obtained from other third parties; and (ii) the provision of your services to the Company will not constitute a breach of any legal or contractual obligation you may owe to other third parties, including without limitation any lawful non-competition agreements or other restrictions in connection with the performance of your services.</w:t>
      </w:r>
    </w:p>
    <w:p>
      <w:pPr>
        <w:spacing w:after="0" w:line="66"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Arbitration of Disputes/Litigation.</w:t>
      </w:r>
    </w:p>
    <w:p>
      <w:pPr>
        <w:spacing w:after="0" w:line="8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Any controversy or claim arising out of or relating to Employee’s employment or other relationship with Company or any agents of Company shall be settled by binding arbitration, and except as modified by this arbitration agreement, the arbitration proceeding shall be administered by the JAMS’ rules for the resolution of employment disputes in the city and state where the undersigned employee is employed (which may be viewed on line at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w:t>
      </w:r>
      <w:r>
        <w:rPr>
          <w:rFonts w:ascii="Arial" w:cs="Arial" w:eastAsia="Arial" w:hAnsi="Arial"/>
          <w:sz w:val="18"/>
          <w:szCs w:val="18"/>
          <w:color w:val="auto"/>
        </w:rPr>
        <w:t xml:space="preserve"> of </w:t>
      </w:r>
      <w:r>
        <w:rPr>
          <w:rFonts w:ascii="Arial" w:cs="Arial" w:eastAsia="Arial" w:hAnsi="Arial"/>
          <w:sz w:val="18"/>
          <w:szCs w:val="18"/>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rPr>
          <w:sz w:val="20"/>
          <w:szCs w:val="20"/>
          <w:color w:val="auto"/>
        </w:rPr>
      </w:pPr>
      <w:r>
        <w:rPr>
          <w:rFonts w:ascii="Arial" w:cs="Arial" w:eastAsia="Arial" w:hAnsi="Arial"/>
          <w:sz w:val="22"/>
          <w:szCs w:val="22"/>
          <w:color w:val="auto"/>
        </w:rPr>
        <w:t>“http://www.jamsadr.com/rules-employment-arbitration”). Nothing in this agreement, however, prevents Employee from initially submitting a dispute to the applicable state agency, the EEOC, or the National Labor Relations Board, as required under applicable law.</w:t>
      </w:r>
    </w:p>
    <w:p>
      <w:pPr>
        <w:spacing w:after="0" w:line="6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For any claims relating to or arising out of any state or federal statute or public policy (“public policy claims”): (a) the substantive and remedial provisions of the statute(s) applicable to the public policy claims shall be available to any party required to arbitrate under this agreement if those provisions would be otherwise available in court; (b) if the JAMS rules do not already so</w:t>
      </w:r>
    </w:p>
    <w:p>
      <w:pPr>
        <w:sectPr>
          <w:pgSz w:w="11900" w:h="16838" w:orient="portrait"/>
          <w:cols w:equalWidth="0" w:num="1">
            <w:col w:w="11420"/>
          </w:cols>
          <w:pgMar w:left="240" w:top="118" w:right="239" w:bottom="0" w:gutter="0" w:footer="0" w:header="0"/>
        </w:sectPr>
      </w:pPr>
    </w:p>
    <w:bookmarkStart w:id="34" w:name="page35"/>
    <w:bookmarkEnd w:id="34"/>
    <w:p>
      <w:pPr>
        <w:jc w:val="both"/>
        <w:ind w:right="60"/>
        <w:spacing w:after="0" w:line="258" w:lineRule="auto"/>
        <w:rPr>
          <w:sz w:val="20"/>
          <w:szCs w:val="20"/>
          <w:color w:val="auto"/>
        </w:rPr>
      </w:pPr>
      <w:r>
        <w:rPr>
          <w:rFonts w:ascii="Arial" w:cs="Arial" w:eastAsia="Arial" w:hAnsi="Arial"/>
          <w:sz w:val="21"/>
          <w:szCs w:val="21"/>
          <w:color w:val="auto"/>
        </w:rPr>
        <w:t>provide, an employee submitting a public policy claim to arbitration shall be entitled to the full range of discovery provided under applicable law; (c) no employee shall be required to pay costs unique to the arbitration proceeding; and (d) the arbitrator must issue a written award setting forth the essential findings and conclusions on which the award is based.</w:t>
      </w:r>
    </w:p>
    <w:p>
      <w:pPr>
        <w:spacing w:after="0" w:line="46" w:lineRule="exact"/>
        <w:rPr>
          <w:sz w:val="20"/>
          <w:szCs w:val="20"/>
          <w:color w:val="auto"/>
        </w:rPr>
      </w:pPr>
    </w:p>
    <w:p>
      <w:pPr>
        <w:jc w:val="both"/>
        <w:ind w:right="40" w:firstLine="648"/>
        <w:spacing w:after="0" w:line="248" w:lineRule="auto"/>
        <w:rPr>
          <w:sz w:val="20"/>
          <w:szCs w:val="20"/>
          <w:color w:val="auto"/>
        </w:rPr>
      </w:pPr>
      <w:r>
        <w:rPr>
          <w:rFonts w:ascii="Arial" w:cs="Arial" w:eastAsia="Arial" w:hAnsi="Arial"/>
          <w:sz w:val="21"/>
          <w:szCs w:val="21"/>
          <w:color w:val="auto"/>
        </w:rPr>
        <w:t>In the spirit of expeditious and efficient resolution of any disputes, and to the extent allowed under applicable law, Company and Employee agree any dispute between them shall be resolved without the inclusion of any other employees or third parties included as parties to the arbitration proceeding, be it as individuals, as part of a collective action, or as part of a representative class, unless both Company and Employee agree to such consolidation after a dispute has arisen. If any part of this paragraph is deemed unenforceable Company and Employee further agree that it may be severed without affecting the other terms of this agreement, including the requirement to arbitrate all disputes.</w:t>
      </w:r>
    </w:p>
    <w:p>
      <w:pPr>
        <w:spacing w:after="0" w:line="56" w:lineRule="exact"/>
        <w:rPr>
          <w:sz w:val="20"/>
          <w:szCs w:val="20"/>
          <w:color w:val="auto"/>
        </w:rPr>
      </w:pPr>
    </w:p>
    <w:p>
      <w:pPr>
        <w:jc w:val="both"/>
        <w:ind w:right="40" w:firstLine="648"/>
        <w:spacing w:after="0" w:line="251" w:lineRule="auto"/>
        <w:rPr>
          <w:sz w:val="20"/>
          <w:szCs w:val="20"/>
          <w:color w:val="auto"/>
        </w:rPr>
      </w:pPr>
      <w:r>
        <w:rPr>
          <w:rFonts w:ascii="Arial" w:cs="Arial" w:eastAsia="Arial" w:hAnsi="Arial"/>
          <w:sz w:val="22"/>
          <w:szCs w:val="22"/>
          <w:color w:val="auto"/>
        </w:rPr>
        <w:t>The parties recognize and agree that due to the nature of Company’s business and its effect on interstate commerce, this agreement is governed by the Federal Arbitration Act.</w:t>
      </w:r>
    </w:p>
    <w:p>
      <w:pPr>
        <w:spacing w:after="0" w:line="46" w:lineRule="exact"/>
        <w:rPr>
          <w:sz w:val="20"/>
          <w:szCs w:val="20"/>
          <w:color w:val="auto"/>
        </w:rPr>
      </w:pPr>
    </w:p>
    <w:p>
      <w:pPr>
        <w:jc w:val="both"/>
        <w:ind w:right="40"/>
        <w:spacing w:after="0" w:line="243" w:lineRule="auto"/>
        <w:rPr>
          <w:sz w:val="20"/>
          <w:szCs w:val="20"/>
          <w:color w:val="auto"/>
        </w:rPr>
      </w:pPr>
      <w:r>
        <w:rPr>
          <w:rFonts w:ascii="Arial" w:cs="Arial" w:eastAsia="Arial" w:hAnsi="Arial"/>
          <w:sz w:val="22"/>
          <w:szCs w:val="22"/>
          <w:b w:val="1"/>
          <w:bCs w:val="1"/>
          <w:color w:val="auto"/>
        </w:rPr>
        <w:t>Make sure you have read and understand the foregoing. You agree to waive the right to a jury and instead submit disputes arising out of or related to this agreement or your employment to neutral, binding arbitration. You may want to consult with an attorney before signing this agreement.</w:t>
      </w:r>
    </w:p>
    <w:p>
      <w:pPr>
        <w:spacing w:after="0" w:line="115"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General.</w:t>
      </w:r>
    </w:p>
    <w:p>
      <w:pPr>
        <w:spacing w:after="0" w:line="71" w:lineRule="exact"/>
        <w:rPr>
          <w:sz w:val="20"/>
          <w:szCs w:val="20"/>
          <w:color w:val="auto"/>
        </w:rPr>
      </w:pPr>
    </w:p>
    <w:p>
      <w:pPr>
        <w:jc w:val="both"/>
        <w:ind w:right="40" w:firstLine="648"/>
        <w:spacing w:after="0" w:line="248" w:lineRule="auto"/>
        <w:rPr>
          <w:sz w:val="20"/>
          <w:szCs w:val="20"/>
          <w:color w:val="auto"/>
        </w:rPr>
      </w:pPr>
      <w:r>
        <w:rPr>
          <w:rFonts w:ascii="Arial" w:cs="Arial" w:eastAsia="Arial" w:hAnsi="Arial"/>
          <w:sz w:val="21"/>
          <w:szCs w:val="21"/>
          <w:color w:val="auto"/>
        </w:rPr>
        <w:t>You agree that except as otherwise set forth in this Agreement, all remaining terms and conditions of your employment shall be in accordance with and subject to the Company’s current Employee Handbook, which describes your responsibilities as well as various benefits to which you may be entitled. You have already signed acknowledgments for receipt of the Company’s Employee Proprietary Information, Confidentiality, Intellectual Property and Non-Solicitation Agreement, Business Code of Conduct and Ethics, Insider Trading Policy, Employee Code of Conduct, and Employee Handbook, and these acknowledgements will continue to be applicable to your employment with Monster Energy.</w:t>
      </w:r>
    </w:p>
    <w:p>
      <w:pPr>
        <w:spacing w:after="0" w:line="56" w:lineRule="exact"/>
        <w:rPr>
          <w:sz w:val="20"/>
          <w:szCs w:val="20"/>
          <w:color w:val="auto"/>
        </w:rPr>
      </w:pPr>
    </w:p>
    <w:p>
      <w:pPr>
        <w:jc w:val="both"/>
        <w:ind w:right="40"/>
        <w:spacing w:after="0" w:line="274" w:lineRule="auto"/>
        <w:rPr>
          <w:sz w:val="20"/>
          <w:szCs w:val="20"/>
          <w:color w:val="auto"/>
        </w:rPr>
      </w:pPr>
      <w:r>
        <w:rPr>
          <w:rFonts w:ascii="Arial" w:cs="Arial" w:eastAsia="Arial" w:hAnsi="Arial"/>
          <w:sz w:val="21"/>
          <w:szCs w:val="21"/>
          <w:color w:val="auto"/>
        </w:rPr>
        <w:t>Please sign a copy of this letter to acknowledge your acceptance of this Agreement with all of the terms contained herein and return it to our Human Resources Department at your earliest convenience. Congratulations on your new position.</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Yours sincerely,</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/s/ Hilton Schlosberg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75272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Hilton Schlosberg</w:t>
      </w:r>
    </w:p>
    <w:p>
      <w:pPr>
        <w:spacing w:after="0"/>
        <w:rPr>
          <w:sz w:val="20"/>
          <w:szCs w:val="20"/>
          <w:color w:val="auto"/>
        </w:rPr>
      </w:pPr>
      <w:r>
        <w:rPr>
          <w:rFonts w:ascii="Arial" w:cs="Arial" w:eastAsia="Arial" w:hAnsi="Arial"/>
          <w:sz w:val="22"/>
          <w:szCs w:val="22"/>
          <w:color w:val="auto"/>
        </w:rPr>
        <w:t>Vice Chairman of the Board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2500" w:type="dxa"/>
            <w:vAlign w:val="bottom"/>
          </w:tcPr>
          <w:p>
            <w:pPr>
              <w:spacing w:after="0"/>
              <w:rPr>
                <w:sz w:val="20"/>
                <w:szCs w:val="20"/>
                <w:color w:val="auto"/>
              </w:rPr>
            </w:pPr>
            <w:r>
              <w:rPr>
                <w:rFonts w:ascii="Arial" w:cs="Arial" w:eastAsia="Arial" w:hAnsi="Arial"/>
                <w:sz w:val="22"/>
                <w:szCs w:val="22"/>
                <w:color w:val="auto"/>
              </w:rPr>
              <w:t>Accepted and Agreed:</w:t>
            </w:r>
          </w:p>
        </w:tc>
        <w:tc>
          <w:tcPr>
            <w:tcW w:w="2580" w:type="dxa"/>
            <w:vAlign w:val="bottom"/>
          </w:tcPr>
          <w:p>
            <w:pPr>
              <w:jc w:val="center"/>
              <w:ind w:left="912"/>
              <w:spacing w:after="0"/>
              <w:rPr>
                <w:sz w:val="20"/>
                <w:szCs w:val="20"/>
                <w:color w:val="auto"/>
              </w:rPr>
            </w:pPr>
            <w:r>
              <w:rPr>
                <w:rFonts w:ascii="Arial" w:cs="Arial" w:eastAsia="Arial" w:hAnsi="Arial"/>
                <w:sz w:val="22"/>
                <w:szCs w:val="22"/>
                <w:color w:val="auto"/>
                <w:w w:val="94"/>
              </w:rPr>
              <w:t>/s/ Mark Hall</w:t>
            </w:r>
          </w:p>
        </w:tc>
        <w:tc>
          <w:tcPr>
            <w:tcW w:w="6340" w:type="dxa"/>
            <w:vAlign w:val="bottom"/>
            <w:gridSpan w:val="3"/>
          </w:tcPr>
          <w:p>
            <w:pPr>
              <w:jc w:val="right"/>
              <w:ind w:right="852"/>
              <w:spacing w:after="0"/>
              <w:rPr>
                <w:sz w:val="20"/>
                <w:szCs w:val="20"/>
                <w:color w:val="auto"/>
              </w:rPr>
            </w:pPr>
            <w:r>
              <w:rPr>
                <w:rFonts w:ascii="Arial" w:cs="Arial" w:eastAsia="Arial" w:hAnsi="Arial"/>
                <w:sz w:val="22"/>
                <w:szCs w:val="22"/>
                <w:color w:val="auto"/>
              </w:rPr>
              <w:t>03/12/2015</w:t>
            </w:r>
          </w:p>
        </w:tc>
        <w:tc>
          <w:tcPr>
            <w:tcW w:w="40" w:type="dxa"/>
            <w:vAlign w:val="bottom"/>
          </w:tcPr>
          <w:p>
            <w:pPr>
              <w:spacing w:after="0"/>
              <w:rPr>
                <w:sz w:val="23"/>
                <w:szCs w:val="23"/>
                <w:color w:val="auto"/>
              </w:rPr>
            </w:pPr>
          </w:p>
        </w:tc>
      </w:tr>
      <w:tr>
        <w:trPr>
          <w:trHeight w:val="268"/>
        </w:trPr>
        <w:tc>
          <w:tcPr>
            <w:tcW w:w="2500" w:type="dxa"/>
            <w:vAlign w:val="bottom"/>
          </w:tcPr>
          <w:p>
            <w:pPr>
              <w:spacing w:after="0"/>
              <w:rPr>
                <w:sz w:val="23"/>
                <w:szCs w:val="23"/>
                <w:color w:val="auto"/>
              </w:rPr>
            </w:pPr>
          </w:p>
        </w:tc>
        <w:tc>
          <w:tcPr>
            <w:tcW w:w="2580" w:type="dxa"/>
            <w:vAlign w:val="bottom"/>
            <w:tcBorders>
              <w:top w:val="single" w:sz="8" w:color="auto"/>
            </w:tcBorders>
          </w:tcPr>
          <w:p>
            <w:pPr>
              <w:jc w:val="center"/>
              <w:ind w:left="892"/>
              <w:spacing w:after="0"/>
              <w:rPr>
                <w:sz w:val="20"/>
                <w:szCs w:val="20"/>
                <w:color w:val="auto"/>
              </w:rPr>
            </w:pPr>
            <w:r>
              <w:rPr>
                <w:rFonts w:ascii="Arial" w:cs="Arial" w:eastAsia="Arial" w:hAnsi="Arial"/>
                <w:sz w:val="22"/>
                <w:szCs w:val="22"/>
                <w:color w:val="auto"/>
                <w:w w:val="96"/>
              </w:rPr>
              <w:t>Mark Hall</w:t>
            </w:r>
          </w:p>
        </w:tc>
        <w:tc>
          <w:tcPr>
            <w:tcW w:w="1000" w:type="dxa"/>
            <w:vAlign w:val="bottom"/>
            <w:tcBorders>
              <w:top w:val="single" w:sz="8" w:color="auto"/>
            </w:tcBorders>
          </w:tcPr>
          <w:p>
            <w:pPr>
              <w:spacing w:after="0"/>
              <w:rPr>
                <w:sz w:val="23"/>
                <w:szCs w:val="23"/>
                <w:color w:val="auto"/>
              </w:rPr>
            </w:pPr>
          </w:p>
        </w:tc>
        <w:tc>
          <w:tcPr>
            <w:tcW w:w="2440" w:type="dxa"/>
            <w:vAlign w:val="bottom"/>
          </w:tcPr>
          <w:p>
            <w:pPr>
              <w:spacing w:after="0"/>
              <w:rPr>
                <w:sz w:val="23"/>
                <w:szCs w:val="23"/>
                <w:color w:val="auto"/>
              </w:rPr>
            </w:pPr>
          </w:p>
        </w:tc>
        <w:tc>
          <w:tcPr>
            <w:tcW w:w="2900" w:type="dxa"/>
            <w:vAlign w:val="bottom"/>
            <w:tcBorders>
              <w:top w:val="single" w:sz="8" w:color="auto"/>
            </w:tcBorders>
          </w:tcPr>
          <w:p>
            <w:pPr>
              <w:jc w:val="center"/>
              <w:spacing w:after="0"/>
              <w:rPr>
                <w:sz w:val="20"/>
                <w:szCs w:val="20"/>
                <w:color w:val="auto"/>
              </w:rPr>
            </w:pPr>
            <w:r>
              <w:rPr>
                <w:rFonts w:ascii="Arial" w:cs="Arial" w:eastAsia="Arial" w:hAnsi="Arial"/>
                <w:sz w:val="22"/>
                <w:szCs w:val="22"/>
                <w:color w:val="auto"/>
                <w:w w:val="85"/>
              </w:rPr>
              <w:t>Date</w:t>
            </w:r>
          </w:p>
        </w:tc>
        <w:tc>
          <w:tcPr>
            <w:tcW w:w="40" w:type="dxa"/>
            <w:vAlign w:val="bottom"/>
          </w:tcPr>
          <w:p>
            <w:pPr>
              <w:spacing w:after="0"/>
              <w:rPr>
                <w:sz w:val="23"/>
                <w:szCs w:val="23"/>
                <w:color w:val="auto"/>
              </w:rPr>
            </w:pPr>
          </w:p>
        </w:tc>
      </w:tr>
      <w:tr>
        <w:trPr>
          <w:trHeight w:val="401"/>
        </w:trPr>
        <w:tc>
          <w:tcPr>
            <w:tcW w:w="25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6340" w:type="dxa"/>
            <w:vAlign w:val="bottom"/>
            <w:gridSpan w:val="3"/>
          </w:tcPr>
          <w:p>
            <w:pPr>
              <w:ind w:left="22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4</w:t>
            </w:r>
            <w:r>
              <w:rPr>
                <w:rFonts w:ascii="Arial" w:cs="Arial" w:eastAsia="Arial" w:hAnsi="Arial"/>
                <w:sz w:val="18"/>
                <w:szCs w:val="18"/>
                <w:color w:val="auto"/>
              </w:rPr>
              <w:t xml:space="preserve"> of </w:t>
            </w:r>
            <w:r>
              <w:rPr>
                <w:rFonts w:ascii="Arial" w:cs="Arial" w:eastAsia="Arial" w:hAnsi="Arial"/>
                <w:sz w:val="18"/>
                <w:szCs w:val="18"/>
                <w:b w:val="1"/>
                <w:bCs w:val="1"/>
                <w:color w:val="auto"/>
              </w:rPr>
              <w:t>4</w:t>
            </w:r>
          </w:p>
        </w:tc>
        <w:tc>
          <w:tcPr>
            <w:tcW w:w="40" w:type="dxa"/>
            <w:vAlign w:val="bottom"/>
          </w:tcPr>
          <w:p>
            <w:pPr>
              <w:spacing w:after="0"/>
              <w:rPr>
                <w:sz w:val="24"/>
                <w:szCs w:val="24"/>
                <w:color w:val="auto"/>
              </w:rPr>
            </w:pPr>
          </w:p>
        </w:tc>
      </w:tr>
      <w:tr>
        <w:trPr>
          <w:trHeight w:val="132"/>
        </w:trPr>
        <w:tc>
          <w:tcPr>
            <w:tcW w:w="2500" w:type="dxa"/>
            <w:vAlign w:val="bottom"/>
            <w:tcBorders>
              <w:bottom w:val="single" w:sz="8" w:color="010101"/>
            </w:tcBorders>
          </w:tcPr>
          <w:p>
            <w:pPr>
              <w:spacing w:after="0"/>
              <w:rPr>
                <w:sz w:val="11"/>
                <w:szCs w:val="11"/>
                <w:color w:val="auto"/>
              </w:rPr>
            </w:pPr>
          </w:p>
        </w:tc>
        <w:tc>
          <w:tcPr>
            <w:tcW w:w="258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2440" w:type="dxa"/>
            <w:vAlign w:val="bottom"/>
            <w:tcBorders>
              <w:bottom w:val="single" w:sz="8" w:color="010101"/>
            </w:tcBorders>
          </w:tcPr>
          <w:p>
            <w:pPr>
              <w:spacing w:after="0"/>
              <w:rPr>
                <w:sz w:val="11"/>
                <w:szCs w:val="11"/>
                <w:color w:val="auto"/>
              </w:rPr>
            </w:pPr>
          </w:p>
        </w:tc>
        <w:tc>
          <w:tcPr>
            <w:tcW w:w="29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8" w:right="199" w:bottom="1440" w:gutter="0" w:footer="0" w:header="0"/>
        </w:sectPr>
      </w:pPr>
    </w:p>
    <w:bookmarkStart w:id="35" w:name="page36"/>
    <w:bookmarkEnd w:id="35"/>
    <w:p>
      <w:pPr>
        <w:jc w:val="right"/>
        <w:ind w:right="40"/>
        <w:spacing w:after="0"/>
        <w:rPr>
          <w:sz w:val="20"/>
          <w:szCs w:val="20"/>
          <w:color w:val="auto"/>
        </w:rPr>
      </w:pPr>
      <w:r>
        <w:rPr>
          <w:rFonts w:ascii="Arial" w:cs="Arial" w:eastAsia="Arial" w:hAnsi="Arial"/>
          <w:sz w:val="20"/>
          <w:szCs w:val="20"/>
          <w:b w:val="1"/>
          <w:bCs w:val="1"/>
          <w:color w:val="auto"/>
        </w:rPr>
        <w:t>EXHIBIT 31.1</w:t>
      </w:r>
    </w:p>
    <w:p>
      <w:pPr>
        <w:spacing w:after="0" w:line="236" w:lineRule="exact"/>
        <w:rPr>
          <w:sz w:val="20"/>
          <w:szCs w:val="20"/>
          <w:color w:val="auto"/>
        </w:rPr>
      </w:pPr>
    </w:p>
    <w:p>
      <w:pPr>
        <w:jc w:val="center"/>
        <w:ind w:right="40"/>
        <w:spacing w:after="0" w:line="250" w:lineRule="auto"/>
        <w:rPr>
          <w:sz w:val="20"/>
          <w:szCs w:val="20"/>
          <w:color w:val="auto"/>
        </w:rPr>
      </w:pPr>
      <w:r>
        <w:rPr>
          <w:rFonts w:ascii="Arial" w:cs="Arial" w:eastAsia="Arial" w:hAnsi="Arial"/>
          <w:sz w:val="20"/>
          <w:szCs w:val="20"/>
          <w:color w:val="auto"/>
        </w:rPr>
        <w:t>CERTIFICATION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I, Rodney Sacks, certify that:</w:t>
      </w:r>
    </w:p>
    <w:p>
      <w:pPr>
        <w:spacing w:after="0" w:line="229" w:lineRule="exact"/>
        <w:rPr>
          <w:sz w:val="20"/>
          <w:szCs w:val="20"/>
          <w:color w:val="auto"/>
        </w:rPr>
      </w:pPr>
    </w:p>
    <w:p>
      <w:pPr>
        <w:ind w:left="320" w:hanging="312"/>
        <w:spacing w:after="0"/>
        <w:tabs>
          <w:tab w:leader="none" w:pos="320" w:val="left"/>
        </w:tabs>
        <w:numPr>
          <w:ilvl w:val="0"/>
          <w:numId w:val="44"/>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Monster Beverage Corporation;</w:t>
      </w:r>
    </w:p>
    <w:p>
      <w:pPr>
        <w:spacing w:after="0" w:line="229" w:lineRule="exact"/>
        <w:rPr>
          <w:rFonts w:ascii="Arial" w:cs="Arial" w:eastAsia="Arial" w:hAnsi="Arial"/>
          <w:sz w:val="20"/>
          <w:szCs w:val="20"/>
          <w:color w:val="auto"/>
        </w:rPr>
      </w:pPr>
    </w:p>
    <w:p>
      <w:pPr>
        <w:jc w:val="both"/>
        <w:ind w:left="340" w:right="40" w:hanging="332"/>
        <w:spacing w:after="0" w:line="250" w:lineRule="auto"/>
        <w:tabs>
          <w:tab w:leader="none" w:pos="434" w:val="left"/>
        </w:tabs>
        <w:numPr>
          <w:ilvl w:val="0"/>
          <w:numId w:val="44"/>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left="340" w:right="60" w:hanging="332"/>
        <w:spacing w:after="0" w:line="316" w:lineRule="auto"/>
        <w:tabs>
          <w:tab w:leader="none" w:pos="416"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340" w:right="40" w:hanging="332"/>
        <w:spacing w:after="0" w:line="250" w:lineRule="auto"/>
        <w:tabs>
          <w:tab w:leader="none" w:pos="502"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jc w:val="both"/>
        <w:ind w:left="1620" w:right="40" w:hanging="315"/>
        <w:spacing w:after="0" w:line="291" w:lineRule="auto"/>
        <w:tabs>
          <w:tab w:leader="none" w:pos="1618"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jc w:val="both"/>
        <w:ind w:left="1620" w:right="40" w:hanging="315"/>
        <w:spacing w:after="0" w:line="291" w:lineRule="auto"/>
        <w:tabs>
          <w:tab w:leader="none" w:pos="1863"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8"/>
          <w:szCs w:val="18"/>
          <w:color w:val="auto"/>
        </w:rPr>
      </w:pPr>
    </w:p>
    <w:p>
      <w:pPr>
        <w:jc w:val="both"/>
        <w:ind w:left="1620" w:right="40" w:hanging="315"/>
        <w:spacing w:after="0" w:line="250" w:lineRule="auto"/>
        <w:tabs>
          <w:tab w:leader="none" w:pos="2027" w:val="left"/>
        </w:tabs>
        <w:numPr>
          <w:ilvl w:val="1"/>
          <w:numId w:val="44"/>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1620" w:right="40" w:hanging="315"/>
        <w:spacing w:after="0" w:line="291" w:lineRule="auto"/>
        <w:tabs>
          <w:tab w:leader="none" w:pos="1809"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8"/>
          <w:szCs w:val="18"/>
          <w:color w:val="auto"/>
        </w:rPr>
      </w:pPr>
    </w:p>
    <w:p>
      <w:pPr>
        <w:jc w:val="both"/>
        <w:ind w:left="340" w:right="40" w:hanging="332"/>
        <w:spacing w:after="0" w:line="250" w:lineRule="auto"/>
        <w:tabs>
          <w:tab w:leader="none" w:pos="542"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99" w:lineRule="exact"/>
        <w:rPr>
          <w:rFonts w:ascii="Arial" w:cs="Arial" w:eastAsia="Arial" w:hAnsi="Arial"/>
          <w:sz w:val="20"/>
          <w:szCs w:val="20"/>
          <w:color w:val="auto"/>
        </w:rPr>
      </w:pPr>
    </w:p>
    <w:p>
      <w:pPr>
        <w:jc w:val="both"/>
        <w:ind w:left="1620" w:right="40" w:hanging="315"/>
        <w:spacing w:after="0" w:line="250" w:lineRule="auto"/>
        <w:tabs>
          <w:tab w:leader="none" w:pos="1636" w:val="left"/>
        </w:tabs>
        <w:numPr>
          <w:ilvl w:val="1"/>
          <w:numId w:val="44"/>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1620" w:right="40" w:hanging="315"/>
        <w:spacing w:after="0" w:line="260" w:lineRule="auto"/>
        <w:tabs>
          <w:tab w:leader="none" w:pos="1689" w:val="left"/>
        </w:tabs>
        <w:numPr>
          <w:ilvl w:val="1"/>
          <w:numId w:val="44"/>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00" w:type="dxa"/>
            <w:vAlign w:val="bottom"/>
          </w:tcPr>
          <w:p>
            <w:pPr>
              <w:spacing w:after="0"/>
              <w:rPr>
                <w:sz w:val="20"/>
                <w:szCs w:val="20"/>
                <w:color w:val="auto"/>
              </w:rPr>
            </w:pPr>
            <w:r>
              <w:rPr>
                <w:rFonts w:ascii="Arial" w:cs="Arial" w:eastAsia="Arial" w:hAnsi="Arial"/>
                <w:sz w:val="20"/>
                <w:szCs w:val="20"/>
                <w:color w:val="auto"/>
              </w:rPr>
              <w:t>Date:</w:t>
            </w:r>
          </w:p>
        </w:tc>
        <w:tc>
          <w:tcPr>
            <w:tcW w:w="5020" w:type="dxa"/>
            <w:vAlign w:val="bottom"/>
          </w:tcPr>
          <w:p>
            <w:pPr>
              <w:ind w:left="260"/>
              <w:spacing w:after="0"/>
              <w:rPr>
                <w:sz w:val="20"/>
                <w:szCs w:val="20"/>
                <w:color w:val="auto"/>
              </w:rPr>
            </w:pPr>
            <w:r>
              <w:rPr>
                <w:rFonts w:ascii="Arial" w:cs="Arial" w:eastAsia="Arial" w:hAnsi="Arial"/>
                <w:sz w:val="20"/>
                <w:szCs w:val="20"/>
                <w:color w:val="auto"/>
              </w:rPr>
              <w:t>May 11, 2015</w:t>
            </w:r>
          </w:p>
        </w:tc>
        <w:tc>
          <w:tcPr>
            <w:tcW w:w="5700" w:type="dxa"/>
            <w:vAlign w:val="bottom"/>
            <w:tcBorders>
              <w:bottom w:val="single" w:sz="8" w:color="auto"/>
            </w:tcBorders>
          </w:tcPr>
          <w:p>
            <w:pPr>
              <w:ind w:left="140"/>
              <w:spacing w:after="0"/>
              <w:rPr>
                <w:sz w:val="20"/>
                <w:szCs w:val="20"/>
                <w:color w:val="auto"/>
              </w:rPr>
            </w:pPr>
            <w:r>
              <w:rPr>
                <w:rFonts w:ascii="Arial" w:cs="Arial" w:eastAsia="Arial" w:hAnsi="Arial"/>
                <w:sz w:val="20"/>
                <w:szCs w:val="20"/>
                <w:color w:val="auto"/>
              </w:rPr>
              <w:t>/s/Rodney C. Sacks</w:t>
            </w:r>
          </w:p>
        </w:tc>
        <w:tc>
          <w:tcPr>
            <w:tcW w:w="40" w:type="dxa"/>
            <w:vAlign w:val="bottom"/>
          </w:tcPr>
          <w:p>
            <w:pPr>
              <w:spacing w:after="0"/>
              <w:rPr>
                <w:sz w:val="21"/>
                <w:szCs w:val="21"/>
                <w:color w:val="auto"/>
              </w:rPr>
            </w:pPr>
          </w:p>
        </w:tc>
      </w:tr>
      <w:tr>
        <w:trPr>
          <w:trHeight w:val="206"/>
        </w:trPr>
        <w:tc>
          <w:tcPr>
            <w:tcW w:w="70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5700" w:type="dxa"/>
            <w:vAlign w:val="bottom"/>
          </w:tcPr>
          <w:p>
            <w:pPr>
              <w:ind w:left="140"/>
              <w:spacing w:after="0" w:line="207" w:lineRule="exact"/>
              <w:rPr>
                <w:sz w:val="20"/>
                <w:szCs w:val="20"/>
                <w:color w:val="auto"/>
              </w:rPr>
            </w:pPr>
            <w:r>
              <w:rPr>
                <w:rFonts w:ascii="Arial" w:cs="Arial" w:eastAsia="Arial" w:hAnsi="Arial"/>
                <w:sz w:val="20"/>
                <w:szCs w:val="20"/>
                <w:color w:val="auto"/>
              </w:rPr>
              <w:t>Rodney C. Sacks</w:t>
            </w:r>
          </w:p>
        </w:tc>
        <w:tc>
          <w:tcPr>
            <w:tcW w:w="40" w:type="dxa"/>
            <w:vAlign w:val="bottom"/>
          </w:tcPr>
          <w:p>
            <w:pPr>
              <w:spacing w:after="0"/>
              <w:rPr>
                <w:sz w:val="17"/>
                <w:szCs w:val="17"/>
                <w:color w:val="auto"/>
              </w:rPr>
            </w:pPr>
          </w:p>
        </w:tc>
      </w:tr>
      <w:tr>
        <w:trPr>
          <w:trHeight w:val="230"/>
        </w:trPr>
        <w:tc>
          <w:tcPr>
            <w:tcW w:w="70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5700" w:type="dxa"/>
            <w:vAlign w:val="bottom"/>
          </w:tcPr>
          <w:p>
            <w:pPr>
              <w:ind w:left="140"/>
              <w:spacing w:after="0"/>
              <w:rPr>
                <w:sz w:val="20"/>
                <w:szCs w:val="20"/>
                <w:color w:val="auto"/>
              </w:rPr>
            </w:pPr>
            <w:r>
              <w:rPr>
                <w:rFonts w:ascii="Arial" w:cs="Arial" w:eastAsia="Arial" w:hAnsi="Arial"/>
                <w:sz w:val="20"/>
                <w:szCs w:val="20"/>
                <w:color w:val="auto"/>
              </w:rPr>
              <w:t>Chairman of the Board of Directors</w:t>
            </w:r>
          </w:p>
        </w:tc>
        <w:tc>
          <w:tcPr>
            <w:tcW w:w="40" w:type="dxa"/>
            <w:vAlign w:val="bottom"/>
          </w:tcPr>
          <w:p>
            <w:pPr>
              <w:spacing w:after="0"/>
              <w:rPr>
                <w:sz w:val="19"/>
                <w:szCs w:val="19"/>
                <w:color w:val="auto"/>
              </w:rPr>
            </w:pPr>
          </w:p>
        </w:tc>
      </w:tr>
      <w:tr>
        <w:trPr>
          <w:trHeight w:val="250"/>
        </w:trPr>
        <w:tc>
          <w:tcPr>
            <w:tcW w:w="700" w:type="dxa"/>
            <w:vAlign w:val="bottom"/>
          </w:tcPr>
          <w:p>
            <w:pPr>
              <w:spacing w:after="0"/>
              <w:rPr>
                <w:sz w:val="21"/>
                <w:szCs w:val="21"/>
                <w:color w:val="auto"/>
              </w:rPr>
            </w:pPr>
          </w:p>
        </w:tc>
        <w:tc>
          <w:tcPr>
            <w:tcW w:w="5020" w:type="dxa"/>
            <w:vAlign w:val="bottom"/>
          </w:tcPr>
          <w:p>
            <w:pPr>
              <w:spacing w:after="0"/>
              <w:rPr>
                <w:sz w:val="21"/>
                <w:szCs w:val="21"/>
                <w:color w:val="auto"/>
              </w:rPr>
            </w:pPr>
          </w:p>
        </w:tc>
        <w:tc>
          <w:tcPr>
            <w:tcW w:w="5700" w:type="dxa"/>
            <w:vAlign w:val="bottom"/>
          </w:tcPr>
          <w:p>
            <w:pPr>
              <w:ind w:left="140"/>
              <w:spacing w:after="0"/>
              <w:rPr>
                <w:sz w:val="20"/>
                <w:szCs w:val="20"/>
                <w:color w:val="auto"/>
              </w:rPr>
            </w:pPr>
            <w:r>
              <w:rPr>
                <w:rFonts w:ascii="Arial" w:cs="Arial" w:eastAsia="Arial" w:hAnsi="Arial"/>
                <w:sz w:val="20"/>
                <w:szCs w:val="20"/>
                <w:color w:val="auto"/>
              </w:rPr>
              <w:t>and Chief Executive Officer</w:t>
            </w:r>
          </w:p>
        </w:tc>
        <w:tc>
          <w:tcPr>
            <w:tcW w:w="40" w:type="dxa"/>
            <w:vAlign w:val="bottom"/>
          </w:tcPr>
          <w:p>
            <w:pPr>
              <w:spacing w:after="0"/>
              <w:rPr>
                <w:sz w:val="21"/>
                <w:szCs w:val="21"/>
                <w:color w:val="auto"/>
              </w:rPr>
            </w:pPr>
          </w:p>
        </w:tc>
      </w:tr>
      <w:tr>
        <w:trPr>
          <w:trHeight w:val="357"/>
        </w:trPr>
        <w:tc>
          <w:tcPr>
            <w:tcW w:w="700" w:type="dxa"/>
            <w:vAlign w:val="bottom"/>
            <w:tcBorders>
              <w:bottom w:val="single" w:sz="8" w:color="010101"/>
            </w:tcBorders>
          </w:tcPr>
          <w:p>
            <w:pPr>
              <w:spacing w:after="0"/>
              <w:rPr>
                <w:sz w:val="24"/>
                <w:szCs w:val="24"/>
                <w:color w:val="auto"/>
              </w:rPr>
            </w:pPr>
          </w:p>
        </w:tc>
        <w:tc>
          <w:tcPr>
            <w:tcW w:w="5020" w:type="dxa"/>
            <w:vAlign w:val="bottom"/>
            <w:tcBorders>
              <w:bottom w:val="single" w:sz="8" w:color="010101"/>
            </w:tcBorders>
          </w:tcPr>
          <w:p>
            <w:pPr>
              <w:spacing w:after="0"/>
              <w:rPr>
                <w:sz w:val="24"/>
                <w:szCs w:val="24"/>
                <w:color w:val="auto"/>
              </w:rPr>
            </w:pPr>
          </w:p>
        </w:tc>
        <w:tc>
          <w:tcPr>
            <w:tcW w:w="57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5" w:right="199" w:bottom="1440" w:gutter="0" w:footer="0" w:header="0"/>
        </w:sectPr>
      </w:pPr>
    </w:p>
    <w:bookmarkStart w:id="36" w:name="page37"/>
    <w:bookmarkEnd w:id="36"/>
    <w:p>
      <w:pPr>
        <w:jc w:val="right"/>
        <w:ind w:right="40"/>
        <w:spacing w:after="0"/>
        <w:rPr>
          <w:sz w:val="20"/>
          <w:szCs w:val="20"/>
          <w:color w:val="auto"/>
        </w:rPr>
      </w:pPr>
      <w:r>
        <w:rPr>
          <w:rFonts w:ascii="Arial" w:cs="Arial" w:eastAsia="Arial" w:hAnsi="Arial"/>
          <w:sz w:val="20"/>
          <w:szCs w:val="20"/>
          <w:b w:val="1"/>
          <w:bCs w:val="1"/>
          <w:color w:val="auto"/>
        </w:rPr>
        <w:t>EXHIBIT 31.2</w:t>
      </w:r>
    </w:p>
    <w:p>
      <w:pPr>
        <w:spacing w:after="0" w:line="236" w:lineRule="exact"/>
        <w:rPr>
          <w:sz w:val="20"/>
          <w:szCs w:val="20"/>
          <w:color w:val="auto"/>
        </w:rPr>
      </w:pPr>
    </w:p>
    <w:p>
      <w:pPr>
        <w:jc w:val="center"/>
        <w:ind w:right="40"/>
        <w:spacing w:after="0" w:line="250" w:lineRule="auto"/>
        <w:rPr>
          <w:sz w:val="20"/>
          <w:szCs w:val="20"/>
          <w:color w:val="auto"/>
        </w:rPr>
      </w:pPr>
      <w:r>
        <w:rPr>
          <w:rFonts w:ascii="Arial" w:cs="Arial" w:eastAsia="Arial" w:hAnsi="Arial"/>
          <w:sz w:val="20"/>
          <w:szCs w:val="20"/>
          <w:color w:val="auto"/>
        </w:rPr>
        <w:t>CERTIFICATION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I, Hilton Schlosberg, certify that:</w:t>
      </w:r>
    </w:p>
    <w:p>
      <w:pPr>
        <w:spacing w:after="0" w:line="229" w:lineRule="exact"/>
        <w:rPr>
          <w:sz w:val="20"/>
          <w:szCs w:val="20"/>
          <w:color w:val="auto"/>
        </w:rPr>
      </w:pPr>
    </w:p>
    <w:p>
      <w:pPr>
        <w:ind w:left="320" w:hanging="312"/>
        <w:spacing w:after="0"/>
        <w:tabs>
          <w:tab w:leader="none" w:pos="320" w:val="left"/>
        </w:tabs>
        <w:numPr>
          <w:ilvl w:val="0"/>
          <w:numId w:val="45"/>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Monster Beverage Corporation;</w:t>
      </w:r>
    </w:p>
    <w:p>
      <w:pPr>
        <w:spacing w:after="0" w:line="229" w:lineRule="exact"/>
        <w:rPr>
          <w:rFonts w:ascii="Arial" w:cs="Arial" w:eastAsia="Arial" w:hAnsi="Arial"/>
          <w:sz w:val="20"/>
          <w:szCs w:val="20"/>
          <w:color w:val="auto"/>
        </w:rPr>
      </w:pPr>
    </w:p>
    <w:p>
      <w:pPr>
        <w:jc w:val="both"/>
        <w:ind w:left="340" w:right="40" w:hanging="332"/>
        <w:spacing w:after="0" w:line="250" w:lineRule="auto"/>
        <w:tabs>
          <w:tab w:leader="none" w:pos="385" w:val="left"/>
        </w:tabs>
        <w:numPr>
          <w:ilvl w:val="0"/>
          <w:numId w:val="45"/>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left="340" w:right="60" w:hanging="332"/>
        <w:spacing w:after="0" w:line="316" w:lineRule="auto"/>
        <w:tabs>
          <w:tab w:leader="none" w:pos="416"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340" w:right="40" w:hanging="332"/>
        <w:spacing w:after="0" w:line="250" w:lineRule="auto"/>
        <w:tabs>
          <w:tab w:leader="none" w:pos="502"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jc w:val="both"/>
        <w:ind w:left="1620" w:right="40" w:hanging="315"/>
        <w:spacing w:after="0" w:line="291" w:lineRule="auto"/>
        <w:tabs>
          <w:tab w:leader="none" w:pos="1663"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jc w:val="both"/>
        <w:ind w:left="1620" w:right="40" w:hanging="315"/>
        <w:spacing w:after="0" w:line="291" w:lineRule="auto"/>
        <w:tabs>
          <w:tab w:leader="none" w:pos="1863"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8"/>
          <w:szCs w:val="18"/>
          <w:color w:val="auto"/>
        </w:rPr>
      </w:pPr>
    </w:p>
    <w:p>
      <w:pPr>
        <w:jc w:val="both"/>
        <w:ind w:left="1620" w:right="40" w:hanging="315"/>
        <w:spacing w:after="0" w:line="250" w:lineRule="auto"/>
        <w:tabs>
          <w:tab w:leader="none" w:pos="2027" w:val="left"/>
        </w:tabs>
        <w:numPr>
          <w:ilvl w:val="1"/>
          <w:numId w:val="45"/>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1620" w:right="40" w:hanging="315"/>
        <w:spacing w:after="0" w:line="291" w:lineRule="auto"/>
        <w:tabs>
          <w:tab w:leader="none" w:pos="1809"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8"/>
          <w:szCs w:val="18"/>
          <w:color w:val="auto"/>
        </w:rPr>
      </w:pPr>
    </w:p>
    <w:p>
      <w:pPr>
        <w:jc w:val="both"/>
        <w:ind w:left="340" w:right="40" w:hanging="332"/>
        <w:spacing w:after="0" w:line="250" w:lineRule="auto"/>
        <w:tabs>
          <w:tab w:leader="none" w:pos="542"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99" w:lineRule="exact"/>
        <w:rPr>
          <w:rFonts w:ascii="Arial" w:cs="Arial" w:eastAsia="Arial" w:hAnsi="Arial"/>
          <w:sz w:val="20"/>
          <w:szCs w:val="20"/>
          <w:color w:val="auto"/>
        </w:rPr>
      </w:pPr>
    </w:p>
    <w:p>
      <w:pPr>
        <w:jc w:val="both"/>
        <w:ind w:left="1620" w:right="40" w:hanging="315"/>
        <w:spacing w:after="0" w:line="250" w:lineRule="auto"/>
        <w:tabs>
          <w:tab w:leader="none" w:pos="1717" w:val="left"/>
        </w:tabs>
        <w:numPr>
          <w:ilvl w:val="1"/>
          <w:numId w:val="45"/>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1620" w:right="60" w:hanging="315"/>
        <w:spacing w:after="0" w:line="260" w:lineRule="auto"/>
        <w:tabs>
          <w:tab w:leader="none" w:pos="1729" w:val="left"/>
        </w:tabs>
        <w:numPr>
          <w:ilvl w:val="1"/>
          <w:numId w:val="45"/>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00" w:type="dxa"/>
            <w:vAlign w:val="bottom"/>
          </w:tcPr>
          <w:p>
            <w:pPr>
              <w:spacing w:after="0"/>
              <w:rPr>
                <w:sz w:val="20"/>
                <w:szCs w:val="20"/>
                <w:color w:val="auto"/>
              </w:rPr>
            </w:pPr>
            <w:r>
              <w:rPr>
                <w:rFonts w:ascii="Arial" w:cs="Arial" w:eastAsia="Arial" w:hAnsi="Arial"/>
                <w:sz w:val="20"/>
                <w:szCs w:val="20"/>
                <w:color w:val="auto"/>
              </w:rPr>
              <w:t>Date:</w:t>
            </w:r>
          </w:p>
        </w:tc>
        <w:tc>
          <w:tcPr>
            <w:tcW w:w="5020" w:type="dxa"/>
            <w:vAlign w:val="bottom"/>
          </w:tcPr>
          <w:p>
            <w:pPr>
              <w:ind w:left="260"/>
              <w:spacing w:after="0"/>
              <w:rPr>
                <w:sz w:val="20"/>
                <w:szCs w:val="20"/>
                <w:color w:val="auto"/>
              </w:rPr>
            </w:pPr>
            <w:r>
              <w:rPr>
                <w:rFonts w:ascii="Arial" w:cs="Arial" w:eastAsia="Arial" w:hAnsi="Arial"/>
                <w:sz w:val="20"/>
                <w:szCs w:val="20"/>
                <w:color w:val="auto"/>
              </w:rPr>
              <w:t>May 11, 2015</w:t>
            </w:r>
          </w:p>
        </w:tc>
        <w:tc>
          <w:tcPr>
            <w:tcW w:w="5700" w:type="dxa"/>
            <w:vAlign w:val="bottom"/>
            <w:tcBorders>
              <w:bottom w:val="single" w:sz="8" w:color="auto"/>
            </w:tcBorders>
          </w:tcPr>
          <w:p>
            <w:pPr>
              <w:ind w:left="140"/>
              <w:spacing w:after="0"/>
              <w:rPr>
                <w:sz w:val="20"/>
                <w:szCs w:val="20"/>
                <w:color w:val="auto"/>
              </w:rPr>
            </w:pPr>
            <w:r>
              <w:rPr>
                <w:rFonts w:ascii="Arial" w:cs="Arial" w:eastAsia="Arial" w:hAnsi="Arial"/>
                <w:sz w:val="20"/>
                <w:szCs w:val="20"/>
                <w:color w:val="auto"/>
              </w:rPr>
              <w:t>/s/ Hilton H. Schlosberg</w:t>
            </w:r>
          </w:p>
        </w:tc>
        <w:tc>
          <w:tcPr>
            <w:tcW w:w="40" w:type="dxa"/>
            <w:vAlign w:val="bottom"/>
          </w:tcPr>
          <w:p>
            <w:pPr>
              <w:spacing w:after="0"/>
              <w:rPr>
                <w:sz w:val="21"/>
                <w:szCs w:val="21"/>
                <w:color w:val="auto"/>
              </w:rPr>
            </w:pPr>
          </w:p>
        </w:tc>
      </w:tr>
      <w:tr>
        <w:trPr>
          <w:trHeight w:val="206"/>
        </w:trPr>
        <w:tc>
          <w:tcPr>
            <w:tcW w:w="70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5700" w:type="dxa"/>
            <w:vAlign w:val="bottom"/>
          </w:tcPr>
          <w:p>
            <w:pPr>
              <w:ind w:left="140"/>
              <w:spacing w:after="0" w:line="207" w:lineRule="exact"/>
              <w:rPr>
                <w:sz w:val="20"/>
                <w:szCs w:val="20"/>
                <w:color w:val="auto"/>
              </w:rPr>
            </w:pPr>
            <w:r>
              <w:rPr>
                <w:rFonts w:ascii="Arial" w:cs="Arial" w:eastAsia="Arial" w:hAnsi="Arial"/>
                <w:sz w:val="20"/>
                <w:szCs w:val="20"/>
                <w:color w:val="auto"/>
              </w:rPr>
              <w:t>Hilton H. Schlosberg</w:t>
            </w:r>
          </w:p>
        </w:tc>
        <w:tc>
          <w:tcPr>
            <w:tcW w:w="40" w:type="dxa"/>
            <w:vAlign w:val="bottom"/>
          </w:tcPr>
          <w:p>
            <w:pPr>
              <w:spacing w:after="0"/>
              <w:rPr>
                <w:sz w:val="17"/>
                <w:szCs w:val="17"/>
                <w:color w:val="auto"/>
              </w:rPr>
            </w:pPr>
          </w:p>
        </w:tc>
      </w:tr>
      <w:tr>
        <w:trPr>
          <w:trHeight w:val="230"/>
        </w:trPr>
        <w:tc>
          <w:tcPr>
            <w:tcW w:w="70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5700" w:type="dxa"/>
            <w:vAlign w:val="bottom"/>
          </w:tcPr>
          <w:p>
            <w:pPr>
              <w:ind w:left="140"/>
              <w:spacing w:after="0"/>
              <w:rPr>
                <w:sz w:val="20"/>
                <w:szCs w:val="20"/>
                <w:color w:val="auto"/>
              </w:rPr>
            </w:pPr>
            <w:r>
              <w:rPr>
                <w:rFonts w:ascii="Arial" w:cs="Arial" w:eastAsia="Arial" w:hAnsi="Arial"/>
                <w:sz w:val="20"/>
                <w:szCs w:val="20"/>
                <w:color w:val="auto"/>
              </w:rPr>
              <w:t>Vice Chairman of the Board of Directors,</w:t>
            </w:r>
          </w:p>
        </w:tc>
        <w:tc>
          <w:tcPr>
            <w:tcW w:w="40" w:type="dxa"/>
            <w:vAlign w:val="bottom"/>
          </w:tcPr>
          <w:p>
            <w:pPr>
              <w:spacing w:after="0"/>
              <w:rPr>
                <w:sz w:val="19"/>
                <w:szCs w:val="19"/>
                <w:color w:val="auto"/>
              </w:rPr>
            </w:pPr>
          </w:p>
        </w:tc>
      </w:tr>
      <w:tr>
        <w:trPr>
          <w:trHeight w:val="230"/>
        </w:trPr>
        <w:tc>
          <w:tcPr>
            <w:tcW w:w="70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5700" w:type="dxa"/>
            <w:vAlign w:val="bottom"/>
          </w:tcPr>
          <w:p>
            <w:pPr>
              <w:ind w:left="140"/>
              <w:spacing w:after="0"/>
              <w:rPr>
                <w:sz w:val="20"/>
                <w:szCs w:val="20"/>
                <w:color w:val="auto"/>
              </w:rPr>
            </w:pPr>
            <w:r>
              <w:rPr>
                <w:rFonts w:ascii="Arial" w:cs="Arial" w:eastAsia="Arial" w:hAnsi="Arial"/>
                <w:sz w:val="20"/>
                <w:szCs w:val="20"/>
                <w:color w:val="auto"/>
              </w:rPr>
              <w:t>President, Chief Operating Officer, Chief</w:t>
            </w:r>
          </w:p>
        </w:tc>
        <w:tc>
          <w:tcPr>
            <w:tcW w:w="40" w:type="dxa"/>
            <w:vAlign w:val="bottom"/>
          </w:tcPr>
          <w:p>
            <w:pPr>
              <w:spacing w:after="0"/>
              <w:rPr>
                <w:sz w:val="19"/>
                <w:szCs w:val="19"/>
                <w:color w:val="auto"/>
              </w:rPr>
            </w:pPr>
          </w:p>
        </w:tc>
      </w:tr>
      <w:tr>
        <w:trPr>
          <w:trHeight w:val="250"/>
        </w:trPr>
        <w:tc>
          <w:tcPr>
            <w:tcW w:w="700" w:type="dxa"/>
            <w:vAlign w:val="bottom"/>
          </w:tcPr>
          <w:p>
            <w:pPr>
              <w:spacing w:after="0"/>
              <w:rPr>
                <w:sz w:val="21"/>
                <w:szCs w:val="21"/>
                <w:color w:val="auto"/>
              </w:rPr>
            </w:pPr>
          </w:p>
        </w:tc>
        <w:tc>
          <w:tcPr>
            <w:tcW w:w="5020" w:type="dxa"/>
            <w:vAlign w:val="bottom"/>
          </w:tcPr>
          <w:p>
            <w:pPr>
              <w:spacing w:after="0"/>
              <w:rPr>
                <w:sz w:val="21"/>
                <w:szCs w:val="21"/>
                <w:color w:val="auto"/>
              </w:rPr>
            </w:pPr>
          </w:p>
        </w:tc>
        <w:tc>
          <w:tcPr>
            <w:tcW w:w="5700" w:type="dxa"/>
            <w:vAlign w:val="bottom"/>
          </w:tcPr>
          <w:p>
            <w:pPr>
              <w:ind w:left="140"/>
              <w:spacing w:after="0"/>
              <w:rPr>
                <w:sz w:val="20"/>
                <w:szCs w:val="20"/>
                <w:color w:val="auto"/>
              </w:rPr>
            </w:pPr>
            <w:r>
              <w:rPr>
                <w:rFonts w:ascii="Arial" w:cs="Arial" w:eastAsia="Arial" w:hAnsi="Arial"/>
                <w:sz w:val="20"/>
                <w:szCs w:val="20"/>
                <w:color w:val="auto"/>
              </w:rPr>
              <w:t>Financial Officer and Secretary</w:t>
            </w:r>
          </w:p>
        </w:tc>
        <w:tc>
          <w:tcPr>
            <w:tcW w:w="40" w:type="dxa"/>
            <w:vAlign w:val="bottom"/>
          </w:tcPr>
          <w:p>
            <w:pPr>
              <w:spacing w:after="0"/>
              <w:rPr>
                <w:sz w:val="21"/>
                <w:szCs w:val="21"/>
                <w:color w:val="auto"/>
              </w:rPr>
            </w:pPr>
          </w:p>
        </w:tc>
      </w:tr>
      <w:tr>
        <w:trPr>
          <w:trHeight w:val="344"/>
        </w:trPr>
        <w:tc>
          <w:tcPr>
            <w:tcW w:w="700" w:type="dxa"/>
            <w:vAlign w:val="bottom"/>
            <w:tcBorders>
              <w:bottom w:val="single" w:sz="8" w:color="010101"/>
            </w:tcBorders>
          </w:tcPr>
          <w:p>
            <w:pPr>
              <w:spacing w:after="0"/>
              <w:rPr>
                <w:sz w:val="24"/>
                <w:szCs w:val="24"/>
                <w:color w:val="auto"/>
              </w:rPr>
            </w:pPr>
          </w:p>
        </w:tc>
        <w:tc>
          <w:tcPr>
            <w:tcW w:w="5020" w:type="dxa"/>
            <w:vAlign w:val="bottom"/>
            <w:tcBorders>
              <w:bottom w:val="single" w:sz="8" w:color="010101"/>
            </w:tcBorders>
          </w:tcPr>
          <w:p>
            <w:pPr>
              <w:spacing w:after="0"/>
              <w:rPr>
                <w:sz w:val="24"/>
                <w:szCs w:val="24"/>
                <w:color w:val="auto"/>
              </w:rPr>
            </w:pPr>
          </w:p>
        </w:tc>
        <w:tc>
          <w:tcPr>
            <w:tcW w:w="57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5" w:right="199" w:bottom="1440" w:gutter="0" w:footer="0" w:header="0"/>
        </w:sectPr>
      </w:pPr>
    </w:p>
    <w:bookmarkStart w:id="37" w:name="page38"/>
    <w:bookmarkEnd w:id="37"/>
    <w:p>
      <w:pPr>
        <w:jc w:val="right"/>
        <w:ind w:right="40"/>
        <w:spacing w:after="0"/>
        <w:rPr>
          <w:sz w:val="20"/>
          <w:szCs w:val="20"/>
          <w:color w:val="auto"/>
        </w:rPr>
      </w:pPr>
      <w:r>
        <w:rPr>
          <w:rFonts w:ascii="Arial" w:cs="Arial" w:eastAsia="Arial" w:hAnsi="Arial"/>
          <w:sz w:val="22"/>
          <w:szCs w:val="22"/>
          <w:b w:val="1"/>
          <w:bCs w:val="1"/>
          <w:color w:val="auto"/>
        </w:rPr>
        <w:t>EXHIBIT 32.1</w:t>
      </w: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CERTIFICATION PURSUANT TO</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18 U.S.C. SECTION 1350,</w:t>
      </w:r>
    </w:p>
    <w:p>
      <w:pPr>
        <w:jc w:val="center"/>
        <w:ind w:right="40"/>
        <w:spacing w:after="0"/>
        <w:rPr>
          <w:sz w:val="20"/>
          <w:szCs w:val="20"/>
          <w:color w:val="auto"/>
        </w:rPr>
      </w:pPr>
      <w:r>
        <w:rPr>
          <w:rFonts w:ascii="Arial" w:cs="Arial" w:eastAsia="Arial" w:hAnsi="Arial"/>
          <w:sz w:val="20"/>
          <w:szCs w:val="20"/>
          <w:color w:val="auto"/>
        </w:rPr>
        <w:t>AS ADOPTED PURSUANT TO</w:t>
      </w:r>
    </w:p>
    <w:p>
      <w:pPr>
        <w:jc w:val="center"/>
        <w:ind w:right="40"/>
        <w:spacing w:after="0"/>
        <w:rPr>
          <w:sz w:val="20"/>
          <w:szCs w:val="20"/>
          <w:color w:val="auto"/>
        </w:rPr>
      </w:pPr>
      <w:r>
        <w:rPr>
          <w:rFonts w:ascii="Arial" w:cs="Arial" w:eastAsia="Arial" w:hAnsi="Arial"/>
          <w:sz w:val="20"/>
          <w:szCs w:val="20"/>
          <w:color w:val="auto"/>
        </w:rPr>
        <w:t>SECTION 906 OF THE SARBANES-OXLEY ACT OF 2002</w:t>
      </w:r>
    </w:p>
    <w:p>
      <w:pPr>
        <w:spacing w:after="0" w:line="213" w:lineRule="exact"/>
        <w:rPr>
          <w:sz w:val="20"/>
          <w:szCs w:val="20"/>
          <w:color w:val="auto"/>
        </w:rPr>
      </w:pPr>
    </w:p>
    <w:p>
      <w:pPr>
        <w:jc w:val="both"/>
        <w:ind w:right="40"/>
        <w:spacing w:after="0" w:line="246" w:lineRule="auto"/>
        <w:rPr>
          <w:sz w:val="20"/>
          <w:szCs w:val="20"/>
          <w:color w:val="auto"/>
        </w:rPr>
      </w:pPr>
      <w:r>
        <w:rPr>
          <w:rFonts w:ascii="Arial" w:cs="Arial" w:eastAsia="Arial" w:hAnsi="Arial"/>
          <w:sz w:val="20"/>
          <w:szCs w:val="20"/>
          <w:color w:val="auto"/>
        </w:rPr>
        <w:t>In connection with the quarterly report of Monster Beverage Corporation (the “Company”) on Form 10-Q for the quarter ended March 31, 2015 as filed with the Securities and Exchange Commission (the “Report”), the undersigned, Rodney C. Sacks, Chairman of the Board of Directors and Chief Executive Officer of the Company, certifies, pursuant to 18 U.S.C. 1350, as adopted pursuant to Section 906 of the Sarbanes-Oxley Act of 2002, that:</w:t>
      </w:r>
    </w:p>
    <w:p>
      <w:pPr>
        <w:spacing w:after="0" w:line="205" w:lineRule="exact"/>
        <w:rPr>
          <w:sz w:val="20"/>
          <w:szCs w:val="20"/>
          <w:color w:val="auto"/>
        </w:rPr>
      </w:pPr>
    </w:p>
    <w:p>
      <w:pPr>
        <w:ind w:left="960" w:hanging="304"/>
        <w:spacing w:after="0"/>
        <w:tabs>
          <w:tab w:leader="none" w:pos="960"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29" w:lineRule="exact"/>
        <w:rPr>
          <w:rFonts w:ascii="Arial" w:cs="Arial" w:eastAsia="Arial" w:hAnsi="Arial"/>
          <w:sz w:val="20"/>
          <w:szCs w:val="20"/>
          <w:color w:val="auto"/>
        </w:rPr>
      </w:pPr>
    </w:p>
    <w:p>
      <w:pPr>
        <w:ind w:left="980" w:right="160" w:hanging="324"/>
        <w:spacing w:after="0" w:line="260" w:lineRule="auto"/>
        <w:tabs>
          <w:tab w:leader="none" w:pos="966"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60" w:type="dxa"/>
            <w:vAlign w:val="bottom"/>
          </w:tcPr>
          <w:p>
            <w:pPr>
              <w:spacing w:after="0"/>
              <w:rPr>
                <w:sz w:val="20"/>
                <w:szCs w:val="20"/>
                <w:color w:val="auto"/>
              </w:rPr>
            </w:pPr>
            <w:r>
              <w:rPr>
                <w:rFonts w:ascii="Arial" w:cs="Arial" w:eastAsia="Arial" w:hAnsi="Arial"/>
                <w:sz w:val="20"/>
                <w:szCs w:val="20"/>
                <w:color w:val="auto"/>
              </w:rPr>
              <w:t>Date:</w:t>
            </w:r>
          </w:p>
        </w:tc>
        <w:tc>
          <w:tcPr>
            <w:tcW w:w="4960" w:type="dxa"/>
            <w:vAlign w:val="bottom"/>
          </w:tcPr>
          <w:p>
            <w:pPr>
              <w:ind w:left="340"/>
              <w:spacing w:after="0"/>
              <w:rPr>
                <w:sz w:val="20"/>
                <w:szCs w:val="20"/>
                <w:color w:val="auto"/>
              </w:rPr>
            </w:pPr>
            <w:r>
              <w:rPr>
                <w:rFonts w:ascii="Arial" w:cs="Arial" w:eastAsia="Arial" w:hAnsi="Arial"/>
                <w:sz w:val="20"/>
                <w:szCs w:val="20"/>
                <w:color w:val="auto"/>
              </w:rPr>
              <w:t>May 11, 2015</w:t>
            </w:r>
          </w:p>
        </w:tc>
        <w:tc>
          <w:tcPr>
            <w:tcW w:w="5700" w:type="dxa"/>
            <w:vAlign w:val="bottom"/>
            <w:tcBorders>
              <w:bottom w:val="single" w:sz="8" w:color="auto"/>
            </w:tcBorders>
          </w:tcPr>
          <w:p>
            <w:pPr>
              <w:ind w:left="140"/>
              <w:spacing w:after="0"/>
              <w:rPr>
                <w:sz w:val="20"/>
                <w:szCs w:val="20"/>
                <w:color w:val="auto"/>
              </w:rPr>
            </w:pPr>
            <w:r>
              <w:rPr>
                <w:rFonts w:ascii="Arial" w:cs="Arial" w:eastAsia="Arial" w:hAnsi="Arial"/>
                <w:sz w:val="20"/>
                <w:szCs w:val="20"/>
                <w:color w:val="auto"/>
              </w:rPr>
              <w:t>/s/ Rodney C. Sacks</w:t>
            </w:r>
          </w:p>
        </w:tc>
        <w:tc>
          <w:tcPr>
            <w:tcW w:w="40" w:type="dxa"/>
            <w:vAlign w:val="bottom"/>
          </w:tcPr>
          <w:p>
            <w:pPr>
              <w:spacing w:after="0"/>
              <w:rPr>
                <w:sz w:val="21"/>
                <w:szCs w:val="21"/>
                <w:color w:val="auto"/>
              </w:rPr>
            </w:pPr>
          </w:p>
        </w:tc>
      </w:tr>
      <w:tr>
        <w:trPr>
          <w:trHeight w:val="206"/>
        </w:trPr>
        <w:tc>
          <w:tcPr>
            <w:tcW w:w="76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5700" w:type="dxa"/>
            <w:vAlign w:val="bottom"/>
          </w:tcPr>
          <w:p>
            <w:pPr>
              <w:ind w:left="140"/>
              <w:spacing w:after="0" w:line="207" w:lineRule="exact"/>
              <w:rPr>
                <w:sz w:val="20"/>
                <w:szCs w:val="20"/>
                <w:color w:val="auto"/>
              </w:rPr>
            </w:pPr>
            <w:r>
              <w:rPr>
                <w:rFonts w:ascii="Arial" w:cs="Arial" w:eastAsia="Arial" w:hAnsi="Arial"/>
                <w:sz w:val="20"/>
                <w:szCs w:val="20"/>
                <w:color w:val="auto"/>
              </w:rPr>
              <w:t>Rodney C. Sacks</w:t>
            </w:r>
          </w:p>
        </w:tc>
        <w:tc>
          <w:tcPr>
            <w:tcW w:w="40" w:type="dxa"/>
            <w:vAlign w:val="bottom"/>
          </w:tcPr>
          <w:p>
            <w:pPr>
              <w:spacing w:after="0"/>
              <w:rPr>
                <w:sz w:val="17"/>
                <w:szCs w:val="17"/>
                <w:color w:val="auto"/>
              </w:rPr>
            </w:pPr>
          </w:p>
        </w:tc>
      </w:tr>
      <w:tr>
        <w:trPr>
          <w:trHeight w:val="230"/>
        </w:trPr>
        <w:tc>
          <w:tcPr>
            <w:tcW w:w="76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5700" w:type="dxa"/>
            <w:vAlign w:val="bottom"/>
          </w:tcPr>
          <w:p>
            <w:pPr>
              <w:ind w:left="140"/>
              <w:spacing w:after="0"/>
              <w:rPr>
                <w:sz w:val="20"/>
                <w:szCs w:val="20"/>
                <w:color w:val="auto"/>
              </w:rPr>
            </w:pPr>
            <w:r>
              <w:rPr>
                <w:rFonts w:ascii="Arial" w:cs="Arial" w:eastAsia="Arial" w:hAnsi="Arial"/>
                <w:sz w:val="20"/>
                <w:szCs w:val="20"/>
                <w:color w:val="auto"/>
              </w:rPr>
              <w:t>Chairman of the Board of Directors</w:t>
            </w:r>
          </w:p>
        </w:tc>
        <w:tc>
          <w:tcPr>
            <w:tcW w:w="40" w:type="dxa"/>
            <w:vAlign w:val="bottom"/>
          </w:tcPr>
          <w:p>
            <w:pPr>
              <w:spacing w:after="0"/>
              <w:rPr>
                <w:sz w:val="19"/>
                <w:szCs w:val="19"/>
                <w:color w:val="auto"/>
              </w:rPr>
            </w:pPr>
          </w:p>
        </w:tc>
      </w:tr>
      <w:tr>
        <w:trPr>
          <w:trHeight w:val="250"/>
        </w:trPr>
        <w:tc>
          <w:tcPr>
            <w:tcW w:w="76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5700" w:type="dxa"/>
            <w:vAlign w:val="bottom"/>
          </w:tcPr>
          <w:p>
            <w:pPr>
              <w:ind w:left="140"/>
              <w:spacing w:after="0"/>
              <w:rPr>
                <w:sz w:val="20"/>
                <w:szCs w:val="20"/>
                <w:color w:val="auto"/>
              </w:rPr>
            </w:pPr>
            <w:r>
              <w:rPr>
                <w:rFonts w:ascii="Arial" w:cs="Arial" w:eastAsia="Arial" w:hAnsi="Arial"/>
                <w:sz w:val="20"/>
                <w:szCs w:val="20"/>
                <w:color w:val="auto"/>
              </w:rPr>
              <w:t>and Chief Executive Officer</w:t>
            </w:r>
          </w:p>
        </w:tc>
        <w:tc>
          <w:tcPr>
            <w:tcW w:w="40" w:type="dxa"/>
            <w:vAlign w:val="bottom"/>
          </w:tcPr>
          <w:p>
            <w:pPr>
              <w:spacing w:after="0"/>
              <w:rPr>
                <w:sz w:val="21"/>
                <w:szCs w:val="21"/>
                <w:color w:val="auto"/>
              </w:rPr>
            </w:pPr>
          </w:p>
        </w:tc>
      </w:tr>
      <w:tr>
        <w:trPr>
          <w:trHeight w:val="357"/>
        </w:trPr>
        <w:tc>
          <w:tcPr>
            <w:tcW w:w="760" w:type="dxa"/>
            <w:vAlign w:val="bottom"/>
            <w:tcBorders>
              <w:bottom w:val="single" w:sz="8" w:color="010101"/>
            </w:tcBorders>
          </w:tcPr>
          <w:p>
            <w:pPr>
              <w:spacing w:after="0"/>
              <w:rPr>
                <w:sz w:val="24"/>
                <w:szCs w:val="24"/>
                <w:color w:val="auto"/>
              </w:rPr>
            </w:pPr>
          </w:p>
        </w:tc>
        <w:tc>
          <w:tcPr>
            <w:tcW w:w="4960" w:type="dxa"/>
            <w:vAlign w:val="bottom"/>
            <w:tcBorders>
              <w:bottom w:val="single" w:sz="8" w:color="010101"/>
            </w:tcBorders>
          </w:tcPr>
          <w:p>
            <w:pPr>
              <w:spacing w:after="0"/>
              <w:rPr>
                <w:sz w:val="24"/>
                <w:szCs w:val="24"/>
                <w:color w:val="auto"/>
              </w:rPr>
            </w:pPr>
          </w:p>
        </w:tc>
        <w:tc>
          <w:tcPr>
            <w:tcW w:w="57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2" w:right="199" w:bottom="1440" w:gutter="0" w:footer="0" w:header="0"/>
        </w:sectPr>
      </w:pPr>
    </w:p>
    <w:bookmarkStart w:id="38" w:name="page39"/>
    <w:bookmarkEnd w:id="38"/>
    <w:p>
      <w:pPr>
        <w:jc w:val="right"/>
        <w:ind w:right="40"/>
        <w:spacing w:after="0"/>
        <w:rPr>
          <w:sz w:val="20"/>
          <w:szCs w:val="20"/>
          <w:color w:val="auto"/>
        </w:rPr>
      </w:pPr>
      <w:r>
        <w:rPr>
          <w:rFonts w:ascii="Arial" w:cs="Arial" w:eastAsia="Arial" w:hAnsi="Arial"/>
          <w:sz w:val="22"/>
          <w:szCs w:val="22"/>
          <w:b w:val="1"/>
          <w:bCs w:val="1"/>
          <w:color w:val="auto"/>
        </w:rPr>
        <w:t>EXHIBIT 32.2</w:t>
      </w: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CERTIFICATION PURSUANT TO</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18 U.S.C. SECTION 1350,</w:t>
      </w:r>
    </w:p>
    <w:p>
      <w:pPr>
        <w:jc w:val="center"/>
        <w:ind w:right="40"/>
        <w:spacing w:after="0"/>
        <w:rPr>
          <w:sz w:val="20"/>
          <w:szCs w:val="20"/>
          <w:color w:val="auto"/>
        </w:rPr>
      </w:pPr>
      <w:r>
        <w:rPr>
          <w:rFonts w:ascii="Arial" w:cs="Arial" w:eastAsia="Arial" w:hAnsi="Arial"/>
          <w:sz w:val="20"/>
          <w:szCs w:val="20"/>
          <w:color w:val="auto"/>
        </w:rPr>
        <w:t>AS ADOPTED PURSUANT TO</w:t>
      </w:r>
    </w:p>
    <w:p>
      <w:pPr>
        <w:jc w:val="center"/>
        <w:ind w:right="40"/>
        <w:spacing w:after="0"/>
        <w:rPr>
          <w:sz w:val="20"/>
          <w:szCs w:val="20"/>
          <w:color w:val="auto"/>
        </w:rPr>
      </w:pPr>
      <w:r>
        <w:rPr>
          <w:rFonts w:ascii="Arial" w:cs="Arial" w:eastAsia="Arial" w:hAnsi="Arial"/>
          <w:sz w:val="20"/>
          <w:szCs w:val="20"/>
          <w:color w:val="auto"/>
        </w:rPr>
        <w:t>SECTION 906 OF THE SARBANES-OXLEY ACT OF 2002</w:t>
      </w:r>
    </w:p>
    <w:p>
      <w:pPr>
        <w:spacing w:after="0" w:line="213" w:lineRule="exact"/>
        <w:rPr>
          <w:sz w:val="20"/>
          <w:szCs w:val="20"/>
          <w:color w:val="auto"/>
        </w:rPr>
      </w:pPr>
    </w:p>
    <w:p>
      <w:pPr>
        <w:jc w:val="both"/>
        <w:ind w:right="40"/>
        <w:spacing w:after="0" w:line="246" w:lineRule="auto"/>
        <w:rPr>
          <w:sz w:val="20"/>
          <w:szCs w:val="20"/>
          <w:color w:val="auto"/>
        </w:rPr>
      </w:pPr>
      <w:r>
        <w:rPr>
          <w:rFonts w:ascii="Arial" w:cs="Arial" w:eastAsia="Arial" w:hAnsi="Arial"/>
          <w:sz w:val="20"/>
          <w:szCs w:val="20"/>
          <w:color w:val="auto"/>
        </w:rPr>
        <w:t>In connection with the quarterly report of Monster Beverage Corporation (the “Company”) on Form 10-Q for the quarter ended March 31, 2015 as filed with the Securities and Exchange Commission (the “Report”), the undersigned, Hilton H. Schlosberg, Vice Chairman of the Board of Directors, President, Chief Operating Officer, Chief Financial Officer and Secretary of the Company, certifies, pursuant to 18 U.S.C. 1350, as adopted pursuant to Section 906 of the Sarbanes-Oxley Act of 2002, that:</w:t>
      </w:r>
    </w:p>
    <w:p>
      <w:pPr>
        <w:spacing w:after="0" w:line="205" w:lineRule="exact"/>
        <w:rPr>
          <w:sz w:val="20"/>
          <w:szCs w:val="20"/>
          <w:color w:val="auto"/>
        </w:rPr>
      </w:pPr>
    </w:p>
    <w:p>
      <w:pPr>
        <w:ind w:left="960" w:hanging="304"/>
        <w:spacing w:after="0"/>
        <w:tabs>
          <w:tab w:leader="none" w:pos="960"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29" w:lineRule="exact"/>
        <w:rPr>
          <w:rFonts w:ascii="Arial" w:cs="Arial" w:eastAsia="Arial" w:hAnsi="Arial"/>
          <w:sz w:val="20"/>
          <w:szCs w:val="20"/>
          <w:color w:val="auto"/>
        </w:rPr>
      </w:pPr>
    </w:p>
    <w:p>
      <w:pPr>
        <w:ind w:left="980" w:right="160" w:hanging="324"/>
        <w:spacing w:after="0" w:line="260" w:lineRule="auto"/>
        <w:tabs>
          <w:tab w:leader="none" w:pos="966"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60" w:type="dxa"/>
            <w:vAlign w:val="bottom"/>
          </w:tcPr>
          <w:p>
            <w:pPr>
              <w:spacing w:after="0"/>
              <w:rPr>
                <w:sz w:val="20"/>
                <w:szCs w:val="20"/>
                <w:color w:val="auto"/>
              </w:rPr>
            </w:pPr>
            <w:r>
              <w:rPr>
                <w:rFonts w:ascii="Arial" w:cs="Arial" w:eastAsia="Arial" w:hAnsi="Arial"/>
                <w:sz w:val="20"/>
                <w:szCs w:val="20"/>
                <w:color w:val="auto"/>
              </w:rPr>
              <w:t>Date:</w:t>
            </w:r>
          </w:p>
        </w:tc>
        <w:tc>
          <w:tcPr>
            <w:tcW w:w="4940" w:type="dxa"/>
            <w:vAlign w:val="bottom"/>
          </w:tcPr>
          <w:p>
            <w:pPr>
              <w:ind w:left="340"/>
              <w:spacing w:after="0"/>
              <w:rPr>
                <w:sz w:val="20"/>
                <w:szCs w:val="20"/>
                <w:color w:val="auto"/>
              </w:rPr>
            </w:pPr>
            <w:r>
              <w:rPr>
                <w:rFonts w:ascii="Arial" w:cs="Arial" w:eastAsia="Arial" w:hAnsi="Arial"/>
                <w:sz w:val="20"/>
                <w:szCs w:val="20"/>
                <w:color w:val="auto"/>
              </w:rPr>
              <w:t>May 11, 2015</w:t>
            </w:r>
          </w:p>
        </w:tc>
        <w:tc>
          <w:tcPr>
            <w:tcW w:w="5720" w:type="dxa"/>
            <w:vAlign w:val="bottom"/>
            <w:tcBorders>
              <w:bottom w:val="single" w:sz="8" w:color="auto"/>
            </w:tcBorders>
          </w:tcPr>
          <w:p>
            <w:pPr>
              <w:ind w:left="140"/>
              <w:spacing w:after="0"/>
              <w:rPr>
                <w:sz w:val="20"/>
                <w:szCs w:val="20"/>
                <w:color w:val="auto"/>
              </w:rPr>
            </w:pPr>
            <w:r>
              <w:rPr>
                <w:rFonts w:ascii="Arial" w:cs="Arial" w:eastAsia="Arial" w:hAnsi="Arial"/>
                <w:sz w:val="20"/>
                <w:szCs w:val="20"/>
                <w:color w:val="auto"/>
              </w:rPr>
              <w:t>/s/ Hilton H. Schlosberg</w:t>
            </w:r>
          </w:p>
        </w:tc>
        <w:tc>
          <w:tcPr>
            <w:tcW w:w="40" w:type="dxa"/>
            <w:vAlign w:val="bottom"/>
          </w:tcPr>
          <w:p>
            <w:pPr>
              <w:spacing w:after="0"/>
              <w:rPr>
                <w:sz w:val="21"/>
                <w:szCs w:val="21"/>
                <w:color w:val="auto"/>
              </w:rPr>
            </w:pPr>
          </w:p>
        </w:tc>
      </w:tr>
      <w:tr>
        <w:trPr>
          <w:trHeight w:val="206"/>
        </w:trPr>
        <w:tc>
          <w:tcPr>
            <w:tcW w:w="76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5720" w:type="dxa"/>
            <w:vAlign w:val="bottom"/>
          </w:tcPr>
          <w:p>
            <w:pPr>
              <w:ind w:left="140"/>
              <w:spacing w:after="0" w:line="207" w:lineRule="exact"/>
              <w:rPr>
                <w:sz w:val="20"/>
                <w:szCs w:val="20"/>
                <w:color w:val="auto"/>
              </w:rPr>
            </w:pPr>
            <w:r>
              <w:rPr>
                <w:rFonts w:ascii="Arial" w:cs="Arial" w:eastAsia="Arial" w:hAnsi="Arial"/>
                <w:sz w:val="20"/>
                <w:szCs w:val="20"/>
                <w:color w:val="auto"/>
              </w:rPr>
              <w:t>Hilton H. Schlosberg</w:t>
            </w:r>
          </w:p>
        </w:tc>
        <w:tc>
          <w:tcPr>
            <w:tcW w:w="40" w:type="dxa"/>
            <w:vAlign w:val="bottom"/>
          </w:tcPr>
          <w:p>
            <w:pPr>
              <w:spacing w:after="0"/>
              <w:rPr>
                <w:sz w:val="17"/>
                <w:szCs w:val="17"/>
                <w:color w:val="auto"/>
              </w:rPr>
            </w:pPr>
          </w:p>
        </w:tc>
      </w:tr>
      <w:tr>
        <w:trPr>
          <w:trHeight w:val="230"/>
        </w:trPr>
        <w:tc>
          <w:tcPr>
            <w:tcW w:w="76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5720" w:type="dxa"/>
            <w:vAlign w:val="bottom"/>
          </w:tcPr>
          <w:p>
            <w:pPr>
              <w:ind w:left="140"/>
              <w:spacing w:after="0"/>
              <w:rPr>
                <w:sz w:val="20"/>
                <w:szCs w:val="20"/>
                <w:color w:val="auto"/>
              </w:rPr>
            </w:pPr>
            <w:r>
              <w:rPr>
                <w:rFonts w:ascii="Arial" w:cs="Arial" w:eastAsia="Arial" w:hAnsi="Arial"/>
                <w:sz w:val="20"/>
                <w:szCs w:val="20"/>
                <w:color w:val="auto"/>
              </w:rPr>
              <w:t>Vice Chairman of the Board of Directors,</w:t>
            </w:r>
          </w:p>
        </w:tc>
        <w:tc>
          <w:tcPr>
            <w:tcW w:w="40" w:type="dxa"/>
            <w:vAlign w:val="bottom"/>
          </w:tcPr>
          <w:p>
            <w:pPr>
              <w:spacing w:after="0"/>
              <w:rPr>
                <w:sz w:val="19"/>
                <w:szCs w:val="19"/>
                <w:color w:val="auto"/>
              </w:rPr>
            </w:pPr>
          </w:p>
        </w:tc>
      </w:tr>
      <w:tr>
        <w:trPr>
          <w:trHeight w:val="230"/>
        </w:trPr>
        <w:tc>
          <w:tcPr>
            <w:tcW w:w="76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5720" w:type="dxa"/>
            <w:vAlign w:val="bottom"/>
          </w:tcPr>
          <w:p>
            <w:pPr>
              <w:ind w:left="140"/>
              <w:spacing w:after="0"/>
              <w:rPr>
                <w:sz w:val="20"/>
                <w:szCs w:val="20"/>
                <w:color w:val="auto"/>
              </w:rPr>
            </w:pPr>
            <w:r>
              <w:rPr>
                <w:rFonts w:ascii="Arial" w:cs="Arial" w:eastAsia="Arial" w:hAnsi="Arial"/>
                <w:sz w:val="20"/>
                <w:szCs w:val="20"/>
                <w:color w:val="auto"/>
              </w:rPr>
              <w:t>President, Chief Operating Officer, Chief</w:t>
            </w:r>
          </w:p>
        </w:tc>
        <w:tc>
          <w:tcPr>
            <w:tcW w:w="40" w:type="dxa"/>
            <w:vAlign w:val="bottom"/>
          </w:tcPr>
          <w:p>
            <w:pPr>
              <w:spacing w:after="0"/>
              <w:rPr>
                <w:sz w:val="19"/>
                <w:szCs w:val="19"/>
                <w:color w:val="auto"/>
              </w:rPr>
            </w:pPr>
          </w:p>
        </w:tc>
      </w:tr>
      <w:tr>
        <w:trPr>
          <w:trHeight w:val="250"/>
        </w:trPr>
        <w:tc>
          <w:tcPr>
            <w:tcW w:w="760" w:type="dxa"/>
            <w:vAlign w:val="bottom"/>
          </w:tcPr>
          <w:p>
            <w:pPr>
              <w:spacing w:after="0"/>
              <w:rPr>
                <w:sz w:val="21"/>
                <w:szCs w:val="21"/>
                <w:color w:val="auto"/>
              </w:rPr>
            </w:pPr>
          </w:p>
        </w:tc>
        <w:tc>
          <w:tcPr>
            <w:tcW w:w="4940" w:type="dxa"/>
            <w:vAlign w:val="bottom"/>
          </w:tcPr>
          <w:p>
            <w:pPr>
              <w:spacing w:after="0"/>
              <w:rPr>
                <w:sz w:val="21"/>
                <w:szCs w:val="21"/>
                <w:color w:val="auto"/>
              </w:rPr>
            </w:pPr>
          </w:p>
        </w:tc>
        <w:tc>
          <w:tcPr>
            <w:tcW w:w="5720" w:type="dxa"/>
            <w:vAlign w:val="bottom"/>
          </w:tcPr>
          <w:p>
            <w:pPr>
              <w:ind w:left="140"/>
              <w:spacing w:after="0"/>
              <w:rPr>
                <w:sz w:val="20"/>
                <w:szCs w:val="20"/>
                <w:color w:val="auto"/>
              </w:rPr>
            </w:pPr>
            <w:r>
              <w:rPr>
                <w:rFonts w:ascii="Arial" w:cs="Arial" w:eastAsia="Arial" w:hAnsi="Arial"/>
                <w:sz w:val="20"/>
                <w:szCs w:val="20"/>
                <w:color w:val="auto"/>
              </w:rPr>
              <w:t>Financial Officer and Secretary</w:t>
            </w:r>
          </w:p>
        </w:tc>
        <w:tc>
          <w:tcPr>
            <w:tcW w:w="40" w:type="dxa"/>
            <w:vAlign w:val="bottom"/>
          </w:tcPr>
          <w:p>
            <w:pPr>
              <w:spacing w:after="0"/>
              <w:rPr>
                <w:sz w:val="21"/>
                <w:szCs w:val="21"/>
                <w:color w:val="auto"/>
              </w:rPr>
            </w:pPr>
          </w:p>
        </w:tc>
      </w:tr>
      <w:tr>
        <w:trPr>
          <w:trHeight w:val="357"/>
        </w:trPr>
        <w:tc>
          <w:tcPr>
            <w:tcW w:w="760" w:type="dxa"/>
            <w:vAlign w:val="bottom"/>
            <w:tcBorders>
              <w:bottom w:val="single" w:sz="8" w:color="010101"/>
            </w:tcBorders>
          </w:tcPr>
          <w:p>
            <w:pPr>
              <w:spacing w:after="0"/>
              <w:rPr>
                <w:sz w:val="24"/>
                <w:szCs w:val="24"/>
                <w:color w:val="auto"/>
              </w:rPr>
            </w:pPr>
          </w:p>
        </w:tc>
        <w:tc>
          <w:tcPr>
            <w:tcW w:w="4940" w:type="dxa"/>
            <w:vAlign w:val="bottom"/>
            <w:tcBorders>
              <w:bottom w:val="single" w:sz="8" w:color="010101"/>
            </w:tcBorders>
          </w:tcPr>
          <w:p>
            <w:pPr>
              <w:spacing w:after="0"/>
              <w:rPr>
                <w:sz w:val="24"/>
                <w:szCs w:val="24"/>
                <w:color w:val="auto"/>
              </w:rPr>
            </w:pPr>
          </w:p>
        </w:tc>
        <w:tc>
          <w:tcPr>
            <w:tcW w:w="57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12"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1."/>
      <w:numFmt w:val="decimal"/>
      <w:start w:val="1"/>
    </w:lvl>
  </w:abstractNum>
  <w:abstractNum w:abstractNumId="1">
    <w:nsid w:val="8EDBDAB"/>
    <w:multiLevelType w:val="hybridMultilevel"/>
    <w:lvl w:ilvl="0">
      <w:lvlJc w:val="left"/>
      <w:lvlText w:val="%1."/>
      <w:numFmt w:val="decimal"/>
      <w:start w:val="2"/>
    </w:lvl>
  </w:abstractNum>
  <w:abstractNum w:abstractNumId="2">
    <w:nsid w:val="79838CB2"/>
    <w:multiLevelType w:val="hybridMultilevel"/>
    <w:lvl w:ilvl="0">
      <w:lvlJc w:val="left"/>
      <w:lvlText w:val="%1."/>
      <w:numFmt w:val="decimal"/>
      <w:start w:val="3"/>
    </w:lvl>
  </w:abstractNum>
  <w:abstractNum w:abstractNumId="3">
    <w:nsid w:val="4353D0CD"/>
    <w:multiLevelType w:val="hybridMultilevel"/>
    <w:lvl w:ilvl="0">
      <w:lvlJc w:val="left"/>
      <w:lvlText w:val="(%1)"/>
      <w:numFmt w:val="lowerLetter"/>
      <w:start w:val="1"/>
    </w:lvl>
  </w:abstractNum>
  <w:abstractNum w:abstractNumId="4">
    <w:nsid w:val="B03E0C6"/>
    <w:multiLevelType w:val="hybridMultilevel"/>
    <w:lvl w:ilvl="0">
      <w:lvlJc w:val="left"/>
      <w:lvlText w:val="(%1)"/>
      <w:numFmt w:val="decimal"/>
      <w:start w:val="1"/>
    </w:lvl>
  </w:abstractNum>
  <w:abstractNum w:abstractNumId="5">
    <w:nsid w:val="189A769B"/>
    <w:multiLevelType w:val="hybridMultilevel"/>
    <w:lvl w:ilvl="0">
      <w:lvlJc w:val="left"/>
      <w:lvlText w:val="(%1)"/>
      <w:numFmt w:val="decimal"/>
      <w:start w:val="4"/>
    </w:lvl>
  </w:abstractNum>
  <w:abstractNum w:abstractNumId="6">
    <w:nsid w:val="54E49EB4"/>
    <w:multiLevelType w:val="hybridMultilevel"/>
    <w:lvl w:ilvl="0">
      <w:lvlJc w:val="left"/>
      <w:lvlText w:val="%1."/>
      <w:numFmt w:val="decimal"/>
      <w:start w:val="4"/>
    </w:lvl>
  </w:abstractNum>
  <w:abstractNum w:abstractNumId="7">
    <w:nsid w:val="71F32454"/>
    <w:multiLevelType w:val="hybridMultilevel"/>
    <w:lvl w:ilvl="0">
      <w:lvlJc w:val="left"/>
      <w:lvlText w:val="%1."/>
      <w:numFmt w:val="decimal"/>
      <w:start w:val="5"/>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1)"/>
      <w:numFmt w:val="lowerRoman"/>
      <w:start w:val="2"/>
    </w:lvl>
  </w:abstractNum>
  <w:abstractNum w:abstractNumId="11">
    <w:nsid w:val="3A95F874"/>
    <w:multiLevelType w:val="hybridMultilevel"/>
    <w:lvl w:ilvl="0">
      <w:lvlJc w:val="left"/>
      <w:lvlText w:val="%1."/>
      <w:numFmt w:val="decimal"/>
      <w:start w:val="6"/>
    </w:lvl>
  </w:abstractNum>
  <w:abstractNum w:abstractNumId="12">
    <w:nsid w:val="8138641"/>
    <w:multiLevelType w:val="hybridMultilevel"/>
    <w:lvl w:ilvl="0">
      <w:lvlJc w:val="left"/>
      <w:lvlText w:val="%1."/>
      <w:numFmt w:val="decimal"/>
      <w:start w:val="7"/>
    </w:lvl>
  </w:abstractNum>
  <w:abstractNum w:abstractNumId="13">
    <w:nsid w:val="1E7FF521"/>
    <w:multiLevelType w:val="hybridMultilevel"/>
    <w:lvl w:ilvl="0">
      <w:lvlJc w:val="left"/>
      <w:lvlText w:val="%1."/>
      <w:numFmt w:val="decimal"/>
      <w:start w:val="8"/>
    </w:lvl>
  </w:abstractNum>
  <w:abstractNum w:abstractNumId="14">
    <w:nsid w:val="7C3DBD3D"/>
    <w:multiLevelType w:val="hybridMultilevel"/>
    <w:lvl w:ilvl="0">
      <w:lvlJc w:val="left"/>
      <w:lvlText w:val="%1."/>
      <w:numFmt w:val="decimal"/>
      <w:start w:val="10"/>
    </w:lvl>
  </w:abstractNum>
  <w:abstractNum w:abstractNumId="15">
    <w:nsid w:val="737B8DDC"/>
    <w:multiLevelType w:val="hybridMultilevel"/>
    <w:lvl w:ilvl="0">
      <w:lvlJc w:val="left"/>
      <w:lvlText w:val="%1."/>
      <w:numFmt w:val="decimal"/>
      <w:start w:val="11"/>
    </w:lvl>
  </w:abstractNum>
  <w:abstractNum w:abstractNumId="16">
    <w:nsid w:val="6CEAF087"/>
    <w:multiLevelType w:val="hybridMultilevel"/>
    <w:lvl w:ilvl="0">
      <w:lvlJc w:val="left"/>
      <w:lvlText w:val="(%1)"/>
      <w:numFmt w:val="lowerRoman"/>
      <w:start w:val="1"/>
    </w:lvl>
    <w:lvl w:ilvl="1">
      <w:lvlJc w:val="left"/>
      <w:lvlText w:val="(%2)"/>
      <w:numFmt w:val="lowerRoman"/>
      <w:start w:val="1"/>
    </w:lvl>
  </w:abstractNum>
  <w:abstractNum w:abstractNumId="17">
    <w:nsid w:val="22221A70"/>
    <w:multiLevelType w:val="hybridMultilevel"/>
    <w:lvl w:ilvl="0">
      <w:lvlJc w:val="left"/>
      <w:lvlText w:val="%1"/>
      <w:numFmt w:val="decimal"/>
      <w:start w:val="1"/>
    </w:lvl>
    <w:lvl w:ilvl="1">
      <w:lvlJc w:val="left"/>
      <w:lvlText w:val="(%2)"/>
      <w:numFmt w:val="lowerRoman"/>
      <w:start w:val="2"/>
    </w:lvl>
  </w:abstractNum>
  <w:abstractNum w:abstractNumId="18">
    <w:nsid w:val="4516DDE9"/>
    <w:multiLevelType w:val="hybridMultilevel"/>
    <w:lvl w:ilvl="0">
      <w:lvlJc w:val="left"/>
      <w:lvlText w:val="(%1)"/>
      <w:numFmt w:val="decimal"/>
      <w:start w:val="2"/>
    </w:lvl>
    <w:lvl w:ilvl="1">
      <w:lvlJc w:val="left"/>
      <w:lvlText w:val="%2"/>
      <w:numFmt w:val="lowerRoman"/>
      <w:start w:val="1"/>
    </w:lvl>
  </w:abstractNum>
  <w:abstractNum w:abstractNumId="19">
    <w:nsid w:val="3006C83E"/>
    <w:multiLevelType w:val="hybridMultilevel"/>
    <w:lvl w:ilvl="0">
      <w:lvlJc w:val="left"/>
      <w:lvlText w:val="%1."/>
      <w:numFmt w:val="decimal"/>
      <w:start w:val="12"/>
    </w:lvl>
  </w:abstractNum>
  <w:abstractNum w:abstractNumId="20">
    <w:nsid w:val="614FD4A1"/>
    <w:multiLevelType w:val="hybridMultilevel"/>
    <w:lvl w:ilvl="0">
      <w:lvlJc w:val="left"/>
      <w:lvlText w:val="%1."/>
      <w:numFmt w:val="decimal"/>
      <w:start w:val="14"/>
    </w:lvl>
  </w:abstractNum>
  <w:abstractNum w:abstractNumId="21">
    <w:nsid w:val="419AC241"/>
    <w:multiLevelType w:val="hybridMultilevel"/>
    <w:lvl w:ilvl="0">
      <w:lvlJc w:val="left"/>
      <w:lvlText w:val="%1."/>
      <w:numFmt w:val="decimal"/>
      <w:start w:val="15"/>
    </w:lvl>
  </w:abstractNum>
  <w:abstractNum w:abstractNumId="22">
    <w:nsid w:val="5577F8E1"/>
    <w:multiLevelType w:val="hybridMultilevel"/>
    <w:lvl w:ilvl="0">
      <w:lvlJc w:val="left"/>
      <w:lvlText w:val="%1."/>
      <w:numFmt w:val="decimal"/>
      <w:start w:val="16"/>
    </w:lvl>
  </w:abstractNum>
  <w:abstractNum w:abstractNumId="23">
    <w:nsid w:val="440BADFC"/>
    <w:multiLevelType w:val="hybridMultilevel"/>
    <w:lvl w:ilvl="0">
      <w:lvlJc w:val="left"/>
      <w:lvlText w:val="%1."/>
      <w:numFmt w:val="decimal"/>
      <w:start w:val="17"/>
    </w:lvl>
  </w:abstractNum>
  <w:abstractNum w:abstractNumId="24">
    <w:nsid w:val="5072367"/>
    <w:multiLevelType w:val="hybridMultilevel"/>
    <w:lvl w:ilvl="0">
      <w:lvlJc w:val="left"/>
      <w:lvlText w:val="(%1)"/>
      <w:numFmt w:val="decimal"/>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1)"/>
      <w:numFmt w:val="lowerRoman"/>
      <w:start w:val="1"/>
    </w:lvl>
  </w:abstractNum>
  <w:abstractNum w:abstractNumId="29">
    <w:nsid w:val="2463B9EA"/>
    <w:multiLevelType w:val="hybridMultilevel"/>
    <w:lvl w:ilvl="0">
      <w:lvlJc w:val="left"/>
      <w:lvlText w:val="(%1)"/>
      <w:numFmt w:val="decimal"/>
      <w:start w:val="1"/>
    </w:lvl>
  </w:abstractNum>
  <w:abstractNum w:abstractNumId="30">
    <w:nsid w:val="5E884ADC"/>
    <w:multiLevelType w:val="hybridMultilevel"/>
    <w:lvl w:ilvl="0">
      <w:lvlJc w:val="left"/>
      <w:lvlText w:val="(%1)"/>
      <w:numFmt w:val="decimal"/>
      <w:start w:val="4"/>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1."/>
      <w:numFmt w:val="decimal"/>
      <w:start w:val="1"/>
    </w:lvl>
  </w:abstractNum>
  <w:abstractNum w:abstractNumId="38">
    <w:nsid w:val="2A487CB0"/>
    <w:multiLevelType w:val="hybridMultilevel"/>
    <w:lvl w:ilvl="0">
      <w:lvlJc w:val="left"/>
      <w:lvlText w:val="%1."/>
      <w:numFmt w:val="decimal"/>
      <w:start w:val="2"/>
    </w:lvl>
  </w:abstractNum>
  <w:abstractNum w:abstractNumId="39">
    <w:nsid w:val="1D4ED43B"/>
    <w:multiLevelType w:val="hybridMultilevel"/>
    <w:lvl w:ilvl="0">
      <w:lvlJc w:val="left"/>
      <w:lvlText w:val="(%1)"/>
      <w:numFmt w:val="decimal"/>
      <w:start w:val="1"/>
    </w:lvl>
  </w:abstractNum>
  <w:abstractNum w:abstractNumId="40">
    <w:nsid w:val="725A06FB"/>
    <w:multiLevelType w:val="hybridMultilevel"/>
    <w:lvl w:ilvl="0">
      <w:lvlJc w:val="left"/>
      <w:lvlText w:val="%1."/>
      <w:numFmt w:val="decimal"/>
      <w:start w:val="3"/>
    </w:lvl>
  </w:abstractNum>
  <w:abstractNum w:abstractNumId="41">
    <w:nsid w:val="2CD89A32"/>
    <w:multiLevelType w:val="hybridMultilevel"/>
    <w:lvl w:ilvl="0">
      <w:lvlJc w:val="left"/>
      <w:lvlText w:val="%1."/>
      <w:numFmt w:val="decimal"/>
      <w:start w:val="4"/>
    </w:lvl>
  </w:abstractNum>
  <w:abstractNum w:abstractNumId="42">
    <w:nsid w:val="57E4CCAF"/>
    <w:multiLevelType w:val="hybridMultilevel"/>
    <w:lvl w:ilvl="0">
      <w:lvlJc w:val="left"/>
      <w:lvlText w:val="%1."/>
      <w:numFmt w:val="decimal"/>
      <w:start w:val="5"/>
    </w:lvl>
  </w:abstractNum>
  <w:abstractNum w:abstractNumId="43">
    <w:nsid w:val="7A6D8D3C"/>
    <w:multiLevelType w:val="hybridMultilevel"/>
    <w:lvl w:ilvl="0">
      <w:lvlJc w:val="left"/>
      <w:lvlText w:val="%1."/>
      <w:numFmt w:val="decimal"/>
      <w:start w:val="1"/>
    </w:lvl>
    <w:lvl w:ilvl="1">
      <w:lvlJc w:val="left"/>
      <w:lvlText w:val="%2."/>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2019-12-29T15:52:30Z</dcterms:created>
  <dcterms:modified xsi:type="dcterms:W3CDTF">2019-12-29T15:52:30Z</dcterms:modified>
</cp:coreProperties>
</file>