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41001.xml.htm"/>
      <w:bookmarkStart w:id="1" w:name="ksform41009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JEANNE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4,078</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670</w:t>
            </w:r>
            <w:r>
              <w:rPr>
                <w:rFonts w:ascii="Times;serif" w:hAnsi="Times;serif"/>
                <w:color w:val="008000"/>
                <w:position w:val="7"/>
                <w:sz w:val="16"/>
                <w:sz w:val="20"/>
                <w:shd w:fill="FFFFFF" w:val="clear"/>
              </w:rPr>
              <w:t>(7)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42.88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77,218</w:t>
            </w:r>
            <w:r>
              <w:rPr>
                <w:rFonts w:ascii="Times;serif" w:hAnsi="Times;serif"/>
                <w:color w:val="008000"/>
                <w:position w:val="7"/>
                <w:sz w:val="16"/>
                <w:sz w:val="20"/>
                <w:shd w:fill="FFFFFF" w:val="clear"/>
              </w:rPr>
              <w:t>(9)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10, 2026, the common stock of the Company split 2-for-1 (the "Stock Split"). As a result, the number of shares of common stock to be settled by the Company and delivered to the reporting person under the Company's equity incentive compensation plans or agreements governing restricted stock units (or the cash equivalent of such shares) were doubled.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Stock Split, the number of shares of common stock to be settled by the Company and delivered to the reporting person under the Company's equity incentive compensation plans or agreements governing deferred stock units (or the cash equivalent of such shares) were doubled.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9801"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4992</Characters>
  <CharactersWithSpaces>5844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