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7780" w:val="left"/>
        </w:tabs>
        <w:rPr>
          <w:sz w:val="20"/>
          <w:szCs w:val="20"/>
          <w:color w:val="auto"/>
        </w:rPr>
      </w:pPr>
      <w:r>
        <w:rPr>
          <w:rFonts w:ascii="Arial" w:cs="Arial" w:eastAsia="Arial" w:hAnsi="Arial"/>
          <w:sz w:val="20"/>
          <w:szCs w:val="20"/>
          <w:color w:val="auto"/>
        </w:rPr>
        <w:t>For the quarterly period ended September 30, 2018</w:t>
      </w:r>
      <w:r>
        <w:rPr>
          <w:sz w:val="20"/>
          <w:szCs w:val="20"/>
          <w:color w:val="auto"/>
        </w:rPr>
        <w:tab/>
      </w:r>
      <w:r>
        <w:rPr>
          <w:rFonts w:ascii="Arial" w:cs="Arial" w:eastAsia="Arial" w:hAnsi="Arial"/>
          <w:sz w:val="18"/>
          <w:szCs w:val="18"/>
          <w:color w:val="auto"/>
        </w:rPr>
        <w:t>Commission File Number 001-18761</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941" w:gutter="0" w:footer="0" w:header="0"/>
        </w:sectPr>
      </w:pPr>
    </w:p>
    <w:p>
      <w:pPr>
        <w:spacing w:after="0" w:line="200" w:lineRule="exact"/>
        <w:rPr>
          <w:sz w:val="24"/>
          <w:szCs w:val="24"/>
          <w:color w:val="auto"/>
        </w:rPr>
      </w:pPr>
    </w:p>
    <w:p>
      <w:pPr>
        <w:spacing w:after="0" w:line="210"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47-1809393</w:t>
      </w:r>
    </w:p>
    <w:p>
      <w:pPr>
        <w:spacing w:after="0" w:line="43" w:lineRule="exact"/>
        <w:rPr>
          <w:sz w:val="24"/>
          <w:szCs w:val="24"/>
          <w:color w:val="auto"/>
        </w:rPr>
      </w:pPr>
    </w:p>
    <w:p>
      <w:pPr>
        <w:sectPr>
          <w:pgSz w:w="11900" w:h="16838" w:orient="portrait"/>
          <w:cols w:equalWidth="0" w:num="2">
            <w:col w:w="5900" w:space="720"/>
            <w:col w:w="4800"/>
          </w:cols>
          <w:pgMar w:left="240" w:top="233" w:right="239" w:bottom="941" w:gutter="0" w:footer="0" w:header="0"/>
          <w:type w:val="continuous"/>
        </w:sectPr>
      </w:pPr>
    </w:p>
    <w:p>
      <w:pPr>
        <w:spacing w:after="0" w:line="12" w:lineRule="exact"/>
        <w:rPr>
          <w:sz w:val="24"/>
          <w:szCs w:val="24"/>
          <w:color w:val="auto"/>
        </w:rPr>
      </w:pPr>
    </w:p>
    <w:p>
      <w:pPr>
        <w:ind w:left="2940"/>
        <w:spacing w:after="0"/>
        <w:rPr>
          <w:sz w:val="20"/>
          <w:szCs w:val="20"/>
          <w:color w:val="auto"/>
        </w:rPr>
      </w:pPr>
      <w:r>
        <w:rPr>
          <w:rFonts w:ascii="Arial" w:cs="Arial" w:eastAsia="Arial" w:hAnsi="Arial"/>
          <w:sz w:val="13"/>
          <w:szCs w:val="13"/>
          <w:color w:val="auto"/>
        </w:rPr>
        <w:t>(State or other jurisdiction of</w:t>
      </w:r>
    </w:p>
    <w:p>
      <w:pPr>
        <w:ind w:left="29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900" w:space="720"/>
            <w:col w:w="4800"/>
          </w:cols>
          <w:pgMar w:left="240" w:top="233" w:right="239" w:bottom="941" w:gutter="0" w:footer="0" w:header="0"/>
          <w:type w:val="continuous"/>
        </w:sect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941" w:gutter="0" w:footer="0" w:header="0"/>
          <w:type w:val="continuous"/>
        </w:sectPr>
      </w:pP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17" w:lineRule="exact"/>
        <w:rPr>
          <w:sz w:val="24"/>
          <w:szCs w:val="24"/>
          <w:color w:val="auto"/>
        </w:rPr>
      </w:pPr>
    </w:p>
    <w:p>
      <w:pPr>
        <w:sectPr>
          <w:pgSz w:w="11900" w:h="16838" w:orient="portrait"/>
          <w:cols w:equalWidth="0" w:num="2">
            <w:col w:w="6680" w:space="720"/>
            <w:col w:w="4020"/>
          </w:cols>
          <w:pgMar w:left="240" w:top="233" w:right="239" w:bottom="941" w:gutter="0" w:footer="0" w:header="0"/>
          <w:type w:val="continuous"/>
        </w:sectPr>
      </w:pPr>
    </w:p>
    <w:p>
      <w:pPr>
        <w:spacing w:after="0"/>
        <w:rPr>
          <w:sz w:val="20"/>
          <w:szCs w:val="20"/>
          <w:color w:val="auto"/>
        </w:rPr>
      </w:pPr>
      <w:r>
        <w:rPr>
          <w:rFonts w:ascii="Arial" w:cs="Arial" w:eastAsia="Arial" w:hAnsi="Arial"/>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6680" w:space="720"/>
            <w:col w:w="4020"/>
          </w:cols>
          <w:pgMar w:left="240" w:top="233" w:right="239" w:bottom="941"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ectPr>
          <w:pgSz w:w="11900" w:h="16838" w:orient="portrait"/>
          <w:cols w:equalWidth="0" w:num="1">
            <w:col w:w="11420"/>
          </w:cols>
          <w:pgMar w:left="240" w:top="233" w:right="239" w:bottom="941" w:gutter="0" w:footer="0" w:header="0"/>
          <w:type w:val="continuous"/>
        </w:sectPr>
      </w:pPr>
    </w:p>
    <w:p>
      <w:pPr>
        <w:spacing w:after="0" w:line="252" w:lineRule="exact"/>
        <w:rPr>
          <w:sz w:val="24"/>
          <w:szCs w:val="24"/>
          <w:color w:val="auto"/>
        </w:rPr>
      </w:pPr>
    </w:p>
    <w:p>
      <w:pPr>
        <w:ind w:firstLine="648"/>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The Registrant had 552,963,481 shares of common stock, par value $0.005 per share, outstanding as of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941"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SEPTEMBER 30,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7"/>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69"/>
        </w:trPr>
        <w:tc>
          <w:tcPr>
            <w:tcW w:w="560" w:type="dxa"/>
            <w:vAlign w:val="bottom"/>
          </w:tcPr>
          <w:p>
            <w:pPr>
              <w:spacing w:after="0"/>
              <w:rPr>
                <w:rFonts w:ascii="Arial" w:cs="Arial" w:eastAsia="Arial" w:hAnsi="Arial"/>
                <w:sz w:val="20"/>
                <w:szCs w:val="20"/>
                <w:b w:val="1"/>
                <w:bCs w:val="1"/>
                <w:color w:val="0000EE"/>
                <w:w w:val="97"/>
              </w:rPr>
            </w:pPr>
            <w:hyperlink w:anchor="page3">
              <w:r>
                <w:rPr>
                  <w:rFonts w:ascii="Arial" w:cs="Arial" w:eastAsia="Arial" w:hAnsi="Arial"/>
                  <w:sz w:val="20"/>
                  <w:szCs w:val="20"/>
                  <w:b w:val="1"/>
                  <w:bCs w:val="1"/>
                  <w:color w:val="0000EE"/>
                  <w:w w:val="97"/>
                </w:rPr>
                <w:t>Part I.</w:t>
              </w:r>
            </w:hyperlink>
          </w:p>
        </w:tc>
        <w:tc>
          <w:tcPr>
            <w:tcW w:w="780" w:type="dxa"/>
            <w:vAlign w:val="bottom"/>
            <w:gridSpan w:val="3"/>
          </w:tcPr>
          <w:p>
            <w:pPr>
              <w:spacing w:after="0"/>
              <w:rPr>
                <w:sz w:val="24"/>
                <w:szCs w:val="24"/>
                <w:color w:val="auto"/>
              </w:rPr>
            </w:pPr>
          </w:p>
        </w:tc>
        <w:tc>
          <w:tcPr>
            <w:tcW w:w="2640" w:type="dxa"/>
            <w:vAlign w:val="bottom"/>
            <w:gridSpan w:val="10"/>
          </w:tcPr>
          <w:p>
            <w:pPr>
              <w:spacing w:after="0"/>
              <w:rPr>
                <w:rFonts w:ascii="Arial" w:cs="Arial" w:eastAsia="Arial" w:hAnsi="Arial"/>
                <w:sz w:val="20"/>
                <w:szCs w:val="20"/>
                <w:b w:val="1"/>
                <w:bCs w:val="1"/>
                <w:color w:val="0000EE"/>
              </w:rPr>
            </w:pPr>
            <w:hyperlink w:anchor="page3">
              <w:r>
                <w:rPr>
                  <w:rFonts w:ascii="Arial" w:cs="Arial" w:eastAsia="Arial" w:hAnsi="Arial"/>
                  <w:sz w:val="20"/>
                  <w:szCs w:val="20"/>
                  <w:b w:val="1"/>
                  <w:bCs w:val="1"/>
                  <w:color w:val="0000EE"/>
                </w:rPr>
                <w:t>FINANCIAL INFORMATION</w:t>
              </w:r>
            </w:hyperlink>
          </w:p>
        </w:tc>
        <w:tc>
          <w:tcPr>
            <w:tcW w:w="6700" w:type="dxa"/>
            <w:vAlign w:val="bottom"/>
            <w:gridSpan w:val="11"/>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Item 1.</w:t>
              </w:r>
            </w:hyperlink>
          </w:p>
        </w:tc>
        <w:tc>
          <w:tcPr>
            <w:tcW w:w="9340" w:type="dxa"/>
            <w:vAlign w:val="bottom"/>
            <w:gridSpan w:val="21"/>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40" w:type="dxa"/>
            <w:vAlign w:val="bottom"/>
            <w:tcBorders>
              <w:bottom w:val="single" w:sz="8" w:color="0000EE"/>
            </w:tcBorders>
            <w:gridSpan w:val="17"/>
          </w:tcPr>
          <w:p>
            <w:pPr>
              <w:spacing w:after="0"/>
              <w:rPr>
                <w:rFonts w:ascii="Arial" w:cs="Arial" w:eastAsia="Arial" w:hAnsi="Arial"/>
                <w:sz w:val="20"/>
                <w:szCs w:val="20"/>
                <w:color w:val="0000EE"/>
                <w:w w:val="87"/>
              </w:rPr>
            </w:pPr>
            <w:hyperlink w:anchor="page3">
              <w:r>
                <w:rPr>
                  <w:rFonts w:ascii="Arial" w:cs="Arial" w:eastAsia="Arial" w:hAnsi="Arial"/>
                  <w:sz w:val="20"/>
                  <w:szCs w:val="20"/>
                  <w:color w:val="0000EE"/>
                  <w:w w:val="87"/>
                </w:rPr>
                <w:t>Condensed Consolidated Balance Sheets as of September 30, 2018 and December 31, 2017</w:t>
              </w:r>
            </w:hyperlink>
          </w:p>
        </w:tc>
        <w:tc>
          <w:tcPr>
            <w:tcW w:w="210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Condensed Consolidated Statements of Income for the Three- and Nine-Months Ended September 30, 2018 and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4">
              <w:r>
                <w:rPr>
                  <w:rFonts w:ascii="Arial" w:cs="Arial" w:eastAsia="Arial" w:hAnsi="Arial"/>
                  <w:sz w:val="20"/>
                  <w:szCs w:val="20"/>
                  <w:color w:val="0000EE"/>
                  <w:w w:val="85"/>
                </w:rPr>
                <w:t>2017</w:t>
              </w:r>
            </w:hyperlink>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4</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Condensed Consolidated Statements of Comprehensive Income for the Three- and Nine-Months Ended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Borders>
              <w:top w:val="single" w:sz="8" w:color="0000EE"/>
              <w:bottom w:val="single" w:sz="8" w:color="0000EE"/>
            </w:tcBorders>
            <w:gridSpan w:val="8"/>
          </w:tcPr>
          <w:p>
            <w:pPr>
              <w:spacing w:after="0" w:line="209" w:lineRule="exact"/>
              <w:rPr>
                <w:rFonts w:ascii="Arial" w:cs="Arial" w:eastAsia="Arial" w:hAnsi="Arial"/>
                <w:sz w:val="20"/>
                <w:szCs w:val="20"/>
                <w:color w:val="0000EE"/>
                <w:w w:val="87"/>
              </w:rPr>
            </w:pPr>
            <w:hyperlink w:anchor="page5">
              <w:r>
                <w:rPr>
                  <w:rFonts w:ascii="Arial" w:cs="Arial" w:eastAsia="Arial" w:hAnsi="Arial"/>
                  <w:sz w:val="20"/>
                  <w:szCs w:val="20"/>
                  <w:color w:val="0000EE"/>
                  <w:w w:val="87"/>
                </w:rPr>
                <w:t>September 30, 2018 and 2017</w:t>
              </w:r>
            </w:hyperlink>
          </w:p>
        </w:tc>
        <w:tc>
          <w:tcPr>
            <w:tcW w:w="5800" w:type="dxa"/>
            <w:vAlign w:val="bottom"/>
            <w:tcBorders>
              <w:top w:val="single" w:sz="8" w:color="0000EE"/>
            </w:tcBorders>
            <w:gridSpan w:val="10"/>
          </w:tcPr>
          <w:p>
            <w:pPr>
              <w:spacing w:after="0"/>
              <w:rPr>
                <w:sz w:val="18"/>
                <w:szCs w:val="18"/>
                <w:color w:val="auto"/>
              </w:rPr>
            </w:pPr>
          </w:p>
        </w:tc>
        <w:tc>
          <w:tcPr>
            <w:tcW w:w="1160" w:type="dxa"/>
            <w:vAlign w:val="bottom"/>
            <w:gridSpan w:val="3"/>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w w:val="94"/>
              </w:rPr>
            </w:pPr>
            <w:hyperlink w:anchor="page6">
              <w:r>
                <w:rPr>
                  <w:rFonts w:ascii="Arial" w:cs="Arial" w:eastAsia="Arial" w:hAnsi="Arial"/>
                  <w:sz w:val="20"/>
                  <w:szCs w:val="20"/>
                  <w:color w:val="0000EE"/>
                  <w:w w:val="94"/>
                </w:rPr>
                <w:t>Condensed Consolidated Statements of Cash Flows for the Nine-Months Ended September 30, 2018 and 2017</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2"/>
          </w:tcPr>
          <w:p>
            <w:pPr>
              <w:spacing w:after="0"/>
              <w:rPr>
                <w:rFonts w:ascii="Arial" w:cs="Arial" w:eastAsia="Arial" w:hAnsi="Arial"/>
                <w:sz w:val="20"/>
                <w:szCs w:val="20"/>
                <w:color w:val="0000EE"/>
                <w:w w:val="88"/>
              </w:rPr>
            </w:pPr>
            <w:hyperlink w:anchor="page8">
              <w:r>
                <w:rPr>
                  <w:rFonts w:ascii="Arial" w:cs="Arial" w:eastAsia="Arial" w:hAnsi="Arial"/>
                  <w:sz w:val="20"/>
                  <w:szCs w:val="20"/>
                  <w:color w:val="0000EE"/>
                  <w:w w:val="88"/>
                </w:rPr>
                <w:t>Notes to Condensed Consolidated Financial Statements</w:t>
              </w:r>
            </w:hyperlink>
          </w:p>
        </w:tc>
        <w:tc>
          <w:tcPr>
            <w:tcW w:w="4340" w:type="dxa"/>
            <w:vAlign w:val="bottom"/>
            <w:tcBorders>
              <w:top w:val="single" w:sz="8" w:color="0000EE"/>
            </w:tcBorders>
            <w:gridSpan w:val="7"/>
          </w:tcPr>
          <w:p>
            <w:pPr>
              <w:spacing w:after="0"/>
              <w:rPr>
                <w:sz w:val="24"/>
                <w:szCs w:val="24"/>
                <w:color w:val="auto"/>
              </w:rPr>
            </w:pPr>
          </w:p>
        </w:tc>
        <w:tc>
          <w:tcPr>
            <w:tcW w:w="60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2.</w:t>
              </w:r>
            </w:hyperlink>
          </w:p>
        </w:tc>
        <w:tc>
          <w:tcPr>
            <w:tcW w:w="9340" w:type="dxa"/>
            <w:vAlign w:val="bottom"/>
            <w:gridSpan w:val="21"/>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32</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32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Item 3.</w:t>
              </w:r>
            </w:hyperlink>
          </w:p>
        </w:tc>
        <w:tc>
          <w:tcPr>
            <w:tcW w:w="9340" w:type="dxa"/>
            <w:vAlign w:val="bottom"/>
            <w:gridSpan w:val="21"/>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Quantitative and Qualitative Disclosures About Market Risk</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4560" w:type="dxa"/>
            <w:vAlign w:val="bottom"/>
            <w:tcBorders>
              <w:left w:val="single" w:sz="8" w:color="0000EE"/>
            </w:tcBorders>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Item 4.</w:t>
              </w:r>
            </w:hyperlink>
          </w:p>
        </w:tc>
        <w:tc>
          <w:tcPr>
            <w:tcW w:w="9340" w:type="dxa"/>
            <w:vAlign w:val="bottom"/>
            <w:gridSpan w:val="21"/>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51">
              <w:r>
                <w:rPr>
                  <w:rFonts w:ascii="Arial" w:cs="Arial" w:eastAsia="Arial" w:hAnsi="Arial"/>
                  <w:sz w:val="20"/>
                  <w:szCs w:val="20"/>
                  <w:b w:val="1"/>
                  <w:bCs w:val="1"/>
                  <w:color w:val="0000EE"/>
                </w:rPr>
                <w:t>Part II.</w:t>
              </w:r>
            </w:hyperlink>
          </w:p>
        </w:tc>
        <w:tc>
          <w:tcPr>
            <w:tcW w:w="700" w:type="dxa"/>
            <w:vAlign w:val="bottom"/>
            <w:gridSpan w:val="2"/>
          </w:tcPr>
          <w:p>
            <w:pPr>
              <w:spacing w:after="0"/>
              <w:rPr>
                <w:sz w:val="24"/>
                <w:szCs w:val="24"/>
                <w:color w:val="auto"/>
              </w:rPr>
            </w:pPr>
          </w:p>
        </w:tc>
        <w:tc>
          <w:tcPr>
            <w:tcW w:w="9340" w:type="dxa"/>
            <w:vAlign w:val="bottom"/>
            <w:gridSpan w:val="21"/>
          </w:tcPr>
          <w:p>
            <w:pPr>
              <w:spacing w:after="0"/>
              <w:rPr>
                <w:rFonts w:ascii="Arial" w:cs="Arial" w:eastAsia="Arial" w:hAnsi="Arial"/>
                <w:sz w:val="20"/>
                <w:szCs w:val="20"/>
                <w:b w:val="1"/>
                <w:bCs w:val="1"/>
                <w:color w:val="0000EE"/>
              </w:rPr>
            </w:pPr>
            <w:hyperlink w:anchor="page51">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Item 1.</w:t>
              </w:r>
            </w:hyperlink>
          </w:p>
        </w:tc>
        <w:tc>
          <w:tcPr>
            <w:tcW w:w="70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Legal Proceedings</w:t>
              </w:r>
            </w:hyperlink>
          </w:p>
        </w:tc>
        <w:tc>
          <w:tcPr>
            <w:tcW w:w="712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4"/>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w w:val="93"/>
              </w:rPr>
            </w:pPr>
            <w:hyperlink w:anchor="page51">
              <w:r>
                <w:rPr>
                  <w:rFonts w:ascii="Arial" w:cs="Arial" w:eastAsia="Arial" w:hAnsi="Arial"/>
                  <w:sz w:val="20"/>
                  <w:szCs w:val="20"/>
                  <w:color w:val="0000EE"/>
                  <w:w w:val="93"/>
                </w:rPr>
                <w:t>Item 1A.</w:t>
              </w:r>
            </w:hyperlink>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Risk Factors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Item 2.</w:t>
              </w:r>
            </w:hyperlink>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4"/>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Item 3.</w:t>
              </w:r>
            </w:hyperlink>
          </w:p>
        </w:tc>
        <w:tc>
          <w:tcPr>
            <w:tcW w:w="9340" w:type="dxa"/>
            <w:vAlign w:val="bottom"/>
            <w:gridSpan w:val="21"/>
          </w:tcPr>
          <w:p>
            <w:pPr>
              <w:spacing w:after="0"/>
              <w:rPr>
                <w:rFonts w:ascii="Arial" w:cs="Arial" w:eastAsia="Arial" w:hAnsi="Arial"/>
                <w:sz w:val="20"/>
                <w:szCs w:val="20"/>
                <w:color w:val="0000EE"/>
              </w:rPr>
            </w:pPr>
            <w:hyperlink w:anchor="page51">
              <w:r>
                <w:rPr>
                  <w:rFonts w:ascii="Arial" w:cs="Arial" w:eastAsia="Arial" w:hAnsi="Arial"/>
                  <w:sz w:val="20"/>
                  <w:szCs w:val="20"/>
                  <w:color w:val="0000EE"/>
                </w:rPr>
                <w:t>Defaults Upon Senior Securities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4"/>
            <w:shd w:val="clear" w:color="auto" w:fill="0000EE"/>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Item 4.</w:t>
              </w:r>
            </w:hyperlink>
          </w:p>
        </w:tc>
        <w:tc>
          <w:tcPr>
            <w:tcW w:w="9340" w:type="dxa"/>
            <w:vAlign w:val="bottom"/>
            <w:gridSpan w:val="21"/>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52</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Item 5.</w:t>
              </w:r>
            </w:hyperlink>
          </w:p>
        </w:tc>
        <w:tc>
          <w:tcPr>
            <w:tcW w:w="9340" w:type="dxa"/>
            <w:vAlign w:val="bottom"/>
            <w:gridSpan w:val="21"/>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52</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Item 6.</w:t>
              </w:r>
            </w:hyperlink>
          </w:p>
        </w:tc>
        <w:tc>
          <w:tcPr>
            <w:tcW w:w="9340" w:type="dxa"/>
            <w:vAlign w:val="bottom"/>
            <w:gridSpan w:val="21"/>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52</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Signatures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52</w:t>
            </w: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sz w:val="24"/>
                <w:szCs w:val="24"/>
                <w:color w:val="auto"/>
              </w:rPr>
            </w:pPr>
          </w:p>
        </w:tc>
        <w:tc>
          <w:tcPr>
            <w:tcW w:w="3840" w:type="dxa"/>
            <w:vAlign w:val="bottom"/>
            <w:gridSpan w:val="10"/>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SEPTEMBER 30, 2018 AND DECEMBER 31, 2017</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9"/>
              </w:rPr>
              <w:t>September 30,</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2017</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6080" w:type="dxa"/>
            <w:vAlign w:val="bottom"/>
            <w:gridSpan w:val="4"/>
            <w:vMerge w:val="restart"/>
          </w:tcPr>
          <w:p>
            <w:pPr>
              <w:jc w:val="center"/>
              <w:ind w:right="2560"/>
              <w:spacing w:after="0"/>
              <w:rPr>
                <w:sz w:val="20"/>
                <w:szCs w:val="20"/>
                <w:color w:val="auto"/>
              </w:rPr>
            </w:pPr>
            <w:r>
              <w:rPr>
                <w:rFonts w:ascii="Arial" w:cs="Arial" w:eastAsia="Arial" w:hAnsi="Arial"/>
                <w:sz w:val="16"/>
                <w:szCs w:val="16"/>
                <w:b w:val="1"/>
                <w:bCs w:val="1"/>
                <w:color w:val="auto"/>
                <w:w w:val="93"/>
              </w:rPr>
              <w:t>ASSETS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60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18"/>
                <w:szCs w:val="18"/>
                <w:color w:val="auto"/>
              </w:rPr>
            </w:pPr>
          </w:p>
        </w:tc>
        <w:tc>
          <w:tcPr>
            <w:tcW w:w="4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713,714</w:t>
            </w:r>
          </w:p>
        </w:tc>
        <w:tc>
          <w:tcPr>
            <w:tcW w:w="280" w:type="dxa"/>
            <w:vAlign w:val="bottom"/>
          </w:tcPr>
          <w:p>
            <w:pPr>
              <w:spacing w:after="0"/>
              <w:rPr>
                <w:sz w:val="17"/>
                <w:szCs w:val="17"/>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528,622</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457,898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672,933</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620,162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449,476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262,084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255,745</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57,599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40,877</w:t>
            </w:r>
          </w:p>
        </w:tc>
        <w:tc>
          <w:tcPr>
            <w:tcW w:w="0" w:type="dxa"/>
            <w:vAlign w:val="bottom"/>
          </w:tcPr>
          <w:p>
            <w:pPr>
              <w:spacing w:after="0"/>
              <w:rPr>
                <w:sz w:val="1"/>
                <w:szCs w:val="1"/>
                <w:color w:val="auto"/>
              </w:rPr>
            </w:pPr>
          </w:p>
        </w:tc>
      </w:tr>
      <w:tr>
        <w:trPr>
          <w:trHeight w:val="206"/>
        </w:trPr>
        <w:tc>
          <w:tcPr>
            <w:tcW w:w="8380" w:type="dxa"/>
            <w:vAlign w:val="bottom"/>
            <w:gridSpan w:val="5"/>
          </w:tcPr>
          <w:p>
            <w:pPr>
              <w:spacing w:after="0"/>
              <w:rPr>
                <w:sz w:val="20"/>
                <w:szCs w:val="20"/>
                <w:color w:val="auto"/>
              </w:rPr>
            </w:pPr>
            <w:r>
              <w:rPr>
                <w:rFonts w:ascii="Arial" w:cs="Arial" w:eastAsia="Arial" w:hAnsi="Arial"/>
                <w:sz w:val="16"/>
                <w:szCs w:val="16"/>
                <w:color w:val="auto"/>
              </w:rPr>
              <w:t>Prepaid income taxes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41,214</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138,724</w:t>
            </w:r>
          </w:p>
        </w:tc>
        <w:tc>
          <w:tcPr>
            <w:tcW w:w="0" w:type="dxa"/>
            <w:vAlign w:val="bottom"/>
          </w:tcPr>
          <w:p>
            <w:pPr>
              <w:spacing w:after="0"/>
              <w:rPr>
                <w:sz w:val="1"/>
                <w:szCs w:val="1"/>
                <w:color w:val="auto"/>
              </w:rPr>
            </w:pPr>
          </w:p>
        </w:tc>
      </w:tr>
      <w:tr>
        <w:trPr>
          <w:trHeight w:val="206"/>
        </w:trPr>
        <w:tc>
          <w:tcPr>
            <w:tcW w:w="8380" w:type="dxa"/>
            <w:vAlign w:val="bottom"/>
            <w:gridSpan w:val="5"/>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2,152,671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2,086,377</w:t>
            </w:r>
          </w:p>
        </w:tc>
        <w:tc>
          <w:tcPr>
            <w:tcW w:w="0" w:type="dxa"/>
            <w:vAlign w:val="bottom"/>
          </w:tcPr>
          <w:p>
            <w:pPr>
              <w:spacing w:after="0"/>
              <w:rPr>
                <w:sz w:val="1"/>
                <w:szCs w:val="1"/>
                <w:color w:val="auto"/>
              </w:rPr>
            </w:pPr>
          </w:p>
        </w:tc>
      </w:tr>
      <w:tr>
        <w:trPr>
          <w:trHeight w:val="405"/>
        </w:trPr>
        <w:tc>
          <w:tcPr>
            <w:tcW w:w="8380" w:type="dxa"/>
            <w:vAlign w:val="bottom"/>
            <w:gridSpan w:val="5"/>
          </w:tcPr>
          <w:p>
            <w:pPr>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242,854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230,276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85,253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92,333</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1,331,643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1,042,248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1,034,085</w:t>
            </w:r>
          </w:p>
        </w:tc>
        <w:tc>
          <w:tcPr>
            <w:tcW w:w="0" w:type="dxa"/>
            <w:vAlign w:val="bottom"/>
          </w:tcPr>
          <w:p>
            <w:pPr>
              <w:spacing w:after="0"/>
              <w:rPr>
                <w:sz w:val="1"/>
                <w:szCs w:val="1"/>
                <w:color w:val="auto"/>
              </w:rPr>
            </w:pPr>
          </w:p>
        </w:tc>
      </w:tr>
      <w:tr>
        <w:trPr>
          <w:trHeight w:val="206"/>
        </w:trPr>
        <w:tc>
          <w:tcPr>
            <w:tcW w:w="838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15,080</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6080" w:type="dxa"/>
            <w:vAlign w:val="bottom"/>
            <w:gridSpan w:val="4"/>
          </w:tcPr>
          <w:p>
            <w:pPr>
              <w:jc w:val="center"/>
              <w:ind w:right="2580"/>
              <w:spacing w:after="0"/>
              <w:rPr>
                <w:sz w:val="20"/>
                <w:szCs w:val="20"/>
                <w:color w:val="auto"/>
              </w:rPr>
            </w:pPr>
            <w:r>
              <w:rPr>
                <w:rFonts w:ascii="Arial" w:cs="Arial" w:eastAsia="Arial" w:hAnsi="Arial"/>
                <w:sz w:val="16"/>
                <w:szCs w:val="16"/>
                <w:b w:val="1"/>
                <w:bCs w:val="1"/>
                <w:color w:val="auto"/>
                <w:w w:val="86"/>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4,871,359</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4,791,012</w:t>
            </w:r>
          </w:p>
        </w:tc>
        <w:tc>
          <w:tcPr>
            <w:tcW w:w="0" w:type="dxa"/>
            <w:vAlign w:val="bottom"/>
          </w:tcPr>
          <w:p>
            <w:pPr>
              <w:spacing w:after="0"/>
              <w:rPr>
                <w:sz w:val="1"/>
                <w:szCs w:val="1"/>
                <w:color w:val="auto"/>
              </w:rPr>
            </w:pPr>
          </w:p>
        </w:tc>
      </w:tr>
      <w:tr>
        <w:trPr>
          <w:trHeight w:val="20"/>
        </w:trPr>
        <w:tc>
          <w:tcPr>
            <w:tcW w:w="8380" w:type="dxa"/>
            <w:vAlign w:val="bottom"/>
            <w:gridSpan w:val="5"/>
            <w:vMerge w:val="restart"/>
          </w:tcPr>
          <w:p>
            <w:pPr>
              <w:jc w:val="center"/>
              <w:ind w:right="2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gridSpan w:val="3"/>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278,914</w:t>
            </w:r>
          </w:p>
        </w:tc>
        <w:tc>
          <w:tcPr>
            <w:tcW w:w="280" w:type="dxa"/>
            <w:vAlign w:val="bottom"/>
          </w:tcPr>
          <w:p>
            <w:pPr>
              <w:spacing w:after="0"/>
              <w:rPr>
                <w:sz w:val="17"/>
                <w:szCs w:val="17"/>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245,910</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112,436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87,475</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promotional allowances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183,295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137,998</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distributor terminations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44,232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43,236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30,237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34,996</w:t>
            </w:r>
          </w:p>
        </w:tc>
        <w:tc>
          <w:tcPr>
            <w:tcW w:w="0" w:type="dxa"/>
            <w:vAlign w:val="bottom"/>
          </w:tcPr>
          <w:p>
            <w:pPr>
              <w:spacing w:after="0"/>
              <w:rPr>
                <w:sz w:val="1"/>
                <w:szCs w:val="1"/>
                <w:color w:val="auto"/>
              </w:rPr>
            </w:pPr>
          </w:p>
        </w:tc>
      </w:tr>
      <w:tr>
        <w:trPr>
          <w:trHeight w:val="206"/>
        </w:trPr>
        <w:tc>
          <w:tcPr>
            <w:tcW w:w="8380" w:type="dxa"/>
            <w:vAlign w:val="bottom"/>
            <w:gridSpan w:val="5"/>
          </w:tcPr>
          <w:p>
            <w:pPr>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6,453</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10,645</w:t>
            </w:r>
          </w:p>
        </w:tc>
        <w:tc>
          <w:tcPr>
            <w:tcW w:w="0" w:type="dxa"/>
            <w:vAlign w:val="bottom"/>
          </w:tcPr>
          <w:p>
            <w:pPr>
              <w:spacing w:after="0"/>
              <w:rPr>
                <w:sz w:val="1"/>
                <w:szCs w:val="1"/>
                <w:color w:val="auto"/>
              </w:rPr>
            </w:pPr>
          </w:p>
        </w:tc>
      </w:tr>
      <w:tr>
        <w:trPr>
          <w:trHeight w:val="206"/>
        </w:trPr>
        <w:tc>
          <w:tcPr>
            <w:tcW w:w="8380" w:type="dxa"/>
            <w:vAlign w:val="bottom"/>
            <w:gridSpan w:val="5"/>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656,362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560,351</w:t>
            </w:r>
          </w:p>
        </w:tc>
        <w:tc>
          <w:tcPr>
            <w:tcW w:w="0" w:type="dxa"/>
            <w:vAlign w:val="bottom"/>
          </w:tcPr>
          <w:p>
            <w:pPr>
              <w:spacing w:after="0"/>
              <w:rPr>
                <w:sz w:val="1"/>
                <w:szCs w:val="1"/>
                <w:color w:val="auto"/>
              </w:rPr>
            </w:pPr>
          </w:p>
        </w:tc>
      </w:tr>
      <w:tr>
        <w:trPr>
          <w:trHeight w:val="287"/>
        </w:trPr>
        <w:tc>
          <w:tcPr>
            <w:tcW w:w="838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319,007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334,354</w:t>
            </w:r>
          </w:p>
        </w:tc>
        <w:tc>
          <w:tcPr>
            <w:tcW w:w="0" w:type="dxa"/>
            <w:vAlign w:val="bottom"/>
          </w:tcPr>
          <w:p>
            <w:pPr>
              <w:spacing w:after="0"/>
              <w:rPr>
                <w:sz w:val="1"/>
                <w:szCs w:val="1"/>
                <w:color w:val="auto"/>
              </w:rPr>
            </w:pPr>
          </w:p>
        </w:tc>
      </w:tr>
      <w:tr>
        <w:trPr>
          <w:trHeight w:val="297"/>
        </w:trPr>
        <w:tc>
          <w:tcPr>
            <w:tcW w:w="8380" w:type="dxa"/>
            <w:vAlign w:val="bottom"/>
            <w:gridSpan w:val="5"/>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97"/>
        </w:trPr>
        <w:tc>
          <w:tcPr>
            <w:tcW w:w="8380" w:type="dxa"/>
            <w:vAlign w:val="bottom"/>
            <w:gridSpan w:val="5"/>
          </w:tcPr>
          <w:p>
            <w:pPr>
              <w:spacing w:after="0"/>
              <w:rPr>
                <w:sz w:val="20"/>
                <w:szCs w:val="20"/>
                <w:color w:val="auto"/>
              </w:rPr>
            </w:pPr>
            <w:r>
              <w:rPr>
                <w:rFonts w:ascii="Arial" w:cs="Arial" w:eastAsia="Arial" w:hAnsi="Arial"/>
                <w:sz w:val="16"/>
                <w:szCs w:val="16"/>
                <w:color w:val="auto"/>
              </w:rPr>
              <w:t>COMMITMENTS AND CONTINGENCIES (Note 11)</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380" w:type="dxa"/>
            <w:vAlign w:val="bottom"/>
            <w:gridSpan w:val="5"/>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w w:val="93"/>
              </w:rPr>
              <w:t>Common stock - $0.005 par value; 1,250,000 shares authorized; 630,825 shares issued and 552,952 shares outstanding as of</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gridSpan w:val="5"/>
          </w:tcPr>
          <w:p>
            <w:pPr>
              <w:ind w:left="180"/>
              <w:spacing w:after="0"/>
              <w:rPr>
                <w:sz w:val="20"/>
                <w:szCs w:val="20"/>
                <w:color w:val="auto"/>
              </w:rPr>
            </w:pPr>
            <w:r>
              <w:rPr>
                <w:rFonts w:ascii="Arial" w:cs="Arial" w:eastAsia="Arial" w:hAnsi="Arial"/>
                <w:sz w:val="16"/>
                <w:szCs w:val="16"/>
                <w:color w:val="auto"/>
              </w:rPr>
              <w:t>September 30, 2018; 629,255 shares issued and 566,298 shares outstanding as of December 31, 2017</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4,219,630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4,150,628</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3,675,538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2,928,226</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(29,777)</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03"/>
        </w:trPr>
        <w:tc>
          <w:tcPr>
            <w:tcW w:w="8380" w:type="dxa"/>
            <w:vAlign w:val="bottom"/>
            <w:gridSpan w:val="5"/>
          </w:tcPr>
          <w:p>
            <w:pPr>
              <w:spacing w:after="0"/>
              <w:rPr>
                <w:sz w:val="20"/>
                <w:szCs w:val="20"/>
                <w:color w:val="auto"/>
              </w:rPr>
            </w:pPr>
            <w:r>
              <w:rPr>
                <w:rFonts w:ascii="Arial" w:cs="Arial" w:eastAsia="Arial" w:hAnsi="Arial"/>
                <w:sz w:val="16"/>
                <w:szCs w:val="16"/>
                <w:color w:val="auto"/>
                <w:w w:val="97"/>
              </w:rPr>
              <w:t>Common stock in treasury, at cost; 77,873 shares and 62,957 shares as of September 30, 2018 and December 31, 2017,</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80" w:type="dxa"/>
            <w:vAlign w:val="bottom"/>
            <w:gridSpan w:val="5"/>
          </w:tcPr>
          <w:p>
            <w:pPr>
              <w:ind w:left="18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(3,975,278)</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(3,170,129)</w:t>
            </w:r>
          </w:p>
        </w:tc>
        <w:tc>
          <w:tcPr>
            <w:tcW w:w="0" w:type="dxa"/>
            <w:vAlign w:val="bottom"/>
          </w:tcPr>
          <w:p>
            <w:pPr>
              <w:spacing w:after="0"/>
              <w:rPr>
                <w:sz w:val="1"/>
                <w:szCs w:val="1"/>
                <w:color w:val="auto"/>
              </w:rPr>
            </w:pPr>
          </w:p>
        </w:tc>
      </w:tr>
      <w:tr>
        <w:trPr>
          <w:trHeight w:val="202"/>
        </w:trPr>
        <w:tc>
          <w:tcPr>
            <w:tcW w:w="8380" w:type="dxa"/>
            <w:vAlign w:val="bottom"/>
            <w:gridSpan w:val="5"/>
          </w:tcPr>
          <w:p>
            <w:pPr>
              <w:ind w:left="1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3,893,267</w:t>
            </w:r>
          </w:p>
        </w:tc>
        <w:tc>
          <w:tcPr>
            <w:tcW w:w="2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3,895,212</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6080" w:type="dxa"/>
            <w:vAlign w:val="bottom"/>
            <w:gridSpan w:val="4"/>
          </w:tcPr>
          <w:p>
            <w:pPr>
              <w:jc w:val="center"/>
              <w:ind w:right="258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4,871,359</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4,791,012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080"/>
        <w:spacing w:after="0" w:line="244" w:lineRule="auto"/>
        <w:rPr>
          <w:sz w:val="20"/>
          <w:szCs w:val="20"/>
          <w:color w:val="auto"/>
        </w:rPr>
      </w:pPr>
      <w:r>
        <w:rPr>
          <w:rFonts w:ascii="Arial" w:cs="Arial" w:eastAsia="Arial" w:hAnsi="Arial"/>
          <w:sz w:val="20"/>
          <w:szCs w:val="20"/>
          <w:b w:val="1"/>
          <w:bCs w:val="1"/>
          <w:color w:val="auto"/>
        </w:rPr>
        <w:t>FOR THE THREE- AND NINE-MONTHS ENDED SEPTEMBER 30, 2018 AND 2017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Three-Months Ended</w:t>
            </w:r>
          </w:p>
        </w:tc>
        <w:tc>
          <w:tcPr>
            <w:tcW w:w="340" w:type="dxa"/>
            <w:vAlign w:val="bottom"/>
          </w:tcPr>
          <w:p>
            <w:pPr>
              <w:spacing w:after="0"/>
              <w:rPr>
                <w:sz w:val="18"/>
                <w:szCs w:val="18"/>
                <w:color w:val="auto"/>
              </w:rPr>
            </w:pPr>
          </w:p>
        </w:tc>
        <w:tc>
          <w:tcPr>
            <w:tcW w:w="268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Nine-Months Ended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1,016,160</w:t>
            </w:r>
          </w:p>
        </w:tc>
        <w:tc>
          <w:tcPr>
            <w:tcW w:w="30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909,476</w:t>
            </w:r>
          </w:p>
        </w:tc>
        <w:tc>
          <w:tcPr>
            <w:tcW w:w="2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2,882,953</w:t>
            </w:r>
          </w:p>
        </w:tc>
        <w:tc>
          <w:tcPr>
            <w:tcW w:w="740" w:type="dxa"/>
            <w:vAlign w:val="bottom"/>
            <w:gridSpan w:val="3"/>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2,558,690</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408,501</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339,767</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1,139,780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924,610</w:t>
            </w: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607,659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569,709</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1,743,173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1,634,080</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268,086</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252,337</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766,065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702,405</w:t>
            </w: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339,573</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317,372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977,108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931,675</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342,561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321,368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982,377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933,778</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74,828</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102,624</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228,480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314,422</w:t>
            </w: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267,733</w:t>
            </w:r>
          </w:p>
        </w:tc>
        <w:tc>
          <w:tcPr>
            <w:tcW w:w="30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218,744</w:t>
            </w:r>
          </w:p>
        </w:tc>
        <w:tc>
          <w:tcPr>
            <w:tcW w:w="2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753,897</w:t>
            </w:r>
          </w:p>
        </w:tc>
        <w:tc>
          <w:tcPr>
            <w:tcW w:w="740" w:type="dxa"/>
            <w:vAlign w:val="bottom"/>
            <w:gridSpan w:val="3"/>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619,356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Pr>
          <w:p>
            <w:pPr>
              <w:spacing w:after="0"/>
              <w:rPr>
                <w:sz w:val="20"/>
                <w:szCs w:val="20"/>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0"/>
                <w:szCs w:val="20"/>
                <w:color w:val="auto"/>
              </w:rPr>
            </w:pPr>
          </w:p>
        </w:tc>
        <w:tc>
          <w:tcPr>
            <w:tcW w:w="46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300" w:type="dxa"/>
            <w:vAlign w:val="bottom"/>
          </w:tcPr>
          <w:p>
            <w:pPr>
              <w:spacing w:after="0"/>
              <w:rPr>
                <w:sz w:val="17"/>
                <w:szCs w:val="17"/>
                <w:color w:val="auto"/>
              </w:rPr>
            </w:pPr>
          </w:p>
        </w:tc>
        <w:tc>
          <w:tcPr>
            <w:tcW w:w="4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300" w:type="dxa"/>
            <w:vAlign w:val="bottom"/>
            <w:gridSpan w:val="2"/>
            <w:vMerge w:val="continue"/>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COMMON STOCK AND COMMON STOCK</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552,694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567,878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559,472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567,550</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559,955</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578,368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566,791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577,964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jc w:val="both"/>
        <w:ind w:right="408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 AND NINE-MONTHS ENDED SEPTEMBER 30, 2018 AND 2017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gridSpan w:val="5"/>
          </w:tcPr>
          <w:p>
            <w:pPr>
              <w:ind w:left="260"/>
              <w:spacing w:after="0"/>
              <w:rPr>
                <w:sz w:val="20"/>
                <w:szCs w:val="20"/>
                <w:color w:val="auto"/>
              </w:rPr>
            </w:pPr>
            <w:r>
              <w:rPr>
                <w:rFonts w:ascii="Arial" w:cs="Arial" w:eastAsia="Arial" w:hAnsi="Arial"/>
                <w:sz w:val="20"/>
                <w:szCs w:val="20"/>
                <w:b w:val="1"/>
                <w:bCs w:val="1"/>
                <w:color w:val="auto"/>
              </w:rPr>
              <w:t>Three-Months Ended</w:t>
            </w:r>
          </w:p>
        </w:tc>
        <w:tc>
          <w:tcPr>
            <w:tcW w:w="340" w:type="dxa"/>
            <w:vAlign w:val="bottom"/>
          </w:tcPr>
          <w:p>
            <w:pPr>
              <w:spacing w:after="0"/>
              <w:rPr>
                <w:sz w:val="19"/>
                <w:szCs w:val="19"/>
                <w:color w:val="auto"/>
              </w:rPr>
            </w:pPr>
          </w:p>
        </w:tc>
        <w:tc>
          <w:tcPr>
            <w:tcW w:w="2720" w:type="dxa"/>
            <w:vAlign w:val="bottom"/>
            <w:gridSpan w:val="4"/>
          </w:tcPr>
          <w:p>
            <w:pPr>
              <w:jc w:val="right"/>
              <w:ind w:right="581"/>
              <w:spacing w:after="0"/>
              <w:rPr>
                <w:sz w:val="20"/>
                <w:szCs w:val="20"/>
                <w:color w:val="auto"/>
              </w:rPr>
            </w:pPr>
            <w:r>
              <w:rPr>
                <w:rFonts w:ascii="Arial" w:cs="Arial" w:eastAsia="Arial" w:hAnsi="Arial"/>
                <w:sz w:val="20"/>
                <w:szCs w:val="20"/>
                <w:b w:val="1"/>
                <w:bCs w:val="1"/>
                <w:color w:val="auto"/>
              </w:rPr>
              <w:t>Nine-Months Ended</w:t>
            </w: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4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b w:val="1"/>
                <w:bCs w:val="1"/>
                <w:color w:val="auto"/>
              </w:rPr>
              <w:t>2018</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b w:val="1"/>
                <w:bCs w:val="1"/>
                <w:color w:val="auto"/>
                <w:w w:val="89"/>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b w:val="1"/>
                <w:bCs w:val="1"/>
                <w:color w:val="auto"/>
              </w:rPr>
              <w:t>2018</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b w:val="1"/>
                <w:bCs w:val="1"/>
                <w:color w:val="auto"/>
                <w:w w:val="89"/>
              </w:rPr>
              <w:t>2017</w:t>
            </w:r>
          </w:p>
        </w:tc>
        <w:tc>
          <w:tcPr>
            <w:tcW w:w="0" w:type="dxa"/>
            <w:vAlign w:val="bottom"/>
          </w:tcPr>
          <w:p>
            <w:pPr>
              <w:spacing w:after="0"/>
              <w:rPr>
                <w:sz w:val="1"/>
                <w:szCs w:val="1"/>
                <w:color w:val="auto"/>
              </w:rPr>
            </w:pPr>
          </w:p>
        </w:tc>
      </w:tr>
      <w:tr>
        <w:trPr>
          <w:trHeight w:val="206"/>
        </w:trPr>
        <w:tc>
          <w:tcPr>
            <w:tcW w:w="5040" w:type="dxa"/>
            <w:vAlign w:val="bottom"/>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7" w:lineRule="exact"/>
              <w:rPr>
                <w:sz w:val="20"/>
                <w:szCs w:val="20"/>
                <w:color w:val="auto"/>
              </w:rPr>
            </w:pPr>
            <w:r>
              <w:rPr>
                <w:rFonts w:ascii="Arial" w:cs="Arial" w:eastAsia="Arial" w:hAnsi="Arial"/>
                <w:sz w:val="20"/>
                <w:szCs w:val="20"/>
                <w:color w:val="auto"/>
              </w:rPr>
              <w:t>267,733</w:t>
            </w:r>
          </w:p>
        </w:tc>
        <w:tc>
          <w:tcPr>
            <w:tcW w:w="300" w:type="dxa"/>
            <w:vAlign w:val="bottom"/>
          </w:tcPr>
          <w:p>
            <w:pPr>
              <w:spacing w:after="0"/>
              <w:rPr>
                <w:sz w:val="17"/>
                <w:szCs w:val="17"/>
                <w:color w:val="auto"/>
              </w:rPr>
            </w:pPr>
          </w:p>
        </w:tc>
        <w:tc>
          <w:tcPr>
            <w:tcW w:w="4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07" w:lineRule="exact"/>
              <w:rPr>
                <w:sz w:val="20"/>
                <w:szCs w:val="20"/>
                <w:color w:val="auto"/>
              </w:rPr>
            </w:pPr>
            <w:r>
              <w:rPr>
                <w:rFonts w:ascii="Arial" w:cs="Arial" w:eastAsia="Arial" w:hAnsi="Arial"/>
                <w:sz w:val="20"/>
                <w:szCs w:val="20"/>
                <w:color w:val="auto"/>
              </w:rPr>
              <w:t>218,744</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07" w:lineRule="exact"/>
              <w:rPr>
                <w:sz w:val="20"/>
                <w:szCs w:val="20"/>
                <w:color w:val="auto"/>
              </w:rPr>
            </w:pPr>
            <w:r>
              <w:rPr>
                <w:rFonts w:ascii="Arial" w:cs="Arial" w:eastAsia="Arial" w:hAnsi="Arial"/>
                <w:sz w:val="20"/>
                <w:szCs w:val="20"/>
                <w:color w:val="auto"/>
              </w:rPr>
              <w:t>753,897</w:t>
            </w:r>
          </w:p>
        </w:tc>
        <w:tc>
          <w:tcPr>
            <w:tcW w:w="280" w:type="dxa"/>
            <w:vAlign w:val="bottom"/>
          </w:tcPr>
          <w:p>
            <w:pPr>
              <w:spacing w:after="0"/>
              <w:rPr>
                <w:sz w:val="17"/>
                <w:szCs w:val="17"/>
                <w:color w:val="auto"/>
              </w:rPr>
            </w:pPr>
          </w:p>
        </w:tc>
        <w:tc>
          <w:tcPr>
            <w:tcW w:w="480" w:type="dxa"/>
            <w:vAlign w:val="bottom"/>
          </w:tcPr>
          <w:p>
            <w:pPr>
              <w:jc w:val="right"/>
              <w:ind w:right="181"/>
              <w:spacing w:after="0" w:line="207"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07" w:lineRule="exact"/>
              <w:rPr>
                <w:sz w:val="20"/>
                <w:szCs w:val="20"/>
                <w:color w:val="auto"/>
              </w:rPr>
            </w:pPr>
            <w:r>
              <w:rPr>
                <w:rFonts w:ascii="Arial" w:cs="Arial" w:eastAsia="Arial" w:hAnsi="Arial"/>
                <w:sz w:val="20"/>
                <w:szCs w:val="20"/>
                <w:color w:val="auto"/>
              </w:rPr>
              <w:t>619,356</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20"/>
                <w:szCs w:val="20"/>
                <w:color w:val="auto"/>
              </w:rPr>
              <w:t>Change in foreign currency translation adjustment</w:t>
            </w:r>
          </w:p>
        </w:tc>
        <w:tc>
          <w:tcPr>
            <w:tcW w:w="3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20"/>
                <w:szCs w:val="20"/>
                <w:color w:val="auto"/>
              </w:rPr>
              <w:t>(4,463)</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1,329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(13,728)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7,641</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20"/>
                <w:szCs w:val="20"/>
                <w:color w:val="auto"/>
              </w:rPr>
              <w:t>Change in net unrealized (losses) gains</w:t>
            </w:r>
          </w:p>
        </w:tc>
        <w:tc>
          <w:tcPr>
            <w:tcW w:w="3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20"/>
                <w:szCs w:val="20"/>
                <w:color w:val="auto"/>
              </w:rPr>
              <w:t>(118)</w:t>
            </w:r>
          </w:p>
        </w:tc>
        <w:tc>
          <w:tcPr>
            <w:tcW w:w="4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20"/>
                <w:szCs w:val="20"/>
                <w:color w:val="auto"/>
              </w:rPr>
              <w:t>(29)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610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20"/>
                <w:szCs w:val="20"/>
                <w:color w:val="auto"/>
              </w:rPr>
              <w:t>Reclassification adjustment for net gains included in</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40" w:type="dxa"/>
            <w:vAlign w:val="bottom"/>
          </w:tcPr>
          <w:p>
            <w:pPr>
              <w:ind w:left="540"/>
              <w:spacing w:after="0"/>
              <w:rPr>
                <w:sz w:val="20"/>
                <w:szCs w:val="20"/>
                <w:color w:val="auto"/>
              </w:rPr>
            </w:pPr>
            <w:r>
              <w:rPr>
                <w:rFonts w:ascii="Arial" w:cs="Arial" w:eastAsia="Arial" w:hAnsi="Arial"/>
                <w:sz w:val="20"/>
                <w:szCs w:val="20"/>
                <w:color w:val="auto"/>
              </w:rPr>
              <w:t>net income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(118)</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(29)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610</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23"/>
        </w:trPr>
        <w:tc>
          <w:tcPr>
            <w:tcW w:w="5040" w:type="dxa"/>
            <w:vAlign w:val="bottom"/>
          </w:tcPr>
          <w:p>
            <w:pPr>
              <w:spacing w:after="0" w:line="213" w:lineRule="exact"/>
              <w:rPr>
                <w:sz w:val="20"/>
                <w:szCs w:val="20"/>
                <w:color w:val="auto"/>
              </w:rPr>
            </w:pPr>
            <w:r>
              <w:rPr>
                <w:rFonts w:ascii="Arial" w:cs="Arial" w:eastAsia="Arial" w:hAnsi="Arial"/>
                <w:sz w:val="20"/>
                <w:szCs w:val="20"/>
                <w:color w:val="auto"/>
              </w:rPr>
              <w:t>Other comprehensive (loss) income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(4,581)</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1,300</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(13,118)</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7,716</w:t>
            </w:r>
          </w:p>
        </w:tc>
        <w:tc>
          <w:tcPr>
            <w:tcW w:w="0" w:type="dxa"/>
            <w:vAlign w:val="bottom"/>
          </w:tcPr>
          <w:p>
            <w:pPr>
              <w:spacing w:after="0"/>
              <w:rPr>
                <w:sz w:val="1"/>
                <w:szCs w:val="1"/>
                <w:color w:val="auto"/>
              </w:rPr>
            </w:pPr>
          </w:p>
        </w:tc>
      </w:tr>
      <w:tr>
        <w:trPr>
          <w:trHeight w:val="230"/>
        </w:trPr>
        <w:tc>
          <w:tcPr>
            <w:tcW w:w="504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263,152</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220,044</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740,779</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627,072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2018 AND 2017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Nine-Months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8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81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753,897</w:t>
            </w:r>
          </w:p>
        </w:tc>
        <w:tc>
          <w:tcPr>
            <w:tcW w:w="260" w:type="dxa"/>
            <w:vAlign w:val="bottom"/>
          </w:tcPr>
          <w:p>
            <w:pPr>
              <w:spacing w:after="0"/>
              <w:rPr>
                <w:sz w:val="12"/>
                <w:szCs w:val="12"/>
                <w:color w:val="auto"/>
              </w:rPr>
            </w:pPr>
          </w:p>
        </w:tc>
        <w:tc>
          <w:tcPr>
            <w:tcW w:w="5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619,356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36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42,469</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36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(634)</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9"/>
        </w:trPr>
        <w:tc>
          <w:tcPr>
            <w:tcW w:w="8180" w:type="dxa"/>
            <w:vAlign w:val="bottom"/>
          </w:tcPr>
          <w:p>
            <w:pPr>
              <w:ind w:left="36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42,436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39,265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360"/>
              <w:spacing w:after="0" w:line="149" w:lineRule="exact"/>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36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(181,683)</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(70,865)</w:t>
            </w:r>
          </w:p>
        </w:tc>
        <w:tc>
          <w:tcPr>
            <w:tcW w:w="0" w:type="dxa"/>
            <w:vAlign w:val="bottom"/>
          </w:tcPr>
          <w:p>
            <w:pPr>
              <w:spacing w:after="0"/>
              <w:rPr>
                <w:sz w:val="1"/>
                <w:szCs w:val="1"/>
                <w:color w:val="auto"/>
              </w:rPr>
            </w:pPr>
          </w:p>
        </w:tc>
      </w:tr>
      <w:tr>
        <w:trPr>
          <w:trHeight w:val="230"/>
        </w:trPr>
        <w:tc>
          <w:tcPr>
            <w:tcW w:w="8180" w:type="dxa"/>
            <w:vAlign w:val="bottom"/>
          </w:tcPr>
          <w:p>
            <w:pPr>
              <w:ind w:left="540"/>
              <w:spacing w:after="0"/>
              <w:rPr>
                <w:sz w:val="20"/>
                <w:szCs w:val="20"/>
                <w:color w:val="auto"/>
              </w:rPr>
            </w:pPr>
            <w:r>
              <w:rPr>
                <w:rFonts w:ascii="Arial" w:cs="Arial" w:eastAsia="Arial" w:hAnsi="Arial"/>
                <w:sz w:val="14"/>
                <w:szCs w:val="14"/>
                <w:color w:val="auto"/>
              </w:rPr>
              <w:t>TCCC Transaction receivable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Distributor receivables</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7,803</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Inventories</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(10,338)</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(46,700)</w:t>
            </w: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(16,465)</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(9,210)</w:t>
            </w: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Prepaid income taxes</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96,462</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24,168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39,641</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24,653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Accrued liabilities</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16,516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15,867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Accrued promotional allowances</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48,682</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42,064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Accrued distributor terminations</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703</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Accrued compensation</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(4,357)</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Income taxes payable</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(1,383)</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149"/>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Other liabilities</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1,628</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180" w:type="dxa"/>
            <w:vAlign w:val="bottom"/>
          </w:tcPr>
          <w:p>
            <w:pPr>
              <w:ind w:left="540"/>
              <w:spacing w:after="0" w:line="149" w:lineRule="exact"/>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13"/>
                <w:szCs w:val="13"/>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(13,941)</w:t>
            </w:r>
          </w:p>
        </w:tc>
        <w:tc>
          <w:tcPr>
            <w:tcW w:w="500" w:type="dxa"/>
            <w:vAlign w:val="bottom"/>
          </w:tcPr>
          <w:p>
            <w:pPr>
              <w:spacing w:after="0"/>
              <w:rPr>
                <w:sz w:val="13"/>
                <w:szCs w:val="13"/>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(12,461)</w:t>
            </w:r>
          </w:p>
        </w:tc>
        <w:tc>
          <w:tcPr>
            <w:tcW w:w="0" w:type="dxa"/>
            <w:vAlign w:val="bottom"/>
          </w:tcPr>
          <w:p>
            <w:pPr>
              <w:spacing w:after="0"/>
              <w:rPr>
                <w:sz w:val="1"/>
                <w:szCs w:val="1"/>
                <w:color w:val="auto"/>
              </w:rPr>
            </w:pPr>
          </w:p>
        </w:tc>
      </w:tr>
      <w:tr>
        <w:trPr>
          <w:trHeight w:val="182"/>
        </w:trPr>
        <w:tc>
          <w:tcPr>
            <w:tcW w:w="8180" w:type="dxa"/>
            <w:vAlign w:val="bottom"/>
          </w:tcPr>
          <w:p>
            <w:pPr>
              <w:ind w:left="720"/>
              <w:spacing w:after="0" w:line="150" w:lineRule="exact"/>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821,360</w:t>
            </w:r>
          </w:p>
        </w:tc>
        <w:tc>
          <w:tcPr>
            <w:tcW w:w="2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790,057</w:t>
            </w: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18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927,410</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358,107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(711,009)</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(768,276)</w:t>
            </w: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(49,862)</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(67,738)</w:t>
            </w: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4,009</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Increase in intangibles</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(6,275)</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(5,137)</w:t>
            </w:r>
          </w:p>
        </w:tc>
        <w:tc>
          <w:tcPr>
            <w:tcW w:w="0" w:type="dxa"/>
            <w:vAlign w:val="bottom"/>
          </w:tcPr>
          <w:p>
            <w:pPr>
              <w:spacing w:after="0"/>
              <w:rPr>
                <w:sz w:val="1"/>
                <w:szCs w:val="1"/>
                <w:color w:val="auto"/>
              </w:rPr>
            </w:pPr>
          </w:p>
        </w:tc>
      </w:tr>
      <w:tr>
        <w:trPr>
          <w:trHeight w:val="161"/>
        </w:trPr>
        <w:tc>
          <w:tcPr>
            <w:tcW w:w="8180" w:type="dxa"/>
            <w:vAlign w:val="bottom"/>
          </w:tcPr>
          <w:p>
            <w:pPr>
              <w:spacing w:after="0" w:line="149" w:lineRule="exact"/>
              <w:rPr>
                <w:sz w:val="20"/>
                <w:szCs w:val="20"/>
                <w:color w:val="auto"/>
              </w:rPr>
            </w:pPr>
            <w:r>
              <w:rPr>
                <w:rFonts w:ascii="Arial" w:cs="Arial" w:eastAsia="Arial" w:hAnsi="Arial"/>
                <w:sz w:val="14"/>
                <w:szCs w:val="14"/>
                <w:color w:val="auto"/>
              </w:rPr>
              <w:t>Increase in other assets</w:t>
            </w:r>
          </w:p>
        </w:tc>
        <w:tc>
          <w:tcPr>
            <w:tcW w:w="920" w:type="dxa"/>
            <w:vAlign w:val="bottom"/>
          </w:tcPr>
          <w:p>
            <w:pPr>
              <w:spacing w:after="0"/>
              <w:rPr>
                <w:sz w:val="13"/>
                <w:szCs w:val="13"/>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(10,125)</w:t>
            </w:r>
          </w:p>
        </w:tc>
        <w:tc>
          <w:tcPr>
            <w:tcW w:w="500" w:type="dxa"/>
            <w:vAlign w:val="bottom"/>
          </w:tcPr>
          <w:p>
            <w:pPr>
              <w:spacing w:after="0"/>
              <w:rPr>
                <w:sz w:val="13"/>
                <w:szCs w:val="13"/>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182"/>
        </w:trPr>
        <w:tc>
          <w:tcPr>
            <w:tcW w:w="8180" w:type="dxa"/>
            <w:vAlign w:val="bottom"/>
          </w:tcPr>
          <w:p>
            <w:pPr>
              <w:ind w:left="720"/>
              <w:spacing w:after="0" w:line="150" w:lineRule="exact"/>
              <w:rPr>
                <w:sz w:val="20"/>
                <w:szCs w:val="20"/>
                <w:color w:val="auto"/>
              </w:rPr>
            </w:pPr>
            <w:r>
              <w:rPr>
                <w:rFonts w:ascii="Arial" w:cs="Arial" w:eastAsia="Arial" w:hAnsi="Arial"/>
                <w:sz w:val="14"/>
                <w:szCs w:val="14"/>
                <w:color w:val="auto"/>
              </w:rPr>
              <w:t>Net cash provided by (used in) investing activities</w:t>
            </w: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154,148</w:t>
            </w:r>
          </w:p>
        </w:tc>
        <w:tc>
          <w:tcPr>
            <w:tcW w:w="2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(483,405)</w:t>
            </w:r>
          </w:p>
        </w:tc>
        <w:tc>
          <w:tcPr>
            <w:tcW w:w="0" w:type="dxa"/>
            <w:vAlign w:val="bottom"/>
          </w:tcPr>
          <w:p>
            <w:pPr>
              <w:spacing w:after="0"/>
              <w:rPr>
                <w:sz w:val="1"/>
                <w:szCs w:val="1"/>
                <w:color w:val="auto"/>
              </w:rPr>
            </w:pPr>
          </w:p>
        </w:tc>
      </w:tr>
      <w:tr>
        <w:trPr>
          <w:trHeight w:val="177"/>
        </w:trPr>
        <w:tc>
          <w:tcPr>
            <w:tcW w:w="818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9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(1,482)</w:t>
            </w:r>
          </w:p>
        </w:tc>
        <w:tc>
          <w:tcPr>
            <w:tcW w:w="5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24,481</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26,776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920" w:type="dxa"/>
            <w:vAlign w:val="bottom"/>
          </w:tcPr>
          <w:p>
            <w:pPr>
              <w:spacing w:after="0"/>
              <w:rPr>
                <w:sz w:val="13"/>
                <w:szCs w:val="13"/>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(805,149)</w:t>
            </w:r>
          </w:p>
        </w:tc>
        <w:tc>
          <w:tcPr>
            <w:tcW w:w="500" w:type="dxa"/>
            <w:vAlign w:val="bottom"/>
          </w:tcPr>
          <w:p>
            <w:pPr>
              <w:spacing w:after="0"/>
              <w:rPr>
                <w:sz w:val="13"/>
                <w:szCs w:val="13"/>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(249,173)</w:t>
            </w:r>
          </w:p>
        </w:tc>
        <w:tc>
          <w:tcPr>
            <w:tcW w:w="0" w:type="dxa"/>
            <w:vAlign w:val="bottom"/>
          </w:tcPr>
          <w:p>
            <w:pPr>
              <w:spacing w:after="0"/>
              <w:rPr>
                <w:sz w:val="1"/>
                <w:szCs w:val="1"/>
                <w:color w:val="auto"/>
              </w:rPr>
            </w:pPr>
          </w:p>
        </w:tc>
      </w:tr>
      <w:tr>
        <w:trPr>
          <w:trHeight w:val="149"/>
        </w:trPr>
        <w:tc>
          <w:tcPr>
            <w:tcW w:w="8180" w:type="dxa"/>
            <w:vAlign w:val="bottom"/>
          </w:tcPr>
          <w:p>
            <w:pPr>
              <w:ind w:left="720"/>
              <w:spacing w:after="0" w:line="149" w:lineRule="exact"/>
              <w:rPr>
                <w:sz w:val="20"/>
                <w:szCs w:val="20"/>
                <w:color w:val="auto"/>
              </w:rPr>
            </w:pPr>
            <w:r>
              <w:rPr>
                <w:rFonts w:ascii="Arial" w:cs="Arial" w:eastAsia="Arial" w:hAnsi="Arial"/>
                <w:sz w:val="14"/>
                <w:szCs w:val="14"/>
                <w:color w:val="auto"/>
              </w:rPr>
              <w:t>Net cash used in financing activities</w:t>
            </w:r>
          </w:p>
        </w:tc>
        <w:tc>
          <w:tcPr>
            <w:tcW w:w="9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(782,150)</w:t>
            </w: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(224,275)</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9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(8,266)</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185,092</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87,977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528,622</w:t>
            </w:r>
          </w:p>
        </w:tc>
        <w:tc>
          <w:tcPr>
            <w:tcW w:w="2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377,582</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920" w:type="dxa"/>
            <w:vAlign w:val="bottom"/>
            <w:tcBorders>
              <w:bottom w:val="single" w:sz="8" w:color="auto"/>
            </w:tcBorders>
          </w:tcPr>
          <w:p>
            <w:pPr>
              <w:jc w:val="right"/>
              <w:ind w:right="708"/>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713,714</w:t>
            </w:r>
          </w:p>
        </w:tc>
        <w:tc>
          <w:tcPr>
            <w:tcW w:w="260" w:type="dxa"/>
            <w:vAlign w:val="bottom"/>
          </w:tcPr>
          <w:p>
            <w:pPr>
              <w:spacing w:after="0"/>
              <w:rPr>
                <w:sz w:val="12"/>
                <w:szCs w:val="12"/>
                <w:color w:val="auto"/>
              </w:rPr>
            </w:pPr>
          </w:p>
        </w:tc>
        <w:tc>
          <w:tcPr>
            <w:tcW w:w="50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465,559</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180"/>
              <w:spacing w:after="0" w:line="149" w:lineRule="exact"/>
              <w:rPr>
                <w:sz w:val="20"/>
                <w:szCs w:val="20"/>
                <w:color w:val="auto"/>
              </w:rPr>
            </w:pPr>
            <w:r>
              <w:rPr>
                <w:rFonts w:ascii="Arial" w:cs="Arial" w:eastAsia="Arial" w:hAnsi="Arial"/>
                <w:sz w:val="14"/>
                <w:szCs w:val="14"/>
                <w:color w:val="auto"/>
              </w:rPr>
              <w:t>Cash paid during the period for:</w:t>
            </w: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tcPr>
          <w:p>
            <w:pPr>
              <w:ind w:left="360"/>
              <w:spacing w:after="0"/>
              <w:rPr>
                <w:sz w:val="20"/>
                <w:szCs w:val="20"/>
                <w:color w:val="auto"/>
              </w:rPr>
            </w:pPr>
            <w:r>
              <w:rPr>
                <w:rFonts w:ascii="Arial" w:cs="Arial" w:eastAsia="Arial" w:hAnsi="Arial"/>
                <w:sz w:val="14"/>
                <w:szCs w:val="14"/>
                <w:color w:val="auto"/>
              </w:rPr>
              <w:t>Interest</w:t>
            </w:r>
          </w:p>
        </w:tc>
        <w:tc>
          <w:tcPr>
            <w:tcW w:w="9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360"/>
              <w:spacing w:after="0"/>
              <w:rPr>
                <w:sz w:val="20"/>
                <w:szCs w:val="20"/>
                <w:color w:val="auto"/>
              </w:rPr>
            </w:pPr>
            <w:r>
              <w:rPr>
                <w:rFonts w:ascii="Arial" w:cs="Arial" w:eastAsia="Arial" w:hAnsi="Arial"/>
                <w:sz w:val="14"/>
                <w:szCs w:val="14"/>
                <w:color w:val="auto"/>
              </w:rPr>
              <w:t>Income taxes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180" w:type="dxa"/>
            <w:vAlign w:val="bottom"/>
            <w:vMerge w:val="continue"/>
          </w:tcPr>
          <w:p>
            <w:pPr>
              <w:spacing w:after="0"/>
              <w:rPr>
                <w:sz w:val="11"/>
                <w:szCs w:val="11"/>
                <w:color w:val="auto"/>
              </w:rPr>
            </w:pPr>
          </w:p>
        </w:tc>
        <w:tc>
          <w:tcPr>
            <w:tcW w:w="920" w:type="dxa"/>
            <w:vAlign w:val="bottom"/>
            <w:tcBorders>
              <w:bottom w:val="single" w:sz="8" w:color="auto"/>
            </w:tcBorders>
          </w:tcPr>
          <w:p>
            <w:pPr>
              <w:jc w:val="right"/>
              <w:ind w:right="708"/>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8"/>
              </w:rPr>
              <w:t>134,377</w:t>
            </w:r>
          </w:p>
        </w:tc>
        <w:tc>
          <w:tcPr>
            <w:tcW w:w="260" w:type="dxa"/>
            <w:vAlign w:val="bottom"/>
          </w:tcPr>
          <w:p>
            <w:pPr>
              <w:spacing w:after="0"/>
              <w:rPr>
                <w:sz w:val="11"/>
                <w:szCs w:val="11"/>
                <w:color w:val="auto"/>
              </w:rPr>
            </w:pPr>
          </w:p>
        </w:tc>
        <w:tc>
          <w:tcPr>
            <w:tcW w:w="50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293,980</w:t>
            </w: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2018 AND 2017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$1.2 million and $2.0 million for the nine-months ended September 30, 2018 and 2017,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Included in accrued liabilities as of September 30, 2017 were $6.0 million related to purchases of property and equipment.</w:t>
      </w:r>
    </w:p>
    <w:p>
      <w:pPr>
        <w:spacing w:after="0" w:line="24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Included in accrued liabilities as of September 30, 2018 and 2017 were $10.9 million and $4.6 million, respectively, related to additions to other intangible assets.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Included in accounts payable as of September 30, 2017 were available-for-sale short-term investment purchases of $4.2 million.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2017 (“Form 10-K”) for a summary of significant accounting policies utilized by the Company and its consolidated subsidiaries and other disclosures, which should be read in conjunction with this Quarterly Report on Form 10-Q (“Form 10-Q”).</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2018 and 2017,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18"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Recently issued accounting pronouncements not yet adopted</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52525"/>
        </w:rPr>
        <w:t xml:space="preserve">In August 2018, the Financial Accounting Standards Board (“FASB”) issued Accounting Standards Update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is effective for the Company on a prospective or retrospective basis beginning on January 1, 2020, with early adoption permitted. </w:t>
      </w:r>
      <w:r>
        <w:rPr>
          <w:rFonts w:ascii="Arial" w:cs="Arial" w:eastAsia="Arial" w:hAnsi="Arial"/>
          <w:sz w:val="20"/>
          <w:szCs w:val="20"/>
          <w:color w:val="000000"/>
        </w:rPr>
        <w:t>The Company is currently evaluating the impact of ASU No. 2018-15 on its financial position, results of</w:t>
      </w:r>
      <w:r>
        <w:rPr>
          <w:rFonts w:ascii="Arial" w:cs="Arial" w:eastAsia="Arial" w:hAnsi="Arial"/>
          <w:sz w:val="20"/>
          <w:szCs w:val="20"/>
          <w:color w:val="252525"/>
        </w:rPr>
        <w:t xml:space="preserve"> </w:t>
      </w:r>
      <w:r>
        <w:rPr>
          <w:rFonts w:ascii="Arial" w:cs="Arial" w:eastAsia="Arial" w:hAnsi="Arial"/>
          <w:sz w:val="20"/>
          <w:szCs w:val="20"/>
          <w:color w:val="000000"/>
        </w:rPr>
        <w:t>operations and liquidity.</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52525"/>
        </w:rPr>
        <w:t xml:space="preserve">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with early adoption permitted. </w:t>
      </w:r>
      <w:r>
        <w:rPr>
          <w:rFonts w:ascii="Arial" w:cs="Arial" w:eastAsia="Arial" w:hAnsi="Arial"/>
          <w:sz w:val="18"/>
          <w:szCs w:val="18"/>
          <w:color w:val="000000"/>
        </w:rPr>
        <w:t>The</w:t>
      </w:r>
      <w:r>
        <w:rPr>
          <w:rFonts w:ascii="Arial" w:cs="Arial" w:eastAsia="Arial" w:hAnsi="Arial"/>
          <w:sz w:val="18"/>
          <w:szCs w:val="18"/>
          <w:color w:val="252525"/>
        </w:rPr>
        <w:t xml:space="preserve"> </w:t>
      </w:r>
      <w:r>
        <w:rPr>
          <w:rFonts w:ascii="Arial" w:cs="Arial" w:eastAsia="Arial" w:hAnsi="Arial"/>
          <w:sz w:val="18"/>
          <w:szCs w:val="18"/>
          <w:color w:val="000000"/>
        </w:rPr>
        <w:t>Company is currently evaluating the impact of ASU No. 2018-14 on its financial position, results of operations and liquidity.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52525"/>
        </w:rPr>
        <w:t xml:space="preserve">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is effective for the Company beginning on January 1, 2020, with early adoption permitted. Certain disclosures in the new guidance will need to be applied on a retrospective basis and others on a prospective basis. </w:t>
      </w:r>
      <w:r>
        <w:rPr>
          <w:rFonts w:ascii="Arial" w:cs="Arial" w:eastAsia="Arial" w:hAnsi="Arial"/>
          <w:sz w:val="19"/>
          <w:szCs w:val="19"/>
          <w:color w:val="000000"/>
        </w:rPr>
        <w:t>The Company is currently evaluating the impact of ASU No. 2018-13 on its financial position, results of operations and</w:t>
      </w:r>
      <w:r>
        <w:rPr>
          <w:rFonts w:ascii="Arial" w:cs="Arial" w:eastAsia="Arial" w:hAnsi="Arial"/>
          <w:sz w:val="19"/>
          <w:szCs w:val="19"/>
          <w:color w:val="252525"/>
        </w:rPr>
        <w:t xml:space="preserve"> </w:t>
      </w:r>
      <w:r>
        <w:rPr>
          <w:rFonts w:ascii="Arial" w:cs="Arial" w:eastAsia="Arial" w:hAnsi="Arial"/>
          <w:sz w:val="19"/>
          <w:szCs w:val="19"/>
          <w:color w:val="000000"/>
        </w:rPr>
        <w:t>liquidity.</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252525"/>
        </w:rPr>
        <w:t xml:space="preserve">In February 2018, the FASB issued ASU No. 2018-02, “Income Statement - Reporting Comprehensive Income (Topic 220)”, which amends the previous guidance to allow for certain tax effects “stranded” in accumulated other comprehensive income, which are impacted by the </w:t>
      </w:r>
      <w:r>
        <w:rPr>
          <w:rFonts w:ascii="Arial" w:cs="Arial" w:eastAsia="Arial" w:hAnsi="Arial"/>
          <w:sz w:val="18"/>
          <w:szCs w:val="18"/>
          <w:color w:val="000000"/>
        </w:rPr>
        <w:t>Tax Cuts and Jobs Act (the “Tax Reform Act”)</w:t>
      </w:r>
      <w:r>
        <w:rPr>
          <w:rFonts w:ascii="Arial" w:cs="Arial" w:eastAsia="Arial" w:hAnsi="Arial"/>
          <w:sz w:val="18"/>
          <w:szCs w:val="18"/>
          <w:color w:val="252525"/>
        </w:rPr>
        <w:t xml:space="preserve">, to be reclassified from accumulated other comprehensive income into retained earnings. This amendment pertains only to those items impacted by the new tax law and will not apply to any future tax effects stranded in accumulated other comprehensive income. This standard is effective for fiscal years beginning after December 15, 2018, and allows for early adoption. </w:t>
      </w:r>
      <w:r>
        <w:rPr>
          <w:rFonts w:ascii="Arial" w:cs="Arial" w:eastAsia="Arial" w:hAnsi="Arial"/>
          <w:sz w:val="18"/>
          <w:szCs w:val="18"/>
          <w:color w:val="000000"/>
        </w:rPr>
        <w:t>The Company is currently evaluating the impact of ASU No. 2018-02 on its financial position, results of operations and liquidity.</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 xml:space="preserve">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Arial" w:cs="Arial" w:eastAsia="Arial" w:hAnsi="Arial"/>
          <w:sz w:val="19"/>
          <w:szCs w:val="19"/>
          <w:color w:val="000000"/>
        </w:rPr>
        <w:t>The Company is currently evaluating</w:t>
      </w:r>
      <w:r>
        <w:rPr>
          <w:rFonts w:ascii="Arial" w:cs="Arial" w:eastAsia="Arial" w:hAnsi="Arial"/>
          <w:sz w:val="19"/>
          <w:szCs w:val="19"/>
          <w:color w:val="252525"/>
        </w:rPr>
        <w:t xml:space="preserve"> </w:t>
      </w:r>
      <w:r>
        <w:rPr>
          <w:rFonts w:ascii="Arial" w:cs="Arial" w:eastAsia="Arial" w:hAnsi="Arial"/>
          <w:sz w:val="19"/>
          <w:szCs w:val="19"/>
          <w:color w:val="000000"/>
        </w:rPr>
        <w:t>the impact of ASU No. 2017-04 on its financial position, results of operations and liquidity.</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has completed its initial assessment of ASU No. 2016-02 and currently believes the adoption will not have a material impact on its financial position, results of operations and liquidity. The Company anticipates finalizing its assessment prior to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Recently adopted accounting pronouncements</w:t>
      </w:r>
    </w:p>
    <w:p>
      <w:pPr>
        <w:spacing w:after="0" w:line="216"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recognizes the income tax consequences of an intra-entity transfer of an asset other than inventory when the transfer occurs. ASU No. 2016-16 was effective for financial statements issued for annual periods beginning after December 15, 2017 and interim periods within those annual periods. </w:t>
      </w:r>
      <w:r>
        <w:rPr>
          <w:rFonts w:ascii="Arial" w:cs="Arial" w:eastAsia="Arial" w:hAnsi="Arial"/>
          <w:sz w:val="18"/>
          <w:szCs w:val="18"/>
          <w:color w:val="000000"/>
        </w:rPr>
        <w:t>The Company adopted ASU No. 2016-16 effective</w:t>
      </w:r>
      <w:r>
        <w:rPr>
          <w:rFonts w:ascii="Arial" w:cs="Arial" w:eastAsia="Arial" w:hAnsi="Arial"/>
          <w:sz w:val="18"/>
          <w:szCs w:val="18"/>
          <w:color w:val="252525"/>
        </w:rPr>
        <w:t xml:space="preserve"> </w:t>
      </w:r>
      <w:r>
        <w:rPr>
          <w:rFonts w:ascii="Arial" w:cs="Arial" w:eastAsia="Arial" w:hAnsi="Arial"/>
          <w:sz w:val="18"/>
          <w:szCs w:val="18"/>
          <w:color w:val="000000"/>
        </w:rPr>
        <w:t>January 1, 2018 on a modified retrospective basis, resulting in a $6.6 million reclassification of the unrecognized income tax effects related to assets transfers that occurred prior to the adoption from deferred income taxes to opening retained earnings.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May 2014, the FASB issued ASU No. 2014-09, “Revenue from Contracts with Customers (Topic 606)”, which superseded previous revenue recognition guidance. ASU No. 2014-09 and its amendments were included in Accounting Standards Codification (“ASC”) 606, “Revenue from Contracts with Customers”. ASC 606 requires that a company recognizes revenue at an amount that reflects the consideration to which the company expects to be entitled in exchange for transferring goods or services to a customer. The Company adopted ASC 606 effective January 1, 2018, using the modified retrospective approach, with no impact to the opening retained earnings. Results for periods beginning on or after January 1, 2018 are presented under ASC 606, while prior periods are not adjusted and continue to be reported in accordance with the prior accounting guidance under ASC 605, “Revenue Recognition”. See Note 3.</w:t>
      </w:r>
    </w:p>
    <w:p>
      <w:pPr>
        <w:spacing w:after="0" w:line="16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RECOGNITION</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three operating and reportable segments, (i) Monster Energy® Drinks segment (“Monster Energy® Drinks”), which is primarily comprised of the Company’s Monster Energy® drinks, (ii) Strategic Brands segment (“Strategic Brands”), which is comprised of the various energy drink brands acquired from The Coca-Cola Company (“TCCC”) in 2015, and (iii) Other segment (“Other”), which is comprised of certain products sold by American Fruits &amp; Flavors LLC, a wholly-owned subsidiary of the Company, to independent third-party customers.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foodservice customers and the military.</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 chains, foodservice customers, drug stores and the military. To a lesser extent, our Strategic Brands segment generates net operating revenues by selling certain ready-to-drink packaged energy drinks to bottlers and full service beverage distributors.</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September 30, 2018 or December 31, 2017.</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excludes from revenues all taxes assessed by a governmental authority that are imposed on the sale of its products and collected from customers.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Distribution expenses to transport the Company’s products, where applicable, and warehousing expense after manufacture are accounted for within operating expenses.</w:t>
      </w:r>
    </w:p>
    <w:p>
      <w:pPr>
        <w:spacing w:after="0" w:line="177"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There were no changes to the Company’s accounting for variable consideration under ASC 606. Promotional and other allowances (variable consideration) recorded as a reduction to net sales, primarily include consideration given to the Company’s bottlers/distributors or retail customers including, but not limited to the following:</w:t>
      </w:r>
    </w:p>
    <w:p>
      <w:pPr>
        <w:spacing w:after="0" w:line="186" w:lineRule="exact"/>
        <w:rPr>
          <w:sz w:val="20"/>
          <w:szCs w:val="20"/>
          <w:color w:val="auto"/>
        </w:rPr>
      </w:pPr>
    </w:p>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discounts granted off list prices to support price promotions to end-consumers by retailers;</w:t>
      </w:r>
    </w:p>
    <w:p>
      <w:pPr>
        <w:spacing w:after="0" w:line="15" w:lineRule="exact"/>
        <w:rPr>
          <w:rFonts w:ascii="Arial" w:cs="Arial" w:eastAsia="Arial" w:hAnsi="Arial"/>
          <w:sz w:val="20"/>
          <w:szCs w:val="20"/>
          <w:color w:val="auto"/>
        </w:rPr>
      </w:pPr>
    </w:p>
    <w:p>
      <w:pPr>
        <w:ind w:left="1300" w:right="40" w:hanging="320"/>
        <w:spacing w:after="0" w:line="239" w:lineRule="auto"/>
        <w:tabs>
          <w:tab w:leader="none" w:pos="1399" w:val="left"/>
        </w:tabs>
        <w:numPr>
          <w:ilvl w:val="0"/>
          <w:numId w:val="4"/>
        </w:numPr>
        <w:rPr>
          <w:rFonts w:ascii="Arial" w:cs="Arial" w:eastAsia="Arial" w:hAnsi="Arial"/>
          <w:sz w:val="20"/>
          <w:szCs w:val="20"/>
          <w:color w:val="auto"/>
        </w:rPr>
      </w:pPr>
      <w:r>
        <w:rPr>
          <w:rFonts w:ascii="Arial" w:cs="Arial" w:eastAsia="Arial" w:hAnsi="Arial"/>
          <w:sz w:val="20"/>
          <w:szCs w:val="20"/>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Arial" w:cs="Arial" w:eastAsia="Arial" w:hAnsi="Arial"/>
          <w:sz w:val="20"/>
          <w:szCs w:val="20"/>
          <w:color w:val="auto"/>
        </w:rPr>
      </w:pPr>
    </w:p>
    <w:p>
      <w:pPr>
        <w:ind w:left="1300" w:right="60" w:hanging="320"/>
        <w:spacing w:after="0" w:line="239" w:lineRule="auto"/>
        <w:tabs>
          <w:tab w:leader="none" w:pos="1291"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Company’s agreed share of fees given to bottlers/distributors and/or directly to retailers for advertising, in-store marketing and promotional activities;</w:t>
      </w:r>
    </w:p>
    <w:p>
      <w:pPr>
        <w:spacing w:after="0" w:line="1" w:lineRule="exact"/>
        <w:rPr>
          <w:rFonts w:ascii="Arial" w:cs="Arial" w:eastAsia="Arial" w:hAnsi="Arial"/>
          <w:sz w:val="20"/>
          <w:szCs w:val="20"/>
          <w:color w:val="auto"/>
        </w:rPr>
      </w:pPr>
    </w:p>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Company’s agreed share of slotting, shelf space allowances and other fees given directly to retailers;</w:t>
      </w:r>
    </w:p>
    <w:p>
      <w:pPr>
        <w:ind w:left="1300" w:right="40" w:hanging="320"/>
        <w:spacing w:after="0" w:line="239" w:lineRule="auto"/>
        <w:tabs>
          <w:tab w:leader="none" w:pos="1304" w:val="left"/>
        </w:tabs>
        <w:numPr>
          <w:ilvl w:val="0"/>
          <w:numId w:val="4"/>
        </w:numPr>
        <w:rPr>
          <w:rFonts w:ascii="Arial" w:cs="Arial" w:eastAsia="Arial" w:hAnsi="Arial"/>
          <w:sz w:val="20"/>
          <w:szCs w:val="20"/>
          <w:color w:val="auto"/>
        </w:rPr>
      </w:pPr>
      <w:r>
        <w:rPr>
          <w:rFonts w:ascii="Arial" w:cs="Arial" w:eastAsia="Arial" w:hAnsi="Arial"/>
          <w:sz w:val="20"/>
          <w:szCs w:val="20"/>
          <w:color w:val="auto"/>
        </w:rPr>
        <w:t>incentives given to the Company’s bottlers/distributors and/or retailers for achieving or exceeding certain predetermined sales goals;</w:t>
      </w:r>
    </w:p>
    <w:p>
      <w:pPr>
        <w:spacing w:after="0" w:line="1" w:lineRule="exact"/>
        <w:rPr>
          <w:rFonts w:ascii="Arial" w:cs="Arial" w:eastAsia="Arial" w:hAnsi="Arial"/>
          <w:sz w:val="20"/>
          <w:szCs w:val="20"/>
          <w:color w:val="auto"/>
        </w:rPr>
      </w:pPr>
    </w:p>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discounted or free products;</w:t>
      </w:r>
    </w:p>
    <w:p>
      <w:pPr>
        <w:ind w:left="1300" w:right="40" w:hanging="320"/>
        <w:spacing w:after="0" w:line="239" w:lineRule="auto"/>
        <w:tabs>
          <w:tab w:leader="none" w:pos="1291"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contractual fees given to the Company’s bottlers/distributors related to sales made by the Company direct to certain customers that fall within the bottlers’/distributors’ sales territories; and</w:t>
      </w:r>
    </w:p>
    <w:p>
      <w:pPr>
        <w:spacing w:after="0" w:line="1" w:lineRule="exact"/>
        <w:rPr>
          <w:rFonts w:ascii="Arial" w:cs="Arial" w:eastAsia="Arial" w:hAnsi="Arial"/>
          <w:sz w:val="20"/>
          <w:szCs w:val="20"/>
          <w:color w:val="auto"/>
        </w:rPr>
      </w:pPr>
    </w:p>
    <w:p>
      <w:pPr>
        <w:ind w:left="1260" w:hanging="280"/>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certain commissions paid based on sales to the Company’s bottlers/distributors.</w:t>
      </w:r>
    </w:p>
    <w:p>
      <w:pPr>
        <w:spacing w:after="0" w:line="200"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9"/>
          <w:szCs w:val="19"/>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adoption of ASC 606, commissions paid to TCCC based on sales to certain of the Company’s bottlers/distributors who are</w:t>
      </w:r>
    </w:p>
    <w:p>
      <w:pPr>
        <w:spacing w:after="0" w:line="27" w:lineRule="exact"/>
        <w:rPr>
          <w:sz w:val="20"/>
          <w:szCs w:val="20"/>
          <w:color w:val="auto"/>
        </w:rPr>
      </w:pPr>
    </w:p>
    <w:p>
      <w:pPr>
        <w:ind w:right="60" w:firstLine="8"/>
        <w:spacing w:after="0" w:line="244" w:lineRule="auto"/>
        <w:tabs>
          <w:tab w:leader="none" w:pos="251"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consolidated subsidiaries of TCCC (the “TCCC Subsidiaries”), (ii) accounted for under the equity method by TCCC (the “TCCC Related Parties”) and (iii) those not included in (i) or (ii) (the “TCCC Independent Bottlers”) are accounted for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tcBorders>
              <w:bottom w:val="single" w:sz="8" w:color="auto"/>
            </w:tcBorders>
            <w:gridSpan w:val="3"/>
          </w:tcPr>
          <w:p>
            <w:pPr>
              <w:ind w:left="1000"/>
              <w:spacing w:after="0"/>
              <w:rPr>
                <w:sz w:val="20"/>
                <w:szCs w:val="20"/>
                <w:color w:val="auto"/>
              </w:rPr>
            </w:pPr>
            <w:r>
              <w:rPr>
                <w:rFonts w:ascii="Arial" w:cs="Arial" w:eastAsia="Arial" w:hAnsi="Arial"/>
                <w:sz w:val="19"/>
                <w:szCs w:val="19"/>
                <w:color w:val="auto"/>
              </w:rPr>
              <w:t>Three- and Nine-Months Ended September 30, 2018</w:t>
            </w:r>
          </w:p>
        </w:tc>
        <w:tc>
          <w:tcPr>
            <w:tcW w:w="1360" w:type="dxa"/>
            <w:vAlign w:val="bottom"/>
          </w:tcPr>
          <w:p>
            <w:pPr>
              <w:spacing w:after="0"/>
              <w:rPr>
                <w:sz w:val="20"/>
                <w:szCs w:val="20"/>
                <w:color w:val="auto"/>
              </w:rPr>
            </w:pPr>
          </w:p>
        </w:tc>
      </w:tr>
      <w:tr>
        <w:trPr>
          <w:trHeight w:val="241"/>
        </w:trPr>
        <w:tc>
          <w:tcPr>
            <w:tcW w:w="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9"/>
                <w:szCs w:val="19"/>
                <w:color w:val="auto"/>
                <w:w w:val="95"/>
              </w:rPr>
              <w:t>Without Adoption of</w:t>
            </w:r>
          </w:p>
        </w:tc>
        <w:tc>
          <w:tcPr>
            <w:tcW w:w="1360" w:type="dxa"/>
            <w:vAlign w:val="bottom"/>
          </w:tcPr>
          <w:p>
            <w:pPr>
              <w:spacing w:after="0"/>
              <w:rPr>
                <w:sz w:val="20"/>
                <w:szCs w:val="20"/>
                <w:color w:val="auto"/>
              </w:rPr>
            </w:pPr>
          </w:p>
        </w:tc>
      </w:tr>
      <w:tr>
        <w:trPr>
          <w:trHeight w:val="238"/>
        </w:trPr>
        <w:tc>
          <w:tcPr>
            <w:tcW w:w="98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9"/>
                <w:szCs w:val="19"/>
                <w:color w:val="auto"/>
              </w:rPr>
              <w:t>Commissions Related To:</w:t>
            </w:r>
          </w:p>
        </w:tc>
        <w:tc>
          <w:tcPr>
            <w:tcW w:w="3120" w:type="dxa"/>
            <w:vAlign w:val="bottom"/>
            <w:gridSpan w:val="2"/>
          </w:tcPr>
          <w:p>
            <w:pPr>
              <w:ind w:left="960"/>
              <w:spacing w:after="0"/>
              <w:rPr>
                <w:sz w:val="20"/>
                <w:szCs w:val="20"/>
                <w:color w:val="auto"/>
              </w:rPr>
            </w:pPr>
            <w:r>
              <w:rPr>
                <w:rFonts w:ascii="Arial" w:cs="Arial" w:eastAsia="Arial" w:hAnsi="Arial"/>
                <w:sz w:val="19"/>
                <w:szCs w:val="19"/>
                <w:color w:val="auto"/>
              </w:rPr>
              <w:t>As Reported</w:t>
            </w:r>
          </w:p>
        </w:tc>
        <w:tc>
          <w:tcPr>
            <w:tcW w:w="2840" w:type="dxa"/>
            <w:vAlign w:val="bottom"/>
          </w:tcPr>
          <w:p>
            <w:pPr>
              <w:jc w:val="center"/>
              <w:spacing w:after="0"/>
              <w:rPr>
                <w:sz w:val="20"/>
                <w:szCs w:val="20"/>
                <w:color w:val="auto"/>
              </w:rPr>
            </w:pPr>
            <w:r>
              <w:rPr>
                <w:rFonts w:ascii="Arial" w:cs="Arial" w:eastAsia="Arial" w:hAnsi="Arial"/>
                <w:sz w:val="19"/>
                <w:szCs w:val="19"/>
                <w:color w:val="auto"/>
                <w:w w:val="91"/>
              </w:rPr>
              <w:t>ASC 606</w:t>
            </w:r>
          </w:p>
        </w:tc>
        <w:tc>
          <w:tcPr>
            <w:tcW w:w="1360" w:type="dxa"/>
            <w:vAlign w:val="bottom"/>
          </w:tcPr>
          <w:p>
            <w:pPr>
              <w:spacing w:after="0"/>
              <w:rPr>
                <w:sz w:val="20"/>
                <w:szCs w:val="20"/>
                <w:color w:val="auto"/>
              </w:rPr>
            </w:pPr>
          </w:p>
        </w:tc>
      </w:tr>
      <w:tr>
        <w:trPr>
          <w:trHeight w:val="187"/>
        </w:trPr>
        <w:tc>
          <w:tcPr>
            <w:tcW w:w="980" w:type="dxa"/>
            <w:vAlign w:val="bottom"/>
          </w:tcPr>
          <w:p>
            <w:pPr>
              <w:spacing w:after="0"/>
              <w:rPr>
                <w:sz w:val="16"/>
                <w:szCs w:val="16"/>
                <w:color w:val="auto"/>
              </w:rPr>
            </w:pPr>
          </w:p>
        </w:tc>
        <w:tc>
          <w:tcPr>
            <w:tcW w:w="2880" w:type="dxa"/>
            <w:vAlign w:val="bottom"/>
            <w:tcBorders>
              <w:top w:val="single" w:sz="8" w:color="auto"/>
            </w:tcBorders>
          </w:tcPr>
          <w:p>
            <w:pPr>
              <w:ind w:left="20"/>
              <w:spacing w:after="0" w:line="187" w:lineRule="exact"/>
              <w:rPr>
                <w:sz w:val="20"/>
                <w:szCs w:val="20"/>
                <w:color w:val="auto"/>
              </w:rPr>
            </w:pPr>
            <w:r>
              <w:rPr>
                <w:rFonts w:ascii="Arial" w:cs="Arial" w:eastAsia="Arial" w:hAnsi="Arial"/>
                <w:sz w:val="19"/>
                <w:szCs w:val="19"/>
                <w:color w:val="auto"/>
              </w:rPr>
              <w:t>TCCC Subsidiaries</w:t>
            </w:r>
          </w:p>
        </w:tc>
        <w:tc>
          <w:tcPr>
            <w:tcW w:w="280" w:type="dxa"/>
            <w:vAlign w:val="bottom"/>
          </w:tcPr>
          <w:p>
            <w:pPr>
              <w:spacing w:after="0"/>
              <w:rPr>
                <w:sz w:val="16"/>
                <w:szCs w:val="16"/>
                <w:color w:val="auto"/>
              </w:rPr>
            </w:pPr>
          </w:p>
        </w:tc>
        <w:tc>
          <w:tcPr>
            <w:tcW w:w="2860" w:type="dxa"/>
            <w:vAlign w:val="bottom"/>
            <w:tcBorders>
              <w:top w:val="single" w:sz="8" w:color="auto"/>
            </w:tcBorders>
          </w:tcPr>
          <w:p>
            <w:pPr>
              <w:ind w:left="20"/>
              <w:spacing w:after="0" w:line="187" w:lineRule="exact"/>
              <w:rPr>
                <w:sz w:val="20"/>
                <w:szCs w:val="20"/>
                <w:color w:val="auto"/>
              </w:rPr>
            </w:pPr>
            <w:r>
              <w:rPr>
                <w:rFonts w:ascii="Arial" w:cs="Arial" w:eastAsia="Arial" w:hAnsi="Arial"/>
                <w:sz w:val="19"/>
                <w:szCs w:val="19"/>
                <w:color w:val="auto"/>
              </w:rPr>
              <w:t>Reduction to net sales</w:t>
            </w:r>
          </w:p>
        </w:tc>
        <w:tc>
          <w:tcPr>
            <w:tcW w:w="260" w:type="dxa"/>
            <w:vAlign w:val="bottom"/>
          </w:tcPr>
          <w:p>
            <w:pPr>
              <w:spacing w:after="0"/>
              <w:rPr>
                <w:sz w:val="16"/>
                <w:szCs w:val="16"/>
                <w:color w:val="auto"/>
              </w:rPr>
            </w:pPr>
          </w:p>
        </w:tc>
        <w:tc>
          <w:tcPr>
            <w:tcW w:w="2840" w:type="dxa"/>
            <w:vAlign w:val="bottom"/>
            <w:tcBorders>
              <w:top w:val="single" w:sz="8" w:color="auto"/>
            </w:tcBorders>
          </w:tcPr>
          <w:p>
            <w:pPr>
              <w:ind w:left="20"/>
              <w:spacing w:after="0" w:line="187" w:lineRule="exact"/>
              <w:rPr>
                <w:sz w:val="20"/>
                <w:szCs w:val="20"/>
                <w:color w:val="auto"/>
              </w:rPr>
            </w:pPr>
            <w:r>
              <w:rPr>
                <w:rFonts w:ascii="Arial" w:cs="Arial" w:eastAsia="Arial" w:hAnsi="Arial"/>
                <w:sz w:val="19"/>
                <w:szCs w:val="19"/>
                <w:color w:val="auto"/>
              </w:rPr>
              <w:t>Reduction to net sales</w:t>
            </w:r>
          </w:p>
        </w:tc>
        <w:tc>
          <w:tcPr>
            <w:tcW w:w="136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3160" w:type="dxa"/>
            <w:vAlign w:val="bottom"/>
            <w:gridSpan w:val="2"/>
          </w:tcPr>
          <w:p>
            <w:pPr>
              <w:ind w:left="20"/>
              <w:spacing w:after="0" w:line="216" w:lineRule="exact"/>
              <w:rPr>
                <w:sz w:val="20"/>
                <w:szCs w:val="20"/>
                <w:color w:val="auto"/>
              </w:rPr>
            </w:pPr>
            <w:r>
              <w:rPr>
                <w:rFonts w:ascii="Arial" w:cs="Arial" w:eastAsia="Arial" w:hAnsi="Arial"/>
                <w:sz w:val="19"/>
                <w:szCs w:val="19"/>
                <w:color w:val="auto"/>
              </w:rPr>
              <w:t>TCCC Related Parties</w:t>
            </w:r>
          </w:p>
        </w:tc>
        <w:tc>
          <w:tcPr>
            <w:tcW w:w="3120" w:type="dxa"/>
            <w:vAlign w:val="bottom"/>
            <w:gridSpan w:val="2"/>
          </w:tcPr>
          <w:p>
            <w:pPr>
              <w:ind w:left="20"/>
              <w:spacing w:after="0" w:line="216" w:lineRule="exact"/>
              <w:rPr>
                <w:sz w:val="20"/>
                <w:szCs w:val="20"/>
                <w:color w:val="auto"/>
              </w:rPr>
            </w:pPr>
            <w:r>
              <w:rPr>
                <w:rFonts w:ascii="Arial" w:cs="Arial" w:eastAsia="Arial" w:hAnsi="Arial"/>
                <w:sz w:val="19"/>
                <w:szCs w:val="19"/>
                <w:color w:val="auto"/>
              </w:rPr>
              <w:t>Reduction to net sales</w:t>
            </w:r>
          </w:p>
        </w:tc>
        <w:tc>
          <w:tcPr>
            <w:tcW w:w="2840" w:type="dxa"/>
            <w:vAlign w:val="bottom"/>
          </w:tcPr>
          <w:p>
            <w:pPr>
              <w:ind w:left="20"/>
              <w:spacing w:after="0" w:line="216" w:lineRule="exact"/>
              <w:rPr>
                <w:sz w:val="20"/>
                <w:szCs w:val="20"/>
                <w:color w:val="auto"/>
              </w:rPr>
            </w:pPr>
            <w:r>
              <w:rPr>
                <w:rFonts w:ascii="Arial" w:cs="Arial" w:eastAsia="Arial" w:hAnsi="Arial"/>
                <w:sz w:val="19"/>
                <w:szCs w:val="19"/>
                <w:color w:val="auto"/>
              </w:rPr>
              <w:t>Operating expenses</w:t>
            </w:r>
          </w:p>
        </w:tc>
        <w:tc>
          <w:tcPr>
            <w:tcW w:w="1360" w:type="dxa"/>
            <w:vAlign w:val="bottom"/>
          </w:tcPr>
          <w:p>
            <w:pPr>
              <w:spacing w:after="0"/>
              <w:rPr>
                <w:sz w:val="18"/>
                <w:szCs w:val="18"/>
                <w:color w:val="auto"/>
              </w:rPr>
            </w:pPr>
          </w:p>
        </w:tc>
      </w:tr>
      <w:tr>
        <w:trPr>
          <w:trHeight w:val="240"/>
        </w:trPr>
        <w:tc>
          <w:tcPr>
            <w:tcW w:w="98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9"/>
                <w:szCs w:val="19"/>
                <w:color w:val="auto"/>
              </w:rPr>
              <w:t>TCCC Independent Bottlers</w:t>
            </w:r>
          </w:p>
        </w:tc>
        <w:tc>
          <w:tcPr>
            <w:tcW w:w="3120" w:type="dxa"/>
            <w:vAlign w:val="bottom"/>
            <w:gridSpan w:val="2"/>
          </w:tcPr>
          <w:p>
            <w:pPr>
              <w:ind w:left="20"/>
              <w:spacing w:after="0"/>
              <w:rPr>
                <w:sz w:val="20"/>
                <w:szCs w:val="20"/>
                <w:color w:val="auto"/>
              </w:rPr>
            </w:pPr>
            <w:r>
              <w:rPr>
                <w:rFonts w:ascii="Arial" w:cs="Arial" w:eastAsia="Arial" w:hAnsi="Arial"/>
                <w:sz w:val="19"/>
                <w:szCs w:val="19"/>
                <w:color w:val="auto"/>
              </w:rPr>
              <w:t>Operating expenses</w:t>
            </w:r>
          </w:p>
        </w:tc>
        <w:tc>
          <w:tcPr>
            <w:tcW w:w="2840" w:type="dxa"/>
            <w:vAlign w:val="bottom"/>
          </w:tcPr>
          <w:p>
            <w:pPr>
              <w:ind w:left="20"/>
              <w:spacing w:after="0"/>
              <w:rPr>
                <w:sz w:val="20"/>
                <w:szCs w:val="20"/>
                <w:color w:val="auto"/>
              </w:rPr>
            </w:pPr>
            <w:r>
              <w:rPr>
                <w:rFonts w:ascii="Arial" w:cs="Arial" w:eastAsia="Arial" w:hAnsi="Arial"/>
                <w:sz w:val="19"/>
                <w:szCs w:val="19"/>
                <w:color w:val="auto"/>
              </w:rPr>
              <w:t>Operating expenses</w:t>
            </w:r>
          </w:p>
        </w:tc>
        <w:tc>
          <w:tcPr>
            <w:tcW w:w="1360" w:type="dxa"/>
            <w:vAlign w:val="bottom"/>
          </w:tcPr>
          <w:p>
            <w:pPr>
              <w:spacing w:after="0"/>
              <w:rPr>
                <w:sz w:val="20"/>
                <w:szCs w:val="20"/>
                <w:color w:val="auto"/>
              </w:rPr>
            </w:pPr>
          </w:p>
        </w:tc>
      </w:tr>
      <w:tr>
        <w:trPr>
          <w:trHeight w:val="430"/>
        </w:trPr>
        <w:tc>
          <w:tcPr>
            <w:tcW w:w="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ind w:left="14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impact of the adoption of ASC 606 on the Company’s condensed consolidated statement of income for the three- and nine-months ended September 30, 2018 was as follows:</w:t>
      </w:r>
    </w:p>
    <w:p>
      <w:pPr>
        <w:spacing w:after="0" w:line="171"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Three-Months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12700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105"/>
              <w:spacing w:after="0"/>
              <w:rPr>
                <w:sz w:val="20"/>
                <w:szCs w:val="20"/>
                <w:color w:val="auto"/>
              </w:rPr>
            </w:pPr>
            <w:r>
              <w:rPr>
                <w:rFonts w:ascii="Arial" w:cs="Arial" w:eastAsia="Arial" w:hAnsi="Arial"/>
                <w:sz w:val="19"/>
                <w:szCs w:val="19"/>
                <w:color w:val="auto"/>
                <w:w w:val="86"/>
              </w:rPr>
              <w:t>Decrease due to</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3"/>
          </w:tcPr>
          <w:p>
            <w:pPr>
              <w:jc w:val="center"/>
              <w:ind w:right="280"/>
              <w:spacing w:after="0" w:line="216" w:lineRule="exact"/>
              <w:rPr>
                <w:sz w:val="20"/>
                <w:szCs w:val="20"/>
                <w:color w:val="auto"/>
              </w:rPr>
            </w:pPr>
            <w:r>
              <w:rPr>
                <w:rFonts w:ascii="Arial" w:cs="Arial" w:eastAsia="Arial" w:hAnsi="Arial"/>
                <w:sz w:val="19"/>
                <w:szCs w:val="19"/>
                <w:color w:val="auto"/>
                <w:w w:val="93"/>
              </w:rPr>
              <w:t>Without Adoption</w:t>
            </w:r>
          </w:p>
        </w:tc>
        <w:tc>
          <w:tcPr>
            <w:tcW w:w="200" w:type="dxa"/>
            <w:vAlign w:val="bottom"/>
          </w:tcPr>
          <w:p>
            <w:pPr>
              <w:spacing w:after="0"/>
              <w:rPr>
                <w:sz w:val="18"/>
                <w:szCs w:val="18"/>
                <w:color w:val="auto"/>
              </w:rPr>
            </w:pPr>
          </w:p>
        </w:tc>
        <w:tc>
          <w:tcPr>
            <w:tcW w:w="1520" w:type="dxa"/>
            <w:vAlign w:val="bottom"/>
          </w:tcPr>
          <w:p>
            <w:pPr>
              <w:jc w:val="center"/>
              <w:ind w:right="105"/>
              <w:spacing w:after="0" w:line="216" w:lineRule="exact"/>
              <w:rPr>
                <w:sz w:val="20"/>
                <w:szCs w:val="20"/>
                <w:color w:val="auto"/>
              </w:rPr>
            </w:pPr>
            <w:r>
              <w:rPr>
                <w:rFonts w:ascii="Arial" w:cs="Arial" w:eastAsia="Arial" w:hAnsi="Arial"/>
                <w:sz w:val="19"/>
                <w:szCs w:val="19"/>
                <w:color w:val="auto"/>
                <w:w w:val="93"/>
              </w:rPr>
              <w:t>Adoption of ASC</w:t>
            </w:r>
          </w:p>
        </w:tc>
        <w:tc>
          <w:tcPr>
            <w:tcW w:w="0" w:type="dxa"/>
            <w:vAlign w:val="bottom"/>
          </w:tcPr>
          <w:p>
            <w:pPr>
              <w:spacing w:after="0"/>
              <w:rPr>
                <w:sz w:val="1"/>
                <w:szCs w:val="1"/>
                <w:color w:val="auto"/>
              </w:rPr>
            </w:pPr>
          </w:p>
        </w:tc>
      </w:tr>
      <w:tr>
        <w:trPr>
          <w:trHeight w:val="238"/>
        </w:trPr>
        <w:tc>
          <w:tcPr>
            <w:tcW w:w="332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9"/>
                <w:szCs w:val="19"/>
                <w:color w:val="auto"/>
              </w:rPr>
              <w:t>As Reported</w:t>
            </w:r>
          </w:p>
        </w:tc>
        <w:tc>
          <w:tcPr>
            <w:tcW w:w="300" w:type="dxa"/>
            <w:vAlign w:val="bottom"/>
          </w:tcPr>
          <w:p>
            <w:pPr>
              <w:spacing w:after="0"/>
              <w:rPr>
                <w:sz w:val="20"/>
                <w:szCs w:val="20"/>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9"/>
                <w:szCs w:val="19"/>
                <w:color w:val="auto"/>
                <w:w w:val="94"/>
              </w:rPr>
              <w:t>of ASC 606</w:t>
            </w:r>
          </w:p>
        </w:tc>
        <w:tc>
          <w:tcPr>
            <w:tcW w:w="200" w:type="dxa"/>
            <w:vAlign w:val="bottom"/>
          </w:tcPr>
          <w:p>
            <w:pPr>
              <w:spacing w:after="0"/>
              <w:rPr>
                <w:sz w:val="20"/>
                <w:szCs w:val="20"/>
                <w:color w:val="auto"/>
              </w:rPr>
            </w:pPr>
          </w:p>
        </w:tc>
        <w:tc>
          <w:tcPr>
            <w:tcW w:w="1520" w:type="dxa"/>
            <w:vAlign w:val="bottom"/>
          </w:tcPr>
          <w:p>
            <w:pPr>
              <w:jc w:val="center"/>
              <w:ind w:right="105"/>
              <w:spacing w:after="0"/>
              <w:rPr>
                <w:sz w:val="20"/>
                <w:szCs w:val="20"/>
                <w:color w:val="auto"/>
              </w:rPr>
            </w:pPr>
            <w:r>
              <w:rPr>
                <w:rFonts w:ascii="Arial" w:cs="Arial" w:eastAsia="Arial" w:hAnsi="Arial"/>
                <w:sz w:val="19"/>
                <w:szCs w:val="19"/>
                <w:color w:val="auto"/>
                <w:w w:val="88"/>
              </w:rPr>
              <w:t>606</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1,016,160</w:t>
            </w:r>
          </w:p>
        </w:tc>
        <w:tc>
          <w:tcPr>
            <w:tcW w:w="280" w:type="dxa"/>
            <w:vAlign w:val="bottom"/>
          </w:tcPr>
          <w:p>
            <w:pPr>
              <w:spacing w:after="0"/>
              <w:rPr>
                <w:sz w:val="16"/>
                <w:szCs w:val="16"/>
                <w:color w:val="auto"/>
              </w:rPr>
            </w:pPr>
          </w:p>
        </w:tc>
        <w:tc>
          <w:tcPr>
            <w:tcW w:w="3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w:t>
            </w:r>
          </w:p>
        </w:tc>
        <w:tc>
          <w:tcPr>
            <w:tcW w:w="14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1,027,758</w:t>
            </w:r>
          </w:p>
        </w:tc>
        <w:tc>
          <w:tcPr>
            <w:tcW w:w="30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5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(11,598)</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19"/>
                <w:szCs w:val="19"/>
                <w:color w:val="auto"/>
              </w:rPr>
              <w:t>Operating Expenses</w:t>
            </w:r>
          </w:p>
        </w:tc>
        <w:tc>
          <w:tcPr>
            <w:tcW w:w="28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268,086</w:t>
            </w:r>
          </w:p>
        </w:tc>
        <w:tc>
          <w:tcPr>
            <w:tcW w:w="280" w:type="dxa"/>
            <w:vAlign w:val="bottom"/>
          </w:tcPr>
          <w:p>
            <w:pPr>
              <w:spacing w:after="0"/>
              <w:rPr>
                <w:sz w:val="20"/>
                <w:szCs w:val="20"/>
                <w:color w:val="auto"/>
              </w:rPr>
            </w:pPr>
          </w:p>
        </w:tc>
        <w:tc>
          <w:tcPr>
            <w:tcW w:w="3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279,684</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spacing w:after="0"/>
              <w:rPr>
                <w:sz w:val="20"/>
                <w:szCs w:val="20"/>
                <w:color w:val="auto"/>
              </w:rPr>
            </w:pPr>
            <w:r>
              <w:rPr>
                <w:rFonts w:ascii="Arial" w:cs="Arial" w:eastAsia="Arial" w:hAnsi="Arial"/>
                <w:sz w:val="19"/>
                <w:szCs w:val="19"/>
                <w:color w:val="auto"/>
              </w:rPr>
              <w:t>(11,598)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93" w:lineRule="exact"/>
        <w:rPr>
          <w:sz w:val="20"/>
          <w:szCs w:val="20"/>
          <w:color w:val="auto"/>
        </w:rPr>
      </w:pPr>
    </w:p>
    <w:p>
      <w:pPr>
        <w:sectPr>
          <w:pgSz w:w="11900" w:h="16838" w:orient="portrait"/>
          <w:cols w:equalWidth="0" w:num="2">
            <w:col w:w="10000" w:space="0"/>
            <w:col w:w="1460"/>
          </w:cols>
          <w:pgMar w:left="240" w:top="125" w:right="199" w:bottom="1440" w:gutter="0" w:footer="0" w:header="0"/>
          <w:type w:val="continuous"/>
        </w:sectPr>
      </w:pPr>
    </w:p>
    <w:p>
      <w:pPr>
        <w:ind w:left="5600"/>
        <w:spacing w:after="0"/>
        <w:rPr>
          <w:sz w:val="20"/>
          <w:szCs w:val="20"/>
          <w:color w:val="auto"/>
        </w:rPr>
      </w:pPr>
      <w:r>
        <w:rPr>
          <w:rFonts w:ascii="Arial" w:cs="Arial" w:eastAsia="Arial" w:hAnsi="Arial"/>
          <w:sz w:val="17"/>
          <w:szCs w:val="17"/>
          <w:color w:val="auto"/>
        </w:rPr>
        <w:t>Nine-Months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27305</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105"/>
              <w:spacing w:after="0"/>
              <w:rPr>
                <w:sz w:val="20"/>
                <w:szCs w:val="20"/>
                <w:color w:val="auto"/>
              </w:rPr>
            </w:pPr>
            <w:r>
              <w:rPr>
                <w:rFonts w:ascii="Arial" w:cs="Arial" w:eastAsia="Arial" w:hAnsi="Arial"/>
                <w:sz w:val="19"/>
                <w:szCs w:val="19"/>
                <w:color w:val="auto"/>
                <w:w w:val="86"/>
              </w:rPr>
              <w:t>Decrease due to</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3"/>
          </w:tcPr>
          <w:p>
            <w:pPr>
              <w:jc w:val="center"/>
              <w:ind w:right="280"/>
              <w:spacing w:after="0" w:line="216" w:lineRule="exact"/>
              <w:rPr>
                <w:sz w:val="20"/>
                <w:szCs w:val="20"/>
                <w:color w:val="auto"/>
              </w:rPr>
            </w:pPr>
            <w:r>
              <w:rPr>
                <w:rFonts w:ascii="Arial" w:cs="Arial" w:eastAsia="Arial" w:hAnsi="Arial"/>
                <w:sz w:val="19"/>
                <w:szCs w:val="19"/>
                <w:color w:val="auto"/>
                <w:w w:val="93"/>
              </w:rPr>
              <w:t>Without Adoption</w:t>
            </w:r>
          </w:p>
        </w:tc>
        <w:tc>
          <w:tcPr>
            <w:tcW w:w="200" w:type="dxa"/>
            <w:vAlign w:val="bottom"/>
          </w:tcPr>
          <w:p>
            <w:pPr>
              <w:spacing w:after="0"/>
              <w:rPr>
                <w:sz w:val="18"/>
                <w:szCs w:val="18"/>
                <w:color w:val="auto"/>
              </w:rPr>
            </w:pPr>
          </w:p>
        </w:tc>
        <w:tc>
          <w:tcPr>
            <w:tcW w:w="1520" w:type="dxa"/>
            <w:vAlign w:val="bottom"/>
          </w:tcPr>
          <w:p>
            <w:pPr>
              <w:jc w:val="center"/>
              <w:ind w:right="105"/>
              <w:spacing w:after="0" w:line="216" w:lineRule="exact"/>
              <w:rPr>
                <w:sz w:val="20"/>
                <w:szCs w:val="20"/>
                <w:color w:val="auto"/>
              </w:rPr>
            </w:pPr>
            <w:r>
              <w:rPr>
                <w:rFonts w:ascii="Arial" w:cs="Arial" w:eastAsia="Arial" w:hAnsi="Arial"/>
                <w:sz w:val="19"/>
                <w:szCs w:val="19"/>
                <w:color w:val="auto"/>
                <w:w w:val="93"/>
              </w:rPr>
              <w:t>Adoption of ASC</w:t>
            </w:r>
          </w:p>
        </w:tc>
        <w:tc>
          <w:tcPr>
            <w:tcW w:w="0" w:type="dxa"/>
            <w:vAlign w:val="bottom"/>
          </w:tcPr>
          <w:p>
            <w:pPr>
              <w:spacing w:after="0"/>
              <w:rPr>
                <w:sz w:val="1"/>
                <w:szCs w:val="1"/>
                <w:color w:val="auto"/>
              </w:rPr>
            </w:pPr>
          </w:p>
        </w:tc>
      </w:tr>
      <w:tr>
        <w:trPr>
          <w:trHeight w:val="238"/>
        </w:trPr>
        <w:tc>
          <w:tcPr>
            <w:tcW w:w="332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9"/>
                <w:szCs w:val="19"/>
                <w:color w:val="auto"/>
              </w:rPr>
              <w:t>As Reported</w:t>
            </w:r>
          </w:p>
        </w:tc>
        <w:tc>
          <w:tcPr>
            <w:tcW w:w="300" w:type="dxa"/>
            <w:vAlign w:val="bottom"/>
          </w:tcPr>
          <w:p>
            <w:pPr>
              <w:spacing w:after="0"/>
              <w:rPr>
                <w:sz w:val="20"/>
                <w:szCs w:val="20"/>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9"/>
                <w:szCs w:val="19"/>
                <w:color w:val="auto"/>
                <w:w w:val="94"/>
              </w:rPr>
              <w:t>of ASC 606</w:t>
            </w:r>
          </w:p>
        </w:tc>
        <w:tc>
          <w:tcPr>
            <w:tcW w:w="200" w:type="dxa"/>
            <w:vAlign w:val="bottom"/>
          </w:tcPr>
          <w:p>
            <w:pPr>
              <w:spacing w:after="0"/>
              <w:rPr>
                <w:sz w:val="20"/>
                <w:szCs w:val="20"/>
                <w:color w:val="auto"/>
              </w:rPr>
            </w:pPr>
          </w:p>
        </w:tc>
        <w:tc>
          <w:tcPr>
            <w:tcW w:w="1520" w:type="dxa"/>
            <w:vAlign w:val="bottom"/>
          </w:tcPr>
          <w:p>
            <w:pPr>
              <w:jc w:val="center"/>
              <w:ind w:right="105"/>
              <w:spacing w:after="0"/>
              <w:rPr>
                <w:sz w:val="20"/>
                <w:szCs w:val="20"/>
                <w:color w:val="auto"/>
              </w:rPr>
            </w:pPr>
            <w:r>
              <w:rPr>
                <w:rFonts w:ascii="Arial" w:cs="Arial" w:eastAsia="Arial" w:hAnsi="Arial"/>
                <w:sz w:val="19"/>
                <w:szCs w:val="19"/>
                <w:color w:val="auto"/>
                <w:w w:val="88"/>
              </w:rPr>
              <w:t>606</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2,882,953</w:t>
            </w:r>
          </w:p>
        </w:tc>
        <w:tc>
          <w:tcPr>
            <w:tcW w:w="280" w:type="dxa"/>
            <w:vAlign w:val="bottom"/>
          </w:tcPr>
          <w:p>
            <w:pPr>
              <w:spacing w:after="0"/>
              <w:rPr>
                <w:sz w:val="16"/>
                <w:szCs w:val="16"/>
                <w:color w:val="auto"/>
              </w:rPr>
            </w:pPr>
          </w:p>
        </w:tc>
        <w:tc>
          <w:tcPr>
            <w:tcW w:w="3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w:t>
            </w:r>
          </w:p>
        </w:tc>
        <w:tc>
          <w:tcPr>
            <w:tcW w:w="14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2,916,703</w:t>
            </w:r>
          </w:p>
        </w:tc>
        <w:tc>
          <w:tcPr>
            <w:tcW w:w="30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5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(33,750)</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19"/>
                <w:szCs w:val="19"/>
                <w:color w:val="auto"/>
              </w:rPr>
              <w:t>Operating Expenses</w:t>
            </w:r>
          </w:p>
        </w:tc>
        <w:tc>
          <w:tcPr>
            <w:tcW w:w="28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766,065</w:t>
            </w:r>
          </w:p>
        </w:tc>
        <w:tc>
          <w:tcPr>
            <w:tcW w:w="280" w:type="dxa"/>
            <w:vAlign w:val="bottom"/>
          </w:tcPr>
          <w:p>
            <w:pPr>
              <w:spacing w:after="0"/>
              <w:rPr>
                <w:sz w:val="20"/>
                <w:szCs w:val="20"/>
                <w:color w:val="auto"/>
              </w:rPr>
            </w:pPr>
          </w:p>
        </w:tc>
        <w:tc>
          <w:tcPr>
            <w:tcW w:w="3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799,815</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spacing w:after="0"/>
              <w:rPr>
                <w:sz w:val="20"/>
                <w:szCs w:val="20"/>
                <w:color w:val="auto"/>
              </w:rPr>
            </w:pPr>
            <w:r>
              <w:rPr>
                <w:rFonts w:ascii="Arial" w:cs="Arial" w:eastAsia="Arial" w:hAnsi="Arial"/>
                <w:sz w:val="19"/>
                <w:szCs w:val="19"/>
                <w:color w:val="auto"/>
              </w:rPr>
              <w:t>(33,750)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301" w:lineRule="exact"/>
        <w:rPr>
          <w:sz w:val="20"/>
          <w:szCs w:val="20"/>
          <w:color w:val="auto"/>
        </w:rPr>
      </w:pPr>
    </w:p>
    <w:p>
      <w:pPr>
        <w:sectPr>
          <w:pgSz w:w="11900" w:h="16838" w:orient="portrait"/>
          <w:cols w:equalWidth="0" w:num="2">
            <w:col w:w="10000" w:space="0"/>
            <w:col w:w="1460"/>
          </w:cols>
          <w:pgMar w:left="240" w:top="125" w:right="199" w:bottom="1440" w:gutter="0" w:footer="0" w:header="0"/>
          <w:type w:val="continuous"/>
        </w:sectPr>
      </w:pPr>
    </w:p>
    <w:p>
      <w:pPr>
        <w:spacing w:after="0" w:line="4" w:lineRule="exact"/>
        <w:rPr>
          <w:sz w:val="20"/>
          <w:szCs w:val="20"/>
          <w:color w:val="auto"/>
        </w:rPr>
      </w:pPr>
    </w:p>
    <w:p>
      <w:pPr>
        <w:ind w:right="40" w:firstLine="656"/>
        <w:spacing w:after="0" w:line="224" w:lineRule="auto"/>
        <w:tabs>
          <w:tab w:leader="none" w:pos="76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TCCC commissions based on sales to the TCCC Related Parties. There were no other identified changes to our revenue recognition policies as a result of the adoption of ASC 606.</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Disaggregation of Revenue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252525"/>
        </w:rPr>
        <w:t>The following table disaggregates the Company’s revenue by geographical markets and reportable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9"/>
                <w:szCs w:val="19"/>
                <w:color w:val="auto"/>
                <w:w w:val="88"/>
              </w:rPr>
              <w:t>Three-Months Ended September 30, 2018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20"/>
              <w:spacing w:after="0" w:line="187" w:lineRule="exact"/>
              <w:rPr>
                <w:sz w:val="20"/>
                <w:szCs w:val="20"/>
                <w:color w:val="auto"/>
              </w:rPr>
            </w:pPr>
            <w:r>
              <w:rPr>
                <w:rFonts w:ascii="Arial" w:cs="Arial" w:eastAsia="Arial" w:hAnsi="Arial"/>
                <w:sz w:val="19"/>
                <w:szCs w:val="19"/>
                <w:color w:val="auto"/>
                <w:w w:val="96"/>
              </w:rPr>
              <w:t>Latin</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Arial" w:cs="Arial" w:eastAsia="Arial" w:hAnsi="Arial"/>
                <w:sz w:val="19"/>
                <w:szCs w:val="19"/>
                <w:color w:val="auto"/>
                <w:w w:val="91"/>
              </w:rPr>
              <w:t>America</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560"/>
              <w:spacing w:after="0" w:line="216" w:lineRule="exact"/>
              <w:rPr>
                <w:sz w:val="20"/>
                <w:szCs w:val="20"/>
                <w:color w:val="auto"/>
              </w:rPr>
            </w:pPr>
            <w:r>
              <w:rPr>
                <w:rFonts w:ascii="Arial" w:cs="Arial" w:eastAsia="Arial" w:hAnsi="Arial"/>
                <w:sz w:val="19"/>
                <w:szCs w:val="19"/>
                <w:color w:val="auto"/>
                <w:w w:val="86"/>
              </w:rPr>
              <w:t>U.S. and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Arial" w:cs="Arial" w:eastAsia="Arial" w:hAnsi="Arial"/>
                <w:sz w:val="19"/>
                <w:szCs w:val="19"/>
                <w:color w:val="auto"/>
                <w:w w:val="88"/>
              </w:rPr>
              <w:t>and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gridSpan w:val="2"/>
          </w:tcPr>
          <w:p>
            <w:pPr>
              <w:ind w:left="40"/>
              <w:spacing w:after="0"/>
              <w:rPr>
                <w:sz w:val="20"/>
                <w:szCs w:val="20"/>
                <w:color w:val="auto"/>
              </w:rPr>
            </w:pPr>
            <w:r>
              <w:rPr>
                <w:rFonts w:ascii="Arial" w:cs="Arial" w:eastAsia="Arial" w:hAnsi="Arial"/>
                <w:sz w:val="19"/>
                <w:szCs w:val="19"/>
                <w:color w:val="auto"/>
              </w:rPr>
              <w:t>Net Sales</w:t>
            </w:r>
          </w:p>
        </w:tc>
        <w:tc>
          <w:tcPr>
            <w:tcW w:w="260" w:type="dxa"/>
            <w:vAlign w:val="bottom"/>
          </w:tcPr>
          <w:p>
            <w:pPr>
              <w:spacing w:after="0"/>
              <w:rPr>
                <w:sz w:val="20"/>
                <w:szCs w:val="20"/>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9"/>
                <w:szCs w:val="19"/>
                <w:color w:val="auto"/>
                <w:w w:val="84"/>
              </w:rPr>
              <w:t>Canada</w:t>
            </w:r>
          </w:p>
        </w:tc>
        <w:tc>
          <w:tcPr>
            <w:tcW w:w="300" w:type="dxa"/>
            <w:vAlign w:val="bottom"/>
          </w:tcPr>
          <w:p>
            <w:pPr>
              <w:spacing w:after="0"/>
              <w:rPr>
                <w:sz w:val="20"/>
                <w:szCs w:val="20"/>
                <w:color w:val="auto"/>
              </w:rPr>
            </w:pPr>
          </w:p>
        </w:tc>
        <w:tc>
          <w:tcPr>
            <w:tcW w:w="1360" w:type="dxa"/>
            <w:vAlign w:val="bottom"/>
            <w:gridSpan w:val="2"/>
          </w:tcPr>
          <w:p>
            <w:pPr>
              <w:ind w:left="100"/>
              <w:spacing w:after="0" w:line="239" w:lineRule="exact"/>
              <w:rPr>
                <w:sz w:val="20"/>
                <w:szCs w:val="20"/>
                <w:color w:val="auto"/>
              </w:rPr>
            </w:pPr>
            <w:r>
              <w:rPr>
                <w:rFonts w:ascii="Arial" w:cs="Arial" w:eastAsia="Arial" w:hAnsi="Arial"/>
                <w:sz w:val="19"/>
                <w:szCs w:val="19"/>
                <w:color w:val="auto"/>
              </w:rPr>
              <w:t>EMEA</w:t>
            </w:r>
            <w:r>
              <w:rPr>
                <w:rFonts w:ascii="Arial" w:cs="Arial" w:eastAsia="Arial" w:hAnsi="Arial"/>
                <w:sz w:val="25"/>
                <w:szCs w:val="25"/>
                <w:color w:val="auto"/>
                <w:vertAlign w:val="superscript"/>
              </w:rPr>
              <w:t>1</w:t>
            </w:r>
          </w:p>
        </w:tc>
        <w:tc>
          <w:tcPr>
            <w:tcW w:w="22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9"/>
                <w:szCs w:val="19"/>
                <w:color w:val="auto"/>
                <w:w w:val="93"/>
              </w:rPr>
              <w:t>Asia Pacific</w:t>
            </w:r>
          </w:p>
        </w:tc>
        <w:tc>
          <w:tcPr>
            <w:tcW w:w="24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9"/>
                <w:szCs w:val="19"/>
                <w:color w:val="auto"/>
                <w:w w:val="88"/>
              </w:rPr>
              <w:t>Caribbean</w:t>
            </w:r>
          </w:p>
        </w:tc>
        <w:tc>
          <w:tcPr>
            <w:tcW w:w="360" w:type="dxa"/>
            <w:vAlign w:val="bottom"/>
          </w:tcPr>
          <w:p>
            <w:pPr>
              <w:spacing w:after="0"/>
              <w:rPr>
                <w:sz w:val="20"/>
                <w:szCs w:val="20"/>
                <w:color w:val="auto"/>
              </w:rPr>
            </w:pPr>
          </w:p>
        </w:tc>
        <w:tc>
          <w:tcPr>
            <w:tcW w:w="1020" w:type="dxa"/>
            <w:vAlign w:val="bottom"/>
          </w:tcPr>
          <w:p>
            <w:pPr>
              <w:jc w:val="right"/>
              <w:ind w:right="405"/>
              <w:spacing w:after="0"/>
              <w:rPr>
                <w:sz w:val="20"/>
                <w:szCs w:val="20"/>
                <w:color w:val="auto"/>
              </w:rPr>
            </w:pPr>
            <w:r>
              <w:rPr>
                <w:rFonts w:ascii="Arial" w:cs="Arial" w:eastAsia="Arial" w:hAnsi="Arial"/>
                <w:sz w:val="19"/>
                <w:szCs w:val="19"/>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4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9"/>
                <w:szCs w:val="19"/>
                <w:color w:val="auto"/>
              </w:rPr>
              <w:t>Monster Energy® Drinks</w:t>
            </w:r>
          </w:p>
        </w:tc>
        <w:tc>
          <w:tcPr>
            <w:tcW w:w="300" w:type="dxa"/>
            <w:vAlign w:val="bottom"/>
          </w:tcPr>
          <w:p>
            <w:pPr>
              <w:spacing w:after="0"/>
              <w:rPr>
                <w:sz w:val="16"/>
                <w:szCs w:val="16"/>
                <w:color w:val="auto"/>
              </w:rPr>
            </w:pPr>
          </w:p>
        </w:tc>
        <w:tc>
          <w:tcPr>
            <w:tcW w:w="2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710,172</w:t>
            </w:r>
          </w:p>
        </w:tc>
        <w:tc>
          <w:tcPr>
            <w:tcW w:w="300" w:type="dxa"/>
            <w:vAlign w:val="bottom"/>
          </w:tcPr>
          <w:p>
            <w:pPr>
              <w:spacing w:after="0"/>
              <w:rPr>
                <w:sz w:val="16"/>
                <w:szCs w:val="16"/>
                <w:color w:val="auto"/>
              </w:rPr>
            </w:pPr>
          </w:p>
        </w:tc>
        <w:tc>
          <w:tcPr>
            <w:tcW w:w="3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w:t>
            </w:r>
          </w:p>
        </w:tc>
        <w:tc>
          <w:tcPr>
            <w:tcW w:w="10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127,286</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63,758</w:t>
            </w:r>
          </w:p>
        </w:tc>
        <w:tc>
          <w:tcPr>
            <w:tcW w:w="280" w:type="dxa"/>
            <w:vAlign w:val="bottom"/>
          </w:tcPr>
          <w:p>
            <w:pPr>
              <w:spacing w:after="0"/>
              <w:rPr>
                <w:sz w:val="16"/>
                <w:szCs w:val="16"/>
                <w:color w:val="auto"/>
              </w:rPr>
            </w:pPr>
          </w:p>
        </w:tc>
        <w:tc>
          <w:tcPr>
            <w:tcW w:w="2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33,930</w:t>
            </w:r>
          </w:p>
        </w:tc>
        <w:tc>
          <w:tcPr>
            <w:tcW w:w="280" w:type="dxa"/>
            <w:vAlign w:val="bottom"/>
          </w:tcPr>
          <w:p>
            <w:pPr>
              <w:spacing w:after="0"/>
              <w:rPr>
                <w:sz w:val="16"/>
                <w:szCs w:val="16"/>
                <w:color w:val="auto"/>
              </w:rPr>
            </w:pPr>
          </w:p>
        </w:tc>
        <w:tc>
          <w:tcPr>
            <w:tcW w:w="360" w:type="dxa"/>
            <w:vAlign w:val="bottom"/>
            <w:tcBorders>
              <w:top w:val="single" w:sz="8" w:color="auto"/>
            </w:tcBorders>
          </w:tcPr>
          <w:p>
            <w:pPr>
              <w:jc w:val="right"/>
              <w:ind w:right="65"/>
              <w:spacing w:after="0" w:line="187" w:lineRule="exact"/>
              <w:rPr>
                <w:sz w:val="20"/>
                <w:szCs w:val="20"/>
                <w:color w:val="auto"/>
              </w:rPr>
            </w:pPr>
            <w:r>
              <w:rPr>
                <w:rFonts w:ascii="Arial" w:cs="Arial" w:eastAsia="Arial" w:hAnsi="Arial"/>
                <w:sz w:val="19"/>
                <w:szCs w:val="19"/>
                <w:color w:val="auto"/>
              </w:rPr>
              <w:t>$</w:t>
            </w:r>
          </w:p>
        </w:tc>
        <w:tc>
          <w:tcPr>
            <w:tcW w:w="10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935,146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Strategic Brands</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47,645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18,287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8,231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278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74,441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Other</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6,573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6,573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340" w:type="dxa"/>
            <w:vAlign w:val="bottom"/>
            <w:gridSpan w:val="2"/>
            <w:vMerge w:val="restart"/>
          </w:tcPr>
          <w:p>
            <w:pPr>
              <w:ind w:left="40"/>
              <w:spacing w:after="0"/>
              <w:rPr>
                <w:sz w:val="20"/>
                <w:szCs w:val="20"/>
                <w:color w:val="auto"/>
              </w:rPr>
            </w:pPr>
            <w:r>
              <w:rPr>
                <w:rFonts w:ascii="Arial" w:cs="Arial" w:eastAsia="Arial" w:hAnsi="Arial"/>
                <w:sz w:val="19"/>
                <w:szCs w:val="19"/>
                <w:color w:val="auto"/>
              </w:rPr>
              <w:t>Total Net Sales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764,390</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145,573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71,989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34,208</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1,016,160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86"/>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9"/>
                <w:szCs w:val="19"/>
                <w:color w:val="auto"/>
                <w:w w:val="90"/>
              </w:rPr>
              <w:t>Nine-Months Ended September 30, 2018</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20"/>
              <w:spacing w:after="0" w:line="187" w:lineRule="exact"/>
              <w:rPr>
                <w:sz w:val="20"/>
                <w:szCs w:val="20"/>
                <w:color w:val="auto"/>
              </w:rPr>
            </w:pPr>
            <w:r>
              <w:rPr>
                <w:rFonts w:ascii="Arial" w:cs="Arial" w:eastAsia="Arial" w:hAnsi="Arial"/>
                <w:sz w:val="19"/>
                <w:szCs w:val="19"/>
                <w:color w:val="auto"/>
                <w:w w:val="96"/>
              </w:rPr>
              <w:t>Latin</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Arial" w:cs="Arial" w:eastAsia="Arial" w:hAnsi="Arial"/>
                <w:sz w:val="19"/>
                <w:szCs w:val="19"/>
                <w:color w:val="auto"/>
                <w:w w:val="91"/>
              </w:rPr>
              <w:t>America</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560"/>
              <w:spacing w:after="0" w:line="216" w:lineRule="exact"/>
              <w:rPr>
                <w:sz w:val="20"/>
                <w:szCs w:val="20"/>
                <w:color w:val="auto"/>
              </w:rPr>
            </w:pPr>
            <w:r>
              <w:rPr>
                <w:rFonts w:ascii="Arial" w:cs="Arial" w:eastAsia="Arial" w:hAnsi="Arial"/>
                <w:sz w:val="19"/>
                <w:szCs w:val="19"/>
                <w:color w:val="auto"/>
                <w:w w:val="86"/>
              </w:rPr>
              <w:t>U.S. and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line="216" w:lineRule="exact"/>
              <w:rPr>
                <w:sz w:val="20"/>
                <w:szCs w:val="20"/>
                <w:color w:val="auto"/>
              </w:rPr>
            </w:pPr>
            <w:r>
              <w:rPr>
                <w:rFonts w:ascii="Arial" w:cs="Arial" w:eastAsia="Arial" w:hAnsi="Arial"/>
                <w:sz w:val="19"/>
                <w:szCs w:val="19"/>
                <w:color w:val="auto"/>
                <w:w w:val="88"/>
              </w:rPr>
              <w:t>and</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gridSpan w:val="2"/>
          </w:tcPr>
          <w:p>
            <w:pPr>
              <w:ind w:left="40"/>
              <w:spacing w:after="0"/>
              <w:rPr>
                <w:sz w:val="20"/>
                <w:szCs w:val="20"/>
                <w:color w:val="auto"/>
              </w:rPr>
            </w:pPr>
            <w:r>
              <w:rPr>
                <w:rFonts w:ascii="Arial" w:cs="Arial" w:eastAsia="Arial" w:hAnsi="Arial"/>
                <w:sz w:val="19"/>
                <w:szCs w:val="19"/>
                <w:color w:val="auto"/>
              </w:rPr>
              <w:t>Net Sales</w:t>
            </w:r>
          </w:p>
        </w:tc>
        <w:tc>
          <w:tcPr>
            <w:tcW w:w="260" w:type="dxa"/>
            <w:vAlign w:val="bottom"/>
          </w:tcPr>
          <w:p>
            <w:pPr>
              <w:spacing w:after="0"/>
              <w:rPr>
                <w:sz w:val="20"/>
                <w:szCs w:val="20"/>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9"/>
                <w:szCs w:val="19"/>
                <w:color w:val="auto"/>
                <w:w w:val="84"/>
              </w:rPr>
              <w:t>Canada</w:t>
            </w:r>
          </w:p>
        </w:tc>
        <w:tc>
          <w:tcPr>
            <w:tcW w:w="300" w:type="dxa"/>
            <w:vAlign w:val="bottom"/>
          </w:tcPr>
          <w:p>
            <w:pPr>
              <w:spacing w:after="0"/>
              <w:rPr>
                <w:sz w:val="20"/>
                <w:szCs w:val="20"/>
                <w:color w:val="auto"/>
              </w:rPr>
            </w:pPr>
          </w:p>
        </w:tc>
        <w:tc>
          <w:tcPr>
            <w:tcW w:w="1360" w:type="dxa"/>
            <w:vAlign w:val="bottom"/>
            <w:gridSpan w:val="2"/>
          </w:tcPr>
          <w:p>
            <w:pPr>
              <w:ind w:left="100"/>
              <w:spacing w:after="0" w:line="239" w:lineRule="exact"/>
              <w:rPr>
                <w:sz w:val="20"/>
                <w:szCs w:val="20"/>
                <w:color w:val="auto"/>
              </w:rPr>
            </w:pPr>
            <w:r>
              <w:rPr>
                <w:rFonts w:ascii="Arial" w:cs="Arial" w:eastAsia="Arial" w:hAnsi="Arial"/>
                <w:sz w:val="19"/>
                <w:szCs w:val="19"/>
                <w:color w:val="auto"/>
              </w:rPr>
              <w:t>EMEA</w:t>
            </w:r>
            <w:r>
              <w:rPr>
                <w:rFonts w:ascii="Arial" w:cs="Arial" w:eastAsia="Arial" w:hAnsi="Arial"/>
                <w:sz w:val="25"/>
                <w:szCs w:val="25"/>
                <w:color w:val="auto"/>
                <w:vertAlign w:val="superscript"/>
              </w:rPr>
              <w:t>1</w:t>
            </w:r>
          </w:p>
        </w:tc>
        <w:tc>
          <w:tcPr>
            <w:tcW w:w="22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9"/>
                <w:szCs w:val="19"/>
                <w:color w:val="auto"/>
                <w:w w:val="93"/>
              </w:rPr>
              <w:t>Asia Pacific</w:t>
            </w:r>
          </w:p>
        </w:tc>
        <w:tc>
          <w:tcPr>
            <w:tcW w:w="24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9"/>
                <w:szCs w:val="19"/>
                <w:color w:val="auto"/>
                <w:w w:val="88"/>
              </w:rPr>
              <w:t>Caribbean</w:t>
            </w:r>
          </w:p>
        </w:tc>
        <w:tc>
          <w:tcPr>
            <w:tcW w:w="360" w:type="dxa"/>
            <w:vAlign w:val="bottom"/>
          </w:tcPr>
          <w:p>
            <w:pPr>
              <w:spacing w:after="0"/>
              <w:rPr>
                <w:sz w:val="20"/>
                <w:szCs w:val="20"/>
                <w:color w:val="auto"/>
              </w:rPr>
            </w:pPr>
          </w:p>
        </w:tc>
        <w:tc>
          <w:tcPr>
            <w:tcW w:w="1020" w:type="dxa"/>
            <w:vAlign w:val="bottom"/>
          </w:tcPr>
          <w:p>
            <w:pPr>
              <w:jc w:val="right"/>
              <w:ind w:right="405"/>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187"/>
        </w:trPr>
        <w:tc>
          <w:tcPr>
            <w:tcW w:w="304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9"/>
                <w:szCs w:val="19"/>
                <w:color w:val="auto"/>
              </w:rPr>
              <w:t>Monster Energy® Drinks</w:t>
            </w:r>
          </w:p>
        </w:tc>
        <w:tc>
          <w:tcPr>
            <w:tcW w:w="300" w:type="dxa"/>
            <w:vAlign w:val="bottom"/>
          </w:tcPr>
          <w:p>
            <w:pPr>
              <w:spacing w:after="0"/>
              <w:rPr>
                <w:sz w:val="16"/>
                <w:szCs w:val="16"/>
                <w:color w:val="auto"/>
              </w:rPr>
            </w:pPr>
          </w:p>
        </w:tc>
        <w:tc>
          <w:tcPr>
            <w:tcW w:w="2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1,994,950</w:t>
            </w:r>
          </w:p>
        </w:tc>
        <w:tc>
          <w:tcPr>
            <w:tcW w:w="300" w:type="dxa"/>
            <w:vAlign w:val="bottom"/>
          </w:tcPr>
          <w:p>
            <w:pPr>
              <w:spacing w:after="0"/>
              <w:rPr>
                <w:sz w:val="16"/>
                <w:szCs w:val="16"/>
                <w:color w:val="auto"/>
              </w:rPr>
            </w:pPr>
          </w:p>
        </w:tc>
        <w:tc>
          <w:tcPr>
            <w:tcW w:w="3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w:t>
            </w:r>
          </w:p>
        </w:tc>
        <w:tc>
          <w:tcPr>
            <w:tcW w:w="10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376,823</w:t>
            </w:r>
          </w:p>
        </w:tc>
        <w:tc>
          <w:tcPr>
            <w:tcW w:w="280" w:type="dxa"/>
            <w:vAlign w:val="bottom"/>
          </w:tcPr>
          <w:p>
            <w:pPr>
              <w:spacing w:after="0"/>
              <w:rPr>
                <w:sz w:val="16"/>
                <w:szCs w:val="16"/>
                <w:color w:val="auto"/>
              </w:rPr>
            </w:pPr>
          </w:p>
        </w:tc>
        <w:tc>
          <w:tcPr>
            <w:tcW w:w="2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171,796</w:t>
            </w:r>
          </w:p>
        </w:tc>
        <w:tc>
          <w:tcPr>
            <w:tcW w:w="280" w:type="dxa"/>
            <w:vAlign w:val="bottom"/>
          </w:tcPr>
          <w:p>
            <w:pPr>
              <w:spacing w:after="0"/>
              <w:rPr>
                <w:sz w:val="16"/>
                <w:szCs w:val="16"/>
                <w:color w:val="auto"/>
              </w:rPr>
            </w:pPr>
          </w:p>
        </w:tc>
        <w:tc>
          <w:tcPr>
            <w:tcW w:w="2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1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101,520</w:t>
            </w:r>
          </w:p>
        </w:tc>
        <w:tc>
          <w:tcPr>
            <w:tcW w:w="280" w:type="dxa"/>
            <w:vAlign w:val="bottom"/>
          </w:tcPr>
          <w:p>
            <w:pPr>
              <w:spacing w:after="0"/>
              <w:rPr>
                <w:sz w:val="16"/>
                <w:szCs w:val="16"/>
                <w:color w:val="auto"/>
              </w:rPr>
            </w:pPr>
          </w:p>
        </w:tc>
        <w:tc>
          <w:tcPr>
            <w:tcW w:w="360" w:type="dxa"/>
            <w:vAlign w:val="bottom"/>
            <w:tcBorders>
              <w:top w:val="single" w:sz="8" w:color="auto"/>
            </w:tcBorders>
          </w:tcPr>
          <w:p>
            <w:pPr>
              <w:jc w:val="right"/>
              <w:ind w:right="65"/>
              <w:spacing w:after="0" w:line="187" w:lineRule="exact"/>
              <w:rPr>
                <w:sz w:val="20"/>
                <w:szCs w:val="20"/>
                <w:color w:val="auto"/>
              </w:rPr>
            </w:pPr>
            <w:r>
              <w:rPr>
                <w:rFonts w:ascii="Arial" w:cs="Arial" w:eastAsia="Arial" w:hAnsi="Arial"/>
                <w:sz w:val="19"/>
                <w:szCs w:val="19"/>
                <w:color w:val="auto"/>
              </w:rPr>
              <w:t>$</w:t>
            </w:r>
          </w:p>
        </w:tc>
        <w:tc>
          <w:tcPr>
            <w:tcW w:w="10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2,645,089</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Strategic Brands</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137,502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60,567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20,148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1,794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220,011</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Other</w:t>
            </w:r>
          </w:p>
        </w:tc>
        <w:tc>
          <w:tcPr>
            <w:tcW w:w="26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17,853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17,853</w:t>
            </w:r>
          </w:p>
        </w:tc>
        <w:tc>
          <w:tcPr>
            <w:tcW w:w="0" w:type="dxa"/>
            <w:vAlign w:val="bottom"/>
          </w:tcPr>
          <w:p>
            <w:pPr>
              <w:spacing w:after="0"/>
              <w:rPr>
                <w:sz w:val="1"/>
                <w:szCs w:val="1"/>
                <w:color w:val="auto"/>
              </w:rPr>
            </w:pPr>
          </w:p>
        </w:tc>
      </w:tr>
      <w:tr>
        <w:trPr>
          <w:trHeight w:val="22"/>
        </w:trPr>
        <w:tc>
          <w:tcPr>
            <w:tcW w:w="3340" w:type="dxa"/>
            <w:vAlign w:val="bottom"/>
            <w:gridSpan w:val="2"/>
            <w:vMerge w:val="restart"/>
          </w:tcPr>
          <w:p>
            <w:pPr>
              <w:ind w:left="40"/>
              <w:spacing w:after="0"/>
              <w:rPr>
                <w:sz w:val="20"/>
                <w:szCs w:val="20"/>
                <w:color w:val="auto"/>
              </w:rPr>
            </w:pPr>
            <w:r>
              <w:rPr>
                <w:rFonts w:ascii="Arial" w:cs="Arial" w:eastAsia="Arial" w:hAnsi="Arial"/>
                <w:sz w:val="19"/>
                <w:szCs w:val="19"/>
                <w:color w:val="auto"/>
              </w:rPr>
              <w:t>Total Net Sales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2,150,305</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437,390</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191,944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103,314</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65"/>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2,882,953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i w:val="1"/>
          <w:iCs w:val="1"/>
          <w:color w:val="252525"/>
          <w:vertAlign w:val="superscript"/>
        </w:rPr>
        <w:t>1</w:t>
      </w:r>
      <w:r>
        <w:rPr>
          <w:rFonts w:ascii="Arial" w:cs="Arial" w:eastAsia="Arial" w:hAnsi="Arial"/>
          <w:sz w:val="16"/>
          <w:szCs w:val="16"/>
          <w:i w:val="1"/>
          <w:iCs w:val="1"/>
          <w:color w:val="252525"/>
        </w:rPr>
        <w:t>Europe, Middle East and Africa (“EMEA”)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Contract Liabilities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252525"/>
        </w:rPr>
        <w:t>Amounts received from certain bottlers/distributors at inception of their distribution contracts or at the inception of certain sales/marketing programs are accounted for as deferred revenue. As of September 30, 2018, the Company had $363.2 million of deferred revenue, which is included in current and long-term deferred revenue in the Company’s condensed consolidated balance sheet. As of December 31, 2017, the Company had $377.6 million of deferred revenue, which is included in current and long-term deferred revenue in the Company’s condensed consolidated balance sheet. During the three- and nine-months ended September 30, 2018, $11.1 million and $33.3 million, respectively, of deferred revenue was recognized in net sales. See Note 10.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5"/>
                <w:szCs w:val="15"/>
                <w:color w:val="auto"/>
                <w:w w:val="92"/>
              </w:rPr>
              <w:t>Continuous</w:t>
            </w:r>
          </w:p>
        </w:tc>
        <w:tc>
          <w:tcPr>
            <w:tcW w:w="200" w:type="dxa"/>
            <w:vAlign w:val="bottom"/>
          </w:tcPr>
          <w:p>
            <w:pPr>
              <w:spacing w:after="0"/>
              <w:rPr>
                <w:sz w:val="14"/>
                <w:szCs w:val="14"/>
                <w:color w:val="auto"/>
              </w:rPr>
            </w:pPr>
          </w:p>
        </w:tc>
        <w:tc>
          <w:tcPr>
            <w:tcW w:w="1100" w:type="dxa"/>
            <w:vAlign w:val="bottom"/>
          </w:tcPr>
          <w:p>
            <w:pPr>
              <w:jc w:val="center"/>
              <w:ind w:right="103"/>
              <w:spacing w:after="0"/>
              <w:rPr>
                <w:sz w:val="20"/>
                <w:szCs w:val="20"/>
                <w:color w:val="auto"/>
              </w:rPr>
            </w:pPr>
            <w:r>
              <w:rPr>
                <w:rFonts w:ascii="Arial" w:cs="Arial" w:eastAsia="Arial" w:hAnsi="Arial"/>
                <w:sz w:val="15"/>
                <w:szCs w:val="15"/>
                <w:color w:val="auto"/>
                <w:w w:val="94"/>
              </w:rPr>
              <w:t>Continuous</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89"/>
              </w:rPr>
              <w:t>Gross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00"/>
              <w:spacing w:after="0" w:line="162" w:lineRule="exact"/>
              <w:rPr>
                <w:sz w:val="20"/>
                <w:szCs w:val="20"/>
                <w:color w:val="auto"/>
              </w:rPr>
            </w:pPr>
            <w:r>
              <w:rPr>
                <w:rFonts w:ascii="Arial" w:cs="Arial" w:eastAsia="Arial" w:hAnsi="Arial"/>
                <w:sz w:val="15"/>
                <w:szCs w:val="15"/>
                <w:color w:val="auto"/>
                <w:w w:val="91"/>
              </w:rPr>
              <w:t>Unrealized</w:t>
            </w:r>
          </w:p>
        </w:tc>
        <w:tc>
          <w:tcPr>
            <w:tcW w:w="200" w:type="dxa"/>
            <w:vAlign w:val="bottom"/>
          </w:tcPr>
          <w:p>
            <w:pPr>
              <w:spacing w:after="0"/>
              <w:rPr>
                <w:sz w:val="14"/>
                <w:szCs w:val="14"/>
                <w:color w:val="auto"/>
              </w:rPr>
            </w:pPr>
          </w:p>
        </w:tc>
        <w:tc>
          <w:tcPr>
            <w:tcW w:w="1100" w:type="dxa"/>
            <w:vAlign w:val="bottom"/>
          </w:tcPr>
          <w:p>
            <w:pPr>
              <w:jc w:val="center"/>
              <w:ind w:right="103"/>
              <w:spacing w:after="0" w:line="162" w:lineRule="exact"/>
              <w:rPr>
                <w:sz w:val="20"/>
                <w:szCs w:val="20"/>
                <w:color w:val="auto"/>
              </w:rPr>
            </w:pPr>
            <w:r>
              <w:rPr>
                <w:rFonts w:ascii="Arial" w:cs="Arial" w:eastAsia="Arial" w:hAnsi="Arial"/>
                <w:sz w:val="15"/>
                <w:szCs w:val="15"/>
                <w:color w:val="auto"/>
                <w:w w:val="94"/>
              </w:rPr>
              <w:t>Unrealized</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94"/>
              </w:rPr>
              <w:t>Unrealized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200"/>
              <w:spacing w:after="0" w:line="162" w:lineRule="exact"/>
              <w:rPr>
                <w:sz w:val="20"/>
                <w:szCs w:val="20"/>
                <w:color w:val="auto"/>
              </w:rPr>
            </w:pPr>
            <w:r>
              <w:rPr>
                <w:rFonts w:ascii="Arial" w:cs="Arial" w:eastAsia="Arial" w:hAnsi="Arial"/>
                <w:sz w:val="15"/>
                <w:szCs w:val="15"/>
                <w:color w:val="auto"/>
                <w:w w:val="91"/>
              </w:rPr>
              <w:t>Loss Position</w:t>
            </w:r>
          </w:p>
        </w:tc>
        <w:tc>
          <w:tcPr>
            <w:tcW w:w="200" w:type="dxa"/>
            <w:vAlign w:val="bottom"/>
          </w:tcPr>
          <w:p>
            <w:pPr>
              <w:spacing w:after="0"/>
              <w:rPr>
                <w:sz w:val="14"/>
                <w:szCs w:val="14"/>
                <w:color w:val="auto"/>
              </w:rPr>
            </w:pPr>
          </w:p>
        </w:tc>
        <w:tc>
          <w:tcPr>
            <w:tcW w:w="1100" w:type="dxa"/>
            <w:vAlign w:val="bottom"/>
          </w:tcPr>
          <w:p>
            <w:pPr>
              <w:jc w:val="center"/>
              <w:ind w:right="103"/>
              <w:spacing w:after="0" w:line="162" w:lineRule="exact"/>
              <w:rPr>
                <w:sz w:val="20"/>
                <w:szCs w:val="20"/>
                <w:color w:val="auto"/>
              </w:rPr>
            </w:pPr>
            <w:r>
              <w:rPr>
                <w:rFonts w:ascii="Arial" w:cs="Arial" w:eastAsia="Arial" w:hAnsi="Arial"/>
                <w:sz w:val="15"/>
                <w:szCs w:val="15"/>
                <w:color w:val="auto"/>
                <w:w w:val="94"/>
              </w:rPr>
              <w:t>Loss Position</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7"/>
              </w:rPr>
              <w:t>Amortized</w:t>
            </w:r>
          </w:p>
        </w:tc>
        <w:tc>
          <w:tcPr>
            <w:tcW w:w="96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8"/>
              </w:rPr>
              <w:t>Holding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1080" w:type="dxa"/>
            <w:vAlign w:val="bottom"/>
            <w:gridSpan w:val="2"/>
          </w:tcPr>
          <w:p>
            <w:pPr>
              <w:jc w:val="center"/>
              <w:ind w:right="500"/>
              <w:spacing w:after="0" w:line="162" w:lineRule="exact"/>
              <w:rPr>
                <w:sz w:val="20"/>
                <w:szCs w:val="20"/>
                <w:color w:val="auto"/>
              </w:rPr>
            </w:pPr>
            <w:r>
              <w:rPr>
                <w:rFonts w:ascii="Arial" w:cs="Arial" w:eastAsia="Arial" w:hAnsi="Arial"/>
                <w:sz w:val="15"/>
                <w:szCs w:val="15"/>
                <w:color w:val="auto"/>
              </w:rPr>
              <w:t>Fair</w:t>
            </w:r>
          </w:p>
        </w:tc>
        <w:tc>
          <w:tcPr>
            <w:tcW w:w="1220" w:type="dxa"/>
            <w:vAlign w:val="bottom"/>
            <w:gridSpan w:val="4"/>
          </w:tcPr>
          <w:p>
            <w:pPr>
              <w:jc w:val="center"/>
              <w:ind w:right="180"/>
              <w:spacing w:after="0" w:line="162" w:lineRule="exact"/>
              <w:rPr>
                <w:sz w:val="20"/>
                <w:szCs w:val="20"/>
                <w:color w:val="auto"/>
              </w:rPr>
            </w:pPr>
            <w:r>
              <w:rPr>
                <w:rFonts w:ascii="Arial" w:cs="Arial" w:eastAsia="Arial" w:hAnsi="Arial"/>
                <w:sz w:val="15"/>
                <w:szCs w:val="15"/>
                <w:color w:val="auto"/>
                <w:w w:val="88"/>
              </w:rPr>
              <w:t>less than 12</w:t>
            </w:r>
          </w:p>
        </w:tc>
        <w:tc>
          <w:tcPr>
            <w:tcW w:w="200" w:type="dxa"/>
            <w:vAlign w:val="bottom"/>
          </w:tcPr>
          <w:p>
            <w:pPr>
              <w:spacing w:after="0"/>
              <w:rPr>
                <w:sz w:val="14"/>
                <w:szCs w:val="14"/>
                <w:color w:val="auto"/>
              </w:rPr>
            </w:pPr>
          </w:p>
        </w:tc>
        <w:tc>
          <w:tcPr>
            <w:tcW w:w="1100" w:type="dxa"/>
            <w:vAlign w:val="bottom"/>
          </w:tcPr>
          <w:p>
            <w:pPr>
              <w:jc w:val="center"/>
              <w:ind w:right="103"/>
              <w:spacing w:after="0" w:line="162" w:lineRule="exact"/>
              <w:rPr>
                <w:sz w:val="20"/>
                <w:szCs w:val="20"/>
                <w:color w:val="auto"/>
              </w:rPr>
            </w:pPr>
            <w:r>
              <w:rPr>
                <w:rFonts w:ascii="Arial" w:cs="Arial" w:eastAsia="Arial" w:hAnsi="Arial"/>
                <w:sz w:val="15"/>
                <w:szCs w:val="15"/>
                <w:color w:val="auto"/>
                <w:w w:val="90"/>
              </w:rPr>
              <w:t>greater than 12</w:t>
            </w:r>
          </w:p>
        </w:tc>
      </w:tr>
      <w:tr>
        <w:trPr>
          <w:trHeight w:val="182"/>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September 30, 2018</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0"/>
              </w:rPr>
              <w:t>Cost</w:t>
            </w:r>
          </w:p>
        </w:tc>
        <w:tc>
          <w:tcPr>
            <w:tcW w:w="960" w:type="dxa"/>
            <w:vAlign w:val="bottom"/>
            <w:tcBorders>
              <w:bottom w:val="single" w:sz="8" w:color="auto"/>
            </w:tcBorders>
          </w:tcPr>
          <w:p>
            <w:pPr>
              <w:jc w:val="center"/>
              <w:ind w:left="123"/>
              <w:spacing w:after="0"/>
              <w:rPr>
                <w:sz w:val="20"/>
                <w:szCs w:val="20"/>
                <w:color w:val="auto"/>
              </w:rPr>
            </w:pPr>
            <w:r>
              <w:rPr>
                <w:rFonts w:ascii="Arial" w:cs="Arial" w:eastAsia="Arial" w:hAnsi="Arial"/>
                <w:sz w:val="15"/>
                <w:szCs w:val="15"/>
                <w:color w:val="auto"/>
                <w:w w:val="91"/>
              </w:rPr>
              <w:t>Gains</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5"/>
                <w:szCs w:val="15"/>
                <w:color w:val="auto"/>
                <w:w w:val="88"/>
              </w:rPr>
              <w:t>Value</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5"/>
                <w:szCs w:val="15"/>
                <w:color w:val="auto"/>
                <w:w w:val="93"/>
              </w:rPr>
              <w:t>Months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color w:val="auto"/>
                <w:w w:val="97"/>
              </w:rPr>
              <w:t>Months</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Commercial paper</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52,595</w:t>
            </w:r>
          </w:p>
        </w:tc>
        <w:tc>
          <w:tcPr>
            <w:tcW w:w="220" w:type="dxa"/>
            <w:vAlign w:val="bottom"/>
          </w:tcPr>
          <w:p>
            <w:pPr>
              <w:spacing w:after="0"/>
              <w:rPr>
                <w:sz w:val="14"/>
                <w:szCs w:val="14"/>
                <w:color w:val="auto"/>
              </w:rPr>
            </w:pPr>
          </w:p>
        </w:tc>
        <w:tc>
          <w:tcPr>
            <w:tcW w:w="960" w:type="dxa"/>
            <w:vAlign w:val="bottom"/>
          </w:tcPr>
          <w:p>
            <w:pPr>
              <w:jc w:val="right"/>
              <w:ind w:right="70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52,595</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Certificates of deposit</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26,068</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26,068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Municipal securities</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127,149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127,069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82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U.S. government agency securities</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108,128</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108,033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95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U.S. Treasuries</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109,832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45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109,787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45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Variable rate demand notes</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34,346</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34,346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Municipal securities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1,612</w:t>
            </w: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1,610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459,730</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703"/>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224</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459,508</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5"/>
                <w:szCs w:val="15"/>
                <w:color w:val="auto"/>
                <w:w w:val="94"/>
              </w:rPr>
              <w:t>Continuous</w:t>
            </w:r>
          </w:p>
        </w:tc>
        <w:tc>
          <w:tcPr>
            <w:tcW w:w="200" w:type="dxa"/>
            <w:vAlign w:val="bottom"/>
          </w:tcPr>
          <w:p>
            <w:pPr>
              <w:spacing w:after="0"/>
              <w:rPr>
                <w:sz w:val="24"/>
                <w:szCs w:val="24"/>
                <w:color w:val="auto"/>
              </w:rPr>
            </w:pPr>
          </w:p>
        </w:tc>
        <w:tc>
          <w:tcPr>
            <w:tcW w:w="1100" w:type="dxa"/>
            <w:vAlign w:val="bottom"/>
          </w:tcPr>
          <w:p>
            <w:pPr>
              <w:jc w:val="center"/>
              <w:ind w:right="103"/>
              <w:spacing w:after="0"/>
              <w:rPr>
                <w:sz w:val="20"/>
                <w:szCs w:val="20"/>
                <w:color w:val="auto"/>
              </w:rPr>
            </w:pPr>
            <w:r>
              <w:rPr>
                <w:rFonts w:ascii="Arial" w:cs="Arial" w:eastAsia="Arial" w:hAnsi="Arial"/>
                <w:sz w:val="15"/>
                <w:szCs w:val="15"/>
                <w:color w:val="auto"/>
                <w:w w:val="94"/>
              </w:rPr>
              <w:t>Continuous</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89"/>
              </w:rPr>
              <w:t>Gross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36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1100" w:type="dxa"/>
            <w:vAlign w:val="bottom"/>
          </w:tcPr>
          <w:p>
            <w:pPr>
              <w:jc w:val="center"/>
              <w:ind w:right="103"/>
              <w:spacing w:after="0" w:line="162" w:lineRule="exact"/>
              <w:rPr>
                <w:sz w:val="20"/>
                <w:szCs w:val="20"/>
                <w:color w:val="auto"/>
              </w:rPr>
            </w:pPr>
            <w:r>
              <w:rPr>
                <w:rFonts w:ascii="Arial" w:cs="Arial" w:eastAsia="Arial" w:hAnsi="Arial"/>
                <w:sz w:val="15"/>
                <w:szCs w:val="15"/>
                <w:color w:val="auto"/>
                <w:w w:val="94"/>
              </w:rPr>
              <w:t>Unrealized</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left="123"/>
              <w:spacing w:after="0" w:line="162" w:lineRule="exact"/>
              <w:rPr>
                <w:sz w:val="20"/>
                <w:szCs w:val="20"/>
                <w:color w:val="auto"/>
              </w:rPr>
            </w:pPr>
            <w:r>
              <w:rPr>
                <w:rFonts w:ascii="Arial" w:cs="Arial" w:eastAsia="Arial" w:hAnsi="Arial"/>
                <w:sz w:val="15"/>
                <w:szCs w:val="15"/>
                <w:color w:val="auto"/>
                <w:w w:val="94"/>
              </w:rPr>
              <w:t>Unrealized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center"/>
              <w:ind w:right="180"/>
              <w:spacing w:after="0" w:line="162" w:lineRule="exact"/>
              <w:rPr>
                <w:sz w:val="20"/>
                <w:szCs w:val="20"/>
                <w:color w:val="auto"/>
              </w:rPr>
            </w:pPr>
            <w:r>
              <w:rPr>
                <w:rFonts w:ascii="Arial" w:cs="Arial" w:eastAsia="Arial" w:hAnsi="Arial"/>
                <w:sz w:val="15"/>
                <w:szCs w:val="15"/>
                <w:color w:val="auto"/>
                <w:w w:val="94"/>
              </w:rPr>
              <w:t>Loss Position</w:t>
            </w:r>
          </w:p>
        </w:tc>
        <w:tc>
          <w:tcPr>
            <w:tcW w:w="200" w:type="dxa"/>
            <w:vAlign w:val="bottom"/>
          </w:tcPr>
          <w:p>
            <w:pPr>
              <w:spacing w:after="0"/>
              <w:rPr>
                <w:sz w:val="14"/>
                <w:szCs w:val="14"/>
                <w:color w:val="auto"/>
              </w:rPr>
            </w:pPr>
          </w:p>
        </w:tc>
        <w:tc>
          <w:tcPr>
            <w:tcW w:w="1100" w:type="dxa"/>
            <w:vAlign w:val="bottom"/>
          </w:tcPr>
          <w:p>
            <w:pPr>
              <w:jc w:val="center"/>
              <w:ind w:right="103"/>
              <w:spacing w:after="0" w:line="162" w:lineRule="exact"/>
              <w:rPr>
                <w:sz w:val="20"/>
                <w:szCs w:val="20"/>
                <w:color w:val="auto"/>
              </w:rPr>
            </w:pPr>
            <w:r>
              <w:rPr>
                <w:rFonts w:ascii="Arial" w:cs="Arial" w:eastAsia="Arial" w:hAnsi="Arial"/>
                <w:sz w:val="15"/>
                <w:szCs w:val="15"/>
                <w:color w:val="auto"/>
                <w:w w:val="94"/>
              </w:rPr>
              <w:t>Loss Position</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7"/>
              </w:rPr>
              <w:t>Amortized</w:t>
            </w:r>
          </w:p>
        </w:tc>
        <w:tc>
          <w:tcPr>
            <w:tcW w:w="96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8"/>
              </w:rPr>
              <w:t>Holding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1080" w:type="dxa"/>
            <w:vAlign w:val="bottom"/>
            <w:gridSpan w:val="2"/>
          </w:tcPr>
          <w:p>
            <w:pPr>
              <w:jc w:val="center"/>
              <w:ind w:right="500"/>
              <w:spacing w:after="0" w:line="162" w:lineRule="exact"/>
              <w:rPr>
                <w:sz w:val="20"/>
                <w:szCs w:val="20"/>
                <w:color w:val="auto"/>
              </w:rPr>
            </w:pPr>
            <w:r>
              <w:rPr>
                <w:rFonts w:ascii="Arial" w:cs="Arial" w:eastAsia="Arial" w:hAnsi="Arial"/>
                <w:sz w:val="15"/>
                <w:szCs w:val="15"/>
                <w:color w:val="auto"/>
              </w:rPr>
              <w:t>Fair</w:t>
            </w:r>
          </w:p>
        </w:tc>
        <w:tc>
          <w:tcPr>
            <w:tcW w:w="1220" w:type="dxa"/>
            <w:vAlign w:val="bottom"/>
            <w:gridSpan w:val="4"/>
          </w:tcPr>
          <w:p>
            <w:pPr>
              <w:jc w:val="center"/>
              <w:ind w:right="180"/>
              <w:spacing w:after="0" w:line="162" w:lineRule="exact"/>
              <w:rPr>
                <w:sz w:val="20"/>
                <w:szCs w:val="20"/>
                <w:color w:val="auto"/>
              </w:rPr>
            </w:pPr>
            <w:r>
              <w:rPr>
                <w:rFonts w:ascii="Arial" w:cs="Arial" w:eastAsia="Arial" w:hAnsi="Arial"/>
                <w:sz w:val="15"/>
                <w:szCs w:val="15"/>
                <w:color w:val="auto"/>
                <w:w w:val="88"/>
              </w:rPr>
              <w:t>less than 12</w:t>
            </w:r>
          </w:p>
        </w:tc>
        <w:tc>
          <w:tcPr>
            <w:tcW w:w="200" w:type="dxa"/>
            <w:vAlign w:val="bottom"/>
          </w:tcPr>
          <w:p>
            <w:pPr>
              <w:spacing w:after="0"/>
              <w:rPr>
                <w:sz w:val="14"/>
                <w:szCs w:val="14"/>
                <w:color w:val="auto"/>
              </w:rPr>
            </w:pPr>
          </w:p>
        </w:tc>
        <w:tc>
          <w:tcPr>
            <w:tcW w:w="1100" w:type="dxa"/>
            <w:vAlign w:val="bottom"/>
          </w:tcPr>
          <w:p>
            <w:pPr>
              <w:jc w:val="center"/>
              <w:ind w:right="103"/>
              <w:spacing w:after="0" w:line="162" w:lineRule="exact"/>
              <w:rPr>
                <w:sz w:val="20"/>
                <w:szCs w:val="20"/>
                <w:color w:val="auto"/>
              </w:rPr>
            </w:pPr>
            <w:r>
              <w:rPr>
                <w:rFonts w:ascii="Arial" w:cs="Arial" w:eastAsia="Arial" w:hAnsi="Arial"/>
                <w:sz w:val="15"/>
                <w:szCs w:val="15"/>
                <w:color w:val="auto"/>
                <w:w w:val="90"/>
              </w:rPr>
              <w:t>greater than 12</w:t>
            </w:r>
          </w:p>
        </w:tc>
      </w:tr>
      <w:tr>
        <w:trPr>
          <w:trHeight w:val="182"/>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2017</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0"/>
              </w:rPr>
              <w:t>Cost</w:t>
            </w:r>
          </w:p>
        </w:tc>
        <w:tc>
          <w:tcPr>
            <w:tcW w:w="960" w:type="dxa"/>
            <w:vAlign w:val="bottom"/>
            <w:tcBorders>
              <w:bottom w:val="single" w:sz="8" w:color="auto"/>
            </w:tcBorders>
          </w:tcPr>
          <w:p>
            <w:pPr>
              <w:jc w:val="center"/>
              <w:ind w:left="123"/>
              <w:spacing w:after="0"/>
              <w:rPr>
                <w:sz w:val="20"/>
                <w:szCs w:val="20"/>
                <w:color w:val="auto"/>
              </w:rPr>
            </w:pPr>
            <w:r>
              <w:rPr>
                <w:rFonts w:ascii="Arial" w:cs="Arial" w:eastAsia="Arial" w:hAnsi="Arial"/>
                <w:sz w:val="15"/>
                <w:szCs w:val="15"/>
                <w:color w:val="auto"/>
                <w:w w:val="91"/>
              </w:rPr>
              <w:t>Gains</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5"/>
                <w:szCs w:val="15"/>
                <w:color w:val="auto"/>
                <w:w w:val="88"/>
              </w:rPr>
              <w:t>Value</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5"/>
                <w:szCs w:val="15"/>
                <w:color w:val="auto"/>
                <w:w w:val="97"/>
              </w:rPr>
              <w:t>Months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color w:val="auto"/>
                <w:w w:val="97"/>
              </w:rPr>
              <w:t>Months</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Commercial paper</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81,026</w:t>
            </w:r>
          </w:p>
        </w:tc>
        <w:tc>
          <w:tcPr>
            <w:tcW w:w="220" w:type="dxa"/>
            <w:vAlign w:val="bottom"/>
          </w:tcPr>
          <w:p>
            <w:pPr>
              <w:spacing w:after="0"/>
              <w:rPr>
                <w:sz w:val="14"/>
                <w:szCs w:val="14"/>
                <w:color w:val="auto"/>
              </w:rPr>
            </w:pPr>
          </w:p>
        </w:tc>
        <w:tc>
          <w:tcPr>
            <w:tcW w:w="960" w:type="dxa"/>
            <w:vAlign w:val="bottom"/>
          </w:tcPr>
          <w:p>
            <w:pPr>
              <w:jc w:val="right"/>
              <w:ind w:right="70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81,026</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Certificates of deposit</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11,869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11,869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Municipal securities</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469,604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740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468,865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740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U.S. government agency securities</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61,307</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61,219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Variable rate demand notes</w:t>
            </w:r>
          </w:p>
        </w:tc>
        <w:tc>
          <w:tcPr>
            <w:tcW w:w="20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49,954</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49,954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3340" w:type="dxa"/>
            <w:vAlign w:val="bottom"/>
          </w:tcPr>
          <w:p>
            <w:pPr>
              <w:ind w:left="200"/>
              <w:spacing w:after="0" w:line="162" w:lineRule="exact"/>
              <w:rPr>
                <w:sz w:val="20"/>
                <w:szCs w:val="20"/>
                <w:color w:val="auto"/>
              </w:rPr>
            </w:pPr>
            <w:r>
              <w:rPr>
                <w:rFonts w:ascii="Arial" w:cs="Arial" w:eastAsia="Arial" w:hAnsi="Arial"/>
                <w:sz w:val="15"/>
                <w:szCs w:val="15"/>
                <w:color w:val="auto"/>
              </w:rPr>
              <w:t>U.S. government agency securities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2,369</w:t>
            </w: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2,366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676,129</w:t>
            </w:r>
          </w:p>
        </w:tc>
        <w:tc>
          <w:tcPr>
            <w:tcW w:w="220" w:type="dxa"/>
            <w:vAlign w:val="bottom"/>
          </w:tcPr>
          <w:p>
            <w:pPr>
              <w:spacing w:after="0"/>
              <w:rPr>
                <w:sz w:val="14"/>
                <w:szCs w:val="14"/>
                <w:color w:val="auto"/>
              </w:rPr>
            </w:pPr>
          </w:p>
        </w:tc>
        <w:tc>
          <w:tcPr>
            <w:tcW w:w="960" w:type="dxa"/>
            <w:vAlign w:val="bottom"/>
            <w:tcBorders>
              <w:bottom w:val="single" w:sz="8" w:color="auto"/>
            </w:tcBorders>
          </w:tcPr>
          <w:p>
            <w:pPr>
              <w:jc w:val="right"/>
              <w:ind w:right="703"/>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831</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675,299</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831</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the nine-months ended September 30, 2018 and 2017, realized gains or losses recognized on the sale of investments were not significant.</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Company’s investments at September 30, 2018 and December 31, 2017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905"/>
              <w:spacing w:after="0"/>
              <w:rPr>
                <w:sz w:val="20"/>
                <w:szCs w:val="20"/>
                <w:color w:val="auto"/>
              </w:rPr>
            </w:pPr>
            <w:r>
              <w:rPr>
                <w:rFonts w:ascii="Arial" w:cs="Arial" w:eastAsia="Arial" w:hAnsi="Arial"/>
                <w:sz w:val="19"/>
                <w:szCs w:val="19"/>
                <w:color w:val="auto"/>
              </w:rPr>
              <w:t>September 30, 2018</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905"/>
              <w:spacing w:after="0"/>
              <w:rPr>
                <w:sz w:val="20"/>
                <w:szCs w:val="20"/>
                <w:color w:val="auto"/>
              </w:rPr>
            </w:pPr>
            <w:r>
              <w:rPr>
                <w:rFonts w:ascii="Arial" w:cs="Arial" w:eastAsia="Arial" w:hAnsi="Arial"/>
                <w:sz w:val="19"/>
                <w:szCs w:val="19"/>
                <w:color w:val="auto"/>
              </w:rPr>
              <w:t>December 31, 2017</w:t>
            </w:r>
          </w:p>
        </w:tc>
        <w:tc>
          <w:tcPr>
            <w:tcW w:w="0" w:type="dxa"/>
            <w:vAlign w:val="bottom"/>
          </w:tcPr>
          <w:p>
            <w:pPr>
              <w:spacing w:after="0"/>
              <w:rPr>
                <w:sz w:val="1"/>
                <w:szCs w:val="1"/>
                <w:color w:val="auto"/>
              </w:rPr>
            </w:pPr>
          </w:p>
        </w:tc>
      </w:tr>
      <w:tr>
        <w:trPr>
          <w:trHeight w:val="426"/>
        </w:trPr>
        <w:tc>
          <w:tcPr>
            <w:tcW w:w="408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20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Arial" w:cs="Arial" w:eastAsia="Arial" w:hAnsi="Arial"/>
                <w:sz w:val="19"/>
                <w:szCs w:val="19"/>
                <w:color w:val="auto"/>
              </w:rPr>
              <w:t>Amortized Cost</w:t>
            </w:r>
          </w:p>
        </w:tc>
        <w:tc>
          <w:tcPr>
            <w:tcW w:w="3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9"/>
                <w:szCs w:val="19"/>
                <w:color w:val="auto"/>
              </w:rPr>
              <w:t>Fair Value</w:t>
            </w:r>
          </w:p>
        </w:tc>
        <w:tc>
          <w:tcPr>
            <w:tcW w:w="1860" w:type="dxa"/>
            <w:vAlign w:val="bottom"/>
            <w:gridSpan w:val="3"/>
          </w:tcPr>
          <w:p>
            <w:pPr>
              <w:ind w:left="180"/>
              <w:spacing w:after="0"/>
              <w:rPr>
                <w:sz w:val="20"/>
                <w:szCs w:val="20"/>
                <w:color w:val="auto"/>
              </w:rPr>
            </w:pPr>
            <w:r>
              <w:rPr>
                <w:rFonts w:ascii="Arial" w:cs="Arial" w:eastAsia="Arial" w:hAnsi="Arial"/>
                <w:sz w:val="19"/>
                <w:szCs w:val="19"/>
                <w:color w:val="auto"/>
              </w:rPr>
              <w:t>Amortized Cost</w:t>
            </w:r>
          </w:p>
        </w:tc>
        <w:tc>
          <w:tcPr>
            <w:tcW w:w="30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Arial" w:cs="Arial" w:eastAsia="Arial" w:hAnsi="Arial"/>
                <w:sz w:val="19"/>
                <w:szCs w:val="19"/>
                <w:color w:val="auto"/>
                <w:w w:val="99"/>
              </w:rPr>
              <w:t>Fair Value</w:t>
            </w:r>
          </w:p>
        </w:tc>
        <w:tc>
          <w:tcPr>
            <w:tcW w:w="0" w:type="dxa"/>
            <w:vAlign w:val="bottom"/>
          </w:tcPr>
          <w:p>
            <w:pPr>
              <w:spacing w:after="0"/>
              <w:rPr>
                <w:sz w:val="1"/>
                <w:szCs w:val="1"/>
                <w:color w:val="auto"/>
              </w:rPr>
            </w:pPr>
          </w:p>
        </w:tc>
      </w:tr>
      <w:tr>
        <w:trPr>
          <w:trHeight w:val="174"/>
        </w:trPr>
        <w:tc>
          <w:tcPr>
            <w:tcW w:w="4080" w:type="dxa"/>
            <w:vAlign w:val="bottom"/>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Commercial paper</w:t>
            </w:r>
          </w:p>
        </w:tc>
        <w:tc>
          <w:tcPr>
            <w:tcW w:w="2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52,595</w:t>
            </w:r>
          </w:p>
        </w:tc>
        <w:tc>
          <w:tcPr>
            <w:tcW w:w="300" w:type="dxa"/>
            <w:vAlign w:val="bottom"/>
          </w:tcPr>
          <w:p>
            <w:pPr>
              <w:spacing w:after="0"/>
              <w:rPr>
                <w:sz w:val="18"/>
                <w:szCs w:val="18"/>
                <w:color w:val="auto"/>
              </w:rPr>
            </w:pPr>
          </w:p>
        </w:tc>
        <w:tc>
          <w:tcPr>
            <w:tcW w:w="3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52,595</w:t>
            </w:r>
          </w:p>
        </w:tc>
        <w:tc>
          <w:tcPr>
            <w:tcW w:w="280" w:type="dxa"/>
            <w:vAlign w:val="bottom"/>
          </w:tcPr>
          <w:p>
            <w:pPr>
              <w:spacing w:after="0"/>
              <w:rPr>
                <w:sz w:val="18"/>
                <w:szCs w:val="18"/>
                <w:color w:val="auto"/>
              </w:rPr>
            </w:pPr>
          </w:p>
        </w:tc>
        <w:tc>
          <w:tcPr>
            <w:tcW w:w="54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81,026</w:t>
            </w:r>
          </w:p>
        </w:tc>
        <w:tc>
          <w:tcPr>
            <w:tcW w:w="280" w:type="dxa"/>
            <w:vAlign w:val="bottom"/>
          </w:tcPr>
          <w:p>
            <w:pPr>
              <w:spacing w:after="0"/>
              <w:rPr>
                <w:sz w:val="18"/>
                <w:szCs w:val="18"/>
                <w:color w:val="auto"/>
              </w:rPr>
            </w:pPr>
          </w:p>
        </w:tc>
        <w:tc>
          <w:tcPr>
            <w:tcW w:w="3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81,026</w:t>
            </w: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U.S. Treasuries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109,832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109,787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Municipal securities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127,149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127,069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469,604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468,865</w:t>
            </w: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U.S. government agency securities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108,128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108,033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61,307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61,219</w:t>
            </w: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Certificates of deposit</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26,068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26,068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11,869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11,869</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Arial" w:cs="Arial" w:eastAsia="Arial" w:hAnsi="Arial"/>
                <w:sz w:val="19"/>
                <w:szCs w:val="19"/>
                <w:color w:val="auto"/>
              </w:rPr>
              <w:t>Due 1 - 10 years: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Municipal securities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1,612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1,610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U.S. government agency securities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2,369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2,366</w:t>
            </w: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Variable rate demand notes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6,366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6,366</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Variable rate demand notes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15,952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15,952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28,377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28,377</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Variable rate demand notes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14,291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14,291</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15,211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15,211</w:t>
            </w: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Arial" w:cs="Arial" w:eastAsia="Arial" w:hAnsi="Arial"/>
                <w:sz w:val="19"/>
                <w:szCs w:val="19"/>
                <w:color w:val="auto"/>
              </w:rPr>
              <w:t>Due 31 - 40 years: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40"/>
              <w:spacing w:after="0" w:line="216" w:lineRule="exact"/>
              <w:rPr>
                <w:sz w:val="20"/>
                <w:szCs w:val="20"/>
                <w:color w:val="auto"/>
              </w:rPr>
            </w:pPr>
            <w:r>
              <w:rPr>
                <w:rFonts w:ascii="Arial" w:cs="Arial" w:eastAsia="Arial" w:hAnsi="Arial"/>
                <w:sz w:val="19"/>
                <w:szCs w:val="19"/>
                <w:color w:val="auto"/>
              </w:rPr>
              <w:t>Variable rate demand notes</w:t>
            </w:r>
          </w:p>
        </w:tc>
        <w:tc>
          <w:tcPr>
            <w:tcW w:w="2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Arial" w:cs="Arial" w:eastAsia="Arial" w:hAnsi="Arial"/>
                <w:sz w:val="19"/>
                <w:szCs w:val="19"/>
                <w:color w:val="auto"/>
              </w:rPr>
              <w:t>4,103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4,103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
        </w:trPr>
        <w:tc>
          <w:tcPr>
            <w:tcW w:w="4080" w:type="dxa"/>
            <w:vAlign w:val="bottom"/>
            <w:vMerge w:val="restart"/>
          </w:tcPr>
          <w:p>
            <w:pPr>
              <w:ind w:left="160"/>
              <w:spacing w:after="0"/>
              <w:rPr>
                <w:sz w:val="20"/>
                <w:szCs w:val="20"/>
                <w:color w:val="auto"/>
              </w:rPr>
            </w:pPr>
            <w:r>
              <w:rPr>
                <w:rFonts w:ascii="Arial" w:cs="Arial" w:eastAsia="Arial" w:hAnsi="Arial"/>
                <w:sz w:val="19"/>
                <w:szCs w:val="19"/>
                <w:color w:val="auto"/>
              </w:rPr>
              <w:t>Total</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459,730</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459,508</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245"/>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676,129</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675,299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23"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15"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77"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7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September 30, 2018</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523,097</w:t>
            </w:r>
          </w:p>
        </w:tc>
        <w:tc>
          <w:tcPr>
            <w:tcW w:w="4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523,097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87,546</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87,546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59,104</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59,104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75,257</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75,257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34,346</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34,346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153,204</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153,204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128,887</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128,887</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U.S. Treasuries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111,781</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111,781</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178</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610,643</w:t>
            </w: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562,757</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1,173,400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610,643</w:t>
            </w: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103,071</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713,714</w:t>
            </w: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457,898</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457,898</w:t>
            </w: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271</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271</w:t>
            </w: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1,610</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1,610</w:t>
            </w:r>
          </w:p>
        </w:tc>
        <w:tc>
          <w:tcPr>
            <w:tcW w:w="0" w:type="dxa"/>
            <w:vAlign w:val="bottom"/>
          </w:tcPr>
          <w:p>
            <w:pPr>
              <w:spacing w:after="0"/>
              <w:rPr>
                <w:sz w:val="1"/>
                <w:szCs w:val="1"/>
                <w:color w:val="auto"/>
              </w:rPr>
            </w:pPr>
          </w:p>
        </w:tc>
      </w:tr>
      <w:tr>
        <w:trPr>
          <w:trHeight w:val="240"/>
        </w:trPr>
        <w:tc>
          <w:tcPr>
            <w:tcW w:w="500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(93)</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610,643</w:t>
            </w: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562,757</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1,173,400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2017</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Level 2</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310,885</w:t>
            </w:r>
          </w:p>
        </w:tc>
        <w:tc>
          <w:tcPr>
            <w:tcW w:w="4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310,885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112,848</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112,848</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15,720</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15,720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99,903</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99,903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49,954</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49,954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529,984</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529,984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81,230</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81,230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U.S. Treasuries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3,397</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3,397</w:t>
            </w: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(1,484)</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(1,484)</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423,733</w:t>
            </w: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778,704</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1,202,437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423,733</w:t>
            </w: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104,889</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528,622</w:t>
            </w: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672,933</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672,933</w:t>
            </w:r>
          </w:p>
        </w:tc>
        <w:tc>
          <w:tcPr>
            <w:tcW w:w="0" w:type="dxa"/>
            <w:vAlign w:val="bottom"/>
          </w:tcPr>
          <w:p>
            <w:pPr>
              <w:spacing w:after="0"/>
              <w:rPr>
                <w:sz w:val="1"/>
                <w:szCs w:val="1"/>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95</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30"/>
        </w:trPr>
        <w:tc>
          <w:tcPr>
            <w:tcW w:w="500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2,366</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2,366</w:t>
            </w:r>
          </w:p>
        </w:tc>
        <w:tc>
          <w:tcPr>
            <w:tcW w:w="0" w:type="dxa"/>
            <w:vAlign w:val="bottom"/>
          </w:tcPr>
          <w:p>
            <w:pPr>
              <w:spacing w:after="0"/>
              <w:rPr>
                <w:sz w:val="1"/>
                <w:szCs w:val="1"/>
                <w:color w:val="auto"/>
              </w:rPr>
            </w:pPr>
          </w:p>
        </w:tc>
      </w:tr>
      <w:tr>
        <w:trPr>
          <w:trHeight w:val="240"/>
        </w:trPr>
        <w:tc>
          <w:tcPr>
            <w:tcW w:w="500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(1,579)</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423,733</w:t>
            </w:r>
          </w:p>
        </w:tc>
        <w:tc>
          <w:tcPr>
            <w:tcW w:w="4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778,704</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1,202,437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nine-months ended September 30, 2018 or the year-ended December 31, 2017, and there were no changes in the Company’s valuation techniques.</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The Company is exposed to foreign currency exchange rate risks related primarily to its foreign business operations. During the three-and nine-months ended September 30, 2018 and the year-ended December 31, 2017,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2018 have terms of one month or less. The Company does not enter into forward currency exchange contracts for speculation or trading purposes.</w:t>
      </w:r>
    </w:p>
    <w:p>
      <w:pPr>
        <w:spacing w:after="0" w:line="192"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September 30, 2018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hedging instruments under</w:t>
            </w:r>
          </w:p>
        </w:tc>
        <w:tc>
          <w:tcPr>
            <w:tcW w:w="2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08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c>
          <w:tcPr>
            <w:tcW w:w="140" w:type="dxa"/>
            <w:vAlign w:val="bottom"/>
          </w:tcPr>
          <w:p>
            <w:pPr>
              <w:spacing w:after="0"/>
              <w:rPr>
                <w:sz w:val="21"/>
                <w:szCs w:val="21"/>
                <w:color w:val="auto"/>
              </w:rPr>
            </w:pPr>
          </w:p>
        </w:tc>
      </w:tr>
      <w:tr>
        <w:trPr>
          <w:trHeight w:val="287"/>
        </w:trPr>
        <w:tc>
          <w:tcPr>
            <w:tcW w:w="52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EUR</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31,411</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111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GBP</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28,315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105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ZAR</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14,375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53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NOK/pay USD</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1,450</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1"/>
                <w:szCs w:val="21"/>
                <w:color w:val="auto"/>
              </w:rPr>
            </w:pPr>
          </w:p>
        </w:tc>
      </w:tr>
      <w:tr>
        <w:trPr>
          <w:trHeight w:val="668"/>
        </w:trPr>
        <w:tc>
          <w:tcPr>
            <w:tcW w:w="5260" w:type="dxa"/>
            <w:vAlign w:val="bottom"/>
            <w:gridSpan w:val="2"/>
          </w:tcPr>
          <w:p>
            <w:pPr>
              <w:ind w:left="20"/>
              <w:spacing w:after="0"/>
              <w:rPr>
                <w:sz w:val="20"/>
                <w:szCs w:val="20"/>
                <w:color w:val="auto"/>
              </w:rPr>
            </w:pPr>
            <w:r>
              <w:rPr>
                <w:rFonts w:ascii="Arial" w:cs="Arial" w:eastAsia="Arial" w:hAnsi="Arial"/>
                <w:sz w:val="20"/>
                <w:szCs w:val="20"/>
                <w:color w:val="auto"/>
              </w:rPr>
              <w:t>Liabilities: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COP</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3,789</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SGD/pay USD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7,342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AUD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12,484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NZD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2,645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MXN</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2,044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RUB/pay USD</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909</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21"/>
                <w:szCs w:val="21"/>
                <w:color w:val="auto"/>
              </w:rPr>
            </w:pPr>
          </w:p>
        </w:tc>
      </w:tr>
      <w:tr>
        <w:trPr>
          <w:trHeight w:val="442"/>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82"/>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4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December 31,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Borders>
              <w:top w:val="single" w:sz="8" w:color="auto"/>
            </w:tcBorders>
            <w:gridSpan w:val="2"/>
          </w:tcPr>
          <w:p>
            <w:pPr>
              <w:jc w:val="center"/>
              <w:ind w:right="280"/>
              <w:spacing w:after="0" w:line="216" w:lineRule="exact"/>
              <w:rPr>
                <w:sz w:val="20"/>
                <w:szCs w:val="20"/>
                <w:color w:val="auto"/>
              </w:rPr>
            </w:pPr>
            <w:r>
              <w:rPr>
                <w:rFonts w:ascii="Arial" w:cs="Arial" w:eastAsia="Arial" w:hAnsi="Arial"/>
                <w:sz w:val="20"/>
                <w:szCs w:val="20"/>
                <w:color w:val="auto"/>
                <w:w w:val="88"/>
              </w:rPr>
              <w:t>Derivatives not designated as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r>
      <w:tr>
        <w:trPr>
          <w:trHeight w:val="230"/>
        </w:trPr>
        <w:tc>
          <w:tcPr>
            <w:tcW w:w="52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hedging instruments under</w:t>
            </w:r>
          </w:p>
        </w:tc>
        <w:tc>
          <w:tcPr>
            <w:tcW w:w="3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20"/>
                <w:szCs w:val="20"/>
                <w:color w:val="auto"/>
              </w:rPr>
              <w:t>Notional</w:t>
            </w:r>
          </w:p>
        </w:tc>
        <w:tc>
          <w:tcPr>
            <w:tcW w:w="340" w:type="dxa"/>
            <w:vAlign w:val="bottom"/>
          </w:tcPr>
          <w:p>
            <w:pPr>
              <w:spacing w:after="0"/>
              <w:rPr>
                <w:sz w:val="19"/>
                <w:szCs w:val="19"/>
                <w:color w:val="auto"/>
              </w:rPr>
            </w:pPr>
          </w:p>
        </w:tc>
        <w:tc>
          <w:tcPr>
            <w:tcW w:w="106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5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2"/>
                <w:szCs w:val="22"/>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r>
      <w:tr>
        <w:trPr>
          <w:trHeight w:val="292"/>
        </w:trPr>
        <w:tc>
          <w:tcPr>
            <w:tcW w:w="52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24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CAD/pay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4,892</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2,803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1,806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NOK/pay USD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1,534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5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223</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668"/>
        </w:trPr>
        <w:tc>
          <w:tcPr>
            <w:tcW w:w="52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24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EUR</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65,131</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(642)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31,342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(334)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21,311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17,238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7,720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(126)</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TRY</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5,483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1,826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5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1,112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gains (losses) on derivative instruments in the condensed consolidated statements of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gridSpan w:val="4"/>
          </w:tcPr>
          <w:p>
            <w:pPr>
              <w:jc w:val="center"/>
              <w:ind w:right="141"/>
              <w:spacing w:after="0"/>
              <w:rPr>
                <w:sz w:val="20"/>
                <w:szCs w:val="20"/>
                <w:color w:val="auto"/>
              </w:rPr>
            </w:pPr>
            <w:r>
              <w:rPr>
                <w:rFonts w:ascii="Arial" w:cs="Arial" w:eastAsia="Arial" w:hAnsi="Arial"/>
                <w:sz w:val="20"/>
                <w:szCs w:val="20"/>
                <w:color w:val="auto"/>
                <w:w w:val="92"/>
              </w:rPr>
              <w:t>Amount of gain (loss)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gridSpan w:val="4"/>
          </w:tcPr>
          <w:p>
            <w:pPr>
              <w:jc w:val="center"/>
              <w:ind w:right="141"/>
              <w:spacing w:after="0"/>
              <w:rPr>
                <w:sz w:val="20"/>
                <w:szCs w:val="20"/>
                <w:color w:val="auto"/>
              </w:rPr>
            </w:pPr>
            <w:r>
              <w:rPr>
                <w:rFonts w:ascii="Arial" w:cs="Arial" w:eastAsia="Arial" w:hAnsi="Arial"/>
                <w:sz w:val="20"/>
                <w:szCs w:val="20"/>
                <w:color w:val="auto"/>
                <w:w w:val="89"/>
              </w:rPr>
              <w:t>recognized in income 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center"/>
              <w:ind w:right="141"/>
              <w:spacing w:after="0"/>
              <w:rPr>
                <w:sz w:val="20"/>
                <w:szCs w:val="20"/>
                <w:color w:val="auto"/>
              </w:rPr>
            </w:pPr>
            <w:r>
              <w:rPr>
                <w:rFonts w:ascii="Arial" w:cs="Arial" w:eastAsia="Arial" w:hAnsi="Arial"/>
                <w:sz w:val="20"/>
                <w:szCs w:val="20"/>
                <w:color w:val="auto"/>
                <w:w w:val="89"/>
              </w:rPr>
              <w:t>derivatives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91"/>
              </w:rPr>
              <w:t>Location of gain (loss)</w:t>
            </w:r>
          </w:p>
        </w:tc>
        <w:tc>
          <w:tcPr>
            <w:tcW w:w="2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center"/>
              <w:ind w:right="141"/>
              <w:spacing w:after="0" w:line="223" w:lineRule="exact"/>
              <w:rPr>
                <w:sz w:val="20"/>
                <w:szCs w:val="20"/>
                <w:color w:val="auto"/>
              </w:rPr>
            </w:pPr>
            <w:r>
              <w:rPr>
                <w:rFonts w:ascii="Arial" w:cs="Arial" w:eastAsia="Arial" w:hAnsi="Arial"/>
                <w:sz w:val="20"/>
                <w:szCs w:val="20"/>
                <w:color w:val="auto"/>
                <w:w w:val="87"/>
              </w:rPr>
              <w:t>Three-months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gridSpan w:val="2"/>
            <w:vMerge w:val="continue"/>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382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240" w:type="dxa"/>
            <w:vAlign w:val="bottom"/>
          </w:tcPr>
          <w:p>
            <w:pPr>
              <w:spacing w:after="0"/>
              <w:rPr>
                <w:sz w:val="19"/>
                <w:szCs w:val="19"/>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20"/>
                <w:szCs w:val="20"/>
                <w:color w:val="auto"/>
                <w:w w:val="88"/>
              </w:rPr>
              <w:t>September 30,</w:t>
            </w:r>
          </w:p>
        </w:tc>
        <w:tc>
          <w:tcPr>
            <w:tcW w:w="220" w:type="dxa"/>
            <w:vAlign w:val="bottom"/>
          </w:tcPr>
          <w:p>
            <w:pPr>
              <w:spacing w:after="0"/>
              <w:rPr>
                <w:sz w:val="19"/>
                <w:szCs w:val="19"/>
                <w:color w:val="auto"/>
              </w:rPr>
            </w:pPr>
          </w:p>
        </w:tc>
        <w:tc>
          <w:tcPr>
            <w:tcW w:w="1420" w:type="dxa"/>
            <w:vAlign w:val="bottom"/>
          </w:tcPr>
          <w:p>
            <w:pPr>
              <w:jc w:val="center"/>
              <w:ind w:right="141"/>
              <w:spacing w:after="0"/>
              <w:rPr>
                <w:sz w:val="20"/>
                <w:szCs w:val="20"/>
                <w:color w:val="auto"/>
              </w:rPr>
            </w:pPr>
            <w:r>
              <w:rPr>
                <w:rFonts w:ascii="Arial" w:cs="Arial" w:eastAsia="Arial" w:hAnsi="Arial"/>
                <w:sz w:val="20"/>
                <w:szCs w:val="20"/>
                <w:color w:val="auto"/>
                <w:w w:val="86"/>
              </w:rPr>
              <w:t>September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2018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2017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2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382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Interest and other income, net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4"/>
          </w:tcPr>
          <w:p>
            <w:pPr>
              <w:jc w:val="center"/>
              <w:ind w:right="141"/>
              <w:spacing w:after="0"/>
              <w:rPr>
                <w:sz w:val="20"/>
                <w:szCs w:val="20"/>
                <w:color w:val="auto"/>
              </w:rPr>
            </w:pPr>
            <w:r>
              <w:rPr>
                <w:rFonts w:ascii="Arial" w:cs="Arial" w:eastAsia="Arial" w:hAnsi="Arial"/>
                <w:sz w:val="20"/>
                <w:szCs w:val="20"/>
                <w:color w:val="auto"/>
                <w:w w:val="92"/>
              </w:rPr>
              <w:t>Amount of gain (loss)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gridSpan w:val="4"/>
          </w:tcPr>
          <w:p>
            <w:pPr>
              <w:jc w:val="center"/>
              <w:ind w:right="141"/>
              <w:spacing w:after="0"/>
              <w:rPr>
                <w:sz w:val="20"/>
                <w:szCs w:val="20"/>
                <w:color w:val="auto"/>
              </w:rPr>
            </w:pPr>
            <w:r>
              <w:rPr>
                <w:rFonts w:ascii="Arial" w:cs="Arial" w:eastAsia="Arial" w:hAnsi="Arial"/>
                <w:sz w:val="20"/>
                <w:szCs w:val="20"/>
                <w:color w:val="auto"/>
                <w:w w:val="89"/>
              </w:rPr>
              <w:t>recognized in income 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center"/>
              <w:ind w:right="141"/>
              <w:spacing w:after="0"/>
              <w:rPr>
                <w:sz w:val="20"/>
                <w:szCs w:val="20"/>
                <w:color w:val="auto"/>
              </w:rPr>
            </w:pPr>
            <w:r>
              <w:rPr>
                <w:rFonts w:ascii="Arial" w:cs="Arial" w:eastAsia="Arial" w:hAnsi="Arial"/>
                <w:sz w:val="20"/>
                <w:szCs w:val="20"/>
                <w:color w:val="auto"/>
                <w:w w:val="89"/>
              </w:rPr>
              <w:t>derivatives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38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91"/>
              </w:rPr>
              <w:t>Location of gain (loss)</w:t>
            </w:r>
          </w:p>
        </w:tc>
        <w:tc>
          <w:tcPr>
            <w:tcW w:w="2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center"/>
              <w:ind w:right="141"/>
              <w:spacing w:after="0" w:line="223" w:lineRule="exact"/>
              <w:rPr>
                <w:sz w:val="20"/>
                <w:szCs w:val="20"/>
                <w:color w:val="auto"/>
              </w:rPr>
            </w:pPr>
            <w:r>
              <w:rPr>
                <w:rFonts w:ascii="Arial" w:cs="Arial" w:eastAsia="Arial" w:hAnsi="Arial"/>
                <w:sz w:val="20"/>
                <w:szCs w:val="20"/>
                <w:color w:val="auto"/>
                <w:w w:val="88"/>
              </w:rPr>
              <w:t>Nine-months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gridSpan w:val="2"/>
            <w:vMerge w:val="continue"/>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hedging instruments under</w:t>
            </w:r>
          </w:p>
        </w:tc>
        <w:tc>
          <w:tcPr>
            <w:tcW w:w="382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240" w:type="dxa"/>
            <w:vAlign w:val="bottom"/>
          </w:tcPr>
          <w:p>
            <w:pPr>
              <w:spacing w:after="0"/>
              <w:rPr>
                <w:sz w:val="19"/>
                <w:szCs w:val="19"/>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20"/>
                <w:szCs w:val="20"/>
                <w:color w:val="auto"/>
                <w:w w:val="88"/>
              </w:rPr>
              <w:t>September 30,</w:t>
            </w:r>
          </w:p>
        </w:tc>
        <w:tc>
          <w:tcPr>
            <w:tcW w:w="220" w:type="dxa"/>
            <w:vAlign w:val="bottom"/>
          </w:tcPr>
          <w:p>
            <w:pPr>
              <w:spacing w:after="0"/>
              <w:rPr>
                <w:sz w:val="19"/>
                <w:szCs w:val="19"/>
                <w:color w:val="auto"/>
              </w:rPr>
            </w:pPr>
          </w:p>
        </w:tc>
        <w:tc>
          <w:tcPr>
            <w:tcW w:w="1420" w:type="dxa"/>
            <w:vAlign w:val="bottom"/>
          </w:tcPr>
          <w:p>
            <w:pPr>
              <w:jc w:val="center"/>
              <w:ind w:right="141"/>
              <w:spacing w:after="0"/>
              <w:rPr>
                <w:sz w:val="20"/>
                <w:szCs w:val="20"/>
                <w:color w:val="auto"/>
              </w:rPr>
            </w:pPr>
            <w:r>
              <w:rPr>
                <w:rFonts w:ascii="Arial" w:cs="Arial" w:eastAsia="Arial" w:hAnsi="Arial"/>
                <w:sz w:val="20"/>
                <w:szCs w:val="20"/>
                <w:color w:val="auto"/>
                <w:w w:val="86"/>
              </w:rPr>
              <w:t>September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FASB ASC 815-20</w:t>
            </w:r>
          </w:p>
        </w:tc>
        <w:tc>
          <w:tcPr>
            <w:tcW w:w="300" w:type="dxa"/>
            <w:vAlign w:val="bottom"/>
          </w:tcPr>
          <w:p>
            <w:pPr>
              <w:spacing w:after="0"/>
              <w:rPr>
                <w:sz w:val="21"/>
                <w:szCs w:val="21"/>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2018</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2017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2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382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Interest and other income, net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7,909</w:t>
            </w:r>
          </w:p>
        </w:tc>
        <w:tc>
          <w:tcPr>
            <w:tcW w:w="22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vMerge w:val="restart"/>
          </w:tcPr>
          <w:p>
            <w:pPr>
              <w:jc w:val="right"/>
              <w:ind w:right="164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ind w:left="60"/>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19"/>
                <w:szCs w:val="19"/>
                <w:color w:val="auto"/>
              </w:rPr>
            </w:pPr>
          </w:p>
        </w:tc>
        <w:tc>
          <w:tcPr>
            <w:tcW w:w="1440" w:type="dxa"/>
            <w:vAlign w:val="bottom"/>
          </w:tcPr>
          <w:p>
            <w:pPr>
              <w:jc w:val="right"/>
              <w:ind w:right="18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6420" w:type="dxa"/>
            <w:vAlign w:val="bottom"/>
            <w:vMerge w:val="continue"/>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line="207" w:lineRule="exact"/>
              <w:rPr>
                <w:sz w:val="20"/>
                <w:szCs w:val="20"/>
                <w:color w:val="auto"/>
              </w:rPr>
            </w:pPr>
            <w:r>
              <w:rPr>
                <w:rFonts w:ascii="Arial" w:cs="Arial" w:eastAsia="Arial" w:hAnsi="Arial"/>
                <w:sz w:val="20"/>
                <w:szCs w:val="20"/>
                <w:color w:val="auto"/>
              </w:rPr>
              <w:t>99,266</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line="207" w:lineRule="exact"/>
              <w:rPr>
                <w:sz w:val="20"/>
                <w:szCs w:val="20"/>
                <w:color w:val="auto"/>
              </w:rPr>
            </w:pPr>
            <w:r>
              <w:rPr>
                <w:rFonts w:ascii="Arial" w:cs="Arial" w:eastAsia="Arial" w:hAnsi="Arial"/>
                <w:sz w:val="20"/>
                <w:szCs w:val="20"/>
                <w:color w:val="auto"/>
              </w:rPr>
              <w:t>78,834</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0"/>
                <w:szCs w:val="20"/>
                <w:color w:val="auto"/>
              </w:rPr>
            </w:pPr>
            <w:r>
              <w:rPr>
                <w:rFonts w:ascii="Arial" w:cs="Arial" w:eastAsia="Arial" w:hAnsi="Arial"/>
                <w:sz w:val="20"/>
                <w:szCs w:val="20"/>
                <w:color w:val="auto"/>
              </w:rPr>
              <w:t>Finished goods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162,818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176,911</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262,084</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255,745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ind w:left="40"/>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0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6400" w:type="dxa"/>
            <w:vAlign w:val="bottom"/>
            <w:vMerge w:val="continue"/>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5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44,261</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47,373</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22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5,760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3,109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Furniture and fixtures</w:t>
            </w:r>
          </w:p>
        </w:tc>
        <w:tc>
          <w:tcPr>
            <w:tcW w:w="22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6,925</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6,461</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22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18,384</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14,506</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Computer software</w:t>
            </w:r>
          </w:p>
        </w:tc>
        <w:tc>
          <w:tcPr>
            <w:tcW w:w="22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3,103</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3,650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Equipment</w:t>
            </w:r>
          </w:p>
        </w:tc>
        <w:tc>
          <w:tcPr>
            <w:tcW w:w="22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176,732</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148,434</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Buildings</w:t>
            </w:r>
          </w:p>
        </w:tc>
        <w:tc>
          <w:tcPr>
            <w:tcW w:w="22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113,625</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107,374</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Vehicles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39,488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38,179</w:t>
            </w:r>
          </w:p>
        </w:tc>
        <w:tc>
          <w:tcPr>
            <w:tcW w:w="0" w:type="dxa"/>
            <w:vAlign w:val="bottom"/>
          </w:tcPr>
          <w:p>
            <w:pPr>
              <w:spacing w:after="0"/>
              <w:rPr>
                <w:sz w:val="1"/>
                <w:szCs w:val="1"/>
                <w:color w:val="auto"/>
              </w:rPr>
            </w:pPr>
          </w:p>
        </w:tc>
      </w:tr>
      <w:tr>
        <w:trPr>
          <w:trHeight w:val="206"/>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408,278</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369,086</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(165,424)</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(138,810)</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242,854</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230,276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Total depreciation and amortization expense recorded was $11.3 million and $9.4 million for the three-months ended September 30, 2018 and 2017, respectively. Total depreciation and amortization expense recorded was $33.5 million and $26.2 million for the nine-months ended September 30, 2018 and 2017, respectively.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The following is a roll-forward of goodwill for the nine-months ended September 30, 2018 and 2017 by reportable segment: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December 31, 2017</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Acquisitions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December 31, 2016</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Acquisitions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Balance at September 30, 2017</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Amortizing intangibles</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Accumulated amortization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Non-amortizing intangibles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Energy®</w:t>
            </w:r>
          </w:p>
        </w:tc>
        <w:tc>
          <w:tcPr>
            <w:tcW w:w="260" w:type="dxa"/>
            <w:vAlign w:val="bottom"/>
          </w:tcPr>
          <w:p>
            <w:pPr>
              <w:spacing w:after="0"/>
              <w:rPr>
                <w:sz w:val="19"/>
                <w:szCs w:val="19"/>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20"/>
                <w:szCs w:val="20"/>
                <w:color w:val="auto"/>
                <w:w w:val="88"/>
              </w:rPr>
              <w:t>Strategic</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6"/>
        </w:trPr>
        <w:tc>
          <w:tcPr>
            <w:tcW w:w="260" w:type="dxa"/>
            <w:vAlign w:val="bottom"/>
          </w:tcPr>
          <w:p>
            <w:pPr>
              <w:spacing w:after="0"/>
              <w:rPr>
                <w:sz w:val="21"/>
                <w:szCs w:val="21"/>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260" w:type="dxa"/>
            <w:vAlign w:val="bottom"/>
          </w:tcPr>
          <w:p>
            <w:pPr>
              <w:spacing w:after="0"/>
              <w:rPr>
                <w:sz w:val="21"/>
                <w:szCs w:val="21"/>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20"/>
                <w:szCs w:val="20"/>
                <w:color w:val="auto"/>
                <w:w w:val="88"/>
              </w:rPr>
              <w:t>Brands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ind w:left="380"/>
              <w:spacing w:after="0"/>
              <w:rPr>
                <w:sz w:val="20"/>
                <w:szCs w:val="20"/>
                <w:color w:val="auto"/>
              </w:rPr>
            </w:pPr>
            <w:r>
              <w:rPr>
                <w:rFonts w:ascii="Arial" w:cs="Arial" w:eastAsia="Arial" w:hAnsi="Arial"/>
                <w:sz w:val="20"/>
                <w:szCs w:val="20"/>
                <w:color w:val="auto"/>
                <w:w w:val="83"/>
              </w:rPr>
              <w:t>Other</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20"/>
                <w:szCs w:val="20"/>
                <w:color w:val="auto"/>
              </w:rPr>
              <w:t>Total</w:t>
            </w:r>
          </w:p>
        </w:tc>
      </w:tr>
      <w:tr>
        <w:trPr>
          <w:trHeight w:val="206"/>
        </w:trPr>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637,999</w:t>
            </w: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tcBorders>
            <w:gridSpan w:val="2"/>
          </w:tcPr>
          <w:p>
            <w:pPr>
              <w:jc w:val="right"/>
              <w:ind w:right="120"/>
              <w:spacing w:after="0" w:line="207" w:lineRule="exact"/>
              <w:rPr>
                <w:sz w:val="20"/>
                <w:szCs w:val="20"/>
                <w:color w:val="auto"/>
              </w:rPr>
            </w:pPr>
            <w:r>
              <w:rPr>
                <w:rFonts w:ascii="Arial" w:cs="Arial" w:eastAsia="Arial" w:hAnsi="Arial"/>
                <w:sz w:val="20"/>
                <w:szCs w:val="20"/>
                <w:color w:val="auto"/>
              </w:rPr>
              <w:t>1,331,643</w:t>
            </w:r>
          </w:p>
        </w:tc>
      </w:tr>
      <w:tr>
        <w:trPr>
          <w:trHeight w:val="246"/>
        </w:trPr>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23"/>
        </w:trPr>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637,999</w:t>
            </w: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1,331,643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09"/>
        </w:trPr>
        <w:tc>
          <w:tcPr>
            <w:tcW w:w="260" w:type="dxa"/>
            <w:vAlign w:val="bottom"/>
          </w:tcPr>
          <w:p>
            <w:pPr>
              <w:spacing w:after="0"/>
              <w:rPr>
                <w:sz w:val="24"/>
                <w:szCs w:val="2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26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Energy®</w:t>
            </w:r>
          </w:p>
        </w:tc>
        <w:tc>
          <w:tcPr>
            <w:tcW w:w="260" w:type="dxa"/>
            <w:vAlign w:val="bottom"/>
          </w:tcPr>
          <w:p>
            <w:pPr>
              <w:spacing w:after="0"/>
              <w:rPr>
                <w:sz w:val="19"/>
                <w:szCs w:val="19"/>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20"/>
                <w:szCs w:val="20"/>
                <w:color w:val="auto"/>
                <w:w w:val="88"/>
              </w:rPr>
              <w:t>Strategic</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6"/>
        </w:trPr>
        <w:tc>
          <w:tcPr>
            <w:tcW w:w="260" w:type="dxa"/>
            <w:vAlign w:val="bottom"/>
          </w:tcPr>
          <w:p>
            <w:pPr>
              <w:spacing w:after="0"/>
              <w:rPr>
                <w:sz w:val="21"/>
                <w:szCs w:val="21"/>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260" w:type="dxa"/>
            <w:vAlign w:val="bottom"/>
          </w:tcPr>
          <w:p>
            <w:pPr>
              <w:spacing w:after="0"/>
              <w:rPr>
                <w:sz w:val="21"/>
                <w:szCs w:val="21"/>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20"/>
                <w:szCs w:val="20"/>
                <w:color w:val="auto"/>
                <w:w w:val="88"/>
              </w:rPr>
              <w:t>Brands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ind w:left="380"/>
              <w:spacing w:after="0"/>
              <w:rPr>
                <w:sz w:val="20"/>
                <w:szCs w:val="20"/>
                <w:color w:val="auto"/>
              </w:rPr>
            </w:pPr>
            <w:r>
              <w:rPr>
                <w:rFonts w:ascii="Arial" w:cs="Arial" w:eastAsia="Arial" w:hAnsi="Arial"/>
                <w:sz w:val="20"/>
                <w:szCs w:val="20"/>
                <w:color w:val="auto"/>
                <w:w w:val="83"/>
              </w:rPr>
              <w:t>Other</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20"/>
                <w:szCs w:val="20"/>
                <w:color w:val="auto"/>
              </w:rPr>
              <w:t>Total</w:t>
            </w:r>
          </w:p>
        </w:tc>
      </w:tr>
      <w:tr>
        <w:trPr>
          <w:trHeight w:val="206"/>
        </w:trPr>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637,999</w:t>
            </w: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tcBorders>
          </w:tcPr>
          <w:p>
            <w:pPr>
              <w:jc w:val="right"/>
              <w:ind w:right="241"/>
              <w:spacing w:after="0" w:line="207"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tcBorders>
            <w:gridSpan w:val="2"/>
          </w:tcPr>
          <w:p>
            <w:pPr>
              <w:jc w:val="right"/>
              <w:ind w:right="120"/>
              <w:spacing w:after="0" w:line="207" w:lineRule="exact"/>
              <w:rPr>
                <w:sz w:val="20"/>
                <w:szCs w:val="20"/>
                <w:color w:val="auto"/>
              </w:rPr>
            </w:pPr>
            <w:r>
              <w:rPr>
                <w:rFonts w:ascii="Arial" w:cs="Arial" w:eastAsia="Arial" w:hAnsi="Arial"/>
                <w:sz w:val="20"/>
                <w:szCs w:val="20"/>
                <w:color w:val="auto"/>
              </w:rPr>
              <w:t>1,331,643</w:t>
            </w:r>
          </w:p>
        </w:tc>
      </w:tr>
      <w:tr>
        <w:trPr>
          <w:trHeight w:val="246"/>
        </w:trPr>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23"/>
        </w:trPr>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637,999</w:t>
            </w: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1,331,643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2"/>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20"/>
                <w:szCs w:val="20"/>
                <w:color w:val="auto"/>
                <w:w w:val="86"/>
              </w:rPr>
              <w:t>September 30,</w:t>
            </w:r>
          </w:p>
        </w:tc>
        <w:tc>
          <w:tcPr>
            <w:tcW w:w="2180" w:type="dxa"/>
            <w:vAlign w:val="bottom"/>
            <w:gridSpan w:val="5"/>
          </w:tcPr>
          <w:p>
            <w:pPr>
              <w:jc w:val="center"/>
              <w:ind w:right="560"/>
              <w:spacing w:after="0"/>
              <w:rPr>
                <w:sz w:val="20"/>
                <w:szCs w:val="20"/>
                <w:color w:val="auto"/>
              </w:rPr>
            </w:pPr>
            <w:r>
              <w:rPr>
                <w:rFonts w:ascii="Arial" w:cs="Arial" w:eastAsia="Arial" w:hAnsi="Arial"/>
                <w:sz w:val="20"/>
                <w:szCs w:val="20"/>
                <w:color w:val="auto"/>
                <w:w w:val="87"/>
              </w:rPr>
              <w:t>December 31,</w:t>
            </w:r>
          </w:p>
        </w:tc>
      </w:tr>
      <w:tr>
        <w:trPr>
          <w:trHeight w:val="246"/>
        </w:trPr>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20"/>
                <w:szCs w:val="20"/>
                <w:color w:val="auto"/>
              </w:rPr>
              <w:t>2018</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3"/>
          </w:tcPr>
          <w:p>
            <w:pPr>
              <w:jc w:val="center"/>
              <w:ind w:right="281"/>
              <w:spacing w:after="0"/>
              <w:rPr>
                <w:sz w:val="20"/>
                <w:szCs w:val="20"/>
                <w:color w:val="auto"/>
              </w:rPr>
            </w:pPr>
            <w:r>
              <w:rPr>
                <w:rFonts w:ascii="Arial" w:cs="Arial" w:eastAsia="Arial" w:hAnsi="Arial"/>
                <w:sz w:val="20"/>
                <w:szCs w:val="20"/>
                <w:color w:val="auto"/>
                <w:w w:val="89"/>
              </w:rPr>
              <w:t>2017</w:t>
            </w:r>
          </w:p>
        </w:tc>
        <w:tc>
          <w:tcPr>
            <w:tcW w:w="580" w:type="dxa"/>
            <w:vAlign w:val="bottom"/>
          </w:tcPr>
          <w:p>
            <w:pPr>
              <w:spacing w:after="0"/>
              <w:rPr>
                <w:sz w:val="21"/>
                <w:szCs w:val="21"/>
                <w:color w:val="auto"/>
              </w:rPr>
            </w:pPr>
          </w:p>
        </w:tc>
      </w:tr>
      <w:tr>
        <w:trPr>
          <w:trHeight w:val="20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jc w:val="right"/>
              <w:ind w:right="381"/>
              <w:spacing w:after="0" w:line="207"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gridSpan w:val="3"/>
          </w:tcPr>
          <w:p>
            <w:pPr>
              <w:jc w:val="right"/>
              <w:ind w:right="1"/>
              <w:spacing w:after="0" w:line="207" w:lineRule="exact"/>
              <w:rPr>
                <w:sz w:val="20"/>
                <w:szCs w:val="20"/>
                <w:color w:val="auto"/>
              </w:rPr>
            </w:pPr>
            <w:r>
              <w:rPr>
                <w:rFonts w:ascii="Arial" w:cs="Arial" w:eastAsia="Arial" w:hAnsi="Arial"/>
                <w:sz w:val="20"/>
                <w:szCs w:val="20"/>
                <w:color w:val="auto"/>
              </w:rPr>
              <w:t>71,350</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w w:val="98"/>
              </w:rPr>
              <w:t>71,400</w:t>
            </w:r>
          </w:p>
        </w:tc>
        <w:tc>
          <w:tcPr>
            <w:tcW w:w="580" w:type="dxa"/>
            <w:vAlign w:val="bottom"/>
          </w:tcPr>
          <w:p>
            <w:pPr>
              <w:spacing w:after="0"/>
              <w:rPr>
                <w:sz w:val="17"/>
                <w:szCs w:val="17"/>
                <w:color w:val="auto"/>
              </w:rPr>
            </w:pPr>
          </w:p>
        </w:tc>
      </w:tr>
      <w:tr>
        <w:trPr>
          <w:trHeight w:val="246"/>
        </w:trPr>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(35,349)</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(26,383)</w:t>
            </w:r>
          </w:p>
        </w:tc>
        <w:tc>
          <w:tcPr>
            <w:tcW w:w="580" w:type="dxa"/>
            <w:vAlign w:val="bottom"/>
          </w:tcPr>
          <w:p>
            <w:pPr>
              <w:spacing w:after="0"/>
              <w:rPr>
                <w:sz w:val="21"/>
                <w:szCs w:val="21"/>
                <w:color w:val="auto"/>
              </w:rPr>
            </w:pPr>
          </w:p>
        </w:tc>
      </w:tr>
      <w:tr>
        <w:trPr>
          <w:trHeight w:val="206"/>
        </w:trPr>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gridSpan w:val="3"/>
          </w:tcPr>
          <w:p>
            <w:pPr>
              <w:jc w:val="right"/>
              <w:ind w:right="1"/>
              <w:spacing w:after="0" w:line="207" w:lineRule="exact"/>
              <w:rPr>
                <w:sz w:val="20"/>
                <w:szCs w:val="20"/>
                <w:color w:val="auto"/>
              </w:rPr>
            </w:pPr>
            <w:r>
              <w:rPr>
                <w:rFonts w:ascii="Arial" w:cs="Arial" w:eastAsia="Arial" w:hAnsi="Arial"/>
                <w:sz w:val="20"/>
                <w:szCs w:val="20"/>
                <w:color w:val="auto"/>
              </w:rPr>
              <w:t>36,001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
              <w:spacing w:after="0" w:line="207" w:lineRule="exact"/>
              <w:rPr>
                <w:sz w:val="20"/>
                <w:szCs w:val="20"/>
                <w:color w:val="auto"/>
              </w:rPr>
            </w:pPr>
            <w:r>
              <w:rPr>
                <w:rFonts w:ascii="Arial" w:cs="Arial" w:eastAsia="Arial" w:hAnsi="Arial"/>
                <w:sz w:val="20"/>
                <w:szCs w:val="20"/>
                <w:color w:val="auto"/>
                <w:w w:val="98"/>
              </w:rPr>
              <w:t>45,017</w:t>
            </w:r>
          </w:p>
        </w:tc>
        <w:tc>
          <w:tcPr>
            <w:tcW w:w="580" w:type="dxa"/>
            <w:vAlign w:val="bottom"/>
          </w:tcPr>
          <w:p>
            <w:pPr>
              <w:spacing w:after="0"/>
              <w:rPr>
                <w:sz w:val="17"/>
                <w:szCs w:val="17"/>
                <w:color w:val="auto"/>
              </w:rPr>
            </w:pPr>
          </w:p>
        </w:tc>
      </w:tr>
      <w:tr>
        <w:trPr>
          <w:trHeight w:val="246"/>
        </w:trPr>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w w:val="87"/>
              </w:rPr>
              <w:t>1,006,247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989,068</w:t>
            </w:r>
          </w:p>
        </w:tc>
        <w:tc>
          <w:tcPr>
            <w:tcW w:w="580" w:type="dxa"/>
            <w:vAlign w:val="bottom"/>
          </w:tcPr>
          <w:p>
            <w:pPr>
              <w:spacing w:after="0"/>
              <w:rPr>
                <w:sz w:val="21"/>
                <w:szCs w:val="21"/>
                <w:color w:val="auto"/>
              </w:rPr>
            </w:pPr>
          </w:p>
        </w:tc>
      </w:tr>
      <w:tr>
        <w:trPr>
          <w:trHeight w:val="223"/>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gridSpan w:val="3"/>
          </w:tcPr>
          <w:p>
            <w:pPr>
              <w:jc w:val="right"/>
              <w:ind w:right="1"/>
              <w:spacing w:after="0" w:line="223" w:lineRule="exact"/>
              <w:rPr>
                <w:sz w:val="20"/>
                <w:szCs w:val="20"/>
                <w:color w:val="auto"/>
              </w:rPr>
            </w:pPr>
            <w:r>
              <w:rPr>
                <w:rFonts w:ascii="Arial" w:cs="Arial" w:eastAsia="Arial" w:hAnsi="Arial"/>
                <w:sz w:val="20"/>
                <w:szCs w:val="20"/>
                <w:color w:val="auto"/>
                <w:w w:val="87"/>
              </w:rPr>
              <w:t>1,042,248</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gridSpan w:val="3"/>
          </w:tcPr>
          <w:p>
            <w:pPr>
              <w:jc w:val="right"/>
              <w:ind w:right="1"/>
              <w:spacing w:after="0" w:line="223" w:lineRule="exact"/>
              <w:rPr>
                <w:sz w:val="20"/>
                <w:szCs w:val="20"/>
                <w:color w:val="auto"/>
              </w:rPr>
            </w:pPr>
            <w:r>
              <w:rPr>
                <w:rFonts w:ascii="Arial" w:cs="Arial" w:eastAsia="Arial" w:hAnsi="Arial"/>
                <w:sz w:val="20"/>
                <w:szCs w:val="20"/>
                <w:color w:val="auto"/>
              </w:rPr>
              <w:t>1,034,085</w:t>
            </w:r>
          </w:p>
        </w:tc>
        <w:tc>
          <w:tcPr>
            <w:tcW w:w="58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80" w:space="720"/>
            <w:col w:w="6520"/>
          </w:cols>
          <w:pgMar w:left="240" w:top="125" w:right="239" w:bottom="1440" w:gutter="0" w:footer="0" w:header="0"/>
          <w:type w:val="continuous"/>
        </w:sectPr>
      </w:pPr>
    </w:p>
    <w:p>
      <w:pPr>
        <w:spacing w:after="0" w:line="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$3.0 million for both the three-months ended September 30, 2018 and 2017. Total amortization expense recorded was $9.0 million and $8.9 million for the nine-months ended September 30, 2018 and 2017, respectively.</w:t>
      </w:r>
    </w:p>
    <w:p>
      <w:pPr>
        <w:spacing w:after="0" w:line="208"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accordance with ASC 420 “Exit or Disposal Cost Obligations”, the Company expenses distributor termination costs in the period in which the written notification of termination occurs. The Company incurred termination costs of $14.1 million and $15.9 million for the three-months ended September 30, 2018 and 2017, respectively. The Company incurred termination costs of $26.6 million and $35.9 million for the nine-months ended September 30, 2018 and 2017, respectively. Such termination costs have been expensed in full and are included in operating expenses for the three- and nine-months ended September 30, 2018 and 2017.</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$11.1 million and $11.4 million for the three-months ended September 30, 2018 and 2017, respectively. Revenue recognized was $33.3 million and $31.6 million for the nine-months ended September 30, 2018 and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$33.8 million at September 30, 2018,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$180.8 million at September 30, 2018,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$15.1 million at September 30, 2018, which related primarily to warehouse and office space.</w:t>
      </w:r>
    </w:p>
    <w:p>
      <w:pPr>
        <w:spacing w:after="0" w:line="190" w:lineRule="exact"/>
        <w:rPr>
          <w:sz w:val="20"/>
          <w:szCs w:val="20"/>
          <w:color w:val="auto"/>
        </w:rPr>
      </w:pPr>
    </w:p>
    <w:p>
      <w:pPr>
        <w:jc w:val="both"/>
        <w:ind w:firstLine="689"/>
        <w:spacing w:after="0" w:line="246" w:lineRule="auto"/>
        <w:rPr>
          <w:sz w:val="20"/>
          <w:szCs w:val="20"/>
          <w:color w:val="auto"/>
        </w:rPr>
      </w:pPr>
      <w:r>
        <w:rPr>
          <w:rFonts w:ascii="Arial" w:cs="Arial" w:eastAsia="Arial" w:hAnsi="Arial"/>
          <w:sz w:val="20"/>
          <w:szCs w:val="20"/>
          <w:color w:val="auto"/>
        </w:rPr>
        <w:t>In February 2018, the working capital line limit for the Company’s credit facility with HSBC Bank (China) Company Limited, Shanghai Branch was increased from $9.0 million to $15.0 million. At September 30, 2018, the interest rate on borrowings under the line of credit was 5.5%. As of September 30, 2018, the Company had $10.1 million outstanding on this line of credit, including interest, which is included in accounts payable in the condensed consolidated balance sheet.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41"/>
        <w:spacing w:after="0" w:line="246" w:lineRule="auto"/>
        <w:rPr>
          <w:sz w:val="20"/>
          <w:szCs w:val="20"/>
          <w:color w:val="auto"/>
        </w:rPr>
      </w:pPr>
      <w:r>
        <w:rPr>
          <w:rFonts w:ascii="Arial" w:cs="Arial" w:eastAsia="Arial" w:hAnsi="Arial"/>
          <w:sz w:val="20"/>
          <w:szCs w:val="20"/>
          <w:i w:val="1"/>
          <w:iCs w:val="1"/>
          <w:color w:val="auto"/>
        </w:rPr>
        <w:t xml:space="preserve">Litigation </w:t>
      </w:r>
      <w:r>
        <w:rPr>
          <w:rFonts w:ascii="Arial" w:cs="Arial" w:eastAsia="Arial" w:hAnsi="Arial"/>
          <w:sz w:val="20"/>
          <w:szCs w:val="20"/>
          <w:color w:val="auto"/>
        </w:rPr>
        <w:t>— The Company, TCCC and certain affiliates are parties to various agreements setting forth, among other things, provisions relating</w:t>
      </w:r>
      <w:r>
        <w:rPr>
          <w:rFonts w:ascii="Arial" w:cs="Arial" w:eastAsia="Arial" w:hAnsi="Arial"/>
          <w:sz w:val="20"/>
          <w:szCs w:val="20"/>
          <w:i w:val="1"/>
          <w:iCs w:val="1"/>
          <w:color w:val="auto"/>
        </w:rPr>
        <w:t xml:space="preserve"> </w:t>
      </w:r>
      <w:r>
        <w:rPr>
          <w:rFonts w:ascii="Arial" w:cs="Arial" w:eastAsia="Arial" w:hAnsi="Arial"/>
          <w:sz w:val="20"/>
          <w:szCs w:val="20"/>
          <w:color w:val="auto"/>
        </w:rPr>
        <w:t>to TCCC’s 18.5% equity holding in the Company and the terms on which the Company’s energy products are distributed globally by members of TCCC’s distribution network. Among other provisions, the agreements restrict TCCC from competing in the energy drink category, with certain exceptions including an exception relating to the Coca-Cola brand.</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has developed two energy products that it believes it may market under the exception relating to the Coca-Cola brand. The Company believes that the exception does not apply. By mutual agreement to obtain clarification, the issue was submitted to AAA arbitration on October 31, 2018. TCCC has indicated that it has suspended the proposed launch of such products until April 2019. As the relief sought is limited, no reasonably possible range of losses, if any, can be estimated.</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been named a defendant in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September 30, 2018, the Company’s condensed consolidated balance sheet includes accrued loss contingencies of approximately $1.4 million.</w:t>
      </w:r>
    </w:p>
    <w:p>
      <w:pPr>
        <w:spacing w:after="0" w:line="165"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Changes in accumulated other comprehensive loss by component, after tax, for the nine-months ended September 30, 2018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9"/>
              </w:rPr>
              <w:t>Unrealized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91"/>
              </w:rPr>
              <w:t>Currency</w:t>
            </w: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7"/>
              </w:rPr>
              <w:t>(Gains) Losses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90"/>
              </w:rPr>
              <w:t>Translation</w:t>
            </w:r>
          </w:p>
        </w:tc>
        <w:tc>
          <w:tcPr>
            <w:tcW w:w="240" w:type="dxa"/>
            <w:vAlign w:val="bottom"/>
          </w:tcPr>
          <w:p>
            <w:pPr>
              <w:spacing w:after="0"/>
              <w:rPr>
                <w:sz w:val="19"/>
                <w:szCs w:val="19"/>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20"/>
                <w:szCs w:val="20"/>
                <w:color w:val="auto"/>
                <w:w w:val="93"/>
              </w:rPr>
              <w:t>on Available-for-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620" w:type="dxa"/>
            <w:vAlign w:val="bottom"/>
            <w:gridSpan w:val="2"/>
            <w:vMerge w:val="restart"/>
          </w:tcPr>
          <w:p>
            <w:pPr>
              <w:spacing w:after="0"/>
              <w:rPr>
                <w:sz w:val="20"/>
                <w:szCs w:val="20"/>
                <w:color w:val="auto"/>
              </w:rPr>
            </w:pPr>
            <w:r>
              <w:rPr>
                <w:rFonts w:ascii="Arial" w:cs="Arial" w:eastAsia="Arial" w:hAnsi="Arial"/>
                <w:sz w:val="20"/>
                <w:szCs w:val="20"/>
                <w:color w:val="auto"/>
              </w:rPr>
              <w:t>Balance at December 31, 2017</w:t>
            </w:r>
          </w:p>
        </w:tc>
        <w:tc>
          <w:tcPr>
            <w:tcW w:w="300" w:type="dxa"/>
            <w:vAlign w:val="bottom"/>
          </w:tcPr>
          <w:p>
            <w:pPr>
              <w:spacing w:after="0"/>
              <w:rPr>
                <w:sz w:val="21"/>
                <w:szCs w:val="21"/>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85"/>
              </w:rPr>
              <w:t>Losses</w:t>
            </w:r>
          </w:p>
        </w:tc>
        <w:tc>
          <w:tcPr>
            <w:tcW w:w="240" w:type="dxa"/>
            <w:vAlign w:val="bottom"/>
          </w:tcPr>
          <w:p>
            <w:pPr>
              <w:spacing w:after="0"/>
              <w:rPr>
                <w:sz w:val="21"/>
                <w:szCs w:val="21"/>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Sale Securities</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620" w:type="dxa"/>
            <w:vAlign w:val="bottom"/>
            <w:gridSpan w:val="2"/>
            <w:vMerge w:val="continue"/>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15,818</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841</w:t>
            </w:r>
          </w:p>
        </w:tc>
        <w:tc>
          <w:tcPr>
            <w:tcW w:w="26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16,659</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20"/>
                <w:szCs w:val="20"/>
                <w:color w:val="auto"/>
              </w:rPr>
              <w:t>Other comprehensive loss (income) before reclassifications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13,728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20"/>
                <w:szCs w:val="20"/>
                <w:color w:val="auto"/>
              </w:rPr>
              <w:t>(610)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13,118</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20"/>
                <w:szCs w:val="20"/>
                <w:color w:val="auto"/>
              </w:rPr>
              <w:t>Amounts reclassified from accumulated other comprehensive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p>
        </w:tc>
        <w:tc>
          <w:tcPr>
            <w:tcW w:w="5300" w:type="dxa"/>
            <w:vAlign w:val="bottom"/>
          </w:tcPr>
          <w:p>
            <w:pPr>
              <w:ind w:left="40"/>
              <w:spacing w:after="0"/>
              <w:rPr>
                <w:sz w:val="20"/>
                <w:szCs w:val="20"/>
                <w:color w:val="auto"/>
              </w:rPr>
            </w:pPr>
            <w:r>
              <w:rPr>
                <w:rFonts w:ascii="Arial" w:cs="Arial" w:eastAsia="Arial" w:hAnsi="Arial"/>
                <w:sz w:val="20"/>
                <w:szCs w:val="20"/>
                <w:color w:val="auto"/>
              </w:rPr>
              <w:t>loss (income)</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620" w:type="dxa"/>
            <w:vAlign w:val="bottom"/>
            <w:gridSpan w:val="2"/>
          </w:tcPr>
          <w:p>
            <w:pPr>
              <w:ind w:left="180"/>
              <w:spacing w:after="0" w:line="213" w:lineRule="exact"/>
              <w:rPr>
                <w:sz w:val="20"/>
                <w:szCs w:val="20"/>
                <w:color w:val="auto"/>
              </w:rPr>
            </w:pPr>
            <w:r>
              <w:rPr>
                <w:rFonts w:ascii="Arial" w:cs="Arial" w:eastAsia="Arial" w:hAnsi="Arial"/>
                <w:sz w:val="20"/>
                <w:szCs w:val="20"/>
                <w:color w:val="auto"/>
              </w:rPr>
              <w:t>Net current-period other comprehensive loss (income)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13,728</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(610)</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13,118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line="220" w:lineRule="exact"/>
              <w:rPr>
                <w:sz w:val="20"/>
                <w:szCs w:val="20"/>
                <w:color w:val="auto"/>
              </w:rPr>
            </w:pPr>
            <w:r>
              <w:rPr>
                <w:rFonts w:ascii="Arial" w:cs="Arial" w:eastAsia="Arial" w:hAnsi="Arial"/>
                <w:sz w:val="20"/>
                <w:szCs w:val="20"/>
                <w:color w:val="auto"/>
              </w:rPr>
              <w:t>Balance at September 30, 2018</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29,546</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29,777</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20"/>
                <w:szCs w:val="20"/>
                <w:color w:val="auto"/>
              </w:rPr>
              <w:t>13.</w:t>
            </w:r>
          </w:p>
        </w:tc>
        <w:tc>
          <w:tcPr>
            <w:tcW w:w="5300" w:type="dxa"/>
            <w:vAlign w:val="bottom"/>
            <w:vMerge w:val="restart"/>
          </w:tcPr>
          <w:p>
            <w:pPr>
              <w:ind w:left="320"/>
              <w:spacing w:after="0"/>
              <w:rPr>
                <w:sz w:val="20"/>
                <w:szCs w:val="20"/>
                <w:color w:val="auto"/>
              </w:rPr>
            </w:pPr>
            <w:r>
              <w:rPr>
                <w:rFonts w:ascii="Arial" w:cs="Arial" w:eastAsia="Arial" w:hAnsi="Arial"/>
                <w:sz w:val="20"/>
                <w:szCs w:val="20"/>
                <w:color w:val="auto"/>
              </w:rPr>
              <w:t>TREASURY STOCK</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20" w:type="dxa"/>
            <w:vAlign w:val="bottom"/>
            <w:vMerge w:val="continue"/>
          </w:tcPr>
          <w:p>
            <w:pPr>
              <w:spacing w:after="0"/>
              <w:rPr>
                <w:sz w:val="24"/>
                <w:szCs w:val="24"/>
                <w:color w:val="auto"/>
              </w:rPr>
            </w:pPr>
          </w:p>
        </w:tc>
        <w:tc>
          <w:tcPr>
            <w:tcW w:w="5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May 29, 2018, the Company’s Board of Directors authorized a share repurchase program for the purchase of up to $500.0 million of the Company’s outstanding common stock (the “May 2018 Repurchase Program”). No shares were repurchased during the three-months ended September 30, 2018 under the May 2018 Repurchase Program. As of November 8, 2018, $196.7 million remained available for repurchase under the May 2018 Repurchase Program.</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August 7, 2018, the Company’s Board of Directors authorized a new repurchase program for the repurchase of up to an additional $500.0 million of the Company’s outstanding common stock (the “August 2018 Repurchase Program”). No shares were repurchased during the three-months ended September 30, 2018 under the August 2018 Repurchase Program. As of November 8, 2018, $500.0 million remained available for repurchase under the August 2018 Repurchase Program.</w:t>
      </w:r>
    </w:p>
    <w:p>
      <w:pPr>
        <w:spacing w:after="0" w:line="205"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has two stock-based compensation plans under which shares were available for grant at September 30, 2018: the Monster Beverage Corporation 2011 Omnibus Incentive Plan, including the Monster Beverage Deferred Compensation Plan as a sub plan thereunder, and the Monster Beverage Corporation 2017 Compensation Plan for Non-Employee Directors, including the Monster Beverage Deferred Compensation Plan for Non-Employee Directors as a sub plan thereunder.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recorded $14.1 million and $13.3 million of compensation expense relating to outstanding options and restricted stock units during the three-months ended September 30, 2018 and 2017, respectively. The Company recorded $42.4 million and $39.3 million of compensation expense relating to outstanding options and restricted stock units during the nine-months ended September 30, 2018 and 2017, respectively.</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excess tax benefit for tax deductions from non-qualified stock option exercises, disqualifying dispositions of incentive stock options and vesting of restricted stock units for the three-months ended September 30, 2018 and 2017 was $3.1 million and $2.5 million, respectively. The excess tax benefit for tax deductions from non-qualified stock option exercises, disqualifying dispositions of incentive stock options and vesting of restricted stock units for the nine-months ended September 30, 2018 and 2017 was $7.7 million and $13.8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September 30, 2018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246"/>
        </w:trPr>
        <w:tc>
          <w:tcPr>
            <w:tcW w:w="3480" w:type="dxa"/>
            <w:vAlign w:val="bottom"/>
          </w:tcPr>
          <w:p>
            <w:pPr>
              <w:spacing w:after="0"/>
              <w:rPr>
                <w:sz w:val="21"/>
                <w:szCs w:val="21"/>
                <w:color w:val="auto"/>
              </w:rPr>
            </w:pPr>
          </w:p>
        </w:tc>
        <w:tc>
          <w:tcPr>
            <w:tcW w:w="3760" w:type="dxa"/>
            <w:vAlign w:val="bottom"/>
            <w:gridSpan w:val="4"/>
          </w:tcPr>
          <w:p>
            <w:pPr>
              <w:ind w:left="280"/>
              <w:spacing w:after="0"/>
              <w:rPr>
                <w:sz w:val="20"/>
                <w:szCs w:val="20"/>
                <w:color w:val="auto"/>
              </w:rPr>
            </w:pPr>
            <w:r>
              <w:rPr>
                <w:rFonts w:ascii="Arial" w:cs="Arial" w:eastAsia="Arial" w:hAnsi="Arial"/>
                <w:sz w:val="20"/>
                <w:szCs w:val="20"/>
                <w:color w:val="auto"/>
              </w:rPr>
              <w:t>Three-Months Ended September 30,</w:t>
            </w:r>
          </w:p>
        </w:tc>
        <w:tc>
          <w:tcPr>
            <w:tcW w:w="3440" w:type="dxa"/>
            <w:vAlign w:val="bottom"/>
            <w:gridSpan w:val="3"/>
          </w:tcPr>
          <w:p>
            <w:pPr>
              <w:jc w:val="right"/>
              <w:ind w:right="221"/>
              <w:spacing w:after="0"/>
              <w:rPr>
                <w:sz w:val="20"/>
                <w:szCs w:val="20"/>
                <w:color w:val="auto"/>
              </w:rPr>
            </w:pPr>
            <w:r>
              <w:rPr>
                <w:rFonts w:ascii="Arial" w:cs="Arial" w:eastAsia="Arial" w:hAnsi="Arial"/>
                <w:sz w:val="20"/>
                <w:szCs w:val="20"/>
                <w:color w:val="auto"/>
                <w:w w:val="98"/>
              </w:rPr>
              <w:t>Nine-Months Ended September 30,</w:t>
            </w:r>
          </w:p>
        </w:tc>
        <w:tc>
          <w:tcPr>
            <w:tcW w:w="0" w:type="dxa"/>
            <w:vAlign w:val="bottom"/>
          </w:tcPr>
          <w:p>
            <w:pPr>
              <w:spacing w:after="0"/>
              <w:rPr>
                <w:sz w:val="1"/>
                <w:szCs w:val="1"/>
                <w:color w:val="auto"/>
              </w:rPr>
            </w:pPr>
          </w:p>
        </w:tc>
      </w:tr>
      <w:tr>
        <w:trPr>
          <w:trHeight w:val="223"/>
        </w:trPr>
        <w:tc>
          <w:tcPr>
            <w:tcW w:w="348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560" w:type="dxa"/>
            <w:vAlign w:val="bottom"/>
            <w:tcBorders>
              <w:top w:val="single" w:sz="8" w:color="auto"/>
              <w:bottom w:val="single" w:sz="8" w:color="auto"/>
            </w:tcBorders>
          </w:tcPr>
          <w:p>
            <w:pPr>
              <w:ind w:left="580"/>
              <w:spacing w:after="0" w:line="223" w:lineRule="exact"/>
              <w:rPr>
                <w:sz w:val="20"/>
                <w:szCs w:val="20"/>
                <w:color w:val="auto"/>
              </w:rPr>
            </w:pPr>
            <w:r>
              <w:rPr>
                <w:rFonts w:ascii="Arial" w:cs="Arial" w:eastAsia="Arial" w:hAnsi="Arial"/>
                <w:sz w:val="20"/>
                <w:szCs w:val="20"/>
                <w:color w:val="auto"/>
              </w:rPr>
              <w:t>2018</w:t>
            </w: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ind w:left="580"/>
              <w:spacing w:after="0" w:line="223" w:lineRule="exact"/>
              <w:rPr>
                <w:sz w:val="20"/>
                <w:szCs w:val="20"/>
                <w:color w:val="auto"/>
              </w:rPr>
            </w:pPr>
            <w:r>
              <w:rPr>
                <w:rFonts w:ascii="Arial" w:cs="Arial" w:eastAsia="Arial" w:hAnsi="Arial"/>
                <w:sz w:val="20"/>
                <w:szCs w:val="20"/>
                <w:color w:val="auto"/>
              </w:rPr>
              <w:t>2017</w:t>
            </w:r>
          </w:p>
        </w:tc>
        <w:tc>
          <w:tcPr>
            <w:tcW w:w="3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2018</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3480" w:type="dxa"/>
            <w:vAlign w:val="bottom"/>
            <w:vMerge w:val="continue"/>
          </w:tcPr>
          <w:p>
            <w:pPr>
              <w:spacing w:after="0"/>
              <w:rPr>
                <w:sz w:val="17"/>
                <w:szCs w:val="17"/>
                <w:color w:val="auto"/>
              </w:rPr>
            </w:pPr>
          </w:p>
        </w:tc>
        <w:tc>
          <w:tcPr>
            <w:tcW w:w="15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320" w:type="dxa"/>
            <w:vAlign w:val="bottom"/>
          </w:tcPr>
          <w:p>
            <w:pPr>
              <w:spacing w:after="0"/>
              <w:rPr>
                <w:sz w:val="17"/>
                <w:szCs w:val="17"/>
                <w:color w:val="auto"/>
              </w:rPr>
            </w:pPr>
          </w:p>
        </w:tc>
        <w:tc>
          <w:tcPr>
            <w:tcW w:w="154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340" w:type="dxa"/>
            <w:vAlign w:val="bottom"/>
          </w:tcPr>
          <w:p>
            <w:pPr>
              <w:spacing w:after="0"/>
              <w:rPr>
                <w:sz w:val="17"/>
                <w:szCs w:val="17"/>
                <w:color w:val="auto"/>
              </w:rPr>
            </w:pPr>
          </w:p>
        </w:tc>
        <w:tc>
          <w:tcPr>
            <w:tcW w:w="15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320" w:type="dxa"/>
            <w:vAlign w:val="bottom"/>
          </w:tcPr>
          <w:p>
            <w:pPr>
              <w:spacing w:after="0"/>
              <w:rPr>
                <w:sz w:val="17"/>
                <w:szCs w:val="17"/>
                <w:color w:val="auto"/>
              </w:rPr>
            </w:pPr>
          </w:p>
        </w:tc>
        <w:tc>
          <w:tcPr>
            <w:tcW w:w="1560" w:type="dxa"/>
            <w:vAlign w:val="bottom"/>
          </w:tcPr>
          <w:p>
            <w:pPr>
              <w:jc w:val="right"/>
              <w:ind w:right="14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20"/>
                <w:szCs w:val="20"/>
                <w:color w:val="auto"/>
              </w:rPr>
              <w:t>Expected volatility</w:t>
            </w: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34.5%</w:t>
            </w:r>
          </w:p>
        </w:tc>
        <w:tc>
          <w:tcPr>
            <w:tcW w:w="320" w:type="dxa"/>
            <w:vAlign w:val="bottom"/>
          </w:tcPr>
          <w:p>
            <w:pPr>
              <w:spacing w:after="0"/>
              <w:rPr>
                <w:sz w:val="19"/>
                <w:szCs w:val="19"/>
                <w:color w:val="auto"/>
              </w:rPr>
            </w:pPr>
          </w:p>
        </w:tc>
        <w:tc>
          <w:tcPr>
            <w:tcW w:w="1540" w:type="dxa"/>
            <w:vAlign w:val="bottom"/>
          </w:tcPr>
          <w:p>
            <w:pPr>
              <w:jc w:val="right"/>
              <w:ind w:right="161"/>
              <w:spacing w:after="0"/>
              <w:rPr>
                <w:sz w:val="20"/>
                <w:szCs w:val="20"/>
                <w:color w:val="auto"/>
              </w:rPr>
            </w:pPr>
            <w:r>
              <w:rPr>
                <w:rFonts w:ascii="Arial" w:cs="Arial" w:eastAsia="Arial" w:hAnsi="Arial"/>
                <w:sz w:val="20"/>
                <w:szCs w:val="20"/>
                <w:color w:val="auto"/>
              </w:rPr>
              <w:t>35.3%</w:t>
            </w:r>
          </w:p>
        </w:tc>
        <w:tc>
          <w:tcPr>
            <w:tcW w:w="340" w:type="dxa"/>
            <w:vAlign w:val="bottom"/>
          </w:tcPr>
          <w:p>
            <w:pPr>
              <w:spacing w:after="0"/>
              <w:rPr>
                <w:sz w:val="19"/>
                <w:szCs w:val="19"/>
                <w:color w:val="auto"/>
              </w:rPr>
            </w:pP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34.9%</w:t>
            </w:r>
          </w:p>
        </w:tc>
        <w:tc>
          <w:tcPr>
            <w:tcW w:w="320" w:type="dxa"/>
            <w:vAlign w:val="bottom"/>
          </w:tcPr>
          <w:p>
            <w:pPr>
              <w:spacing w:after="0"/>
              <w:rPr>
                <w:sz w:val="19"/>
                <w:szCs w:val="19"/>
                <w:color w:val="auto"/>
              </w:rPr>
            </w:pPr>
          </w:p>
        </w:tc>
        <w:tc>
          <w:tcPr>
            <w:tcW w:w="1560" w:type="dxa"/>
            <w:vAlign w:val="bottom"/>
          </w:tcPr>
          <w:p>
            <w:pPr>
              <w:jc w:val="right"/>
              <w:ind w:right="141"/>
              <w:spacing w:after="0"/>
              <w:rPr>
                <w:sz w:val="20"/>
                <w:szCs w:val="20"/>
                <w:color w:val="auto"/>
              </w:rPr>
            </w:pPr>
            <w:r>
              <w:rPr>
                <w:rFonts w:ascii="Arial" w:cs="Arial" w:eastAsia="Arial" w:hAnsi="Arial"/>
                <w:sz w:val="20"/>
                <w:szCs w:val="20"/>
                <w:color w:val="auto"/>
              </w:rPr>
              <w:t>36.6%</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2.9%</w:t>
            </w:r>
          </w:p>
        </w:tc>
        <w:tc>
          <w:tcPr>
            <w:tcW w:w="320" w:type="dxa"/>
            <w:vAlign w:val="bottom"/>
          </w:tcPr>
          <w:p>
            <w:pPr>
              <w:spacing w:after="0"/>
              <w:rPr>
                <w:sz w:val="19"/>
                <w:szCs w:val="19"/>
                <w:color w:val="auto"/>
              </w:rPr>
            </w:pPr>
          </w:p>
        </w:tc>
        <w:tc>
          <w:tcPr>
            <w:tcW w:w="1540" w:type="dxa"/>
            <w:vAlign w:val="bottom"/>
          </w:tcPr>
          <w:p>
            <w:pPr>
              <w:jc w:val="right"/>
              <w:ind w:right="161"/>
              <w:spacing w:after="0"/>
              <w:rPr>
                <w:sz w:val="20"/>
                <w:szCs w:val="20"/>
                <w:color w:val="auto"/>
              </w:rPr>
            </w:pPr>
            <w:r>
              <w:rPr>
                <w:rFonts w:ascii="Arial" w:cs="Arial" w:eastAsia="Arial" w:hAnsi="Arial"/>
                <w:sz w:val="20"/>
                <w:szCs w:val="20"/>
                <w:color w:val="auto"/>
              </w:rPr>
              <w:t>1.7%</w:t>
            </w:r>
          </w:p>
        </w:tc>
        <w:tc>
          <w:tcPr>
            <w:tcW w:w="340" w:type="dxa"/>
            <w:vAlign w:val="bottom"/>
          </w:tcPr>
          <w:p>
            <w:pPr>
              <w:spacing w:after="0"/>
              <w:rPr>
                <w:sz w:val="19"/>
                <w:szCs w:val="19"/>
                <w:color w:val="auto"/>
              </w:rPr>
            </w:pPr>
          </w:p>
        </w:tc>
        <w:tc>
          <w:tcPr>
            <w:tcW w:w="1560" w:type="dxa"/>
            <w:vAlign w:val="bottom"/>
          </w:tcPr>
          <w:p>
            <w:pPr>
              <w:jc w:val="right"/>
              <w:ind w:right="161"/>
              <w:spacing w:after="0"/>
              <w:rPr>
                <w:sz w:val="20"/>
                <w:szCs w:val="20"/>
                <w:color w:val="auto"/>
              </w:rPr>
            </w:pPr>
            <w:r>
              <w:rPr>
                <w:rFonts w:ascii="Arial" w:cs="Arial" w:eastAsia="Arial" w:hAnsi="Arial"/>
                <w:sz w:val="20"/>
                <w:szCs w:val="20"/>
                <w:color w:val="auto"/>
              </w:rPr>
              <w:t>2.8%</w:t>
            </w:r>
          </w:p>
        </w:tc>
        <w:tc>
          <w:tcPr>
            <w:tcW w:w="320" w:type="dxa"/>
            <w:vAlign w:val="bottom"/>
          </w:tcPr>
          <w:p>
            <w:pPr>
              <w:spacing w:after="0"/>
              <w:rPr>
                <w:sz w:val="19"/>
                <w:szCs w:val="19"/>
                <w:color w:val="auto"/>
              </w:rPr>
            </w:pPr>
          </w:p>
        </w:tc>
        <w:tc>
          <w:tcPr>
            <w:tcW w:w="1560" w:type="dxa"/>
            <w:vAlign w:val="bottom"/>
          </w:tcPr>
          <w:p>
            <w:pPr>
              <w:jc w:val="right"/>
              <w:ind w:right="141"/>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0"/>
                <w:szCs w:val="20"/>
                <w:color w:val="auto"/>
              </w:rPr>
            </w:pPr>
            <w:r>
              <w:rPr>
                <w:rFonts w:ascii="Arial" w:cs="Arial" w:eastAsia="Arial" w:hAnsi="Arial"/>
                <w:sz w:val="20"/>
                <w:szCs w:val="20"/>
                <w:color w:val="auto"/>
              </w:rPr>
              <w:t>Expected term</w:t>
            </w:r>
          </w:p>
        </w:tc>
        <w:tc>
          <w:tcPr>
            <w:tcW w:w="1880" w:type="dxa"/>
            <w:vAlign w:val="bottom"/>
            <w:gridSpan w:val="2"/>
          </w:tcPr>
          <w:p>
            <w:pPr>
              <w:ind w:left="580"/>
              <w:spacing w:after="0"/>
              <w:rPr>
                <w:sz w:val="20"/>
                <w:szCs w:val="20"/>
                <w:color w:val="auto"/>
              </w:rPr>
            </w:pPr>
            <w:r>
              <w:rPr>
                <w:rFonts w:ascii="Arial" w:cs="Arial" w:eastAsia="Arial" w:hAnsi="Arial"/>
                <w:sz w:val="20"/>
                <w:szCs w:val="20"/>
                <w:color w:val="auto"/>
              </w:rPr>
              <w:t>6.1 years</w:t>
            </w:r>
          </w:p>
        </w:tc>
        <w:tc>
          <w:tcPr>
            <w:tcW w:w="1880" w:type="dxa"/>
            <w:vAlign w:val="bottom"/>
            <w:gridSpan w:val="2"/>
          </w:tcPr>
          <w:p>
            <w:pPr>
              <w:ind w:left="580"/>
              <w:spacing w:after="0"/>
              <w:rPr>
                <w:sz w:val="20"/>
                <w:szCs w:val="20"/>
                <w:color w:val="auto"/>
              </w:rPr>
            </w:pPr>
            <w:r>
              <w:rPr>
                <w:rFonts w:ascii="Arial" w:cs="Arial" w:eastAsia="Arial" w:hAnsi="Arial"/>
                <w:sz w:val="20"/>
                <w:szCs w:val="20"/>
                <w:color w:val="auto"/>
              </w:rPr>
              <w:t>5.9 years</w:t>
            </w:r>
          </w:p>
        </w:tc>
        <w:tc>
          <w:tcPr>
            <w:tcW w:w="1880" w:type="dxa"/>
            <w:vAlign w:val="bottom"/>
            <w:gridSpan w:val="2"/>
          </w:tcPr>
          <w:p>
            <w:pPr>
              <w:ind w:left="580"/>
              <w:spacing w:after="0"/>
              <w:rPr>
                <w:sz w:val="20"/>
                <w:szCs w:val="20"/>
                <w:color w:val="auto"/>
              </w:rPr>
            </w:pPr>
            <w:r>
              <w:rPr>
                <w:rFonts w:ascii="Arial" w:cs="Arial" w:eastAsia="Arial" w:hAnsi="Arial"/>
                <w:sz w:val="20"/>
                <w:szCs w:val="20"/>
                <w:color w:val="auto"/>
              </w:rPr>
              <w:t>6.1 years</w:t>
            </w:r>
          </w:p>
        </w:tc>
        <w:tc>
          <w:tcPr>
            <w:tcW w:w="1560" w:type="dxa"/>
            <w:vAlign w:val="bottom"/>
          </w:tcPr>
          <w:p>
            <w:pPr>
              <w:jc w:val="right"/>
              <w:ind w:right="141"/>
              <w:spacing w:after="0"/>
              <w:rPr>
                <w:sz w:val="20"/>
                <w:szCs w:val="20"/>
                <w:color w:val="auto"/>
              </w:rPr>
            </w:pPr>
            <w:r>
              <w:rPr>
                <w:rFonts w:ascii="Arial" w:cs="Arial" w:eastAsia="Arial" w:hAnsi="Arial"/>
                <w:sz w:val="20"/>
                <w:szCs w:val="20"/>
                <w:color w:val="auto"/>
              </w:rPr>
              <w:t>6.1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zero-coupon yield curve in effect at the time of grant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expected term of the option.</w:t>
      </w:r>
    </w:p>
    <w:p>
      <w:pPr>
        <w:spacing w:after="0" w:line="19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Weighted-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89"/>
              </w:rPr>
              <w:t>Weighted-</w:t>
            </w:r>
          </w:p>
        </w:tc>
        <w:tc>
          <w:tcPr>
            <w:tcW w:w="164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Average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5"/>
              </w:rPr>
              <w:t>Average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Remaining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94"/>
              </w:rPr>
              <w:t>Number of</w:t>
            </w: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Exercise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Contractual</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Shares (in</w:t>
            </w: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91"/>
              </w:rPr>
              <w:t>Term (in</w:t>
            </w:r>
          </w:p>
        </w:tc>
        <w:tc>
          <w:tcPr>
            <w:tcW w:w="240" w:type="dxa"/>
            <w:vAlign w:val="bottom"/>
          </w:tcPr>
          <w:p>
            <w:pPr>
              <w:spacing w:after="0"/>
              <w:rPr>
                <w:sz w:val="19"/>
                <w:szCs w:val="19"/>
                <w:color w:val="auto"/>
              </w:rPr>
            </w:pPr>
          </w:p>
        </w:tc>
        <w:tc>
          <w:tcPr>
            <w:tcW w:w="1140" w:type="dxa"/>
            <w:vAlign w:val="bottom"/>
          </w:tcPr>
          <w:p>
            <w:pPr>
              <w:jc w:val="right"/>
              <w:ind w:right="181"/>
              <w:spacing w:after="0"/>
              <w:rPr>
                <w:sz w:val="20"/>
                <w:szCs w:val="20"/>
                <w:color w:val="auto"/>
              </w:rPr>
            </w:pPr>
            <w:r>
              <w:rPr>
                <w:rFonts w:ascii="Arial" w:cs="Arial" w:eastAsia="Arial" w:hAnsi="Arial"/>
                <w:sz w:val="20"/>
                <w:szCs w:val="20"/>
                <w:color w:val="auto"/>
                <w:w w:val="90"/>
              </w:rPr>
              <w:t>Aggregate</w:t>
            </w:r>
          </w:p>
        </w:tc>
      </w:tr>
      <w:tr>
        <w:trPr>
          <w:trHeight w:val="246"/>
        </w:trPr>
        <w:tc>
          <w:tcPr>
            <w:tcW w:w="20" w:type="dxa"/>
            <w:vAlign w:val="bottom"/>
          </w:tcPr>
          <w:p>
            <w:pPr>
              <w:spacing w:after="0"/>
              <w:rPr>
                <w:sz w:val="21"/>
                <w:szCs w:val="21"/>
                <w:color w:val="auto"/>
              </w:rPr>
            </w:pPr>
          </w:p>
        </w:tc>
        <w:tc>
          <w:tcPr>
            <w:tcW w:w="4980" w:type="dxa"/>
            <w:vAlign w:val="bottom"/>
            <w:gridSpan w:val="2"/>
          </w:tcPr>
          <w:p>
            <w:pPr>
              <w:ind w:left="2200"/>
              <w:spacing w:after="0"/>
              <w:rPr>
                <w:sz w:val="20"/>
                <w:szCs w:val="20"/>
                <w:color w:val="auto"/>
              </w:rPr>
            </w:pPr>
            <w:r>
              <w:rPr>
                <w:rFonts w:ascii="Arial" w:cs="Arial" w:eastAsia="Arial" w:hAnsi="Arial"/>
                <w:sz w:val="20"/>
                <w:szCs w:val="20"/>
                <w:color w:val="auto"/>
              </w:rPr>
              <w:t>Options</w:t>
            </w: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thousands)</w:t>
            </w:r>
          </w:p>
        </w:tc>
        <w:tc>
          <w:tcPr>
            <w:tcW w:w="240" w:type="dxa"/>
            <w:vAlign w:val="bottom"/>
          </w:tcPr>
          <w:p>
            <w:pPr>
              <w:spacing w:after="0"/>
              <w:rPr>
                <w:sz w:val="21"/>
                <w:szCs w:val="21"/>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2"/>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1380" w:type="dxa"/>
            <w:vAlign w:val="bottom"/>
            <w:gridSpan w:val="2"/>
          </w:tcPr>
          <w:p>
            <w:pPr>
              <w:ind w:left="120"/>
              <w:spacing w:after="0"/>
              <w:rPr>
                <w:sz w:val="20"/>
                <w:szCs w:val="20"/>
                <w:color w:val="auto"/>
              </w:rPr>
            </w:pPr>
            <w:r>
              <w:rPr>
                <w:rFonts w:ascii="Arial" w:cs="Arial" w:eastAsia="Arial" w:hAnsi="Arial"/>
                <w:sz w:val="20"/>
                <w:szCs w:val="20"/>
                <w:color w:val="auto"/>
                <w:w w:val="98"/>
              </w:rPr>
              <w:t>Intrinsic Value</w:t>
            </w:r>
          </w:p>
        </w:tc>
      </w:tr>
      <w:tr>
        <w:trPr>
          <w:trHeight w:val="206"/>
        </w:trPr>
        <w:tc>
          <w:tcPr>
            <w:tcW w:w="20" w:type="dxa"/>
            <w:vAlign w:val="bottom"/>
          </w:tcPr>
          <w:p>
            <w:pPr>
              <w:spacing w:after="0"/>
              <w:rPr>
                <w:sz w:val="17"/>
                <w:szCs w:val="17"/>
                <w:color w:val="auto"/>
              </w:rPr>
            </w:pPr>
          </w:p>
        </w:tc>
        <w:tc>
          <w:tcPr>
            <w:tcW w:w="46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2018</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17,819</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29.62</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6.1</w:t>
            </w:r>
          </w:p>
        </w:tc>
        <w:tc>
          <w:tcPr>
            <w:tcW w:w="280" w:type="dxa"/>
            <w:vAlign w:val="bottom"/>
          </w:tcPr>
          <w:p>
            <w:pPr>
              <w:spacing w:after="0"/>
              <w:rPr>
                <w:sz w:val="17"/>
                <w:szCs w:val="17"/>
                <w:color w:val="auto"/>
              </w:rPr>
            </w:pPr>
          </w:p>
        </w:tc>
        <w:tc>
          <w:tcPr>
            <w:tcW w:w="24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600,032</w:t>
            </w: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Granted 01/01/18 - 03/31/18</w:t>
            </w:r>
          </w:p>
        </w:tc>
        <w:tc>
          <w:tcPr>
            <w:tcW w:w="1360" w:type="dxa"/>
            <w:vAlign w:val="bottom"/>
          </w:tcPr>
          <w:p>
            <w:pPr>
              <w:jc w:val="right"/>
              <w:spacing w:after="0"/>
              <w:rPr>
                <w:sz w:val="20"/>
                <w:szCs w:val="20"/>
                <w:color w:val="auto"/>
              </w:rPr>
            </w:pPr>
            <w:r>
              <w:rPr>
                <w:rFonts w:ascii="Arial" w:cs="Arial" w:eastAsia="Arial" w:hAnsi="Arial"/>
                <w:sz w:val="20"/>
                <w:szCs w:val="20"/>
                <w:color w:val="auto"/>
              </w:rPr>
              <w:t>2,615</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58.76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Granted 04/01/18 - 06/30/18</w:t>
            </w:r>
          </w:p>
        </w:tc>
        <w:tc>
          <w:tcPr>
            <w:tcW w:w="1360" w:type="dxa"/>
            <w:vAlign w:val="bottom"/>
          </w:tcPr>
          <w:p>
            <w:pPr>
              <w:jc w:val="right"/>
              <w:spacing w:after="0"/>
              <w:rPr>
                <w:sz w:val="20"/>
                <w:szCs w:val="20"/>
                <w:color w:val="auto"/>
              </w:rPr>
            </w:pPr>
            <w:r>
              <w:rPr>
                <w:rFonts w:ascii="Arial" w:cs="Arial" w:eastAsia="Arial" w:hAnsi="Arial"/>
                <w:sz w:val="20"/>
                <w:szCs w:val="20"/>
                <w:color w:val="auto"/>
              </w:rPr>
              <w:t>360</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51.72</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Granted 07/01/18 - 09/30/18</w:t>
            </w:r>
          </w:p>
        </w:tc>
        <w:tc>
          <w:tcPr>
            <w:tcW w:w="1360" w:type="dxa"/>
            <w:vAlign w:val="bottom"/>
          </w:tcPr>
          <w:p>
            <w:pPr>
              <w:jc w:val="right"/>
              <w:spacing w:after="0"/>
              <w:rPr>
                <w:sz w:val="20"/>
                <w:szCs w:val="20"/>
                <w:color w:val="auto"/>
              </w:rPr>
            </w:pPr>
            <w:r>
              <w:rPr>
                <w:rFonts w:ascii="Arial" w:cs="Arial" w:eastAsia="Arial" w:hAnsi="Arial"/>
                <w:sz w:val="20"/>
                <w:szCs w:val="20"/>
                <w:color w:val="auto"/>
              </w:rPr>
              <w:t>11</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58.77</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Exercised</w:t>
            </w:r>
          </w:p>
        </w:tc>
        <w:tc>
          <w:tcPr>
            <w:tcW w:w="1360" w:type="dxa"/>
            <w:vAlign w:val="bottom"/>
          </w:tcPr>
          <w:p>
            <w:pPr>
              <w:jc w:val="right"/>
              <w:spacing w:after="0"/>
              <w:rPr>
                <w:sz w:val="20"/>
                <w:szCs w:val="20"/>
                <w:color w:val="auto"/>
              </w:rPr>
            </w:pPr>
            <w:r>
              <w:rPr>
                <w:rFonts w:ascii="Arial" w:cs="Arial" w:eastAsia="Arial" w:hAnsi="Arial"/>
                <w:sz w:val="20"/>
                <w:szCs w:val="20"/>
                <w:color w:val="auto"/>
              </w:rPr>
              <w:t>(1,308)</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18.71</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Cancelled or forfeited</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(495)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43.71</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500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September 30, 2018</w:t>
            </w:r>
          </w:p>
        </w:tc>
        <w:tc>
          <w:tcPr>
            <w:tcW w:w="1360" w:type="dxa"/>
            <w:vAlign w:val="bottom"/>
            <w:tcBorders>
              <w:top w:val="single" w:sz="8" w:color="auto"/>
            </w:tcBorders>
          </w:tcPr>
          <w:p>
            <w:pPr>
              <w:jc w:val="right"/>
              <w:spacing w:after="0" w:line="213" w:lineRule="exact"/>
              <w:rPr>
                <w:sz w:val="20"/>
                <w:szCs w:val="20"/>
                <w:color w:val="auto"/>
              </w:rPr>
            </w:pPr>
            <w:r>
              <w:rPr>
                <w:rFonts w:ascii="Arial" w:cs="Arial" w:eastAsia="Arial" w:hAnsi="Arial"/>
                <w:sz w:val="20"/>
                <w:szCs w:val="20"/>
                <w:color w:val="auto"/>
              </w:rPr>
              <w:t>19,002</w:t>
            </w:r>
          </w:p>
        </w:tc>
        <w:tc>
          <w:tcPr>
            <w:tcW w:w="300" w:type="dxa"/>
            <w:vAlign w:val="bottom"/>
          </w:tcPr>
          <w:p>
            <w:pPr>
              <w:spacing w:after="0"/>
              <w:rPr>
                <w:sz w:val="18"/>
                <w:szCs w:val="18"/>
                <w:color w:val="auto"/>
              </w:rPr>
            </w:pPr>
          </w:p>
        </w:tc>
        <w:tc>
          <w:tcPr>
            <w:tcW w:w="24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13" w:lineRule="exact"/>
              <w:rPr>
                <w:sz w:val="20"/>
                <w:szCs w:val="20"/>
                <w:color w:val="auto"/>
              </w:rPr>
            </w:pPr>
            <w:r>
              <w:rPr>
                <w:rFonts w:ascii="Arial" w:cs="Arial" w:eastAsia="Arial" w:hAnsi="Arial"/>
                <w:sz w:val="20"/>
                <w:szCs w:val="20"/>
                <w:color w:val="auto"/>
              </w:rPr>
              <w:t>34.45</w:t>
            </w:r>
          </w:p>
        </w:tc>
        <w:tc>
          <w:tcPr>
            <w:tcW w:w="280" w:type="dxa"/>
            <w:vAlign w:val="bottom"/>
          </w:tcPr>
          <w:p>
            <w:pPr>
              <w:spacing w:after="0"/>
              <w:rPr>
                <w:sz w:val="18"/>
                <w:szCs w:val="18"/>
                <w:color w:val="auto"/>
              </w:rPr>
            </w:pPr>
          </w:p>
        </w:tc>
        <w:tc>
          <w:tcPr>
            <w:tcW w:w="1360" w:type="dxa"/>
            <w:vAlign w:val="bottom"/>
          </w:tcPr>
          <w:p>
            <w:pPr>
              <w:jc w:val="right"/>
              <w:spacing w:after="0" w:line="213" w:lineRule="exact"/>
              <w:rPr>
                <w:sz w:val="20"/>
                <w:szCs w:val="20"/>
                <w:color w:val="auto"/>
              </w:rPr>
            </w:pPr>
            <w:r>
              <w:rPr>
                <w:rFonts w:ascii="Arial" w:cs="Arial" w:eastAsia="Arial" w:hAnsi="Arial"/>
                <w:sz w:val="20"/>
                <w:szCs w:val="20"/>
                <w:color w:val="auto"/>
              </w:rPr>
              <w:t>6.1</w:t>
            </w:r>
          </w:p>
        </w:tc>
        <w:tc>
          <w:tcPr>
            <w:tcW w:w="280" w:type="dxa"/>
            <w:vAlign w:val="bottom"/>
          </w:tcPr>
          <w:p>
            <w:pPr>
              <w:spacing w:after="0"/>
              <w:rPr>
                <w:sz w:val="18"/>
                <w:szCs w:val="18"/>
                <w:color w:val="auto"/>
              </w:rPr>
            </w:pPr>
          </w:p>
        </w:tc>
        <w:tc>
          <w:tcPr>
            <w:tcW w:w="240" w:type="dxa"/>
            <w:vAlign w:val="bottom"/>
          </w:tcPr>
          <w:p>
            <w:pPr>
              <w:ind w:left="120"/>
              <w:spacing w:after="0" w:line="213" w:lineRule="exact"/>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line="213" w:lineRule="exact"/>
              <w:rPr>
                <w:sz w:val="20"/>
                <w:szCs w:val="20"/>
                <w:color w:val="auto"/>
              </w:rPr>
            </w:pPr>
            <w:r>
              <w:rPr>
                <w:rFonts w:ascii="Arial" w:cs="Arial" w:eastAsia="Arial" w:hAnsi="Arial"/>
                <w:sz w:val="20"/>
                <w:szCs w:val="20"/>
                <w:color w:val="auto"/>
              </w:rPr>
              <w:t>454,476</w:t>
            </w:r>
          </w:p>
        </w:tc>
      </w:tr>
      <w:tr>
        <w:trPr>
          <w:trHeight w:val="230"/>
        </w:trPr>
        <w:tc>
          <w:tcPr>
            <w:tcW w:w="5000" w:type="dxa"/>
            <w:vAlign w:val="bottom"/>
            <w:gridSpan w:val="3"/>
          </w:tcPr>
          <w:p>
            <w:pPr>
              <w:spacing w:after="0"/>
              <w:rPr>
                <w:sz w:val="20"/>
                <w:szCs w:val="20"/>
                <w:color w:val="auto"/>
              </w:rPr>
            </w:pPr>
            <w:r>
              <w:rPr>
                <w:rFonts w:ascii="Arial" w:cs="Arial" w:eastAsia="Arial" w:hAnsi="Arial"/>
                <w:sz w:val="20"/>
                <w:szCs w:val="20"/>
                <w:color w:val="auto"/>
              </w:rPr>
              <w:t>Vested and expected to vest in the</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future at September 30, 2018</w:t>
            </w:r>
          </w:p>
        </w:tc>
        <w:tc>
          <w:tcPr>
            <w:tcW w:w="1360" w:type="dxa"/>
            <w:vAlign w:val="bottom"/>
          </w:tcPr>
          <w:p>
            <w:pPr>
              <w:jc w:val="right"/>
              <w:spacing w:after="0"/>
              <w:rPr>
                <w:sz w:val="20"/>
                <w:szCs w:val="20"/>
                <w:color w:val="auto"/>
              </w:rPr>
            </w:pPr>
            <w:r>
              <w:rPr>
                <w:rFonts w:ascii="Arial" w:cs="Arial" w:eastAsia="Arial" w:hAnsi="Arial"/>
                <w:sz w:val="20"/>
                <w:szCs w:val="20"/>
                <w:color w:val="auto"/>
              </w:rPr>
              <w:t>18,061</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33.59</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5.9</w:t>
            </w:r>
          </w:p>
        </w:tc>
        <w:tc>
          <w:tcPr>
            <w:tcW w:w="280" w:type="dxa"/>
            <w:vAlign w:val="bottom"/>
          </w:tcPr>
          <w:p>
            <w:pPr>
              <w:spacing w:after="0"/>
              <w:rPr>
                <w:sz w:val="19"/>
                <w:szCs w:val="19"/>
                <w:color w:val="auto"/>
              </w:rPr>
            </w:pPr>
          </w:p>
        </w:tc>
        <w:tc>
          <w:tcPr>
            <w:tcW w:w="24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447,291</w:t>
            </w:r>
          </w:p>
        </w:tc>
      </w:tr>
      <w:tr>
        <w:trPr>
          <w:trHeight w:val="250"/>
        </w:trPr>
        <w:tc>
          <w:tcPr>
            <w:tcW w:w="5000" w:type="dxa"/>
            <w:vAlign w:val="bottom"/>
            <w:gridSpan w:val="3"/>
          </w:tcPr>
          <w:p>
            <w:pPr>
              <w:spacing w:after="0"/>
              <w:rPr>
                <w:sz w:val="20"/>
                <w:szCs w:val="20"/>
                <w:color w:val="auto"/>
              </w:rPr>
            </w:pPr>
            <w:r>
              <w:rPr>
                <w:rFonts w:ascii="Arial" w:cs="Arial" w:eastAsia="Arial" w:hAnsi="Arial"/>
                <w:sz w:val="20"/>
                <w:szCs w:val="20"/>
                <w:color w:val="auto"/>
              </w:rPr>
              <w:t>Exercisable at September 30, 2018</w:t>
            </w:r>
          </w:p>
        </w:tc>
        <w:tc>
          <w:tcPr>
            <w:tcW w:w="1360" w:type="dxa"/>
            <w:vAlign w:val="bottom"/>
          </w:tcPr>
          <w:p>
            <w:pPr>
              <w:jc w:val="right"/>
              <w:spacing w:after="0"/>
              <w:rPr>
                <w:sz w:val="20"/>
                <w:szCs w:val="20"/>
                <w:color w:val="auto"/>
              </w:rPr>
            </w:pPr>
            <w:r>
              <w:rPr>
                <w:rFonts w:ascii="Arial" w:cs="Arial" w:eastAsia="Arial" w:hAnsi="Arial"/>
                <w:sz w:val="20"/>
                <w:szCs w:val="20"/>
                <w:color w:val="auto"/>
              </w:rPr>
              <w:t>10,179</w:t>
            </w:r>
          </w:p>
        </w:tc>
        <w:tc>
          <w:tcPr>
            <w:tcW w:w="3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22.51</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4.3</w:t>
            </w:r>
          </w:p>
        </w:tc>
        <w:tc>
          <w:tcPr>
            <w:tcW w:w="280" w:type="dxa"/>
            <w:vAlign w:val="bottom"/>
          </w:tcPr>
          <w:p>
            <w:pPr>
              <w:spacing w:after="0"/>
              <w:rPr>
                <w:sz w:val="21"/>
                <w:szCs w:val="21"/>
                <w:color w:val="auto"/>
              </w:rPr>
            </w:pPr>
          </w:p>
        </w:tc>
        <w:tc>
          <w:tcPr>
            <w:tcW w:w="240" w:type="dxa"/>
            <w:vAlign w:val="bottom"/>
          </w:tcPr>
          <w:p>
            <w:pPr>
              <w:ind w:left="120"/>
              <w:spacing w:after="0"/>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364,103</w:t>
            </w:r>
          </w:p>
        </w:tc>
      </w:tr>
    </w:tbl>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weighted-average grant-date fair value of options granted during the three-months ended September 30, 2018 and 2017 was $22.80 per share and $20.61 per share, respectively. The weighted-average grant-date fair value of options granted during the nine-months ended September 30, 2018 and 2017 was $22.51 per share and $18.04 per share, respectively. The total intrinsic value of options exercised during the three-months ended September 30, 2018 and 2017 was $19.2 million and $12.5 million, respectively. The total intrinsic value of options exercised during the nine-months ended September 30, 2018 and 2017 was $52.1 million and $53.4 million, respectively.</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September 30, 2018 and 2017 was approximately $10.9 million and $7.7 million, respectively. Cash received from option exercises under all plans for the nine-months ended September 30, 2018 and 2017 was approximately $24.5 million and $26.8 million, respectively.</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At September 30, 2018, there was $107.9 million of total unrecognized compensation expense related to non-vested options granted to employees under the Company’s share-based payment plans. That cost is expected to be recognized over a weighted-average period of 2.8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cost of stock-based compensation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non-vested restricted stock units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Number of</w:t>
            </w:r>
          </w:p>
        </w:tc>
        <w:tc>
          <w:tcPr>
            <w:tcW w:w="220" w:type="dxa"/>
            <w:vAlign w:val="bottom"/>
          </w:tcPr>
          <w:p>
            <w:pPr>
              <w:spacing w:after="0"/>
              <w:rPr>
                <w:sz w:val="19"/>
                <w:szCs w:val="19"/>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Shares (in</w:t>
            </w: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8"/>
              </w:rPr>
              <w:t>Grant-Date</w:t>
            </w:r>
          </w:p>
        </w:tc>
        <w:tc>
          <w:tcPr>
            <w:tcW w:w="0" w:type="dxa"/>
            <w:vAlign w:val="bottom"/>
          </w:tcPr>
          <w:p>
            <w:pPr>
              <w:spacing w:after="0"/>
              <w:rPr>
                <w:sz w:val="1"/>
                <w:szCs w:val="1"/>
                <w:color w:val="auto"/>
              </w:rPr>
            </w:pPr>
          </w:p>
        </w:tc>
      </w:tr>
      <w:tr>
        <w:trPr>
          <w:trHeight w:val="246"/>
        </w:trPr>
        <w:tc>
          <w:tcPr>
            <w:tcW w:w="4420" w:type="dxa"/>
            <w:vAlign w:val="bottom"/>
            <w:vMerge w:val="restart"/>
          </w:tcPr>
          <w:p>
            <w:pPr>
              <w:spacing w:after="0"/>
              <w:rPr>
                <w:sz w:val="20"/>
                <w:szCs w:val="20"/>
                <w:color w:val="auto"/>
              </w:rPr>
            </w:pPr>
            <w:r>
              <w:rPr>
                <w:rFonts w:ascii="Arial" w:cs="Arial" w:eastAsia="Arial" w:hAnsi="Arial"/>
                <w:sz w:val="20"/>
                <w:szCs w:val="20"/>
                <w:color w:val="auto"/>
              </w:rPr>
              <w:t>Non-vested at January 1, 2018</w:t>
            </w:r>
          </w:p>
        </w:tc>
        <w:tc>
          <w:tcPr>
            <w:tcW w:w="166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thousands)</w:t>
            </w:r>
          </w:p>
        </w:tc>
        <w:tc>
          <w:tcPr>
            <w:tcW w:w="220" w:type="dxa"/>
            <w:vAlign w:val="bottom"/>
          </w:tcPr>
          <w:p>
            <w:pPr>
              <w:spacing w:after="0"/>
              <w:rPr>
                <w:sz w:val="21"/>
                <w:szCs w:val="21"/>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06"/>
        </w:trPr>
        <w:tc>
          <w:tcPr>
            <w:tcW w:w="4420" w:type="dxa"/>
            <w:vAlign w:val="bottom"/>
            <w:vMerge w:val="continue"/>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530</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45.09</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01/01/18- 03/31/18</w:t>
            </w:r>
          </w:p>
        </w:tc>
        <w:tc>
          <w:tcPr>
            <w:tcW w:w="1380" w:type="dxa"/>
            <w:vAlign w:val="bottom"/>
          </w:tcPr>
          <w:p>
            <w:pPr>
              <w:jc w:val="right"/>
              <w:spacing w:after="0"/>
              <w:rPr>
                <w:sz w:val="20"/>
                <w:szCs w:val="20"/>
                <w:color w:val="auto"/>
              </w:rPr>
            </w:pPr>
            <w:r>
              <w:rPr>
                <w:rFonts w:ascii="Arial" w:cs="Arial" w:eastAsia="Arial" w:hAnsi="Arial"/>
                <w:sz w:val="20"/>
                <w:szCs w:val="20"/>
                <w:color w:val="auto"/>
              </w:rPr>
              <w:t>221</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58.75</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04/01/18- 06/30/18</w:t>
            </w:r>
          </w:p>
        </w:tc>
        <w:tc>
          <w:tcPr>
            <w:tcW w:w="1380" w:type="dxa"/>
            <w:vAlign w:val="bottom"/>
          </w:tcPr>
          <w:p>
            <w:pPr>
              <w:jc w:val="right"/>
              <w:spacing w:after="0"/>
              <w:rPr>
                <w:sz w:val="20"/>
                <w:szCs w:val="20"/>
                <w:color w:val="auto"/>
              </w:rPr>
            </w:pPr>
            <w:r>
              <w:rPr>
                <w:rFonts w:ascii="Arial" w:cs="Arial" w:eastAsia="Arial" w:hAnsi="Arial"/>
                <w:sz w:val="20"/>
                <w:szCs w:val="20"/>
                <w:color w:val="auto"/>
              </w:rPr>
              <w:t>48</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52.31</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07/01/18 - 09/30/18</w:t>
            </w:r>
          </w:p>
        </w:tc>
        <w:tc>
          <w:tcPr>
            <w:tcW w:w="138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58.72</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Vested</w:t>
            </w:r>
          </w:p>
        </w:tc>
        <w:tc>
          <w:tcPr>
            <w:tcW w:w="1660" w:type="dxa"/>
            <w:vAlign w:val="bottom"/>
            <w:gridSpan w:val="2"/>
          </w:tcPr>
          <w:p>
            <w:pPr>
              <w:jc w:val="right"/>
              <w:ind w:right="280"/>
              <w:spacing w:after="0"/>
              <w:rPr>
                <w:sz w:val="20"/>
                <w:szCs w:val="20"/>
                <w:color w:val="auto"/>
              </w:rPr>
            </w:pPr>
            <w:r>
              <w:rPr>
                <w:rFonts w:ascii="Arial" w:cs="Arial" w:eastAsia="Arial" w:hAnsi="Arial"/>
                <w:sz w:val="20"/>
                <w:szCs w:val="20"/>
                <w:color w:val="auto"/>
              </w:rPr>
              <w:t>(263)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45.36</w:t>
            </w:r>
          </w:p>
        </w:tc>
        <w:tc>
          <w:tcPr>
            <w:tcW w:w="0" w:type="dxa"/>
            <w:vAlign w:val="bottom"/>
          </w:tcPr>
          <w:p>
            <w:pPr>
              <w:spacing w:after="0"/>
              <w:rPr>
                <w:sz w:val="1"/>
                <w:szCs w:val="1"/>
                <w:color w:val="auto"/>
              </w:rPr>
            </w:pPr>
          </w:p>
        </w:tc>
      </w:tr>
      <w:tr>
        <w:trPr>
          <w:trHeight w:val="240"/>
        </w:trPr>
        <w:tc>
          <w:tcPr>
            <w:tcW w:w="4420" w:type="dxa"/>
            <w:vAlign w:val="bottom"/>
          </w:tcPr>
          <w:p>
            <w:pPr>
              <w:ind w:left="360"/>
              <w:spacing w:after="0"/>
              <w:rPr>
                <w:sz w:val="20"/>
                <w:szCs w:val="20"/>
                <w:color w:val="auto"/>
              </w:rPr>
            </w:pPr>
            <w:r>
              <w:rPr>
                <w:rFonts w:ascii="Arial" w:cs="Arial" w:eastAsia="Arial" w:hAnsi="Arial"/>
                <w:sz w:val="20"/>
                <w:szCs w:val="20"/>
                <w:color w:val="auto"/>
              </w:rPr>
              <w:t>Forfeited/cancelled</w:t>
            </w:r>
          </w:p>
        </w:tc>
        <w:tc>
          <w:tcPr>
            <w:tcW w:w="1660" w:type="dxa"/>
            <w:vAlign w:val="bottom"/>
            <w:gridSpan w:val="2"/>
          </w:tcPr>
          <w:p>
            <w:pPr>
              <w:jc w:val="right"/>
              <w:ind w:right="280"/>
              <w:spacing w:after="0"/>
              <w:rPr>
                <w:sz w:val="20"/>
                <w:szCs w:val="20"/>
                <w:color w:val="auto"/>
              </w:rPr>
            </w:pPr>
            <w:r>
              <w:rPr>
                <w:rFonts w:ascii="Arial" w:cs="Arial" w:eastAsia="Arial" w:hAnsi="Arial"/>
                <w:sz w:val="20"/>
                <w:szCs w:val="20"/>
                <w:color w:val="auto"/>
              </w:rPr>
              <w:t>(7)</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33.60</w:t>
            </w:r>
          </w:p>
        </w:tc>
        <w:tc>
          <w:tcPr>
            <w:tcW w:w="0" w:type="dxa"/>
            <w:vAlign w:val="bottom"/>
          </w:tcPr>
          <w:p>
            <w:pPr>
              <w:spacing w:after="0"/>
              <w:rPr>
                <w:sz w:val="1"/>
                <w:szCs w:val="1"/>
                <w:color w:val="auto"/>
              </w:rPr>
            </w:pPr>
          </w:p>
        </w:tc>
      </w:tr>
      <w:tr>
        <w:trPr>
          <w:trHeight w:val="230"/>
        </w:trPr>
        <w:tc>
          <w:tcPr>
            <w:tcW w:w="4420" w:type="dxa"/>
            <w:vAlign w:val="bottom"/>
          </w:tcPr>
          <w:p>
            <w:pPr>
              <w:spacing w:after="0" w:line="220" w:lineRule="exact"/>
              <w:rPr>
                <w:sz w:val="20"/>
                <w:szCs w:val="20"/>
                <w:color w:val="auto"/>
              </w:rPr>
            </w:pPr>
            <w:r>
              <w:rPr>
                <w:rFonts w:ascii="Arial" w:cs="Arial" w:eastAsia="Arial" w:hAnsi="Arial"/>
                <w:sz w:val="20"/>
                <w:szCs w:val="20"/>
                <w:color w:val="auto"/>
              </w:rPr>
              <w:t>Non-vested at September 30, 2018</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530</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51.48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weighted-average grant-date fair value of restricted stock units granted during the three-months ended September 30, 2018 was $58.72 per share. No restricted stock units were granted during the three-months ended September 30, 2017. The weighted-average grant-date fair value of restricted stock units granted during the nine-months ended September 30, 2018 and 2017 was $57.59 per share and $46.65 per share, respectively. As of September 30, 2018, 0.5 million of restricted stock units are expected to vest over their respective terms.</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September 30, 2018, total unrecognized compensation expense relating to non-vested restricted stock units was $19.0 million, which is expected to be recognized over a weighted-average period of 1.8 years.</w:t>
      </w:r>
    </w:p>
    <w:p>
      <w:pPr>
        <w:spacing w:after="0" w:line="19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On December 22, 2017, the President of the United States signed into law the Tax Reform Act. The legislation significantly changes U.S. tax law by, among other things, lowering corporate income tax rates, implementing a territorial tax system and imposing a repatriation tax on deemed repatriated earnings of foreign subsidiaries. The Tax Reform Act permanently reduces the U.S. corporate income tax rate from a maximum of 35% to a flat 21% rate, effective January 1, 2018.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Reform Act. A company may select between one of three scenarios to determine a reasonable estimate for certain income tax effects arising from the Tax Reform Act. Those scenarios are (i) a final estimate which effectively closes the measurement window; (ii) a reasonable estimate leaving the measurement window open for future revisions; and (iii) no estimate as the law is still being analyzed. The Company was able to provide a reasonable estimate for the revaluation of deferred taxes and the effects of the toll charge on undistributed foreign subsidiary earnings and profits (“E&amp;P”). As a result of the reduction in the U.S. corporate income tax rate from 35% to 21% under the Tax Reform Act, the Company revalued its net deferred tax assets at December 31, 2017, resulting in a provisional $39.8 million charge included in the provision for income taxes for the year ended December 31, 2017. The Tax Reform Act also provided for a one-time deemed mandatory repatriation of Post-1986 E&amp;P through the year ended December 31, 2017. As a result, the Company recognized a provisional $2.1 million charge in the provision for income taxes for the year ended December 31, 2017 related to such deemed mandatory repatriation. During the three-months ended September 30, 2018, the Company made an adjustment to the provisional amount and recognized an additional $1.8 million provision for income tax related to the deemed mandatory repatriation.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 has not made additional measurement window adjustments to these items during the three- and nine-months ended September 30, 2018. The Company continues to evaluate the various provisions of the Tax Reform Act, including, the global intangible low-taxed income (“GILTI”) and the foreign derived intangible income (“FDII”) provisions. The ultimate impact of the Tax Reform Act may differ from these provisional amounts, possibly materially, due to, among other things, additional analysis, changes in interpretations and assumptions the Company has made, additional regulatory guidance that may be issued, as well as any related actions the Company may take. The measurement window begins in the reporting period that includes the enactment date and ends when an entity has obtained, prepared and analyzed the information needed in order to complete the accounting requirements under ASC Topic 740.</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nine-months ended September 30, 2018:</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ind w:right="201"/>
              <w:spacing w:after="0"/>
              <w:rPr>
                <w:sz w:val="20"/>
                <w:szCs w:val="20"/>
                <w:color w:val="auto"/>
              </w:rPr>
            </w:pPr>
            <w:r>
              <w:rPr>
                <w:rFonts w:ascii="Arial" w:cs="Arial" w:eastAsia="Arial" w:hAnsi="Arial"/>
                <w:sz w:val="20"/>
                <w:szCs w:val="20"/>
                <w:color w:val="auto"/>
                <w:w w:val="90"/>
              </w:rPr>
              <w:t>Gross Unrecognized Tax</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Arial" w:cs="Arial" w:eastAsia="Arial" w:hAnsi="Arial"/>
                <w:sz w:val="20"/>
                <w:szCs w:val="20"/>
                <w:color w:val="auto"/>
              </w:rPr>
              <w:t>Balance at December 31, 2017</w:t>
            </w:r>
          </w:p>
        </w:tc>
        <w:tc>
          <w:tcPr>
            <w:tcW w:w="2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206"/>
        </w:trPr>
        <w:tc>
          <w:tcPr>
            <w:tcW w:w="4260" w:type="dxa"/>
            <w:vAlign w:val="bottom"/>
            <w:vMerge w:val="continue"/>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320" w:type="dxa"/>
            <w:vAlign w:val="bottom"/>
          </w:tcPr>
          <w:p>
            <w:pPr>
              <w:jc w:val="right"/>
              <w:ind w:right="1"/>
              <w:spacing w:after="0" w:line="207" w:lineRule="exact"/>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current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210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prior</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years</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1,172</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Decreases related to settlement with taxing</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180"/>
              <w:spacing w:after="0"/>
              <w:rPr>
                <w:sz w:val="20"/>
                <w:szCs w:val="20"/>
                <w:color w:val="auto"/>
              </w:rPr>
            </w:pPr>
            <w:r>
              <w:rPr>
                <w:rFonts w:ascii="Arial" w:cs="Arial" w:eastAsia="Arial" w:hAnsi="Arial"/>
                <w:sz w:val="20"/>
                <w:szCs w:val="20"/>
                <w:color w:val="auto"/>
              </w:rPr>
              <w:t>authority</w:t>
            </w: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(2,665)</w:t>
            </w:r>
          </w:p>
        </w:tc>
        <w:tc>
          <w:tcPr>
            <w:tcW w:w="0" w:type="dxa"/>
            <w:vAlign w:val="bottom"/>
          </w:tcPr>
          <w:p>
            <w:pPr>
              <w:spacing w:after="0"/>
              <w:rPr>
                <w:sz w:val="1"/>
                <w:szCs w:val="1"/>
                <w:color w:val="auto"/>
              </w:rPr>
            </w:pPr>
          </w:p>
        </w:tc>
      </w:tr>
      <w:tr>
        <w:trPr>
          <w:trHeight w:val="230"/>
        </w:trPr>
        <w:tc>
          <w:tcPr>
            <w:tcW w:w="4260" w:type="dxa"/>
            <w:vAlign w:val="bottom"/>
          </w:tcPr>
          <w:p>
            <w:pPr>
              <w:spacing w:after="0" w:line="220" w:lineRule="exact"/>
              <w:rPr>
                <w:sz w:val="20"/>
                <w:szCs w:val="20"/>
                <w:color w:val="auto"/>
              </w:rPr>
            </w:pPr>
            <w:r>
              <w:rPr>
                <w:rFonts w:ascii="Arial" w:cs="Arial" w:eastAsia="Arial" w:hAnsi="Arial"/>
                <w:sz w:val="20"/>
                <w:szCs w:val="20"/>
                <w:color w:val="auto"/>
              </w:rPr>
              <w:t>Balance at September 30, 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5,257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September 30, 2018, the Company had approximately $1.0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Company’s 2014 through 2017 U.S. federal income tax returns are subject to examination by the IRS. The Company’s state income tax returns are subject to examination for the 2013 through 2017 tax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reconciliation of the weighted-average shares used in the basic and diluted earnings per common share computations is presented below (in thousands):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3280" w:type="dxa"/>
            <w:vAlign w:val="bottom"/>
            <w:gridSpan w:val="5"/>
          </w:tcPr>
          <w:p>
            <w:pPr>
              <w:jc w:val="center"/>
              <w:ind w:right="280"/>
              <w:spacing w:after="0"/>
              <w:rPr>
                <w:sz w:val="20"/>
                <w:szCs w:val="20"/>
                <w:color w:val="auto"/>
              </w:rPr>
            </w:pPr>
            <w:r>
              <w:rPr>
                <w:rFonts w:ascii="Arial" w:cs="Arial" w:eastAsia="Arial" w:hAnsi="Arial"/>
                <w:sz w:val="20"/>
                <w:szCs w:val="20"/>
                <w:color w:val="auto"/>
                <w:w w:val="89"/>
              </w:rPr>
              <w:t>Three-Months Ended</w:t>
            </w:r>
          </w:p>
        </w:tc>
        <w:tc>
          <w:tcPr>
            <w:tcW w:w="3020" w:type="dxa"/>
            <w:vAlign w:val="bottom"/>
            <w:gridSpan w:val="4"/>
          </w:tcPr>
          <w:p>
            <w:pPr>
              <w:jc w:val="center"/>
              <w:spacing w:after="0"/>
              <w:rPr>
                <w:sz w:val="20"/>
                <w:szCs w:val="20"/>
                <w:color w:val="auto"/>
              </w:rPr>
            </w:pPr>
            <w:r>
              <w:rPr>
                <w:rFonts w:ascii="Arial" w:cs="Arial" w:eastAsia="Arial" w:hAnsi="Arial"/>
                <w:sz w:val="20"/>
                <w:szCs w:val="20"/>
                <w:color w:val="auto"/>
                <w:w w:val="91"/>
              </w:rPr>
              <w:t>Nine-Months Ended</w:t>
            </w:r>
          </w:p>
        </w:tc>
        <w:tc>
          <w:tcPr>
            <w:tcW w:w="0" w:type="dxa"/>
            <w:vAlign w:val="bottom"/>
          </w:tcPr>
          <w:p>
            <w:pPr>
              <w:spacing w:after="0"/>
              <w:rPr>
                <w:sz w:val="1"/>
                <w:szCs w:val="1"/>
                <w:color w:val="auto"/>
              </w:rPr>
            </w:pPr>
          </w:p>
        </w:tc>
      </w:tr>
      <w:tr>
        <w:trPr>
          <w:trHeight w:val="246"/>
        </w:trPr>
        <w:tc>
          <w:tcPr>
            <w:tcW w:w="398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20"/>
                <w:szCs w:val="20"/>
                <w:color w:val="auto"/>
                <w:w w:val="88"/>
              </w:rPr>
              <w:t>September 30,</w:t>
            </w:r>
          </w:p>
        </w:tc>
        <w:tc>
          <w:tcPr>
            <w:tcW w:w="9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821"/>
              <w:spacing w:after="0"/>
              <w:rPr>
                <w:sz w:val="20"/>
                <w:szCs w:val="20"/>
                <w:color w:val="auto"/>
              </w:rPr>
            </w:pPr>
            <w:r>
              <w:rPr>
                <w:rFonts w:ascii="Arial" w:cs="Arial" w:eastAsia="Arial" w:hAnsi="Arial"/>
                <w:sz w:val="20"/>
                <w:szCs w:val="20"/>
                <w:color w:val="auto"/>
                <w:w w:val="86"/>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3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2017</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9"/>
              </w:rPr>
              <w:t>2017</w:t>
            </w:r>
          </w:p>
        </w:tc>
        <w:tc>
          <w:tcPr>
            <w:tcW w:w="0" w:type="dxa"/>
            <w:vAlign w:val="bottom"/>
          </w:tcPr>
          <w:p>
            <w:pPr>
              <w:spacing w:after="0"/>
              <w:rPr>
                <w:sz w:val="1"/>
                <w:szCs w:val="1"/>
                <w:color w:val="auto"/>
              </w:rPr>
            </w:pPr>
          </w:p>
        </w:tc>
      </w:tr>
      <w:tr>
        <w:trPr>
          <w:trHeight w:val="193"/>
        </w:trPr>
        <w:tc>
          <w:tcPr>
            <w:tcW w:w="39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20"/>
                <w:szCs w:val="20"/>
                <w:color w:val="auto"/>
              </w:rPr>
              <w:t>Basic</w:t>
            </w:r>
          </w:p>
        </w:tc>
        <w:tc>
          <w:tcPr>
            <w:tcW w:w="1360" w:type="dxa"/>
            <w:vAlign w:val="bottom"/>
          </w:tcPr>
          <w:p>
            <w:pPr>
              <w:jc w:val="right"/>
              <w:spacing w:after="0"/>
              <w:rPr>
                <w:sz w:val="20"/>
                <w:szCs w:val="20"/>
                <w:color w:val="auto"/>
              </w:rPr>
            </w:pPr>
            <w:r>
              <w:rPr>
                <w:rFonts w:ascii="Arial" w:cs="Arial" w:eastAsia="Arial" w:hAnsi="Arial"/>
                <w:sz w:val="20"/>
                <w:szCs w:val="20"/>
                <w:color w:val="auto"/>
              </w:rPr>
              <w:t>552,694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567,878</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559,472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567,550</w:t>
            </w:r>
          </w:p>
        </w:tc>
        <w:tc>
          <w:tcPr>
            <w:tcW w:w="0" w:type="dxa"/>
            <w:vAlign w:val="bottom"/>
          </w:tcPr>
          <w:p>
            <w:pPr>
              <w:spacing w:after="0"/>
              <w:rPr>
                <w:sz w:val="1"/>
                <w:szCs w:val="1"/>
                <w:color w:val="auto"/>
              </w:rPr>
            </w:pPr>
          </w:p>
        </w:tc>
      </w:tr>
      <w:tr>
        <w:trPr>
          <w:trHeight w:val="240"/>
        </w:trPr>
        <w:tc>
          <w:tcPr>
            <w:tcW w:w="3980" w:type="dxa"/>
            <w:vAlign w:val="bottom"/>
          </w:tcPr>
          <w:p>
            <w:pPr>
              <w:ind w:left="180"/>
              <w:spacing w:after="0"/>
              <w:rPr>
                <w:sz w:val="20"/>
                <w:szCs w:val="20"/>
                <w:color w:val="auto"/>
              </w:rPr>
            </w:pPr>
            <w:r>
              <w:rPr>
                <w:rFonts w:ascii="Arial" w:cs="Arial" w:eastAsia="Arial" w:hAnsi="Arial"/>
                <w:sz w:val="20"/>
                <w:szCs w:val="20"/>
                <w:color w:val="auto"/>
              </w:rPr>
              <w:t>Dilutive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7,261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10,490</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7,319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10,414</w:t>
            </w: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line="220" w:lineRule="exact"/>
              <w:rPr>
                <w:sz w:val="20"/>
                <w:szCs w:val="20"/>
                <w:color w:val="auto"/>
              </w:rPr>
            </w:pPr>
            <w:r>
              <w:rPr>
                <w:rFonts w:ascii="Arial" w:cs="Arial" w:eastAsia="Arial" w:hAnsi="Arial"/>
                <w:sz w:val="20"/>
                <w:szCs w:val="20"/>
                <w:color w:val="auto"/>
              </w:rPr>
              <w:t>Diluted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559,955</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578,368</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566,791</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577,964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three-months ended September 30, 2018 and 2017, options and awards outstanding totaling 3.2 million shares and 5.9 million shares, respectively, were excluded from the calculations as their effect would have been antidilutive. For the nine-months ended September 30, 2018 and 2017, options and awards outstanding totaling 3.0 million shares and 8.4 million shares, respectively, were excluded from the calculations as their effect would have been antidilutive.</w:t>
      </w:r>
    </w:p>
    <w:p>
      <w:pPr>
        <w:spacing w:after="0" w:line="205"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has three operating and reportable segments, (i) Monster Energy® Drinks segment, which is primarily comprised of the Company’s Monster Energy® drinks, (ii) Strategic Brands segment, which is comprised of the various energy drink brands acquired from TCCC in 2015, and (iii) Other segment, which is comprised of certain products sold by American Fruits &amp; Flavors LLC, a wholly-owned subsidiary of the Company, to independent third-party customers.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Company’s Monster Energy® Drinks segment primarily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foodservice customers and the military.</w:t>
      </w:r>
    </w:p>
    <w:p>
      <w:pPr>
        <w:spacing w:after="0" w:line="184" w:lineRule="exact"/>
        <w:rPr>
          <w:sz w:val="20"/>
          <w:szCs w:val="20"/>
          <w:color w:val="auto"/>
        </w:rPr>
      </w:pPr>
    </w:p>
    <w:p>
      <w:pPr>
        <w:jc w:val="both"/>
        <w:ind w:firstLine="689"/>
        <w:spacing w:after="0" w:line="316"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and the military. To a lesser extent, the Company’s Strategic Brands segment generates net operating revenues by selling certain ready-to-drink packaged energy drinks to bottlers and full service beverage distributors.</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 percentages than the Strategic Brands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 and nine-months ended September 30, 2018 and 2017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00" w:type="dxa"/>
            <w:vAlign w:val="bottom"/>
            <w:gridSpan w:val="8"/>
          </w:tcPr>
          <w:p>
            <w:pPr>
              <w:jc w:val="center"/>
              <w:ind w:right="660"/>
              <w:spacing w:after="0"/>
              <w:rPr>
                <w:sz w:val="20"/>
                <w:szCs w:val="20"/>
                <w:color w:val="auto"/>
              </w:rPr>
            </w:pPr>
            <w:r>
              <w:rPr>
                <w:rFonts w:ascii="Arial" w:cs="Arial" w:eastAsia="Arial" w:hAnsi="Arial"/>
                <w:sz w:val="20"/>
                <w:szCs w:val="20"/>
                <w:color w:val="auto"/>
                <w:w w:val="89"/>
              </w:rPr>
              <w:t>Three-Months Ended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60" w:type="dxa"/>
            <w:vAlign w:val="bottom"/>
            <w:gridSpan w:val="7"/>
          </w:tcPr>
          <w:p>
            <w:pPr>
              <w:jc w:val="right"/>
              <w:ind w:right="801"/>
              <w:spacing w:after="0"/>
              <w:rPr>
                <w:sz w:val="20"/>
                <w:szCs w:val="20"/>
                <w:color w:val="auto"/>
              </w:rPr>
            </w:pPr>
            <w:r>
              <w:rPr>
                <w:rFonts w:ascii="Arial" w:cs="Arial" w:eastAsia="Arial" w:hAnsi="Arial"/>
                <w:sz w:val="20"/>
                <w:szCs w:val="20"/>
                <w:color w:val="auto"/>
              </w:rPr>
              <w:t>Nine-Months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center"/>
              <w:ind w:left="441"/>
              <w:spacing w:after="0"/>
              <w:rPr>
                <w:sz w:val="20"/>
                <w:szCs w:val="20"/>
                <w:color w:val="auto"/>
              </w:rPr>
            </w:pPr>
            <w:r>
              <w:rPr>
                <w:rFonts w:ascii="Arial" w:cs="Arial" w:eastAsia="Arial" w:hAnsi="Arial"/>
                <w:sz w:val="20"/>
                <w:szCs w:val="20"/>
                <w:color w:val="auto"/>
                <w:w w:val="86"/>
              </w:rPr>
              <w:t>September 30,</w:t>
            </w:r>
          </w:p>
        </w:tc>
        <w:tc>
          <w:tcPr>
            <w:tcW w:w="10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color w:val="auto"/>
              </w:rPr>
              <w:t>September 30,</w:t>
            </w: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w w:val="94"/>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935,146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827,690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3"/>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2,645,089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3"/>
          </w:tcPr>
          <w:p>
            <w:pPr>
              <w:jc w:val="right"/>
              <w:ind w:right="22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1"/>
              <w:spacing w:after="0"/>
              <w:rPr>
                <w:sz w:val="20"/>
                <w:szCs w:val="20"/>
                <w:color w:val="auto"/>
              </w:rPr>
            </w:pPr>
            <w:r>
              <w:rPr>
                <w:rFonts w:ascii="Arial" w:cs="Arial" w:eastAsia="Arial" w:hAnsi="Arial"/>
                <w:sz w:val="20"/>
                <w:szCs w:val="20"/>
                <w:color w:val="auto"/>
                <w:w w:val="98"/>
              </w:rPr>
              <w:t>2,311,521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74,441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76,586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220,011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230,255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6,573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5,200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17,853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16,914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1,016,160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909,476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3"/>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2,882,953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gridSpan w:val="3"/>
          </w:tcPr>
          <w:p>
            <w:pPr>
              <w:jc w:val="right"/>
              <w:ind w:right="22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98"/>
              </w:rPr>
              <w:t>2,558,690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8"/>
          </w:tcPr>
          <w:p>
            <w:pPr>
              <w:jc w:val="center"/>
              <w:ind w:right="620"/>
              <w:spacing w:after="0"/>
              <w:rPr>
                <w:sz w:val="20"/>
                <w:szCs w:val="20"/>
                <w:color w:val="auto"/>
              </w:rPr>
            </w:pPr>
            <w:r>
              <w:rPr>
                <w:rFonts w:ascii="Arial" w:cs="Arial" w:eastAsia="Arial" w:hAnsi="Arial"/>
                <w:sz w:val="20"/>
                <w:szCs w:val="20"/>
                <w:color w:val="auto"/>
                <w:w w:val="89"/>
              </w:rPr>
              <w:t>Three-Months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7"/>
          </w:tcPr>
          <w:p>
            <w:pPr>
              <w:jc w:val="center"/>
              <w:ind w:right="261"/>
              <w:spacing w:after="0"/>
              <w:rPr>
                <w:sz w:val="20"/>
                <w:szCs w:val="20"/>
                <w:color w:val="auto"/>
              </w:rPr>
            </w:pPr>
            <w:r>
              <w:rPr>
                <w:rFonts w:ascii="Arial" w:cs="Arial" w:eastAsia="Arial" w:hAnsi="Arial"/>
                <w:sz w:val="20"/>
                <w:szCs w:val="20"/>
                <w:color w:val="auto"/>
                <w:w w:val="90"/>
              </w:rPr>
              <w:t>Nine-Months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center"/>
              <w:ind w:left="481"/>
              <w:spacing w:after="0"/>
              <w:rPr>
                <w:sz w:val="20"/>
                <w:szCs w:val="20"/>
                <w:color w:val="auto"/>
              </w:rPr>
            </w:pPr>
            <w:r>
              <w:rPr>
                <w:rFonts w:ascii="Arial" w:cs="Arial" w:eastAsia="Arial" w:hAnsi="Arial"/>
                <w:sz w:val="20"/>
                <w:szCs w:val="20"/>
                <w:color w:val="auto"/>
                <w:w w:val="86"/>
              </w:rPr>
              <w:t>September 30,</w:t>
            </w: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center"/>
              <w:ind w:left="561"/>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2017</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2018</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359,090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333,210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3"/>
          </w:tcPr>
          <w:p>
            <w:pPr>
              <w:jc w:val="right"/>
              <w:ind w:right="4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1,033,895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3"/>
          </w:tcPr>
          <w:p>
            <w:pPr>
              <w:jc w:val="right"/>
              <w:ind w:right="1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968,864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41,661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42,663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135,054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137,945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1,742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1,451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4,539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(62,920)</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(59,952)</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(196,380)</w:t>
            </w:r>
          </w:p>
        </w:tc>
        <w:tc>
          <w:tcPr>
            <w:tcW w:w="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(179,719)</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339,573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317,372</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977,108</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931,675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gridSpan w:val="8"/>
          </w:tcPr>
          <w:p>
            <w:pPr>
              <w:jc w:val="center"/>
              <w:ind w:right="620"/>
              <w:spacing w:after="0"/>
              <w:rPr>
                <w:sz w:val="20"/>
                <w:szCs w:val="20"/>
                <w:color w:val="auto"/>
              </w:rPr>
            </w:pPr>
            <w:r>
              <w:rPr>
                <w:rFonts w:ascii="Arial" w:cs="Arial" w:eastAsia="Arial" w:hAnsi="Arial"/>
                <w:sz w:val="20"/>
                <w:szCs w:val="20"/>
                <w:color w:val="auto"/>
                <w:w w:val="89"/>
              </w:rPr>
              <w:t>Three-Months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7"/>
          </w:tcPr>
          <w:p>
            <w:pPr>
              <w:jc w:val="center"/>
              <w:ind w:right="261"/>
              <w:spacing w:after="0"/>
              <w:rPr>
                <w:sz w:val="20"/>
                <w:szCs w:val="20"/>
                <w:color w:val="auto"/>
              </w:rPr>
            </w:pPr>
            <w:r>
              <w:rPr>
                <w:rFonts w:ascii="Arial" w:cs="Arial" w:eastAsia="Arial" w:hAnsi="Arial"/>
                <w:sz w:val="20"/>
                <w:szCs w:val="20"/>
                <w:color w:val="auto"/>
                <w:w w:val="90"/>
              </w:rPr>
              <w:t>Nine-Months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center"/>
              <w:ind w:left="481"/>
              <w:spacing w:after="0"/>
              <w:rPr>
                <w:sz w:val="20"/>
                <w:szCs w:val="20"/>
                <w:color w:val="auto"/>
              </w:rPr>
            </w:pPr>
            <w:r>
              <w:rPr>
                <w:rFonts w:ascii="Arial" w:cs="Arial" w:eastAsia="Arial" w:hAnsi="Arial"/>
                <w:sz w:val="20"/>
                <w:szCs w:val="20"/>
                <w:color w:val="auto"/>
                <w:w w:val="86"/>
              </w:rPr>
              <w:t>September 30,</w:t>
            </w:r>
          </w:p>
        </w:tc>
        <w:tc>
          <w:tcPr>
            <w:tcW w:w="10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center"/>
              <w:ind w:left="561"/>
              <w:spacing w:after="0"/>
              <w:rPr>
                <w:sz w:val="20"/>
                <w:szCs w:val="20"/>
                <w:color w:val="auto"/>
              </w:rPr>
            </w:pPr>
            <w:r>
              <w:rPr>
                <w:rFonts w:ascii="Arial" w:cs="Arial" w:eastAsia="Arial" w:hAnsi="Arial"/>
                <w:sz w:val="20"/>
                <w:szCs w:val="20"/>
                <w:color w:val="auto"/>
                <w:w w:val="86"/>
              </w:rPr>
              <w:t>September 30,</w:t>
            </w:r>
          </w:p>
        </w:tc>
        <w:tc>
          <w:tcPr>
            <w:tcW w:w="1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2017</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2018</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w w:val="98"/>
              </w:rPr>
              <w:t>2017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359,216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333,065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3"/>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1,034,521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3"/>
          </w:tcPr>
          <w:p>
            <w:pPr>
              <w:jc w:val="right"/>
              <w:ind w:right="1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968,716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41,659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42,663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135,075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137,931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1,742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1,451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4,539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4,585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tcPr>
          <w:p>
            <w:pPr>
              <w:ind w:left="18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(60,056)</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(55,811)</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(191,758)</w:t>
            </w:r>
          </w:p>
        </w:tc>
        <w:tc>
          <w:tcPr>
            <w:tcW w:w="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(177,454)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342,561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321,368</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982,377</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bottom w:val="single" w:sz="8" w:color="auto"/>
            </w:tcBorders>
            <w:gridSpan w:val="2"/>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933,778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line="253" w:lineRule="auto"/>
        <w:tabs>
          <w:tab w:leader="none" w:pos="652"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$11.1 million and $11.4 million for the three-months ended September 30, 2018 and 2017, respectively, related to the recognition of deferred revenue. Includes $33.3 million and $31.6 million for the nine-months ended September 30, 2018 and 2017, respectively, related to the recognition of deferred revenue.</w:t>
      </w:r>
    </w:p>
    <w:p>
      <w:pPr>
        <w:spacing w:after="0" w:line="173" w:lineRule="exact"/>
        <w:rPr>
          <w:rFonts w:ascii="Arial" w:cs="Arial" w:eastAsia="Arial" w:hAnsi="Arial"/>
          <w:sz w:val="14"/>
          <w:szCs w:val="14"/>
          <w:i w:val="1"/>
          <w:iCs w:val="1"/>
          <w:color w:val="auto"/>
        </w:rPr>
      </w:pPr>
    </w:p>
    <w:p>
      <w:pPr>
        <w:ind w:left="660" w:hanging="328"/>
        <w:spacing w:after="0" w:line="253" w:lineRule="auto"/>
        <w:tabs>
          <w:tab w:leader="none" w:pos="652"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$14.1 million and $15.9 million for the three-months ended September 30, 2018 and 2017, respectively, related to distributor termination costs. Includes $26.6 million and $35.9 million for the nine-months ended September 30, 2018 and 2017, respectively, related to distributor termination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320"/>
              <w:spacing w:after="0"/>
              <w:rPr>
                <w:sz w:val="20"/>
                <w:szCs w:val="20"/>
                <w:color w:val="auto"/>
              </w:rPr>
            </w:pPr>
            <w:r>
              <w:rPr>
                <w:rFonts w:ascii="Arial" w:cs="Arial" w:eastAsia="Arial" w:hAnsi="Arial"/>
                <w:sz w:val="20"/>
                <w:szCs w:val="20"/>
                <w:color w:val="auto"/>
              </w:rPr>
              <w:t>Three-Months Ended</w:t>
            </w:r>
          </w:p>
        </w:tc>
        <w:tc>
          <w:tcPr>
            <w:tcW w:w="360" w:type="dxa"/>
            <w:vAlign w:val="bottom"/>
          </w:tcPr>
          <w:p>
            <w:pPr>
              <w:spacing w:after="0"/>
              <w:rPr>
                <w:sz w:val="19"/>
                <w:szCs w:val="19"/>
                <w:color w:val="auto"/>
              </w:rPr>
            </w:pPr>
          </w:p>
        </w:tc>
        <w:tc>
          <w:tcPr>
            <w:tcW w:w="2740" w:type="dxa"/>
            <w:vAlign w:val="bottom"/>
            <w:gridSpan w:val="4"/>
          </w:tcPr>
          <w:p>
            <w:pPr>
              <w:jc w:val="right"/>
              <w:ind w:right="64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2018</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94"/>
              </w:rPr>
              <w:t>2017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w w:val="89"/>
              </w:rPr>
              <w:t>2017</w:t>
            </w:r>
          </w:p>
        </w:tc>
        <w:tc>
          <w:tcPr>
            <w:tcW w:w="0" w:type="dxa"/>
            <w:vAlign w:val="bottom"/>
          </w:tcPr>
          <w:p>
            <w:pPr>
              <w:spacing w:after="0"/>
              <w:rPr>
                <w:sz w:val="1"/>
                <w:szCs w:val="1"/>
                <w:color w:val="auto"/>
              </w:rPr>
            </w:pPr>
          </w:p>
        </w:tc>
      </w:tr>
      <w:tr>
        <w:trPr>
          <w:trHeight w:val="193"/>
        </w:trPr>
        <w:tc>
          <w:tcPr>
            <w:tcW w:w="5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20"/>
                <w:szCs w:val="20"/>
                <w:color w:val="auto"/>
              </w:rPr>
              <w:t>Monster Energy® Drinks</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9,157</w:t>
            </w:r>
          </w:p>
        </w:tc>
        <w:tc>
          <w:tcPr>
            <w:tcW w:w="300" w:type="dxa"/>
            <w:vAlign w:val="bottom"/>
          </w:tcPr>
          <w:p>
            <w:pPr>
              <w:spacing w:after="0"/>
              <w:rPr>
                <w:sz w:val="19"/>
                <w:szCs w:val="19"/>
                <w:color w:val="auto"/>
              </w:rPr>
            </w:pP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7,546</w:t>
            </w:r>
          </w:p>
        </w:tc>
        <w:tc>
          <w:tcPr>
            <w:tcW w:w="280" w:type="dxa"/>
            <w:vAlign w:val="bottom"/>
          </w:tcPr>
          <w:p>
            <w:pPr>
              <w:spacing w:after="0"/>
              <w:rPr>
                <w:sz w:val="19"/>
                <w:szCs w:val="19"/>
                <w:color w:val="auto"/>
              </w:rPr>
            </w:pP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26,926</w:t>
            </w:r>
          </w:p>
        </w:tc>
        <w:tc>
          <w:tcPr>
            <w:tcW w:w="280" w:type="dxa"/>
            <w:vAlign w:val="bottom"/>
          </w:tcPr>
          <w:p>
            <w:pPr>
              <w:spacing w:after="0"/>
              <w:rPr>
                <w:sz w:val="19"/>
                <w:szCs w:val="19"/>
                <w:color w:val="auto"/>
              </w:rPr>
            </w:pP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20,959</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20"/>
                <w:szCs w:val="20"/>
                <w:color w:val="auto"/>
              </w:rPr>
              <w:t>Strategic Brands</w:t>
            </w: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1,947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1,836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5,819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5,474</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1,167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1,152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20"/>
                <w:szCs w:val="20"/>
                <w:color w:val="auto"/>
              </w:rPr>
              <w:t>3,493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3,458</w:t>
            </w:r>
          </w:p>
        </w:tc>
        <w:tc>
          <w:tcPr>
            <w:tcW w:w="0" w:type="dxa"/>
            <w:vAlign w:val="bottom"/>
          </w:tcPr>
          <w:p>
            <w:pPr>
              <w:spacing w:after="0"/>
              <w:rPr>
                <w:sz w:val="1"/>
                <w:szCs w:val="1"/>
                <w:color w:val="auto"/>
              </w:rPr>
            </w:pPr>
          </w:p>
        </w:tc>
      </w:tr>
      <w:tr>
        <w:trPr>
          <w:trHeight w:val="246"/>
        </w:trPr>
        <w:tc>
          <w:tcPr>
            <w:tcW w:w="5000" w:type="dxa"/>
            <w:vAlign w:val="bottom"/>
          </w:tcPr>
          <w:p>
            <w:pPr>
              <w:ind w:left="24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2,014</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1,795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6,231</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5,213</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14,285</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12,329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42,469</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35,104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three-months ended September 30, 2018 include $42.1 million of payroll costs, of which $14.0 million was attributable to stock-based compensation expenses (see Note 14, “Stock-Based Compensation”), as well as $12.3 million attributable to professional service expenses, including accounting and legal costs, and $8.5 million of other operating expenses. Corporate and unallocated expenses for the three-months ended September 30, 2017 include $37.9 million of payroll costs, of which $13.3 million was attributable to stock-based compensation expenses (see Note 14, “Stock-Based Compensation”), as well as $11.9 million attributable to professional service expenses, including accounting and legal costs, and $10.1 million of other operating expenses.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nine-months ended September 30, 2018 include $129.9 million of payroll costs, of which $42.4 million was attributable to stock-based compensation expenses (see Note 14, “Stock-Based Compensation”), as well as $36.5 million attributable to professional service expenses, including accounting and legal costs, and $30.0 million of other operating expenses. Corporate and unallocated expenses for the nine-months ended September 30, 2017 include $114.0 million of payroll costs, of which $39.3 million was attributable to stock-based compensation expenses (see Note 14, “Stock-Based Compensation”), as well as $38.3 million attributable to professional service expenses, including accounting and legal costs, and $27.5 million of other operating expenses.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TCCC, through the TCCC Subsidiaries, accounted for approximately 4% and 14% of the Company’s net sales for the three-months ended September 30, 2018 and 2017, respectively. TCCC, through the TCCC Subsidiaries, accounted for approximately 4% and 21% of the Company’s net sales for the nine-months ended September 30, 2018 and 2017, respectively. As part of TCCC’s North America Refranchising initiative (the “North America Refranchising”), the territories of certain TCCC Subsidiaries have been transitioned to certain independent TCCC bottlers/distributors and/or TCCC Related Parties. Accordingly, the Company’s percentage of net sales classified as sales to the TCCC Subsidiaries significantly decreased for three- and nine-months ended September 30, 2018.</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CCBCC Operations, LLC accounted for approximately 14% of the Company’s net sales for both the three-months ended September 30, 2018 and 2017. CCBCC Operations, LLC accounted for approximately 14% and 13% of the Company’s net sales for the nine-months ended September 30, 2018 and 2017, respectively.</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Reyes Coca-Cola Bottling accounted for approximately 13% and 5% of the Company’s net sales for the three-months ended September 30, 2018 and 2017, respectively. Reyes Coca-Cola Bottling accounted for approximately 13% and 5% of the Company’s net sales for the nine-months ended September 30, 2018 and 2017,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Coca-Cola European Partners accounted for approximately 9% and 10% of the Company’s net sales for the three-months ended September 30, 2018 and 2017, respectively. Coca-Cola European Partners accounted for approximately 9% of the Company’s net sales for both the nine-months ended September 30, 2018 and 2017.</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$283.0 million and $260.1 million for the three-months ended September 30, 2018 and 2017, respectively. Net sales to customers outside the United States amounted to $818.8 million and $698.9 million for the nine-months ended September 30, 2018 and 2017, respectively.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Goodwill and other intangible assets for the Company’s reportable segments as of September 30, 2018 and December 31, 2017 are as follows: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19"/>
                <w:szCs w:val="19"/>
                <w:color w:val="auto"/>
              </w:rPr>
            </w:pPr>
          </w:p>
        </w:tc>
        <w:tc>
          <w:tcPr>
            <w:tcW w:w="1400" w:type="dxa"/>
            <w:vAlign w:val="bottom"/>
          </w:tcPr>
          <w:p>
            <w:pPr>
              <w:jc w:val="right"/>
              <w:ind w:right="181"/>
              <w:spacing w:after="0"/>
              <w:rPr>
                <w:sz w:val="20"/>
                <w:szCs w:val="20"/>
                <w:color w:val="auto"/>
              </w:rPr>
            </w:pPr>
            <w:r>
              <w:rPr>
                <w:rFonts w:ascii="Arial" w:cs="Arial" w:eastAsia="Arial" w:hAnsi="Arial"/>
                <w:sz w:val="20"/>
                <w:szCs w:val="20"/>
                <w:color w:val="auto"/>
                <w:w w:val="87"/>
              </w:rPr>
              <w:t>December 31,</w:t>
            </w:r>
          </w:p>
        </w:tc>
        <w:tc>
          <w:tcPr>
            <w:tcW w:w="0" w:type="dxa"/>
            <w:vAlign w:val="bottom"/>
          </w:tcPr>
          <w:p>
            <w:pPr>
              <w:spacing w:after="0"/>
              <w:rPr>
                <w:sz w:val="1"/>
                <w:szCs w:val="1"/>
                <w:color w:val="auto"/>
              </w:rPr>
            </w:pPr>
          </w:p>
        </w:tc>
      </w:tr>
      <w:tr>
        <w:trPr>
          <w:trHeight w:val="246"/>
        </w:trPr>
        <w:tc>
          <w:tcPr>
            <w:tcW w:w="438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2018</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Monster Energy® Drinks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1,362,448</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1,346,648</w:t>
            </w: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Strategic Brands</w:t>
            </w:r>
          </w:p>
        </w:tc>
        <w:tc>
          <w:tcPr>
            <w:tcW w:w="240" w:type="dxa"/>
            <w:vAlign w:val="bottom"/>
          </w:tcPr>
          <w:p>
            <w:pPr>
              <w:spacing w:after="0"/>
              <w:rPr>
                <w:sz w:val="19"/>
                <w:szCs w:val="19"/>
                <w:color w:val="auto"/>
              </w:rPr>
            </w:pP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991,352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995,582</w:t>
            </w: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Other</w:t>
            </w:r>
          </w:p>
        </w:tc>
        <w:tc>
          <w:tcPr>
            <w:tcW w:w="240" w:type="dxa"/>
            <w:vAlign w:val="bottom"/>
          </w:tcPr>
          <w:p>
            <w:pPr>
              <w:spacing w:after="0"/>
              <w:rPr>
                <w:sz w:val="19"/>
                <w:szCs w:val="19"/>
                <w:color w:val="auto"/>
              </w:rPr>
            </w:pP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20,091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23,498</w:t>
            </w:r>
          </w:p>
        </w:tc>
        <w:tc>
          <w:tcPr>
            <w:tcW w:w="0" w:type="dxa"/>
            <w:vAlign w:val="bottom"/>
          </w:tcPr>
          <w:p>
            <w:pPr>
              <w:spacing w:after="0"/>
              <w:rPr>
                <w:sz w:val="1"/>
                <w:szCs w:val="1"/>
                <w:color w:val="auto"/>
              </w:rPr>
            </w:pPr>
          </w:p>
        </w:tc>
      </w:tr>
      <w:tr>
        <w:trPr>
          <w:trHeight w:val="246"/>
        </w:trPr>
        <w:tc>
          <w:tcPr>
            <w:tcW w:w="4380" w:type="dxa"/>
            <w:vAlign w:val="bottom"/>
          </w:tcPr>
          <w:p>
            <w:pPr>
              <w:ind w:left="220"/>
              <w:spacing w:after="0"/>
              <w:rPr>
                <w:sz w:val="20"/>
                <w:szCs w:val="20"/>
                <w:color w:val="auto"/>
              </w:rPr>
            </w:pPr>
            <w:r>
              <w:rPr>
                <w:rFonts w:ascii="Arial" w:cs="Arial" w:eastAsia="Arial" w:hAnsi="Arial"/>
                <w:sz w:val="20"/>
                <w:szCs w:val="20"/>
                <w:color w:val="auto"/>
              </w:rPr>
              <w:t>Corporate and unallocated</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2,373,891</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2,365,728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TCCC controls approximately 18.5% of the voting interests of the Company. The TCCC Subsidiaries, the TCCC Related Parties and the TCCC Independent Bottlers, purchase and distribute certain of the Company’s products in certain domestic and international markets. The Company also pays TCCC a commission based on certain sales within the TCCC distribution network.</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and the TCCC Related Parties, for the three- and nine-months ended September 30, 2018 were $13.7 million and $38.1 million, respectively, and are included as a reduction to net sales. TCCC commissions, based on sales to the TCCC Independent Bottlers for the three- and nine-months ended September 30, 2018 were $4.3 million and $11.8 million, respectively, and are included in operating expenses.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for the three- and nine-months ended September 30, 2017 were $2.5 million and $8.2 million, respectively, and are included as a reduction to net sales. TCCC commissions, based on sales to the TCCC Related Parties and the TCCC Independent Bottlers, for the three- and nine-months ended September 30, 2017 were $12.7 million and $33.5 million, respectively, and are included in operating expenses.</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Upon adoption of ASC 606, commissions paid to TCCC, based on sales to the TCCC Related Parties, are included as a reduction to net sales. Prior to January 1, 2018, such commissions, based on sales to the TCCC Related Parties, were included in operating expenses.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Net sales to the TCCC Subsidiaries for the three-months ended September 30, 2018 and 2017 were $42.3 million and $130.7 million, respectively. Net sales to the TCCC Subsidiaries for the nine-months ended September 30, 2018 and 2017 were $117.0 million and $540.4 million, respectively. As part of the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three- and nine-months ended September 30, 2018.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also purchases concentrates from TCCC which are then sold to certain of the Company’s bottlers/distributors. Concentrate purchases from TCCC were $7.4 million and $7.6 million for the three-months ended September 30, 2018 and 2017, respectively. Concentrate purchases from TCCC were $21.6 million and $20.2 million for the nine-months ended September 30, 2018 and 2017, respectively.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Certain TCCC Subsidiaries also contract manufacture certain of the Company’s Monster Energy® brand energy drinks. Such contract manufacturing expenses were $7.0 million and $3.6 million for the three-months ended September 30, 2018 and 2017, respectively. Such contract manufacturing expenses were $18.8 million and $8.7 million for the nine-months ended September 30, 2018 and 2017, respectively.</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19"/>
                <w:szCs w:val="19"/>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w w:val="87"/>
              </w:rPr>
              <w:t>December 31,</w:t>
            </w:r>
          </w:p>
        </w:tc>
      </w:tr>
      <w:tr>
        <w:trPr>
          <w:trHeight w:val="246"/>
        </w:trPr>
        <w:tc>
          <w:tcPr>
            <w:tcW w:w="3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r>
      <w:tr>
        <w:trPr>
          <w:trHeight w:val="436"/>
        </w:trPr>
        <w:tc>
          <w:tcPr>
            <w:tcW w:w="370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43,383</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32,607</w:t>
            </w:r>
          </w:p>
        </w:tc>
      </w:tr>
      <w:tr>
        <w:trPr>
          <w:trHeight w:val="230"/>
        </w:trPr>
        <w:tc>
          <w:tcPr>
            <w:tcW w:w="3700" w:type="dxa"/>
            <w:vAlign w:val="bottom"/>
          </w:tcPr>
          <w:p>
            <w:pPr>
              <w:spacing w:after="0"/>
              <w:rPr>
                <w:sz w:val="20"/>
                <w:szCs w:val="20"/>
                <w:color w:val="auto"/>
              </w:rPr>
            </w:pPr>
            <w:r>
              <w:rPr>
                <w:rFonts w:ascii="Arial" w:cs="Arial" w:eastAsia="Arial" w:hAnsi="Arial"/>
                <w:sz w:val="20"/>
                <w:szCs w:val="20"/>
                <w:color w:val="auto"/>
              </w:rPr>
              <w:t>Accounts payable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(62,566)</w:t>
            </w: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(45,465)</w:t>
            </w:r>
          </w:p>
        </w:tc>
      </w:tr>
      <w:tr>
        <w:trPr>
          <w:trHeight w:val="250"/>
        </w:trPr>
        <w:tc>
          <w:tcPr>
            <w:tcW w:w="370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(12,790)</w:t>
            </w: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(5,884)</w:t>
            </w:r>
          </w:p>
        </w:tc>
      </w:tr>
    </w:tbl>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September 30, 2018 and 2017 were $0.2 million and $0.6 million, respectively. Expenses incurred with such company in connection with promotional materials purchased during the nine-months ended September 30, 2018 and 2017 were $1.6 million and $2.0 million,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sodas and/or concentrates for energy drink beverages, primarily under the following brand names:</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Energy Ultra®</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MAXX</w:t>
            </w:r>
            <w:r>
              <w:rPr>
                <w:rFonts w:ascii="Arial" w:cs="Arial" w:eastAsia="Arial" w:hAnsi="Arial"/>
                <w:sz w:val="12"/>
                <w:szCs w:val="12"/>
                <w:color w:val="auto"/>
              </w:rPr>
              <w:t>TM</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Ultra Energy®</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Espresso Monster</w:t>
            </w:r>
            <w:r>
              <w:rPr>
                <w:rFonts w:ascii="Arial" w:cs="Arial" w:eastAsia="Arial" w:hAnsi="Arial"/>
                <w:sz w:val="12"/>
                <w:szCs w:val="12"/>
                <w:color w:val="auto"/>
              </w:rPr>
              <w:t>TM</w:t>
            </w:r>
          </w:p>
        </w:tc>
        <w:tc>
          <w:tcPr>
            <w:tcW w:w="5400" w:type="dxa"/>
            <w:vAlign w:val="bottom"/>
            <w:gridSpan w:val="2"/>
          </w:tcPr>
          <w:p>
            <w:pPr>
              <w:ind w:left="2380"/>
              <w:spacing w:after="0"/>
              <w:rPr>
                <w:sz w:val="20"/>
                <w:szCs w:val="20"/>
                <w:color w:val="auto"/>
              </w:rPr>
            </w:pPr>
            <w:r>
              <w:rPr>
                <w:rFonts w:ascii="Arial" w:cs="Arial" w:eastAsia="Arial" w:hAnsi="Arial"/>
                <w:sz w:val="20"/>
                <w:szCs w:val="20"/>
                <w:color w:val="auto"/>
                <w:w w:val="94"/>
              </w:rPr>
              <w:t>·  Play® and Power Play (stylized)®</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Übermonster®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Hydro®</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Caffé Monster®</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50"/>
        </w:trPr>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20"/>
              <w:spacing w:after="0"/>
              <w:rPr>
                <w:sz w:val="20"/>
                <w:szCs w:val="20"/>
                <w:color w:val="auto"/>
              </w:rPr>
            </w:pPr>
            <w:r>
              <w:rPr>
                <w:rFonts w:ascii="Arial" w:cs="Arial" w:eastAsia="Arial" w:hAnsi="Arial"/>
                <w:sz w:val="20"/>
                <w:szCs w:val="20"/>
                <w:color w:val="auto"/>
              </w:rPr>
              <w:t>Monster MULE</w:t>
            </w:r>
            <w:r>
              <w:rPr>
                <w:rFonts w:ascii="Arial" w:cs="Arial" w:eastAsia="Arial" w:hAnsi="Arial"/>
                <w:sz w:val="12"/>
                <w:szCs w:val="12"/>
                <w:color w:val="auto"/>
              </w:rPr>
              <w:t>TM</w:t>
            </w:r>
          </w:p>
        </w:tc>
        <w:tc>
          <w:tcPr>
            <w:tcW w:w="2540" w:type="dxa"/>
            <w:vAlign w:val="bottom"/>
          </w:tcPr>
          <w:p>
            <w:pPr>
              <w:ind w:left="238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Mutant®</w:t>
            </w:r>
          </w:p>
        </w:tc>
      </w:tr>
    </w:tbl>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Monster Energy® brand energy drinks represented 91.9% and 90.5% of our net sales for the three-months ended September 30, 2018 and 2017, respectively.</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have three operating and reportable segments, (i) Monster Energy® Drinks segment (“Monster Energy® Drinks”), which is primarily comprised of the Company’s Monster Energy® drinks, (ii) Strategic Brands segment (“Strategic Brands”), which is comprised of the various energy drink brands acquired from The Coca-Cola Company (“TCCC”) in 2015 and (iii) Other segment (“Other”), which is comprised of certain products sold by American Fruits and Flavors LLC (a wholly-owned subsidiary of the Company) to independent third-party customers (“AFF Third-Party Products”).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During the three-months ended September 30, 2018, we continued to expand our existing energy drink portfolio and further develop our distribution markets. During the three-months ended September 30, 2018, we introduced the following products:</w:t>
      </w:r>
    </w:p>
    <w:p>
      <w:pPr>
        <w:spacing w:after="0" w:line="153"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Play® Mango (September 2018)</w:t>
      </w:r>
    </w:p>
    <w:p>
      <w:pPr>
        <w:spacing w:after="0" w:line="15" w:lineRule="exact"/>
        <w:rPr>
          <w:rFonts w:ascii="Arial" w:cs="Arial" w:eastAsia="Arial" w:hAnsi="Arial"/>
          <w:sz w:val="20"/>
          <w:szCs w:val="20"/>
          <w:color w:val="auto"/>
        </w:rPr>
      </w:pPr>
    </w:p>
    <w:p>
      <w:pPr>
        <w:ind w:left="620" w:hanging="288"/>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Juice Monster® Pacific Punch Energy + Juice (August 2018)</w:t>
      </w:r>
    </w:p>
    <w:p>
      <w:pPr>
        <w:ind w:left="620" w:hanging="288"/>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Relentless® Mango (August 2018)</w:t>
      </w:r>
    </w:p>
    <w:p>
      <w:pPr>
        <w:ind w:left="620" w:hanging="288"/>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Live+ Ascend (July 2018)</w:t>
      </w:r>
    </w:p>
    <w:p>
      <w:pPr>
        <w:ind w:left="620" w:hanging="288"/>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Live+ Ignite (July 2018)</w:t>
      </w:r>
    </w:p>
    <w:p>
      <w:pPr>
        <w:ind w:left="620" w:hanging="288"/>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Live+ Persist (July 2018)</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the three-months ended September 30, 2018, either individually or in aggregate, did not have a material adverse impact on our financial position, results of operations or liquidity.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net sales of $1.02 billion for the three-months ended September 30, 2018 represented record sales for our third fiscal quarter. The vast majority of our net sales are derived from our Monster Energy® brand energy drinks. Net sales of our Monster Energy® brand energy drinks were $933.5 million for the three-months ended September 30, 2018. Net sales of our Strategic Brands were $74.4 million for the three-months ended September 30, 2018.</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Net sales for the three-months ended September 30, 2018 were negatively impacted by approximately $11.6 million as a result of the adoption of Accounting Standards Codification (“ASC”) 606. Under ASC 606, commissions paid to TCCC, based on sales to certain of the Company’s TCCC bottlers/distributors that TCCC consolidates, or which TCCC accounts for under the equity method (the “TCCC Related Parties”), are included as a reduction to net sales. Prior to January 1, 2018, commissions based on sales to the TCCC Related Parties, were included in operating expenses.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net sales of $1.02 billion for the three-months ended September 30, 2018 were impacted by advance purchases made by our customers due to a pre-announced price increase that became effective on November 1, 2018 on certain of our Monster Energy® brand energy drinks. We estimate that net sales for the three-months ended September 30, 2018 were increased by approximately $16.0 million as a result of such advance purchases.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Drinks segment represented 92.0% and 91.0% of our consolidated net sales for the three-months ended September 30, 2018 and 2017, respectively. Our Strategic Brands segment represented 7.3% and 8.4% of our consolidated net sales for the three-months ended September 30, 2018 and 2017, respectively. Our Other segment represented 0.7% and 0.6% of our consolidated net sales for the three-months ended September 30, 2018 and 2017, respectively.</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changes in foreign currency exchange rates had an unfavorable impact on net sales in the Monster Energy® Drinks segment of approximately $3.9 million for the three-months ended September 30, 2018. Net changes in foreign currency exchange rates had an unfavorable impact on net sales in the Strategic Brands segment of approximately $1.4 million for the three-months ended September 30, 2018.</w:t>
      </w:r>
    </w:p>
    <w:p>
      <w:pPr>
        <w:spacing w:after="0" w:line="132" w:lineRule="exact"/>
        <w:rPr>
          <w:sz w:val="20"/>
          <w:szCs w:val="20"/>
          <w:color w:val="auto"/>
        </w:rPr>
      </w:pPr>
    </w:p>
    <w:p>
      <w:pPr>
        <w:jc w:val="both"/>
        <w:ind w:firstLine="743"/>
        <w:spacing w:after="0" w:line="244" w:lineRule="auto"/>
        <w:rPr>
          <w:sz w:val="20"/>
          <w:szCs w:val="20"/>
          <w:color w:val="auto"/>
        </w:rPr>
      </w:pPr>
      <w:r>
        <w:rPr>
          <w:rFonts w:ascii="Arial" w:cs="Arial" w:eastAsia="Arial" w:hAnsi="Arial"/>
          <w:sz w:val="20"/>
          <w:szCs w:val="20"/>
          <w:color w:val="auto"/>
        </w:rPr>
        <w:t>Our growth strategy includes expanding our international business. Net sales to customers outside the United States amounted to $283.0 million and $260.1 million for the three-months ended September 30, 2018 and 2017, respectively. Such sales were approximately 28% and 29% of net sales for the three-months ended September 30, 2018 and 2017, respectively. Net changes in foreign currency exchange rates had an unfavorable impact on net sales to customers outside the United States of approximately $5.3 million for the three-months ended September 30, 2018.</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mass merchandisers, convenience chains, drug stores, foodservice customers and the military. Percentages of our gross sales to our various customer types for the three- and nine-months ended September 30, 2018 and 2017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5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9"/>
        </w:trPr>
        <w:tc>
          <w:tcPr>
            <w:tcW w:w="128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20"/>
                <w:szCs w:val="20"/>
                <w:color w:val="auto"/>
                <w:w w:val="89"/>
              </w:rPr>
              <w:t>Three-Months Ended</w:t>
            </w:r>
          </w:p>
        </w:tc>
        <w:tc>
          <w:tcPr>
            <w:tcW w:w="3120" w:type="dxa"/>
            <w:vAlign w:val="bottom"/>
            <w:gridSpan w:val="4"/>
          </w:tcPr>
          <w:p>
            <w:pPr>
              <w:jc w:val="center"/>
              <w:spacing w:after="0"/>
              <w:rPr>
                <w:sz w:val="20"/>
                <w:szCs w:val="20"/>
                <w:color w:val="auto"/>
              </w:rPr>
            </w:pPr>
            <w:r>
              <w:rPr>
                <w:rFonts w:ascii="Arial" w:cs="Arial" w:eastAsia="Arial" w:hAnsi="Arial"/>
                <w:sz w:val="20"/>
                <w:szCs w:val="20"/>
                <w:color w:val="auto"/>
                <w:w w:val="90"/>
              </w:rPr>
              <w:t>Nine-Months Ended</w:t>
            </w: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0" w:type="dxa"/>
            <w:vAlign w:val="bottom"/>
            <w:gridSpan w:val="4"/>
          </w:tcPr>
          <w:p>
            <w:pPr>
              <w:jc w:val="center"/>
              <w:ind w:right="1180"/>
              <w:spacing w:after="0"/>
              <w:rPr>
                <w:sz w:val="20"/>
                <w:szCs w:val="20"/>
                <w:color w:val="auto"/>
              </w:rPr>
            </w:pPr>
            <w:r>
              <w:rPr>
                <w:rFonts w:ascii="Arial" w:cs="Arial" w:eastAsia="Arial" w:hAnsi="Arial"/>
                <w:sz w:val="20"/>
                <w:szCs w:val="20"/>
                <w:color w:val="auto"/>
                <w:w w:val="86"/>
              </w:rPr>
              <w:t>September 30,</w:t>
            </w:r>
          </w:p>
        </w:tc>
        <w:tc>
          <w:tcPr>
            <w:tcW w:w="940" w:type="dxa"/>
            <w:vAlign w:val="bottom"/>
          </w:tcPr>
          <w:p>
            <w:pPr>
              <w:spacing w:after="0"/>
              <w:rPr>
                <w:sz w:val="21"/>
                <w:szCs w:val="21"/>
                <w:color w:val="auto"/>
              </w:rPr>
            </w:pPr>
          </w:p>
        </w:tc>
        <w:tc>
          <w:tcPr>
            <w:tcW w:w="2180" w:type="dxa"/>
            <w:vAlign w:val="bottom"/>
            <w:gridSpan w:val="3"/>
          </w:tcPr>
          <w:p>
            <w:pPr>
              <w:jc w:val="center"/>
              <w:ind w:right="841"/>
              <w:spacing w:after="0"/>
              <w:rPr>
                <w:sz w:val="20"/>
                <w:szCs w:val="20"/>
                <w:color w:val="auto"/>
              </w:rPr>
            </w:pPr>
            <w:r>
              <w:rPr>
                <w:rFonts w:ascii="Arial" w:cs="Arial" w:eastAsia="Arial" w:hAnsi="Arial"/>
                <w:sz w:val="20"/>
                <w:szCs w:val="20"/>
                <w:color w:val="auto"/>
                <w:w w:val="88"/>
              </w:rPr>
              <w:t>September 30,</w:t>
            </w:r>
          </w:p>
        </w:tc>
        <w:tc>
          <w:tcPr>
            <w:tcW w:w="0" w:type="dxa"/>
            <w:vAlign w:val="bottom"/>
          </w:tcPr>
          <w:p>
            <w:pPr>
              <w:spacing w:after="0"/>
              <w:rPr>
                <w:sz w:val="1"/>
                <w:szCs w:val="1"/>
                <w:color w:val="auto"/>
              </w:rPr>
            </w:pPr>
          </w:p>
        </w:tc>
      </w:tr>
      <w:tr>
        <w:trPr>
          <w:trHeight w:val="223"/>
        </w:trPr>
        <w:tc>
          <w:tcPr>
            <w:tcW w:w="5000" w:type="dxa"/>
            <w:vAlign w:val="bottom"/>
            <w:gridSpan w:val="2"/>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900" w:type="dxa"/>
            <w:vAlign w:val="bottom"/>
            <w:tcBorders>
              <w:top w:val="single" w:sz="8" w:color="auto"/>
            </w:tcBorders>
          </w:tcPr>
          <w:p>
            <w:pPr>
              <w:jc w:val="center"/>
              <w:ind w:left="361"/>
              <w:spacing w:after="0" w:line="223" w:lineRule="exact"/>
              <w:rPr>
                <w:sz w:val="20"/>
                <w:szCs w:val="20"/>
                <w:color w:val="auto"/>
              </w:rPr>
            </w:pPr>
            <w:r>
              <w:rPr>
                <w:rFonts w:ascii="Arial" w:cs="Arial" w:eastAsia="Arial" w:hAnsi="Arial"/>
                <w:sz w:val="20"/>
                <w:szCs w:val="20"/>
                <w:color w:val="auto"/>
                <w:w w:val="89"/>
              </w:rPr>
              <w:t>2018</w:t>
            </w:r>
          </w:p>
        </w:tc>
        <w:tc>
          <w:tcPr>
            <w:tcW w:w="2120" w:type="dxa"/>
            <w:vAlign w:val="bottom"/>
            <w:tcBorders>
              <w:top w:val="single" w:sz="8" w:color="auto"/>
            </w:tcBorders>
            <w:gridSpan w:val="3"/>
          </w:tcPr>
          <w:p>
            <w:pPr>
              <w:jc w:val="center"/>
              <w:ind w:left="661"/>
              <w:spacing w:after="0" w:line="223" w:lineRule="exact"/>
              <w:rPr>
                <w:sz w:val="20"/>
                <w:szCs w:val="20"/>
                <w:color w:val="auto"/>
              </w:rPr>
            </w:pPr>
            <w:r>
              <w:rPr>
                <w:rFonts w:ascii="Arial" w:cs="Arial" w:eastAsia="Arial" w:hAnsi="Arial"/>
                <w:sz w:val="20"/>
                <w:szCs w:val="20"/>
                <w:color w:val="auto"/>
                <w:w w:val="89"/>
              </w:rPr>
              <w:t>2017</w:t>
            </w:r>
          </w:p>
        </w:tc>
        <w:tc>
          <w:tcPr>
            <w:tcW w:w="280" w:type="dxa"/>
            <w:vAlign w:val="bottom"/>
          </w:tcPr>
          <w:p>
            <w:pPr>
              <w:spacing w:after="0"/>
              <w:rPr>
                <w:sz w:val="19"/>
                <w:szCs w:val="19"/>
                <w:color w:val="auto"/>
              </w:rPr>
            </w:pPr>
          </w:p>
        </w:tc>
        <w:tc>
          <w:tcPr>
            <w:tcW w:w="940" w:type="dxa"/>
            <w:vAlign w:val="bottom"/>
            <w:tcBorders>
              <w:top w:val="single" w:sz="8" w:color="auto"/>
            </w:tcBorders>
          </w:tcPr>
          <w:p>
            <w:pPr>
              <w:jc w:val="center"/>
              <w:ind w:left="321"/>
              <w:spacing w:after="0" w:line="223" w:lineRule="exact"/>
              <w:rPr>
                <w:sz w:val="20"/>
                <w:szCs w:val="20"/>
                <w:color w:val="auto"/>
              </w:rPr>
            </w:pPr>
            <w:r>
              <w:rPr>
                <w:rFonts w:ascii="Arial" w:cs="Arial" w:eastAsia="Arial" w:hAnsi="Arial"/>
                <w:sz w:val="20"/>
                <w:szCs w:val="20"/>
                <w:color w:val="auto"/>
                <w:w w:val="89"/>
              </w:rPr>
              <w:t>2018</w:t>
            </w:r>
          </w:p>
        </w:tc>
        <w:tc>
          <w:tcPr>
            <w:tcW w:w="2180" w:type="dxa"/>
            <w:vAlign w:val="bottom"/>
            <w:tcBorders>
              <w:top w:val="single" w:sz="8" w:color="auto"/>
            </w:tcBorders>
            <w:gridSpan w:val="3"/>
          </w:tcPr>
          <w:p>
            <w:pPr>
              <w:jc w:val="center"/>
              <w:ind w:left="601"/>
              <w:spacing w:after="0" w:line="223" w:lineRule="exact"/>
              <w:rPr>
                <w:sz w:val="20"/>
                <w:szCs w:val="20"/>
                <w:color w:val="auto"/>
              </w:rPr>
            </w:pPr>
            <w:r>
              <w:rPr>
                <w:rFonts w:ascii="Arial" w:cs="Arial" w:eastAsia="Arial" w:hAnsi="Arial"/>
                <w:sz w:val="20"/>
                <w:szCs w:val="20"/>
                <w:color w:val="auto"/>
                <w:w w:val="89"/>
              </w:rPr>
              <w:t>2017</w:t>
            </w:r>
          </w:p>
        </w:tc>
        <w:tc>
          <w:tcPr>
            <w:tcW w:w="0" w:type="dxa"/>
            <w:vAlign w:val="bottom"/>
          </w:tcPr>
          <w:p>
            <w:pPr>
              <w:spacing w:after="0"/>
              <w:rPr>
                <w:sz w:val="1"/>
                <w:szCs w:val="1"/>
                <w:color w:val="auto"/>
              </w:rPr>
            </w:pPr>
          </w:p>
        </w:tc>
      </w:tr>
      <w:tr>
        <w:trPr>
          <w:trHeight w:val="206"/>
        </w:trPr>
        <w:tc>
          <w:tcPr>
            <w:tcW w:w="5000" w:type="dxa"/>
            <w:vAlign w:val="bottom"/>
            <w:gridSpan w:val="2"/>
            <w:vMerge w:val="continue"/>
          </w:tcPr>
          <w:p>
            <w:pPr>
              <w:spacing w:after="0"/>
              <w:rPr>
                <w:sz w:val="17"/>
                <w:szCs w:val="17"/>
                <w:color w:val="auto"/>
              </w:rPr>
            </w:pPr>
          </w:p>
        </w:tc>
        <w:tc>
          <w:tcPr>
            <w:tcW w:w="900" w:type="dxa"/>
            <w:vAlign w:val="bottom"/>
            <w:tcBorders>
              <w:top w:val="single" w:sz="8" w:color="auto"/>
            </w:tcBorders>
          </w:tcPr>
          <w:p>
            <w:pPr>
              <w:jc w:val="center"/>
              <w:ind w:left="361"/>
              <w:spacing w:after="0" w:line="207" w:lineRule="exact"/>
              <w:rPr>
                <w:sz w:val="20"/>
                <w:szCs w:val="20"/>
                <w:color w:val="auto"/>
              </w:rPr>
            </w:pPr>
            <w:r>
              <w:rPr>
                <w:rFonts w:ascii="Arial" w:cs="Arial" w:eastAsia="Arial" w:hAnsi="Arial"/>
                <w:sz w:val="20"/>
                <w:szCs w:val="20"/>
                <w:color w:val="auto"/>
                <w:w w:val="89"/>
              </w:rPr>
              <w:t>62%</w:t>
            </w:r>
          </w:p>
        </w:tc>
        <w:tc>
          <w:tcPr>
            <w:tcW w:w="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280" w:type="dxa"/>
            <w:vAlign w:val="bottom"/>
          </w:tcPr>
          <w:p>
            <w:pPr>
              <w:spacing w:after="0"/>
              <w:rPr>
                <w:sz w:val="17"/>
                <w:szCs w:val="17"/>
                <w:color w:val="auto"/>
              </w:rPr>
            </w:pPr>
          </w:p>
        </w:tc>
        <w:tc>
          <w:tcPr>
            <w:tcW w:w="940" w:type="dxa"/>
            <w:vAlign w:val="bottom"/>
            <w:tcBorders>
              <w:top w:val="single" w:sz="8" w:color="auto"/>
            </w:tcBorders>
          </w:tcPr>
          <w:p>
            <w:pPr>
              <w:jc w:val="center"/>
              <w:ind w:left="321"/>
              <w:spacing w:after="0" w:line="207" w:lineRule="exact"/>
              <w:rPr>
                <w:sz w:val="20"/>
                <w:szCs w:val="20"/>
                <w:color w:val="auto"/>
              </w:rPr>
            </w:pPr>
            <w:r>
              <w:rPr>
                <w:rFonts w:ascii="Arial" w:cs="Arial" w:eastAsia="Arial" w:hAnsi="Arial"/>
                <w:sz w:val="20"/>
                <w:szCs w:val="20"/>
                <w:color w:val="auto"/>
                <w:w w:val="89"/>
              </w:rPr>
              <w:t>62%</w:t>
            </w:r>
          </w:p>
        </w:tc>
        <w:tc>
          <w:tcPr>
            <w:tcW w:w="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20"/>
                <w:szCs w:val="20"/>
                <w:color w:val="auto"/>
              </w:rPr>
              <w:t>International full service bottlers/distributors</w:t>
            </w: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89"/>
              </w:rPr>
              <w:t>30%</w:t>
            </w:r>
          </w:p>
        </w:tc>
        <w:tc>
          <w:tcPr>
            <w:tcW w:w="2120" w:type="dxa"/>
            <w:vAlign w:val="bottom"/>
            <w:gridSpan w:val="3"/>
          </w:tcPr>
          <w:p>
            <w:pPr>
              <w:jc w:val="center"/>
              <w:ind w:left="661"/>
              <w:spacing w:after="0"/>
              <w:rPr>
                <w:sz w:val="20"/>
                <w:szCs w:val="20"/>
                <w:color w:val="auto"/>
              </w:rPr>
            </w:pPr>
            <w:r>
              <w:rPr>
                <w:rFonts w:ascii="Arial" w:cs="Arial" w:eastAsia="Arial" w:hAnsi="Arial"/>
                <w:sz w:val="20"/>
                <w:szCs w:val="20"/>
                <w:color w:val="auto"/>
                <w:w w:val="89"/>
              </w:rPr>
              <w:t>30%</w:t>
            </w:r>
          </w:p>
        </w:tc>
        <w:tc>
          <w:tcPr>
            <w:tcW w:w="280" w:type="dxa"/>
            <w:vAlign w:val="bottom"/>
          </w:tcPr>
          <w:p>
            <w:pPr>
              <w:spacing w:after="0"/>
              <w:rPr>
                <w:sz w:val="19"/>
                <w:szCs w:val="19"/>
                <w:color w:val="auto"/>
              </w:rPr>
            </w:pPr>
          </w:p>
        </w:tc>
        <w:tc>
          <w:tcPr>
            <w:tcW w:w="940" w:type="dxa"/>
            <w:vAlign w:val="bottom"/>
          </w:tcPr>
          <w:p>
            <w:pPr>
              <w:jc w:val="center"/>
              <w:ind w:left="321"/>
              <w:spacing w:after="0"/>
              <w:rPr>
                <w:sz w:val="20"/>
                <w:szCs w:val="20"/>
                <w:color w:val="auto"/>
              </w:rPr>
            </w:pPr>
            <w:r>
              <w:rPr>
                <w:rFonts w:ascii="Arial" w:cs="Arial" w:eastAsia="Arial" w:hAnsi="Arial"/>
                <w:sz w:val="20"/>
                <w:szCs w:val="20"/>
                <w:color w:val="auto"/>
                <w:w w:val="89"/>
              </w:rPr>
              <w:t>30%</w:t>
            </w:r>
          </w:p>
        </w:tc>
        <w:tc>
          <w:tcPr>
            <w:tcW w:w="2180" w:type="dxa"/>
            <w:vAlign w:val="bottom"/>
            <w:gridSpan w:val="3"/>
          </w:tcPr>
          <w:p>
            <w:pPr>
              <w:jc w:val="center"/>
              <w:ind w:left="601"/>
              <w:spacing w:after="0"/>
              <w:rPr>
                <w:sz w:val="20"/>
                <w:szCs w:val="20"/>
                <w:color w:val="auto"/>
              </w:rPr>
            </w:pPr>
            <w:r>
              <w:rPr>
                <w:rFonts w:ascii="Arial" w:cs="Arial" w:eastAsia="Arial" w:hAnsi="Arial"/>
                <w:sz w:val="20"/>
                <w:szCs w:val="20"/>
                <w:color w:val="auto"/>
                <w:w w:val="89"/>
              </w:rPr>
              <w:t>29%</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20"/>
                <w:szCs w:val="20"/>
                <w:color w:val="auto"/>
              </w:rPr>
              <w:t>Club stores and mass merchandisers</w:t>
            </w: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96"/>
              </w:rPr>
              <w:t>6%</w:t>
            </w:r>
          </w:p>
        </w:tc>
        <w:tc>
          <w:tcPr>
            <w:tcW w:w="2120" w:type="dxa"/>
            <w:vAlign w:val="bottom"/>
            <w:gridSpan w:val="3"/>
          </w:tcPr>
          <w:p>
            <w:pPr>
              <w:jc w:val="center"/>
              <w:ind w:left="641"/>
              <w:spacing w:after="0"/>
              <w:rPr>
                <w:sz w:val="20"/>
                <w:szCs w:val="20"/>
                <w:color w:val="auto"/>
              </w:rPr>
            </w:pPr>
            <w:r>
              <w:rPr>
                <w:rFonts w:ascii="Arial" w:cs="Arial" w:eastAsia="Arial" w:hAnsi="Arial"/>
                <w:sz w:val="20"/>
                <w:szCs w:val="20"/>
                <w:color w:val="auto"/>
                <w:w w:val="89"/>
              </w:rPr>
              <w:t>7%</w:t>
            </w:r>
          </w:p>
        </w:tc>
        <w:tc>
          <w:tcPr>
            <w:tcW w:w="280" w:type="dxa"/>
            <w:vAlign w:val="bottom"/>
          </w:tcPr>
          <w:p>
            <w:pPr>
              <w:spacing w:after="0"/>
              <w:rPr>
                <w:sz w:val="19"/>
                <w:szCs w:val="19"/>
                <w:color w:val="auto"/>
              </w:rPr>
            </w:pPr>
          </w:p>
        </w:tc>
        <w:tc>
          <w:tcPr>
            <w:tcW w:w="940" w:type="dxa"/>
            <w:vAlign w:val="bottom"/>
          </w:tcPr>
          <w:p>
            <w:pPr>
              <w:jc w:val="center"/>
              <w:ind w:left="341"/>
              <w:spacing w:after="0"/>
              <w:rPr>
                <w:sz w:val="20"/>
                <w:szCs w:val="20"/>
                <w:color w:val="auto"/>
              </w:rPr>
            </w:pPr>
            <w:r>
              <w:rPr>
                <w:rFonts w:ascii="Arial" w:cs="Arial" w:eastAsia="Arial" w:hAnsi="Arial"/>
                <w:sz w:val="20"/>
                <w:szCs w:val="20"/>
                <w:color w:val="auto"/>
                <w:w w:val="89"/>
              </w:rPr>
              <w:t>6%</w:t>
            </w:r>
          </w:p>
        </w:tc>
        <w:tc>
          <w:tcPr>
            <w:tcW w:w="2180" w:type="dxa"/>
            <w:vAlign w:val="bottom"/>
            <w:gridSpan w:val="3"/>
          </w:tcPr>
          <w:p>
            <w:pPr>
              <w:jc w:val="center"/>
              <w:ind w:left="621"/>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20"/>
                <w:szCs w:val="20"/>
                <w:color w:val="auto"/>
              </w:rPr>
              <w:t>Retail grocery, specialty chains and wholesalers</w:t>
            </w: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96"/>
              </w:rPr>
              <w:t>1%</w:t>
            </w:r>
          </w:p>
        </w:tc>
        <w:tc>
          <w:tcPr>
            <w:tcW w:w="2120" w:type="dxa"/>
            <w:vAlign w:val="bottom"/>
            <w:gridSpan w:val="3"/>
          </w:tcPr>
          <w:p>
            <w:pPr>
              <w:jc w:val="center"/>
              <w:ind w:left="641"/>
              <w:spacing w:after="0"/>
              <w:rPr>
                <w:sz w:val="20"/>
                <w:szCs w:val="20"/>
                <w:color w:val="auto"/>
              </w:rPr>
            </w:pPr>
            <w:r>
              <w:rPr>
                <w:rFonts w:ascii="Arial" w:cs="Arial" w:eastAsia="Arial" w:hAnsi="Arial"/>
                <w:sz w:val="20"/>
                <w:szCs w:val="20"/>
                <w:color w:val="auto"/>
                <w:w w:val="89"/>
              </w:rPr>
              <w:t>1%</w:t>
            </w:r>
          </w:p>
        </w:tc>
        <w:tc>
          <w:tcPr>
            <w:tcW w:w="280" w:type="dxa"/>
            <w:vAlign w:val="bottom"/>
          </w:tcPr>
          <w:p>
            <w:pPr>
              <w:spacing w:after="0"/>
              <w:rPr>
                <w:sz w:val="19"/>
                <w:szCs w:val="19"/>
                <w:color w:val="auto"/>
              </w:rPr>
            </w:pPr>
          </w:p>
        </w:tc>
        <w:tc>
          <w:tcPr>
            <w:tcW w:w="940" w:type="dxa"/>
            <w:vAlign w:val="bottom"/>
          </w:tcPr>
          <w:p>
            <w:pPr>
              <w:jc w:val="center"/>
              <w:ind w:left="341"/>
              <w:spacing w:after="0"/>
              <w:rPr>
                <w:sz w:val="20"/>
                <w:szCs w:val="20"/>
                <w:color w:val="auto"/>
              </w:rPr>
            </w:pPr>
            <w:r>
              <w:rPr>
                <w:rFonts w:ascii="Arial" w:cs="Arial" w:eastAsia="Arial" w:hAnsi="Arial"/>
                <w:sz w:val="20"/>
                <w:szCs w:val="20"/>
                <w:color w:val="auto"/>
                <w:w w:val="89"/>
              </w:rPr>
              <w:t>1%</w:t>
            </w:r>
          </w:p>
        </w:tc>
        <w:tc>
          <w:tcPr>
            <w:tcW w:w="2180" w:type="dxa"/>
            <w:vAlign w:val="bottom"/>
            <w:gridSpan w:val="3"/>
          </w:tcPr>
          <w:p>
            <w:pPr>
              <w:jc w:val="center"/>
              <w:ind w:left="62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0"/>
        </w:trPr>
        <w:tc>
          <w:tcPr>
            <w:tcW w:w="5000" w:type="dxa"/>
            <w:vAlign w:val="bottom"/>
            <w:gridSpan w:val="2"/>
          </w:tcPr>
          <w:p>
            <w:pPr>
              <w:spacing w:after="0"/>
              <w:rPr>
                <w:sz w:val="20"/>
                <w:szCs w:val="20"/>
                <w:color w:val="auto"/>
              </w:rPr>
            </w:pPr>
            <w:r>
              <w:rPr>
                <w:rFonts w:ascii="Arial" w:cs="Arial" w:eastAsia="Arial" w:hAnsi="Arial"/>
                <w:sz w:val="20"/>
                <w:szCs w:val="20"/>
                <w:color w:val="auto"/>
              </w:rPr>
              <w:t>Other</w:t>
            </w: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96"/>
              </w:rPr>
              <w:t>1%</w:t>
            </w:r>
          </w:p>
        </w:tc>
        <w:tc>
          <w:tcPr>
            <w:tcW w:w="2120" w:type="dxa"/>
            <w:vAlign w:val="bottom"/>
            <w:gridSpan w:val="3"/>
          </w:tcPr>
          <w:p>
            <w:pPr>
              <w:jc w:val="center"/>
              <w:ind w:left="641"/>
              <w:spacing w:after="0"/>
              <w:rPr>
                <w:sz w:val="20"/>
                <w:szCs w:val="20"/>
                <w:color w:val="auto"/>
              </w:rPr>
            </w:pPr>
            <w:r>
              <w:rPr>
                <w:rFonts w:ascii="Arial" w:cs="Arial" w:eastAsia="Arial" w:hAnsi="Arial"/>
                <w:sz w:val="20"/>
                <w:szCs w:val="20"/>
                <w:color w:val="auto"/>
                <w:w w:val="89"/>
              </w:rPr>
              <w:t>0%</w:t>
            </w:r>
          </w:p>
        </w:tc>
        <w:tc>
          <w:tcPr>
            <w:tcW w:w="280" w:type="dxa"/>
            <w:vAlign w:val="bottom"/>
          </w:tcPr>
          <w:p>
            <w:pPr>
              <w:spacing w:after="0"/>
              <w:rPr>
                <w:sz w:val="21"/>
                <w:szCs w:val="21"/>
                <w:color w:val="auto"/>
              </w:rPr>
            </w:pPr>
          </w:p>
        </w:tc>
        <w:tc>
          <w:tcPr>
            <w:tcW w:w="940" w:type="dxa"/>
            <w:vAlign w:val="bottom"/>
          </w:tcPr>
          <w:p>
            <w:pPr>
              <w:jc w:val="center"/>
              <w:ind w:left="341"/>
              <w:spacing w:after="0"/>
              <w:rPr>
                <w:sz w:val="20"/>
                <w:szCs w:val="20"/>
                <w:color w:val="auto"/>
              </w:rPr>
            </w:pPr>
            <w:r>
              <w:rPr>
                <w:rFonts w:ascii="Arial" w:cs="Arial" w:eastAsia="Arial" w:hAnsi="Arial"/>
                <w:sz w:val="20"/>
                <w:szCs w:val="20"/>
                <w:color w:val="auto"/>
                <w:w w:val="89"/>
              </w:rPr>
              <w:t>1%</w:t>
            </w:r>
          </w:p>
        </w:tc>
        <w:tc>
          <w:tcPr>
            <w:tcW w:w="2180" w:type="dxa"/>
            <w:vAlign w:val="bottom"/>
            <w:gridSpan w:val="3"/>
          </w:tcPr>
          <w:p>
            <w:pPr>
              <w:jc w:val="center"/>
              <w:ind w:left="62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customers include Coca-Cola Refreshments USA, Inc., Coca-Cola Refreshments Canada Company, Coca-Cola Bottling Company, CCBCC Operations, LLC, United Bottling Contracts Company, LLC, Reyes Coca-Cola Bottling, Great Lakes Coca-Cola Bottling, Coca-Cola Southwest Beverages LLC, Coca-Cola of Northern New England, Swire Coca-Cola, USA, Liberty Coca-Cola Beverages, Coca-Cola European Partners, Coca-Cola Hellenic, Coca-Cola FEMSA, Coca-Cola Amatil, Swire Coca-Cola group in China, COFCO Coca-Cola group in China, Coca-Cola Beverages Africa, Coca-Cola İçecek and certain other TCCC network bottlers, Asahi Soft Drinks, Co., Ltd., Kalil Bottling Group, Wal-Mart, Inc. (including Sam’s Club), Costco Wholesale Corporation and Big Geyser, Inc. A decision by any large customer to decrease amounts purchased from us or to cease carrying our products could have a material negative effect on our financial condition and consolidated results of operations.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TCCC, through certain consolidated subsidiaries (the “TCCC Subsidiaries”), accounted for approximately 4% and 14% of our net sales for the three-months ended September 30, 2018 and 2017, respectively. The TCCC Subsidiaries accounted for approximately 4% and 21% of our net sales for the nine-months ended September 30, 2018 and 2017, respectively. As part of TCCC’s North America Refranchising initiative (the “North America Refranchising”), the territories of certain TCCC Subsidiaries have been transitioned to certain independent TCCC bottlers/distributors and/or TCCC Related Parties. Accordingly, our percentage of net sales to the TCCC Subsidiaries significantly decreased for the three- and nine-months ended September 30, 2018.</w:t>
      </w:r>
    </w:p>
    <w:p>
      <w:pPr>
        <w:spacing w:after="0" w:line="19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CCBCC Operations, LLC accounted for approximately 14% of our net sales for both the three-months ended September 30, 2018 and 2017. CCBCC Operations, LLC accounted for approximately 14% and 13% of our net sales for the nine-months ended September 30, 2018 and 2017, respectively.</w:t>
      </w:r>
    </w:p>
    <w:p>
      <w:pPr>
        <w:spacing w:after="0" w:line="20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Reyes Coca-Cola Bottling accounted for approximately 13% and 5% of the Company’s net sales for the three-months ended September 30, 2018 and 2017, respectively. Reyes Coca-Cola Bottling accounted for approximately 13% and 5% of the Company’s net sales for the nine-months ended September 30, 2018 and 2017,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Coca-Cola European Partners accounted for approximately 9% and 10% of the Company’s net sales for the three-months ended September 30, 2018 and 2017, respectively. Coca-Cola European Partners accounted for approximately 9% of the Company’s net sales for both the nine-months ended September 30, 2018 and 2017.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nine-months ended September 30, 2018 and 2017.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Three-Months Ended</w:t>
            </w: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Percentage</w:t>
            </w:r>
          </w:p>
        </w:tc>
        <w:tc>
          <w:tcPr>
            <w:tcW w:w="30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Nine-Months Ended</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20" w:type="dxa"/>
            <w:vAlign w:val="bottom"/>
          </w:tcPr>
          <w:p>
            <w:pPr>
              <w:spacing w:after="0"/>
              <w:rPr>
                <w:sz w:val="20"/>
                <w:szCs w:val="20"/>
                <w:color w:val="auto"/>
              </w:rPr>
            </w:pPr>
          </w:p>
        </w:tc>
        <w:tc>
          <w:tcPr>
            <w:tcW w:w="23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Change</w:t>
            </w:r>
          </w:p>
        </w:tc>
        <w:tc>
          <w:tcPr>
            <w:tcW w:w="300" w:type="dxa"/>
            <w:vAlign w:val="bottom"/>
          </w:tcPr>
          <w:p>
            <w:pPr>
              <w:spacing w:after="0"/>
              <w:rPr>
                <w:sz w:val="20"/>
                <w:szCs w:val="20"/>
                <w:color w:val="auto"/>
              </w:rPr>
            </w:pPr>
          </w:p>
        </w:tc>
        <w:tc>
          <w:tcPr>
            <w:tcW w:w="22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3540" w:type="dxa"/>
            <w:vAlign w:val="bottom"/>
            <w:vMerge w:val="restart"/>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10"/>
                <w:szCs w:val="10"/>
                <w:color w:val="auto"/>
              </w:rPr>
              <w:t>1,2</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 vs. 17</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 vs. 17</w:t>
            </w:r>
          </w:p>
        </w:tc>
        <w:tc>
          <w:tcPr>
            <w:tcW w:w="0" w:type="dxa"/>
            <w:vAlign w:val="bottom"/>
          </w:tcPr>
          <w:p>
            <w:pPr>
              <w:spacing w:after="0"/>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1,016,160</w:t>
            </w:r>
          </w:p>
        </w:tc>
        <w:tc>
          <w:tcPr>
            <w:tcW w:w="18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909,476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2,882,953</w:t>
            </w:r>
          </w:p>
        </w:tc>
        <w:tc>
          <w:tcPr>
            <w:tcW w:w="12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2,558,690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408,501</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1,139,780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4"/>
        </w:trPr>
        <w:tc>
          <w:tcPr>
            <w:tcW w:w="3540" w:type="dxa"/>
            <w:vAlign w:val="bottom"/>
          </w:tcPr>
          <w:p>
            <w:pPr>
              <w:spacing w:after="0"/>
              <w:rPr>
                <w:sz w:val="20"/>
                <w:szCs w:val="20"/>
                <w:color w:val="auto"/>
              </w:rPr>
            </w:pPr>
            <w:r>
              <w:rPr>
                <w:rFonts w:ascii="Arial" w:cs="Arial" w:eastAsia="Arial" w:hAnsi="Arial"/>
                <w:sz w:val="18"/>
                <w:szCs w:val="18"/>
                <w:color w:val="auto"/>
              </w:rPr>
              <w:t>Gross profit*</w:t>
            </w:r>
            <w:r>
              <w:rPr>
                <w:rFonts w:ascii="Arial" w:cs="Arial" w:eastAsia="Arial" w:hAnsi="Arial"/>
                <w:sz w:val="10"/>
                <w:szCs w:val="10"/>
                <w:color w:val="auto"/>
              </w:rPr>
              <w:t>1,2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607,659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569,709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1,743,173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1,634,080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Gross profit as a percentage of net sales</w:t>
            </w:r>
            <w:r>
              <w:rPr>
                <w:rFonts w:ascii="Arial" w:cs="Arial" w:eastAsia="Arial" w:hAnsi="Arial"/>
                <w:sz w:val="10"/>
                <w:szCs w:val="10"/>
                <w:color w:val="auto"/>
              </w:rPr>
              <w:t>1</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0"/>
                <w:szCs w:val="10"/>
                <w:color w:val="auto"/>
              </w:rPr>
              <w:t>3,4</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268,086</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252,337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766,065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702,405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Operating expenses as a percentage of net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540" w:type="dxa"/>
            <w:vAlign w:val="bottom"/>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10"/>
                <w:szCs w:val="10"/>
                <w:color w:val="auto"/>
              </w:rPr>
              <w:t>1,3</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339,573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317,372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977,108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931,675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w w:val="94"/>
              </w:rPr>
              <w:t>Operating income as a percentage of net sales</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508"/>
        </w:trPr>
        <w:tc>
          <w:tcPr>
            <w:tcW w:w="3540" w:type="dxa"/>
            <w:vAlign w:val="bottom"/>
          </w:tcPr>
          <w:p>
            <w:pPr>
              <w:spacing w:after="0"/>
              <w:rPr>
                <w:sz w:val="20"/>
                <w:szCs w:val="20"/>
                <w:color w:val="auto"/>
              </w:rPr>
            </w:pPr>
            <w:r>
              <w:rPr>
                <w:rFonts w:ascii="Arial" w:cs="Arial" w:eastAsia="Arial" w:hAnsi="Arial"/>
                <w:sz w:val="18"/>
                <w:szCs w:val="18"/>
                <w:color w:val="auto"/>
              </w:rPr>
              <w:t>Income before provision for income taxes</w:t>
            </w:r>
            <w:r>
              <w:rPr>
                <w:rFonts w:ascii="Arial" w:cs="Arial" w:eastAsia="Arial" w:hAnsi="Arial"/>
                <w:sz w:val="23"/>
                <w:szCs w:val="23"/>
                <w:color w:val="auto"/>
                <w:vertAlign w:val="superscript"/>
              </w:rPr>
              <w:t>1,3</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342,561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321,368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982,377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933,778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74,828</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228,480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411"/>
        </w:trPr>
        <w:tc>
          <w:tcPr>
            <w:tcW w:w="3540" w:type="dxa"/>
            <w:vAlign w:val="bottom"/>
          </w:tcPr>
          <w:p>
            <w:pPr>
              <w:spacing w:after="0"/>
              <w:rPr>
                <w:sz w:val="20"/>
                <w:szCs w:val="20"/>
                <w:color w:val="auto"/>
              </w:rPr>
            </w:pPr>
            <w:r>
              <w:rPr>
                <w:rFonts w:ascii="Arial" w:cs="Arial" w:eastAsia="Arial" w:hAnsi="Arial"/>
                <w:sz w:val="18"/>
                <w:szCs w:val="18"/>
                <w:color w:val="auto"/>
              </w:rPr>
              <w:t>Income taxes as a percentage of income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before taxes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10"/>
                <w:szCs w:val="10"/>
                <w:color w:val="auto"/>
              </w:rPr>
              <w:t>1,3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267,733</w:t>
            </w:r>
          </w:p>
        </w:tc>
        <w:tc>
          <w:tcPr>
            <w:tcW w:w="180" w:type="dxa"/>
            <w:vAlign w:val="bottom"/>
          </w:tcPr>
          <w:p>
            <w:pPr>
              <w:spacing w:after="0"/>
              <w:rPr>
                <w:sz w:val="24"/>
                <w:szCs w:val="2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218,744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753,897</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5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(in 192-ounce case equivalents)</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111,038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313,410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273,409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¹</w:t>
      </w:r>
      <w:r>
        <w:rPr>
          <w:rFonts w:ascii="Arial" w:cs="Arial" w:eastAsia="Arial" w:hAnsi="Arial"/>
          <w:sz w:val="16"/>
          <w:szCs w:val="16"/>
          <w:i w:val="1"/>
          <w:iCs w:val="1"/>
          <w:color w:val="auto"/>
        </w:rPr>
        <w:t>Includes $11.1 million and $11.4 million for the three-months ended September 30, 2018 and 2017, respectively, related to the recognition of deferred revenue. Includes $33.3</w:t>
      </w:r>
      <w:r>
        <w:rPr>
          <w:rFonts w:ascii="Arial" w:cs="Arial" w:eastAsia="Arial" w:hAnsi="Arial"/>
          <w:sz w:val="18"/>
          <w:szCs w:val="18"/>
          <w:i w:val="1"/>
          <w:iCs w:val="1"/>
          <w:color w:val="auto"/>
        </w:rPr>
        <w:t xml:space="preserve"> </w:t>
      </w:r>
      <w:r>
        <w:rPr>
          <w:rFonts w:ascii="Arial" w:cs="Arial" w:eastAsia="Arial" w:hAnsi="Arial"/>
          <w:sz w:val="16"/>
          <w:szCs w:val="16"/>
          <w:i w:val="1"/>
          <w:iCs w:val="1"/>
          <w:color w:val="auto"/>
        </w:rPr>
        <w:t>million and $31.6 million for the nine-months ended September 30, 2018 and 2017, respectively, related to the recognition of deferred revenue.</w:t>
      </w:r>
    </w:p>
    <w:p>
      <w:pPr>
        <w:spacing w:after="0" w:line="19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Net sales were negatively impacted by approximately $11.6 million and $33.8 million for the three- and nine-months ended September 30, 2018, respectively, as a result of the adoption of ASC 606.</w:t>
      </w:r>
    </w:p>
    <w:p>
      <w:pPr>
        <w:spacing w:after="0" w:line="214" w:lineRule="exact"/>
        <w:rPr>
          <w:sz w:val="20"/>
          <w:szCs w:val="20"/>
          <w:color w:val="auto"/>
        </w:rPr>
      </w:pPr>
    </w:p>
    <w:p>
      <w:pPr>
        <w:jc w:val="both"/>
        <w:ind w:right="20"/>
        <w:spacing w:after="0" w:line="230" w:lineRule="auto"/>
        <w:rPr>
          <w:sz w:val="20"/>
          <w:szCs w:val="20"/>
          <w:color w:val="auto"/>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Includes $14.1 million and $15.9 million for the three-months ended September 30, 2018 and 2017, respectively, of distributor termination costs. Includes $26.6 million and $35.9 million for the nine-months ended September 30, 2018 and 2017, respectively, of distributor termination costs.</w:t>
      </w:r>
    </w:p>
    <w:p>
      <w:pPr>
        <w:spacing w:after="0" w:line="21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4</w:t>
      </w:r>
      <w:r>
        <w:rPr>
          <w:rFonts w:ascii="Arial" w:cs="Arial" w:eastAsia="Arial" w:hAnsi="Arial"/>
          <w:sz w:val="16"/>
          <w:szCs w:val="16"/>
          <w:i w:val="1"/>
          <w:iCs w:val="1"/>
          <w:color w:val="auto"/>
        </w:rPr>
        <w:t>Without the adoption of ASC 606, an additional $11.6 million and $33.8 million of commissions would have been included in operating expenses for the three- and nine-months ended September 30, 2018, respectively (such commissions are included as a reduction to net sales).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Three-Months Ended September 30, 2018 Compared to the Three-Months Ended September 30, 2017.</w:t>
      </w:r>
    </w:p>
    <w:p>
      <w:pPr>
        <w:spacing w:after="0" w:line="2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Net Sales. </w:t>
      </w:r>
      <w:r>
        <w:rPr>
          <w:rFonts w:ascii="Arial" w:cs="Arial" w:eastAsia="Arial" w:hAnsi="Arial"/>
          <w:sz w:val="20"/>
          <w:szCs w:val="20"/>
          <w:color w:val="auto"/>
        </w:rPr>
        <w:t>Net sales were $1.02 billion for the three-months ended September 30, 2018, an increase of approximately $106.7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11.7% higher than net sales of $909.5 million for the three-months ended September 30, 2017. Net sales for the three-months ended September 30, 2018 were negatively impacted by approximately $11.6 million as a result of the adoption of ASC 606. Net changes in foreign currency exchange rates had an unfavorable impact on net sales of approximately $5.3 million for the three-months ended September 30, 2018. Our net sales of $1.02 billion for the three-months ended September 30, 2018 were impacted by advance purchases made by our customers due to a pre-announced price increase that became effective on November 1, 2018 on certain of our Monster Energy® brand energy drinks. We estimate that net sales for the three-months ended September 30, 2018 were increased by approximately $16.0 million as a result of such advance purchases.</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Net sales for the Monster Energy® Drinks segment were $935.1 million for the three-months ended September 30, 2018, an increase of approximately $107.5 million, or 13.0% higher than net sales of $827.7 million for the three-months ended September 30, 2017. Net sales for the Monster Energy® Drinks segment for the three-months ended September 30, 2018 were negatively impacted by approximately $5.3 million as a result of the adoption of ASC 606. Net changes in foreign currency exchange rates had an unfavorable impact on net sales for the Monster Energy® Drinks segment of approximately $3.9 million for the three-months ended September 30, 2018. Net sales for the Monster Energy® Drinks segment increased primarily due to increased sales by volume of our Monster Energy® brand energy drinks as a result of increased domestic and international consumer demand.</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Net sales for the Strategic Brands segment were $74.4 million for the three-months ended September 30, 2018, a decrease of approximately $2.1 million, or 2.8% lower than net sales of $76.6 million for the three-months ended September 30, 2017. Net sales for the Strategic Brands segment for the three-months ended September 30, 2018 were negatively impacted by approximately $6.3 million as a result of the adoption of ASC 606. Net changes in foreign currency exchange rates had an unfavorable impact on net sales for the Strategic Brands segment of approximately $1.4 million for the three-months ended September 30, 2018.</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Net sales for the Other segment were $6.6 million for the three-months ended September 30, 2018, an increase of approximately $1.4 million, or 26.4% higher than net sales of $5.2 million for the three-months ended September 30, 2017.</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Case sales, in 192-ounce case equivalents, were 111.0 million cases for the three-months ended September 30, 2018, an increase of approximately 14.9 million cases or 15.4% higher than case sales of 96.2 million cases for the three-months ended September 30, 2017. The overall average net sales per case (excluding net sales of AFF Third-Party Products of $6.6 million and $5.2 million for the three-months ended September 30, 2018 and 2017, respectively, as these sales do not have unit case equivalents) decreased to $9.09 for the three-months ended September 30, 2018, which was 3.3% lower than the average net sales per case of $9.40 for the three-months ended September 30, 2017, partially due to the adoption of ASC 606. Without the adoption of ASC 606, the overall average net sales per case (excluding net sales of AFF Third-Party Products of $6.6 million and $5.2 million for the three-months ended September 30, 2018 and 2017, respectively, as these sales do not have unit case equivalents) decreased to $9.20 for the three-months ended September 30, 2018, which was 2.2% lower than the average net sales per case of $9.40 for the three-months ended September 30,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$607.7 million for the three-months ended September 30, 2018, an increase of approximately $38.0</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6.7% higher than the gross profit of $569.7 million for the three-months ended September 30, 2017. The increase in gross profit dollars was primarily the result of the $110.2 million increase in net sales of our Monster Energy® brand energy drinks for the three-months ended September 30, 2018.</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Gross profit as a percentage of net sales decreased to 59.8% for the three-months ended September 30, 2018 from 62.6% for the three-months ended September 30, 2017. Gross profit as a percentage of net sales, excluding the impact of ASC 606, was 60.3% for the three-months ended September 30, 2018.</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decrease in gross profit as a percentage of net sales was primarily attributable to (i) increases in certain input costs such as aluminum cans, freight in and other input costs; (ii) the $11.6 million of commissions accounted for as a reduction to net sales due to the adoption of ASC 606; (iii) increases in promotional allowances as a percentage of gross sales; (iv) a change in domestic product sales mix; and (v) geographical gross profit mix.</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$268.1 million for the three-months ended September 30, 2018,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$15.7 million, or 6.2% higher than total operating expenses of $252.3 million for the three-months ended September 30, 2017. The increase in operating expenses was primarily due to increased out-bound freight and warehouse costs of $12.8 million, increased payroll expenses of $5.9 million (of which $0.8 million was related to an increase in stock-based compensation), increased expenditures of $4.9 million for advertising, and increased expenditures of $3.1 million for sponsorships and endorsements. Commissions included in operating expenses were $4.7 million, a decrease of $8.7 million, or 65.0% lower than commissions included in operating expenses of $13.4 million for the three-months ended September 30, 2017. Without the adoption of ASC 606, an additional $11.6 million of commissions would have been included in operating expenses for the three-months ended September 30, 2018 (such commissions are included as a reduction to net sales).</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$339.6 million for the three-months ended September 30, 2018,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$22.2 million, or 7.0% higher than operating income of $317.4 million for the three-months ended September 30, 2017. Operating income as a percentage of net sales decreased to 33.4% for the three-months ended September 30, 2018 from 34.9% for the three-months ended September 30, 2017. Operating income was $43.8 million and $41.9 million for the three-months ended September 30, 2018 and 2017, respectively, in connection with our operations in Europe, Middle East and Africa (“EMEA”), Asia Pacific and South America.</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Operating income for the Monster Energy® Drinks segment was $359.1 million for the three-months ended September 30, 2018, an increase of approximately $25.9 million, or 7.8% higher than operating income of $333.2 million for the three-months ended September 30, 2017. The increase in operating income for the Monster Energy® Drinks segment was primarily the result of the $110.2 million increase in net sales of our Monster Energy® brand energy drinks for the three-months ended September 30, 2018.</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Operating income for the Strategic Brands segment was $41.7 million for the three-months ended September 30, 2018, a decrease of approximately $1.0 million, or 2.3% lower than operating income of $42.7 million for the three-months ended September 30, 2017.</w:t>
      </w:r>
    </w:p>
    <w:p>
      <w:pPr>
        <w:spacing w:after="0" w:line="14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Operating income for the Other segment was $1.7 million for the three-months ended September 30, 2018, an increase of approximately $0.3 million, or 20.0% higher than operating income of $1.5 million for the three-months ended September 30, 2017.</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Interest and other non-operating income, net, was $3.0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as compared to interest and other non-operating income, net of $4.0 million for the three-months ended September 30, 2017. Foreign currency transaction (losses) gains were ($0.3) million and $1.8 million for the three-months ended September 30, 2018 and 2017, respectively. Interest income was $3.4 million and $2.3 million for the three-months ended September 30, 2018 and 2017, respectively.</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$74.8 million for the three-months ended September 30, 2018, a decrease</w:t>
      </w:r>
      <w:r>
        <w:rPr>
          <w:rFonts w:ascii="Arial" w:cs="Arial" w:eastAsia="Arial" w:hAnsi="Arial"/>
          <w:sz w:val="20"/>
          <w:szCs w:val="20"/>
          <w:i w:val="1"/>
          <w:iCs w:val="1"/>
          <w:color w:val="auto"/>
        </w:rPr>
        <w:t xml:space="preserve"> </w:t>
      </w:r>
      <w:r>
        <w:rPr>
          <w:rFonts w:ascii="Arial" w:cs="Arial" w:eastAsia="Arial" w:hAnsi="Arial"/>
          <w:sz w:val="20"/>
          <w:szCs w:val="20"/>
          <w:color w:val="auto"/>
        </w:rPr>
        <w:t>of $27.8 million, or 27.1% lower than the provision for income taxes of $102.6 million for the three-months ended September 30, 2017. The effective combined federal, state and foreign tax rate decreased to 21.8% from 31.9% for the three-months ended September 30, 2018 and 2017, respectively. The decrease in the effective tax rate was primarily due to the reduction in the U.S. federal statutory tax rate as a result of the Tax Cuts and Jobs Act (the “Tax Reform Act”) signed into law on December 22, 2017 (before considering the potential impact of further clarification of certain matters related to the Tax Reform Act), and to a reduction in certain foreign income that is subject to U.S. taxation. The decrease in the provision for income taxes was partially offset by the elimination of the domestic production deduction following the Tax Reform Act.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recorded impact of the Tax Reform Act is provisional and the final amount may differ, possibly materially, due to, among other things, changes in estimates, interpretations and assumptions we have made, changes in IRS interpretations, the issuance of new guidance, legislative actions, changes in accounting standards or related interpretations in response to the Tax Reform Act, as well as any and future actions by certain states within the United States that have not currently adopted the Tax Reform Act.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$267.7 million for the three-months ended September 30, 2018, an increase of $49.0 million, or 22.4%</w:t>
      </w:r>
      <w:r>
        <w:rPr>
          <w:rFonts w:ascii="Arial" w:cs="Arial" w:eastAsia="Arial" w:hAnsi="Arial"/>
          <w:sz w:val="20"/>
          <w:szCs w:val="20"/>
          <w:i w:val="1"/>
          <w:iCs w:val="1"/>
          <w:color w:val="auto"/>
        </w:rPr>
        <w:t xml:space="preserve"> </w:t>
      </w:r>
      <w:r>
        <w:rPr>
          <w:rFonts w:ascii="Arial" w:cs="Arial" w:eastAsia="Arial" w:hAnsi="Arial"/>
          <w:sz w:val="20"/>
          <w:szCs w:val="20"/>
          <w:color w:val="auto"/>
        </w:rPr>
        <w:t>higher than net income of $218.7 million for the three-months ended September 30, 2017. The increase in net income was primarily due to the $38.0 million increase in gross profit and the $27.8 million decrease in the provision for income taxes. The increase in net income was partially offset by the increase in operating expenses of $15.7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Nine-Months Ended September 30, 2018 Compared to the Nine-Months Ended September 30, 2017.</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$2.88 billion for the nine-months ended September 30, 2018, an increase of approximately $324.3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12.7% higher than net sales of $2.56 billion for the nine-months ended September 30, 2017. Net sales for the nine-months ended September 30, 2018 were negatively impacted by approximately $33.8 million as a result of the adoption of ASC 606. Net changes in foreign currency exchange rates had a favorable impact on net sales of approximately $29.2 million for the nine-months ended September 30, 2018.</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Net sales for the Monster Energy® Drinks segment were $2.65 billion for the nine-months ended September 30, 2018, an increase of approximately $333.6 million, or 14.4% higher than net sales of $2.31 billion for the nine-months ended September 30, 2017. Net sales for the Monster Energy® Drinks segment for the nine-months ended September 30, 2018 were negatively impacted by approximately $14.2 million as a result of the adoption of ASC 606. Net changes in foreign currency exchange rates had a favorable impact on net sales for the Monster Energy® Drinks segment of approximately $27.0 million for the nine-months ended September 30, 2018. Net sales for the Monster Energy® Drinks segment increased primarily due to increased sales by volume of our Monster Energy® brand energy drinks as a result of increased domestic and international consumer demand.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Net sales for the Strategic Brands segment were $220.0 million for the nine-months ended September 30, 2018, a decrease of approximately $10.2 million, or 4.4% lower than net sales of $230.3 million for the nine-months ended September 30, 2017. Net sales for the Strategic Brands segment for the nine-months ended September 30, 2018 were negatively impacted by approximately $19.5 million as a result of the adoption of ASC 606. Net changes in foreign currency exchange rates had a favorable impact on net sales for the Strategic Brands segment of approximately $2.2 million for the nine-months ended September 30, 2018.</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Other segment were $17.9 million for the nine-months ended September 30, 2018, an increase of approximately $0.9 million, or 5.6% higher than net sales of $16.9 million for the nine-months ended September 30, 2017.</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Case sales, in 192-ounce case equivalents, were 313.4 million cases for the nine-months ended September 30, 2018, an increase of approximately 40.0 million cases or 14.6% higher than case sales of 273.4 million cases for the nine-months ended September 30, 2017. The overall average net sales per case (excluding net sales of AFF Third-Party Products of $17.9 million and $16.9 million for the nine-months ended September 30, 2018 and 2017, respectively, as these sales do not have unit case equivalents) decreased to $9.14 for the nine-months ended September 30, 2018, which was 1.7% lower than the average net sales per case of $9.30 for the nine-months ended September 30, 2017, partially due to the adoption of ASC 606. Without the adoption of ASC 606, the overall average net sales per case (excluding net sales of AFF Third-Party Products of $17.9 million and $16.9 million for the nine-months ended September 30, 2018 and 2017, respectively, as these sales do not have unit case equivalents) decreased to $9.25 for the nine-months ended September 30, 2018, which was 0.5% lower than the average net sales per case of $9.30 for the nine-months ended September 30, 2017.</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$1.74 billion for the nine-months ended September 30, 2018, an increase of approximately $109.1</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6.7% higher than the gross profit of $1.63 billion for the nine-months ended September 30, 2017. The increase in gross profit dollars was primarily the result of the $335.4 million increase in net sales of our Monster Energy® brand energy drinks for the nine-months ended September 30, 2018.</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Gross profit as a percentage of net sales decreased to 60.5% for the nine-months ended September 30, 2018 from 63.9% for the nine-months ended September 30, 2017. Gross profit as a percentage of net sales, excluding the impact of ASC 606, was 60.9% for the nine-months ended September 30, 2018.</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decrease in gross profit as a percentage of net sales was primarily attributable to (i) increases in certain input costs, principally aluminum cans, freight in and other input costs; (ii) domestic product sales mix; (iii) increases in promotional allowances as a percentage of gross sales; (iv) the $33.8 million of commissions accounted for as a reduction to net sales due to the adoption of ASC 606; and</w:t>
      </w:r>
    </w:p>
    <w:p>
      <w:pPr>
        <w:spacing w:after="0" w:line="1" w:lineRule="exact"/>
        <w:rPr>
          <w:sz w:val="20"/>
          <w:szCs w:val="20"/>
          <w:color w:val="auto"/>
        </w:rPr>
      </w:pPr>
    </w:p>
    <w:p>
      <w:pPr>
        <w:ind w:firstLine="8"/>
        <w:spacing w:after="0" w:line="244" w:lineRule="auto"/>
        <w:tabs>
          <w:tab w:leader="none" w:pos="293" w:val="left"/>
        </w:tabs>
        <w:numPr>
          <w:ilvl w:val="0"/>
          <w:numId w:val="24"/>
        </w:numPr>
        <w:rPr>
          <w:rFonts w:ascii="Arial" w:cs="Arial" w:eastAsia="Arial" w:hAnsi="Arial"/>
          <w:sz w:val="20"/>
          <w:szCs w:val="20"/>
          <w:color w:val="auto"/>
        </w:rPr>
      </w:pPr>
      <w:r>
        <w:rPr>
          <w:rFonts w:ascii="Arial" w:cs="Arial" w:eastAsia="Arial" w:hAnsi="Arial"/>
          <w:sz w:val="20"/>
          <w:szCs w:val="20"/>
          <w:color w:val="auto"/>
        </w:rPr>
        <w:t>geographical sales mix, as a result of our international sales increasing as a percentage of total net sales (our foreign operations generally have lower gross profit margins).</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$766.1 million for the nine-months ended September 30, 2018,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$63.7 million, or 9.1% higher than total operating expenses of $702.4 million for the nine-months ended September 30, 2017. The increase in operating expenses was primarily due to increased out-bound freight and warehouse costs of $33.4 million, increased payroll expenses of $23.7 million (of which $3.2 million was related to an increase in stock-based compensation), increased expenditures of $11.1 million for sponsorships and endorsements, increased expenditures of $7.1 million for advertising, increased expenditures of $5.4 million for other marketing expenses and increased expenditures of $3.2 million for allocated trade development. The increase in operating expenses was partially offset by the $9.3 million decrease in costs associated with distributor terminations. Commissions included in operating expenses were $13.0 million, or 63.4% lower than commissions included in operating expenses of $35.5 million for the nine-months ended September 30, 2017. Without the adoption of ASC 606, an additional $33.8 million of commissions would have been included in operating expenses for the nine-months ended September 30, 2018 (such commissions are included as a reduction to net sales).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$977.1 million for the nine-months ended September 30, 2018,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$45.4 million, or 4.9% higher than operating income of $931.7 million for the nine-months ended September 30, 2017. Operating income as a percentage of net sales decreased to 33.9% for the nine-months ended September 30, 2018 from 36.4% for the nine-months ended September 30, 2017. Operating income was $135.0 million and $119.3 million for the nine-months ended September 30, 2018 and 2017, respectively, in connection with our operations in EMEA, Asia Pacific and South America.</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Operating income for the Monster Energy® Drinks segment was $1.03 billion for the nine-months ended September 30, 2018, an increase of approximately $65.0 million, or 6.7% higher than operating income of $968.9 million for the nine-months ended September 30, 2017. The increase in operating income for the Monster Energy® Drinks segment was primarily the result of the $335.4 million increase in net sales of our Monster Energy® brand energy drinks for the nine-months ended September 30, 2018.</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Operating income for the Strategic Brands segment was $135.1 million for the nine-months ended September 30, 2018, a decrease of approximately $2.9 million, or 2.1% lower than operating income of $137.9 million for the nine-months ended September 30, 2017.</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Operating income for the Other segment was $4.5 million for the nine-months ended September 30, 2018, a decrease of approximately $0.05 million, or 1.0% lower than operating income of $4.6 million for the nine-months ended September 30, 2017.</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Interest and other non-operating income, net, was $5.3 million for the nine-months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as compared to interest and other non-operating income, net of $2.1 million for the nine-months ended September 30, 2017. Foreign currency transaction (losses) gains were ($3.6) million and ($2.0) million for the nine-months ended September 30, 2018 and 2017, respectively. Interest income was $9.1 million and $4.5 million for the nine-months ended September 30, 2018 and 2017, respectively.</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$228.5 million for the nine-months ended September 30, 2018, a decrease</w:t>
      </w:r>
      <w:r>
        <w:rPr>
          <w:rFonts w:ascii="Arial" w:cs="Arial" w:eastAsia="Arial" w:hAnsi="Arial"/>
          <w:sz w:val="19"/>
          <w:szCs w:val="19"/>
          <w:i w:val="1"/>
          <w:iCs w:val="1"/>
          <w:color w:val="auto"/>
        </w:rPr>
        <w:t xml:space="preserve"> </w:t>
      </w:r>
      <w:r>
        <w:rPr>
          <w:rFonts w:ascii="Arial" w:cs="Arial" w:eastAsia="Arial" w:hAnsi="Arial"/>
          <w:sz w:val="19"/>
          <w:szCs w:val="19"/>
          <w:color w:val="auto"/>
        </w:rPr>
        <w:t>of $85.9 million, or 27.3% lower than the provision for income taxes of $314.4 million for the nine-months ended September 30, 2017. The effective combined federal, state and foreign tax rate decreased to 23.3% from 33.7% for the nine-months ended September 30, 2018 and 2017, respectively. The decrease in the effective tax rate was primarily due to the reduction in the U.S. federal statutory tax rate as a result of the Tax Reform Act signed into law on December 22, 2017 (before considering the potential impact of further clarification of certain matters related to the Tax Reform Act), and to reduction in certain foreign income that is subject to U.S. taxation. The decrease in the provision for income taxes was partially offset by the elimination of the domestic production deduction following the Tax Reform Act as well as a decrease in the stock based compensation tax deduction.</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recorded impact of the Tax Reform Act is provisional and the final amount may differ, possibly materially, due to, among other things, changes in estimates, interpretations and assumptions we have made, changes in IRS interpretations, the issuance of new guidance, legislative actions, changes in accounting standards or related interpretations in response to the Tax Reform Act as well as any and future actions by certain states within the United States that have not currently adopted the Tax Reform Act.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$753.9 million for the nine-months ended September 30, 2018, an increase of $134.5 million, or 21.7%</w:t>
      </w:r>
      <w:r>
        <w:rPr>
          <w:rFonts w:ascii="Arial" w:cs="Arial" w:eastAsia="Arial" w:hAnsi="Arial"/>
          <w:sz w:val="20"/>
          <w:szCs w:val="20"/>
          <w:i w:val="1"/>
          <w:iCs w:val="1"/>
          <w:color w:val="auto"/>
        </w:rPr>
        <w:t xml:space="preserve"> </w:t>
      </w:r>
      <w:r>
        <w:rPr>
          <w:rFonts w:ascii="Arial" w:cs="Arial" w:eastAsia="Arial" w:hAnsi="Arial"/>
          <w:sz w:val="20"/>
          <w:szCs w:val="20"/>
          <w:color w:val="auto"/>
        </w:rPr>
        <w:t>higher than net income of $619.4 million for the nine-months ended September 30, 2017. The increase in net income was primarily due to the $109.1 million increase in gross profit and the $85.9 million decrease in the provision for income taxes. The increase in net income was partially offset by the increase in operating expenses of $63.7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$1.18 billion for the three-months ended September 30, 2018, an increase of approximately $142.4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13.7% higher than gross sales of $1.04 billion for the three-months ended September 30, 2017. Gross sales of our Monster Energy® brand energy drinks were $1.08 billion for the three-months ended September 30, 2018, an increase of $139.1 million, or 14.8% higher than gross sales of $939.8 million for the three-months ended September 30, 2017. Gross sales of our Monster Energy® brand energy drinks increased partially due to increased sales by volume as a result of increased domestic and international consumer demand. Gross sales of our Strategic Brands were $85.5 million for the three-months ended September 30, 2018, an increase of $4.7 million, or 5.8% higher than gross sales of $80.7 million for the three-months ended September 30, 2017. Gross sales of our AFF Third-Party Products were $6.6 million for the three-months ended September 30, 2018, an increase of $1.4 million, or 26.4% higher than gross sales of $5.2 million for the three-months ended September 30, 2017. No other individual product line contributed either a material increase or decrease to net sales for the three-months ended September 30, 2018. Promotional and other allowances, as described in the footnote below, were $168.3 million for the three-months ended September 30, 2018, an increase of $35.7 million, or 26.9% higher than promotional and other allowances of $132.6 million for the three-months ended September 30, 2017. Promotional and other allowances as a percentage of gross sales increased to 14.2% from 12.7% for the three-months ended September 30, 2018 and 2017, respectively, partially due to commissions of $11.6 million included in net sales related to the adoption of ASC 606 described above.</w:t>
      </w:r>
    </w:p>
    <w:p>
      <w:pPr>
        <w:spacing w:after="0" w:line="184" w:lineRule="exact"/>
        <w:rPr>
          <w:sz w:val="20"/>
          <w:szCs w:val="20"/>
          <w:color w:val="auto"/>
        </w:rPr>
      </w:pPr>
    </w:p>
    <w:p>
      <w:pPr>
        <w:jc w:val="both"/>
        <w:ind w:firstLine="689"/>
        <w:spacing w:after="0" w:line="246" w:lineRule="auto"/>
        <w:rPr>
          <w:sz w:val="20"/>
          <w:szCs w:val="20"/>
          <w:color w:val="auto"/>
        </w:rPr>
      </w:pPr>
      <w:r>
        <w:rPr>
          <w:rFonts w:ascii="Arial" w:cs="Arial" w:eastAsia="Arial" w:hAnsi="Arial"/>
          <w:sz w:val="20"/>
          <w:szCs w:val="20"/>
          <w:color w:val="auto"/>
        </w:rPr>
        <w:t>Our gross sales of $1.18 billion for the three-months ended September 30, 2018 were impacted by advance purchases made by our customers due to a pre-announced price increase that became effective on November 1, 2018 on certain of our Monster Energy® brand energy drinks. We estimate that gross sales for the three-months ended September 30, 2018 were increased by approximately $18.0 million as a result of such advance purchases.</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changes in foreign currency exchange rates had an unfavorable impact on gross sales in the Monster Energy® Drinks segment of approximately $4.3 million for the three-months ended September 30, 2018. Net changes in foreign currency exchange rates had an unfavorable impact on gross sales in the Strategic Brands segment of approximately $1.4 million for the three-months ended September 30, 2018.</w:t>
      </w:r>
    </w:p>
    <w:p>
      <w:pPr>
        <w:spacing w:after="0" w:line="13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$3.37 billion for the nine-months ended September 30, 2018, an increase of approximately $439.8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15.0% higher than gross sales of $2.93 billion for the nine-months ended September 30, 2017. Gross sales of our Monster Energy® brand energy drinks were $3.05 billion for the nine-months ended September 30, 2018, an increase of $428.5 million, or 16.3% higher than gross sales of $2.62 billion for the nine-months ended September 30, 2017. Gross sales of our Monster Energy® brand energy drinks increased partially due to increased sales by volume as a result of increased domestic and international consumer demand. Gross sales of our Strategic Brands were $253.8 million for the nine-months ended September 30, 2018, an increase of $9.7 million, or 4.0% higher than gross sales of $244.0 million for the nine-months ended September 30, 2017. Gross sales of our AFF Third-Party Products were $17.9 million for the nine-months ended September 30, 2018, an increase of $0.9 million, or 5.6% higher than gross sales of $16.9 million for the nine-months ended September 30, 2017. No other individual product line contributed either a material increase or decrease to net sales for the nine-months ended September 30, 2018. Promotional and other allowances, as described in the footnote below, were $483.4 million for the nine-months ended September 30, 2018, an increase of $115.5 million, or 31.4% higher than promotional and other allowances of $367.9 million for the nine-months ended September 30, 2017. Promotional and other allowances as a percentage of gross sales increased to 14.4% from 12.6% for the nine-months ended September 30, 2018 and 2017, respectively, partially due to an increase in commissions of $33.8 million included in net sales related to the adoption of ASC 606 described above.</w:t>
      </w:r>
    </w:p>
    <w:p>
      <w:pPr>
        <w:spacing w:after="0" w:line="184"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color w:val="auto"/>
        </w:rPr>
        <w:t>Net changes in foreign currency exchange rates had a favorable impact on gross sales in the Monster Energy® Drinks segment of approximately $35.8 million for the nine-months ended September 30, 2018. Net changes in foreign currency exchange rates had a favorable impact on gross sales in the Strategic Brands segment of approximately $2.2 million for the nine-months ended September 30, 2018.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gridSpan w:val="4"/>
          </w:tcPr>
          <w:p>
            <w:pPr>
              <w:jc w:val="right"/>
              <w:ind w:right="441"/>
              <w:spacing w:after="0"/>
              <w:rPr>
                <w:sz w:val="20"/>
                <w:szCs w:val="20"/>
                <w:color w:val="auto"/>
              </w:rPr>
            </w:pPr>
            <w:r>
              <w:rPr>
                <w:rFonts w:ascii="Arial" w:cs="Arial" w:eastAsia="Arial" w:hAnsi="Arial"/>
                <w:sz w:val="20"/>
                <w:szCs w:val="20"/>
                <w:color w:val="auto"/>
              </w:rPr>
              <w:t>Three-Months Ended</w:t>
            </w:r>
          </w:p>
        </w:tc>
        <w:tc>
          <w:tcPr>
            <w:tcW w:w="2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20"/>
                <w:szCs w:val="20"/>
                <w:color w:val="auto"/>
                <w:w w:val="85"/>
              </w:rPr>
              <w:t>Percentage</w:t>
            </w:r>
          </w:p>
        </w:tc>
        <w:tc>
          <w:tcPr>
            <w:tcW w:w="280" w:type="dxa"/>
            <w:vAlign w:val="bottom"/>
          </w:tcPr>
          <w:p>
            <w:pPr>
              <w:spacing w:after="0"/>
              <w:rPr>
                <w:sz w:val="19"/>
                <w:szCs w:val="19"/>
                <w:color w:val="auto"/>
              </w:rPr>
            </w:pPr>
          </w:p>
        </w:tc>
        <w:tc>
          <w:tcPr>
            <w:tcW w:w="2440" w:type="dxa"/>
            <w:vAlign w:val="bottom"/>
            <w:gridSpan w:val="4"/>
          </w:tcPr>
          <w:p>
            <w:pPr>
              <w:jc w:val="right"/>
              <w:ind w:right="461"/>
              <w:spacing w:after="0"/>
              <w:rPr>
                <w:sz w:val="20"/>
                <w:szCs w:val="20"/>
                <w:color w:val="auto"/>
              </w:rPr>
            </w:pPr>
            <w:r>
              <w:rPr>
                <w:rFonts w:ascii="Arial" w:cs="Arial" w:eastAsia="Arial" w:hAnsi="Arial"/>
                <w:sz w:val="20"/>
                <w:szCs w:val="20"/>
                <w:color w:val="auto"/>
              </w:rPr>
              <w:t>Nine-Months Ended</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4"/>
              </w:rPr>
              <w:t>Percentage</w:t>
            </w:r>
          </w:p>
        </w:tc>
        <w:tc>
          <w:tcPr>
            <w:tcW w:w="0" w:type="dxa"/>
            <w:vAlign w:val="bottom"/>
          </w:tcPr>
          <w:p>
            <w:pPr>
              <w:spacing w:after="0"/>
              <w:rPr>
                <w:sz w:val="1"/>
                <w:szCs w:val="1"/>
                <w:color w:val="auto"/>
              </w:rPr>
            </w:pPr>
          </w:p>
        </w:tc>
      </w:tr>
      <w:tr>
        <w:trPr>
          <w:trHeight w:val="246"/>
        </w:trPr>
        <w:tc>
          <w:tcPr>
            <w:tcW w:w="2880" w:type="dxa"/>
            <w:vAlign w:val="bottom"/>
          </w:tcPr>
          <w:p>
            <w:pPr>
              <w:spacing w:after="0"/>
              <w:rPr>
                <w:sz w:val="20"/>
                <w:szCs w:val="20"/>
                <w:color w:val="auto"/>
              </w:rPr>
            </w:pPr>
            <w:r>
              <w:rPr>
                <w:rFonts w:ascii="Arial" w:cs="Arial" w:eastAsia="Arial" w:hAnsi="Arial"/>
                <w:sz w:val="20"/>
                <w:szCs w:val="20"/>
                <w:color w:val="auto"/>
              </w:rPr>
              <w:t>(In thousands)</w:t>
            </w:r>
          </w:p>
        </w:tc>
        <w:tc>
          <w:tcPr>
            <w:tcW w:w="280" w:type="dxa"/>
            <w:vAlign w:val="bottom"/>
          </w:tcPr>
          <w:p>
            <w:pPr>
              <w:spacing w:after="0"/>
              <w:rPr>
                <w:sz w:val="21"/>
                <w:szCs w:val="21"/>
                <w:color w:val="auto"/>
              </w:rPr>
            </w:pPr>
          </w:p>
        </w:tc>
        <w:tc>
          <w:tcPr>
            <w:tcW w:w="2480" w:type="dxa"/>
            <w:vAlign w:val="bottom"/>
            <w:gridSpan w:val="4"/>
          </w:tcPr>
          <w:p>
            <w:pPr>
              <w:jc w:val="right"/>
              <w:ind w:right="721"/>
              <w:spacing w:after="0"/>
              <w:rPr>
                <w:sz w:val="20"/>
                <w:szCs w:val="20"/>
                <w:color w:val="auto"/>
              </w:rPr>
            </w:pPr>
            <w:r>
              <w:rPr>
                <w:rFonts w:ascii="Arial" w:cs="Arial" w:eastAsia="Arial" w:hAnsi="Arial"/>
                <w:sz w:val="20"/>
                <w:szCs w:val="20"/>
                <w:color w:val="auto"/>
              </w:rPr>
              <w:t>September 30,</w:t>
            </w:r>
          </w:p>
        </w:tc>
        <w:tc>
          <w:tcPr>
            <w:tcW w:w="2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20"/>
                <w:szCs w:val="20"/>
                <w:color w:val="auto"/>
                <w:w w:val="85"/>
              </w:rPr>
              <w:t>Change</w:t>
            </w:r>
          </w:p>
        </w:tc>
        <w:tc>
          <w:tcPr>
            <w:tcW w:w="280" w:type="dxa"/>
            <w:vAlign w:val="bottom"/>
          </w:tcPr>
          <w:p>
            <w:pPr>
              <w:spacing w:after="0"/>
              <w:rPr>
                <w:sz w:val="21"/>
                <w:szCs w:val="21"/>
                <w:color w:val="auto"/>
              </w:rPr>
            </w:pPr>
          </w:p>
        </w:tc>
        <w:tc>
          <w:tcPr>
            <w:tcW w:w="2440" w:type="dxa"/>
            <w:vAlign w:val="bottom"/>
            <w:gridSpan w:val="4"/>
          </w:tcPr>
          <w:p>
            <w:pPr>
              <w:jc w:val="right"/>
              <w:ind w:right="681"/>
              <w:spacing w:after="0"/>
              <w:rPr>
                <w:sz w:val="20"/>
                <w:szCs w:val="20"/>
                <w:color w:val="auto"/>
              </w:rPr>
            </w:pPr>
            <w:r>
              <w:rPr>
                <w:rFonts w:ascii="Arial" w:cs="Arial" w:eastAsia="Arial" w:hAnsi="Arial"/>
                <w:sz w:val="20"/>
                <w:szCs w:val="20"/>
                <w:color w:val="auto"/>
              </w:rPr>
              <w:t>September 30,</w:t>
            </w:r>
          </w:p>
        </w:tc>
        <w:tc>
          <w:tcPr>
            <w:tcW w:w="2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5"/>
              </w:rPr>
              <w:t>Change</w:t>
            </w:r>
          </w:p>
        </w:tc>
        <w:tc>
          <w:tcPr>
            <w:tcW w:w="0" w:type="dxa"/>
            <w:vAlign w:val="bottom"/>
          </w:tcPr>
          <w:p>
            <w:pPr>
              <w:spacing w:after="0"/>
              <w:rPr>
                <w:sz w:val="1"/>
                <w:szCs w:val="1"/>
                <w:color w:val="auto"/>
              </w:rPr>
            </w:pPr>
          </w:p>
        </w:tc>
      </w:tr>
      <w:tr>
        <w:trPr>
          <w:trHeight w:val="223"/>
        </w:trPr>
        <w:tc>
          <w:tcPr>
            <w:tcW w:w="2880" w:type="dxa"/>
            <w:vAlign w:val="bottom"/>
            <w:vMerge w:val="restart"/>
          </w:tcPr>
          <w:p>
            <w:pPr>
              <w:spacing w:after="0"/>
              <w:rPr>
                <w:sz w:val="20"/>
                <w:szCs w:val="20"/>
                <w:color w:val="auto"/>
              </w:rPr>
            </w:pPr>
            <w:r>
              <w:rPr>
                <w:rFonts w:ascii="Arial" w:cs="Arial" w:eastAsia="Arial" w:hAnsi="Arial"/>
                <w:sz w:val="20"/>
                <w:szCs w:val="20"/>
                <w:color w:val="auto"/>
                <w:w w:val="96"/>
              </w:rPr>
              <w:t>Gross sales, net of discounts and</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2018</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18 vs. 17</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2018</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18 vs. 17</w:t>
            </w:r>
          </w:p>
        </w:tc>
        <w:tc>
          <w:tcPr>
            <w:tcW w:w="0" w:type="dxa"/>
            <w:vAlign w:val="bottom"/>
          </w:tcPr>
          <w:p>
            <w:pPr>
              <w:spacing w:after="0"/>
              <w:rPr>
                <w:sz w:val="1"/>
                <w:szCs w:val="1"/>
                <w:color w:val="auto"/>
              </w:rPr>
            </w:pPr>
          </w:p>
        </w:tc>
      </w:tr>
      <w:tr>
        <w:trPr>
          <w:trHeight w:val="193"/>
        </w:trPr>
        <w:tc>
          <w:tcPr>
            <w:tcW w:w="2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20"/>
                <w:szCs w:val="20"/>
                <w:color w:val="auto"/>
              </w:rPr>
              <w:t>returns</w:t>
            </w: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1,184,444</w:t>
            </w:r>
          </w:p>
        </w:tc>
        <w:tc>
          <w:tcPr>
            <w:tcW w:w="240" w:type="dxa"/>
            <w:vAlign w:val="bottom"/>
          </w:tcPr>
          <w:p>
            <w:pPr>
              <w:spacing w:after="0"/>
              <w:rPr>
                <w:sz w:val="19"/>
                <w:szCs w:val="19"/>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1,042,046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13.7%</w:t>
            </w:r>
          </w:p>
        </w:tc>
        <w:tc>
          <w:tcPr>
            <w:tcW w:w="220" w:type="dxa"/>
            <w:vAlign w:val="bottom"/>
          </w:tcPr>
          <w:p>
            <w:pPr>
              <w:spacing w:after="0"/>
              <w:rPr>
                <w:sz w:val="19"/>
                <w:szCs w:val="19"/>
                <w:color w:val="auto"/>
              </w:rPr>
            </w:pP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3,366,334</w:t>
            </w:r>
          </w:p>
        </w:tc>
        <w:tc>
          <w:tcPr>
            <w:tcW w:w="220" w:type="dxa"/>
            <w:vAlign w:val="bottom"/>
          </w:tcPr>
          <w:p>
            <w:pPr>
              <w:spacing w:after="0"/>
              <w:rPr>
                <w:sz w:val="19"/>
                <w:szCs w:val="19"/>
                <w:color w:val="auto"/>
              </w:rPr>
            </w:pP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2,926,564</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20"/>
                <w:szCs w:val="20"/>
                <w:color w:val="auto"/>
              </w:rPr>
              <w:t>Less: Promotional and other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80"/>
              <w:spacing w:after="0"/>
              <w:rPr>
                <w:sz w:val="20"/>
                <w:szCs w:val="20"/>
                <w:color w:val="auto"/>
              </w:rPr>
            </w:pPr>
            <w:r>
              <w:rPr>
                <w:rFonts w:ascii="Arial" w:cs="Arial" w:eastAsia="Arial" w:hAnsi="Arial"/>
                <w:sz w:val="20"/>
                <w:szCs w:val="20"/>
                <w:color w:val="auto"/>
              </w:rPr>
              <w:t>allowances***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168,284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132,570</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26.9%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483,381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367,874</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31.4%</w:t>
            </w:r>
          </w:p>
        </w:tc>
        <w:tc>
          <w:tcPr>
            <w:tcW w:w="0" w:type="dxa"/>
            <w:vAlign w:val="bottom"/>
          </w:tcPr>
          <w:p>
            <w:pPr>
              <w:spacing w:after="0"/>
              <w:rPr>
                <w:sz w:val="1"/>
                <w:szCs w:val="1"/>
                <w:color w:val="auto"/>
              </w:rPr>
            </w:pPr>
          </w:p>
        </w:tc>
      </w:tr>
      <w:tr>
        <w:trPr>
          <w:trHeight w:val="230"/>
        </w:trPr>
        <w:tc>
          <w:tcPr>
            <w:tcW w:w="2880" w:type="dxa"/>
            <w:vAlign w:val="bottom"/>
          </w:tcPr>
          <w:p>
            <w:pPr>
              <w:spacing w:after="0" w:line="220" w:lineRule="exact"/>
              <w:rPr>
                <w:sz w:val="20"/>
                <w:szCs w:val="20"/>
                <w:color w:val="auto"/>
              </w:rPr>
            </w:pPr>
            <w:r>
              <w:rPr>
                <w:rFonts w:ascii="Arial" w:cs="Arial" w:eastAsia="Arial" w:hAnsi="Arial"/>
                <w:sz w:val="20"/>
                <w:szCs w:val="20"/>
                <w:color w:val="auto"/>
              </w:rPr>
              <w:t>Net Sales</w:t>
            </w: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1,016,160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909,476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11.7%</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2,882,953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2,558,690</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5"/>
          <w:szCs w:val="15"/>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w:t>
      </w:r>
    </w:p>
    <w:p>
      <w:pPr>
        <w:spacing w:after="0" w:line="1" w:lineRule="exact"/>
        <w:rPr>
          <w:sz w:val="20"/>
          <w:szCs w:val="20"/>
          <w:color w:val="auto"/>
        </w:rPr>
      </w:pPr>
    </w:p>
    <w:p>
      <w:pPr>
        <w:jc w:val="both"/>
        <w:ind w:firstLine="8"/>
        <w:spacing w:after="0" w:line="286" w:lineRule="auto"/>
        <w:tabs>
          <w:tab w:leader="none" w:pos="195"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nine-months ended September 30, 2018 and 2017 were (i) to increase sales volume and trial, (ii) to address market conditions, and (iii) to secure shelf and display space at retail.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table below discloses selected quarterly data regarding sales for the three- and nine-months ended September 30, 2018 and 2017, respectively. Data from any one or more quarters or periods is not necessarily indicative of annual results or continuing trends.</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gridSpan w:val="2"/>
          </w:tcPr>
          <w:p>
            <w:pPr>
              <w:spacing w:after="0"/>
              <w:rPr>
                <w:sz w:val="20"/>
                <w:szCs w:val="20"/>
                <w:color w:val="auto"/>
              </w:rPr>
            </w:pPr>
            <w:r>
              <w:rPr>
                <w:rFonts w:ascii="Arial" w:cs="Arial" w:eastAsia="Arial" w:hAnsi="Arial"/>
                <w:sz w:val="22"/>
                <w:szCs w:val="22"/>
                <w:color w:val="auto"/>
              </w:rPr>
              <w:t>(In thousands, except average</w:t>
            </w:r>
          </w:p>
        </w:tc>
        <w:tc>
          <w:tcPr>
            <w:tcW w:w="360" w:type="dxa"/>
            <w:vAlign w:val="bottom"/>
          </w:tcPr>
          <w:p>
            <w:pPr>
              <w:spacing w:after="0"/>
              <w:rPr>
                <w:sz w:val="21"/>
                <w:szCs w:val="21"/>
                <w:color w:val="auto"/>
              </w:rPr>
            </w:pPr>
          </w:p>
        </w:tc>
        <w:tc>
          <w:tcPr>
            <w:tcW w:w="3100" w:type="dxa"/>
            <w:vAlign w:val="bottom"/>
            <w:gridSpan w:val="5"/>
          </w:tcPr>
          <w:p>
            <w:pPr>
              <w:ind w:left="320"/>
              <w:spacing w:after="0"/>
              <w:rPr>
                <w:sz w:val="20"/>
                <w:szCs w:val="20"/>
                <w:color w:val="auto"/>
              </w:rPr>
            </w:pPr>
            <w:r>
              <w:rPr>
                <w:rFonts w:ascii="Arial" w:cs="Arial" w:eastAsia="Arial" w:hAnsi="Arial"/>
                <w:sz w:val="22"/>
                <w:szCs w:val="22"/>
                <w:color w:val="auto"/>
              </w:rPr>
              <w:t>Three-Months Ended</w:t>
            </w:r>
          </w:p>
        </w:tc>
        <w:tc>
          <w:tcPr>
            <w:tcW w:w="340" w:type="dxa"/>
            <w:vAlign w:val="bottom"/>
          </w:tcPr>
          <w:p>
            <w:pPr>
              <w:spacing w:after="0"/>
              <w:rPr>
                <w:sz w:val="21"/>
                <w:szCs w:val="21"/>
                <w:color w:val="auto"/>
              </w:rPr>
            </w:pPr>
          </w:p>
        </w:tc>
        <w:tc>
          <w:tcPr>
            <w:tcW w:w="2820" w:type="dxa"/>
            <w:vAlign w:val="bottom"/>
            <w:gridSpan w:val="4"/>
          </w:tcPr>
          <w:p>
            <w:pPr>
              <w:jc w:val="right"/>
              <w:ind w:right="592"/>
              <w:spacing w:after="0"/>
              <w:rPr>
                <w:sz w:val="20"/>
                <w:szCs w:val="20"/>
                <w:color w:val="auto"/>
              </w:rPr>
            </w:pPr>
            <w:r>
              <w:rPr>
                <w:rFonts w:ascii="Arial" w:cs="Arial" w:eastAsia="Arial" w:hAnsi="Arial"/>
                <w:sz w:val="22"/>
                <w:szCs w:val="22"/>
                <w:color w:val="auto"/>
              </w:rPr>
              <w:t>Nine-Months Ended</w:t>
            </w:r>
          </w:p>
        </w:tc>
        <w:tc>
          <w:tcPr>
            <w:tcW w:w="0" w:type="dxa"/>
            <w:vAlign w:val="bottom"/>
          </w:tcPr>
          <w:p>
            <w:pPr>
              <w:spacing w:after="0"/>
              <w:rPr>
                <w:sz w:val="1"/>
                <w:szCs w:val="1"/>
                <w:color w:val="auto"/>
              </w:rPr>
            </w:pPr>
          </w:p>
        </w:tc>
      </w:tr>
      <w:tr>
        <w:trPr>
          <w:trHeight w:val="265"/>
        </w:trPr>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net sales per case)</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September 30,</w:t>
            </w:r>
          </w:p>
        </w:tc>
        <w:tc>
          <w:tcPr>
            <w:tcW w:w="9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September 30,</w:t>
            </w: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gridSpan w:val="2"/>
            <w:vMerge w:val="restart"/>
          </w:tcPr>
          <w:p>
            <w:pPr>
              <w:spacing w:after="0"/>
              <w:rPr>
                <w:sz w:val="20"/>
                <w:szCs w:val="20"/>
                <w:color w:val="auto"/>
              </w:rPr>
            </w:pPr>
            <w:r>
              <w:rPr>
                <w:rFonts w:ascii="Arial" w:cs="Arial" w:eastAsia="Arial" w:hAnsi="Arial"/>
                <w:sz w:val="22"/>
                <w:szCs w:val="22"/>
                <w:color w:val="auto"/>
              </w:rPr>
              <w:t>Net sales</w:t>
            </w:r>
            <w:r>
              <w:rPr>
                <w:rFonts w:ascii="Arial" w:cs="Arial" w:eastAsia="Arial" w:hAnsi="Arial"/>
                <w:sz w:val="28"/>
                <w:szCs w:val="28"/>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2"/>
              <w:spacing w:after="0" w:line="237" w:lineRule="exact"/>
              <w:rPr>
                <w:sz w:val="20"/>
                <w:szCs w:val="20"/>
                <w:color w:val="auto"/>
              </w:rPr>
            </w:pPr>
            <w:r>
              <w:rPr>
                <w:rFonts w:ascii="Arial" w:cs="Arial" w:eastAsia="Arial" w:hAnsi="Arial"/>
                <w:sz w:val="22"/>
                <w:szCs w:val="22"/>
                <w:color w:val="auto"/>
              </w:rPr>
              <w:t>2018</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2"/>
              <w:spacing w:after="0" w:line="237" w:lineRule="exact"/>
              <w:rPr>
                <w:sz w:val="20"/>
                <w:szCs w:val="20"/>
                <w:color w:val="auto"/>
              </w:rPr>
            </w:pPr>
            <w:r>
              <w:rPr>
                <w:rFonts w:ascii="Arial" w:cs="Arial" w:eastAsia="Arial" w:hAnsi="Arial"/>
                <w:sz w:val="22"/>
                <w:szCs w:val="22"/>
                <w:color w:val="auto"/>
                <w:w w:val="85"/>
              </w:rPr>
              <w:t>2017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2"/>
              <w:spacing w:after="0" w:line="237" w:lineRule="exact"/>
              <w:rPr>
                <w:sz w:val="20"/>
                <w:szCs w:val="20"/>
                <w:color w:val="auto"/>
              </w:rPr>
            </w:pPr>
            <w:r>
              <w:rPr>
                <w:rFonts w:ascii="Arial" w:cs="Arial" w:eastAsia="Arial" w:hAnsi="Arial"/>
                <w:sz w:val="22"/>
                <w:szCs w:val="22"/>
                <w:color w:val="auto"/>
              </w:rPr>
              <w:t>2018</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2"/>
              <w:spacing w:after="0" w:line="237" w:lineRule="exact"/>
              <w:rPr>
                <w:sz w:val="20"/>
                <w:szCs w:val="20"/>
                <w:color w:val="auto"/>
              </w:rPr>
            </w:pPr>
            <w:r>
              <w:rPr>
                <w:rFonts w:ascii="Arial" w:cs="Arial" w:eastAsia="Arial" w:hAnsi="Arial"/>
                <w:sz w:val="22"/>
                <w:szCs w:val="22"/>
                <w:color w:val="auto"/>
                <w:w w:val="85"/>
              </w:rPr>
              <w:t>2017</w:t>
            </w:r>
          </w:p>
        </w:tc>
        <w:tc>
          <w:tcPr>
            <w:tcW w:w="0" w:type="dxa"/>
            <w:vAlign w:val="bottom"/>
          </w:tcPr>
          <w:p>
            <w:pPr>
              <w:spacing w:after="0"/>
              <w:rPr>
                <w:sz w:val="1"/>
                <w:szCs w:val="1"/>
                <w:color w:val="auto"/>
              </w:rPr>
            </w:pPr>
          </w:p>
        </w:tc>
      </w:tr>
      <w:tr>
        <w:trPr>
          <w:trHeight w:val="215"/>
        </w:trPr>
        <w:tc>
          <w:tcPr>
            <w:tcW w:w="4700" w:type="dxa"/>
            <w:vAlign w:val="bottom"/>
            <w:gridSpan w:val="2"/>
            <w:vMerge w:val="continue"/>
          </w:tcPr>
          <w:p>
            <w:pPr>
              <w:spacing w:after="0"/>
              <w:rPr>
                <w:sz w:val="18"/>
                <w:szCs w:val="18"/>
                <w:color w:val="auto"/>
              </w:rPr>
            </w:pPr>
          </w:p>
        </w:tc>
        <w:tc>
          <w:tcPr>
            <w:tcW w:w="360" w:type="dxa"/>
            <w:vAlign w:val="bottom"/>
          </w:tcPr>
          <w:p>
            <w:pPr>
              <w:jc w:val="right"/>
              <w:ind w:right="72"/>
              <w:spacing w:after="0" w:line="216" w:lineRule="exact"/>
              <w:rPr>
                <w:sz w:val="20"/>
                <w:szCs w:val="20"/>
                <w:color w:val="auto"/>
              </w:rPr>
            </w:pPr>
            <w:r>
              <w:rPr>
                <w:rFonts w:ascii="Arial" w:cs="Arial" w:eastAsia="Arial" w:hAnsi="Arial"/>
                <w:sz w:val="22"/>
                <w:szCs w:val="22"/>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22"/>
                <w:szCs w:val="22"/>
                <w:color w:val="auto"/>
              </w:rPr>
              <w:t>1,016,160</w:t>
            </w:r>
          </w:p>
        </w:tc>
        <w:tc>
          <w:tcPr>
            <w:tcW w:w="220" w:type="dxa"/>
            <w:vAlign w:val="bottom"/>
          </w:tcPr>
          <w:p>
            <w:pPr>
              <w:spacing w:after="0"/>
              <w:rPr>
                <w:sz w:val="18"/>
                <w:szCs w:val="18"/>
                <w:color w:val="auto"/>
              </w:rPr>
            </w:pPr>
          </w:p>
        </w:tc>
        <w:tc>
          <w:tcPr>
            <w:tcW w:w="520" w:type="dxa"/>
            <w:vAlign w:val="bottom"/>
          </w:tcPr>
          <w:p>
            <w:pPr>
              <w:jc w:val="right"/>
              <w:ind w:right="232"/>
              <w:spacing w:after="0" w:line="216" w:lineRule="exact"/>
              <w:rPr>
                <w:sz w:val="20"/>
                <w:szCs w:val="20"/>
                <w:color w:val="auto"/>
              </w:rPr>
            </w:pPr>
            <w:r>
              <w:rPr>
                <w:rFonts w:ascii="Arial" w:cs="Arial" w:eastAsia="Arial" w:hAnsi="Arial"/>
                <w:sz w:val="22"/>
                <w:szCs w:val="22"/>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22"/>
                <w:szCs w:val="22"/>
                <w:color w:val="auto"/>
              </w:rPr>
              <w:t>909,476</w:t>
            </w:r>
          </w:p>
        </w:tc>
        <w:tc>
          <w:tcPr>
            <w:tcW w:w="240" w:type="dxa"/>
            <w:vAlign w:val="bottom"/>
          </w:tcPr>
          <w:p>
            <w:pPr>
              <w:spacing w:after="0"/>
              <w:rPr>
                <w:sz w:val="18"/>
                <w:szCs w:val="18"/>
                <w:color w:val="auto"/>
              </w:rPr>
            </w:pPr>
          </w:p>
        </w:tc>
        <w:tc>
          <w:tcPr>
            <w:tcW w:w="340" w:type="dxa"/>
            <w:vAlign w:val="bottom"/>
          </w:tcPr>
          <w:p>
            <w:pPr>
              <w:jc w:val="right"/>
              <w:ind w:right="52"/>
              <w:spacing w:after="0" w:line="216" w:lineRule="exact"/>
              <w:rPr>
                <w:sz w:val="20"/>
                <w:szCs w:val="20"/>
                <w:color w:val="auto"/>
              </w:rPr>
            </w:pPr>
            <w:r>
              <w:rPr>
                <w:rFonts w:ascii="Arial" w:cs="Arial" w:eastAsia="Arial" w:hAnsi="Arial"/>
                <w:sz w:val="22"/>
                <w:szCs w:val="22"/>
                <w:color w:val="auto"/>
              </w:rPr>
              <w:t>$</w:t>
            </w:r>
          </w:p>
        </w:tc>
        <w:tc>
          <w:tcPr>
            <w:tcW w:w="1120" w:type="dxa"/>
            <w:vAlign w:val="bottom"/>
          </w:tcPr>
          <w:p>
            <w:pPr>
              <w:jc w:val="right"/>
              <w:spacing w:after="0" w:line="216" w:lineRule="exact"/>
              <w:rPr>
                <w:sz w:val="20"/>
                <w:szCs w:val="20"/>
                <w:color w:val="auto"/>
              </w:rPr>
            </w:pPr>
            <w:r>
              <w:rPr>
                <w:rFonts w:ascii="Arial" w:cs="Arial" w:eastAsia="Arial" w:hAnsi="Arial"/>
                <w:sz w:val="22"/>
                <w:szCs w:val="22"/>
                <w:color w:val="auto"/>
              </w:rPr>
              <w:t>2,882,953</w:t>
            </w:r>
          </w:p>
        </w:tc>
        <w:tc>
          <w:tcPr>
            <w:tcW w:w="220" w:type="dxa"/>
            <w:vAlign w:val="bottom"/>
          </w:tcPr>
          <w:p>
            <w:pPr>
              <w:spacing w:after="0"/>
              <w:rPr>
                <w:sz w:val="18"/>
                <w:szCs w:val="18"/>
                <w:color w:val="auto"/>
              </w:rPr>
            </w:pPr>
          </w:p>
        </w:tc>
        <w:tc>
          <w:tcPr>
            <w:tcW w:w="520" w:type="dxa"/>
            <w:vAlign w:val="bottom"/>
          </w:tcPr>
          <w:p>
            <w:pPr>
              <w:jc w:val="right"/>
              <w:ind w:right="232"/>
              <w:spacing w:after="0" w:line="216" w:lineRule="exact"/>
              <w:rPr>
                <w:sz w:val="20"/>
                <w:szCs w:val="20"/>
                <w:color w:val="auto"/>
              </w:rPr>
            </w:pPr>
            <w:r>
              <w:rPr>
                <w:rFonts w:ascii="Arial" w:cs="Arial" w:eastAsia="Arial" w:hAnsi="Arial"/>
                <w:sz w:val="22"/>
                <w:szCs w:val="22"/>
                <w:color w:val="auto"/>
              </w:rPr>
              <w:t>$</w:t>
            </w:r>
          </w:p>
        </w:tc>
        <w:tc>
          <w:tcPr>
            <w:tcW w:w="960" w:type="dxa"/>
            <w:vAlign w:val="bottom"/>
          </w:tcPr>
          <w:p>
            <w:pPr>
              <w:jc w:val="right"/>
              <w:spacing w:after="0" w:line="216" w:lineRule="exact"/>
              <w:rPr>
                <w:sz w:val="20"/>
                <w:szCs w:val="20"/>
                <w:color w:val="auto"/>
              </w:rPr>
            </w:pPr>
            <w:r>
              <w:rPr>
                <w:rFonts w:ascii="Arial" w:cs="Arial" w:eastAsia="Arial" w:hAnsi="Arial"/>
                <w:sz w:val="22"/>
                <w:szCs w:val="22"/>
                <w:color w:val="auto"/>
                <w:w w:val="87"/>
              </w:rPr>
              <w:t>2,558,690</w:t>
            </w:r>
          </w:p>
        </w:tc>
        <w:tc>
          <w:tcPr>
            <w:tcW w:w="0" w:type="dxa"/>
            <w:vAlign w:val="bottom"/>
          </w:tcPr>
          <w:p>
            <w:pPr>
              <w:spacing w:after="0"/>
              <w:rPr>
                <w:sz w:val="1"/>
                <w:szCs w:val="1"/>
                <w:color w:val="auto"/>
              </w:rPr>
            </w:pPr>
          </w:p>
        </w:tc>
      </w:tr>
      <w:tr>
        <w:trPr>
          <w:trHeight w:val="265"/>
        </w:trPr>
        <w:tc>
          <w:tcPr>
            <w:tcW w:w="4700" w:type="dxa"/>
            <w:vAlign w:val="bottom"/>
            <w:gridSpan w:val="2"/>
          </w:tcPr>
          <w:p>
            <w:pPr>
              <w:spacing w:after="0"/>
              <w:rPr>
                <w:sz w:val="20"/>
                <w:szCs w:val="20"/>
                <w:color w:val="auto"/>
              </w:rPr>
            </w:pPr>
            <w:r>
              <w:rPr>
                <w:rFonts w:ascii="Arial" w:cs="Arial" w:eastAsia="Arial" w:hAnsi="Arial"/>
                <w:sz w:val="22"/>
                <w:szCs w:val="22"/>
                <w:color w:val="auto"/>
              </w:rPr>
              <w:t>Less: AFF third-party sales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(6,573)</w:t>
            </w:r>
          </w:p>
        </w:tc>
        <w:tc>
          <w:tcPr>
            <w:tcW w:w="2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(5,200)</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(17,853)</w:t>
            </w:r>
          </w:p>
        </w:tc>
        <w:tc>
          <w:tcPr>
            <w:tcW w:w="2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(16,914)</w:t>
            </w: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line="236" w:lineRule="exact"/>
              <w:rPr>
                <w:sz w:val="20"/>
                <w:szCs w:val="20"/>
                <w:color w:val="auto"/>
              </w:rPr>
            </w:pPr>
            <w:r>
              <w:rPr>
                <w:rFonts w:ascii="Arial" w:cs="Arial" w:eastAsia="Arial" w:hAnsi="Arial"/>
                <w:sz w:val="21"/>
                <w:szCs w:val="21"/>
                <w:color w:val="auto"/>
              </w:rPr>
              <w:t>Adjusted net sales</w:t>
            </w:r>
            <w:r>
              <w:rPr>
                <w:rFonts w:ascii="Arial" w:cs="Arial" w:eastAsia="Arial" w:hAnsi="Arial"/>
                <w:sz w:val="27"/>
                <w:szCs w:val="27"/>
                <w:color w:val="auto"/>
                <w:vertAlign w:val="superscript"/>
              </w:rPr>
              <w:t>1,2</w:t>
            </w:r>
          </w:p>
        </w:tc>
        <w:tc>
          <w:tcPr>
            <w:tcW w:w="360" w:type="dxa"/>
            <w:vAlign w:val="bottom"/>
            <w:tcBorders>
              <w:bottom w:val="single" w:sz="8" w:color="auto"/>
            </w:tcBorders>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1,009,587</w:t>
            </w: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904,276</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2,865,100</w:t>
            </w: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7"/>
              </w:rPr>
              <w:t>2,541,776</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line="216" w:lineRule="exact"/>
              <w:rPr>
                <w:sz w:val="20"/>
                <w:szCs w:val="20"/>
                <w:color w:val="auto"/>
              </w:rPr>
            </w:pPr>
            <w:r>
              <w:rPr>
                <w:rFonts w:ascii="Arial" w:cs="Arial" w:eastAsia="Arial" w:hAnsi="Arial"/>
                <w:sz w:val="22"/>
                <w:szCs w:val="22"/>
                <w:color w:val="auto"/>
              </w:rPr>
              <w:t>Case sales by segment: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Monster Energy® Drinks</w:t>
            </w: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91,806</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78,330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257,746</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220,433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Strategic Brands</w:t>
            </w:r>
          </w:p>
        </w:tc>
        <w:tc>
          <w:tcPr>
            <w:tcW w:w="36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19,232</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17,854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55,664</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52,976</w:t>
            </w:r>
          </w:p>
        </w:tc>
        <w:tc>
          <w:tcPr>
            <w:tcW w:w="0" w:type="dxa"/>
            <w:vAlign w:val="bottom"/>
          </w:tcPr>
          <w:p>
            <w:pPr>
              <w:spacing w:after="0"/>
              <w:rPr>
                <w:sz w:val="1"/>
                <w:szCs w:val="1"/>
                <w:color w:val="auto"/>
              </w:rPr>
            </w:pPr>
          </w:p>
        </w:tc>
      </w:tr>
      <w:tr>
        <w:trPr>
          <w:trHeight w:val="265"/>
        </w:trPr>
        <w:tc>
          <w:tcPr>
            <w:tcW w:w="4700" w:type="dxa"/>
            <w:vAlign w:val="bottom"/>
            <w:gridSpan w:val="2"/>
          </w:tcPr>
          <w:p>
            <w:pPr>
              <w:ind w:left="180"/>
              <w:spacing w:after="0" w:line="265" w:lineRule="exact"/>
              <w:rPr>
                <w:sz w:val="20"/>
                <w:szCs w:val="20"/>
                <w:color w:val="auto"/>
              </w:rPr>
            </w:pPr>
            <w:r>
              <w:rPr>
                <w:rFonts w:ascii="Arial" w:cs="Arial" w:eastAsia="Arial" w:hAnsi="Arial"/>
                <w:sz w:val="22"/>
                <w:szCs w:val="22"/>
                <w:color w:val="auto"/>
              </w:rPr>
              <w:t>Other</w:t>
            </w:r>
            <w:r>
              <w:rPr>
                <w:rFonts w:ascii="Arial" w:cs="Arial" w:eastAsia="Arial" w:hAnsi="Arial"/>
                <w:sz w:val="28"/>
                <w:szCs w:val="28"/>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line="237" w:lineRule="exact"/>
              <w:rPr>
                <w:sz w:val="20"/>
                <w:szCs w:val="20"/>
                <w:color w:val="auto"/>
              </w:rPr>
            </w:pPr>
            <w:r>
              <w:rPr>
                <w:rFonts w:ascii="Arial" w:cs="Arial" w:eastAsia="Arial" w:hAnsi="Arial"/>
                <w:sz w:val="22"/>
                <w:szCs w:val="22"/>
                <w:color w:val="auto"/>
              </w:rPr>
              <w:t>Total case sales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111,038</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96,184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313,410</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273,409</w:t>
            </w: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line="236" w:lineRule="exact"/>
              <w:rPr>
                <w:sz w:val="20"/>
                <w:szCs w:val="20"/>
                <w:color w:val="auto"/>
              </w:rPr>
            </w:pPr>
            <w:r>
              <w:rPr>
                <w:rFonts w:ascii="Arial" w:cs="Arial" w:eastAsia="Arial" w:hAnsi="Arial"/>
                <w:sz w:val="21"/>
                <w:szCs w:val="21"/>
                <w:color w:val="auto"/>
              </w:rPr>
              <w:t>Average net sales per case</w:t>
            </w:r>
            <w:r>
              <w:rPr>
                <w:rFonts w:ascii="Arial" w:cs="Arial" w:eastAsia="Arial" w:hAnsi="Arial"/>
                <w:sz w:val="27"/>
                <w:szCs w:val="27"/>
                <w:color w:val="auto"/>
                <w:vertAlign w:val="superscript"/>
              </w:rPr>
              <w:t>3</w:t>
            </w:r>
          </w:p>
        </w:tc>
        <w:tc>
          <w:tcPr>
            <w:tcW w:w="360" w:type="dxa"/>
            <w:vAlign w:val="bottom"/>
            <w:tcBorders>
              <w:bottom w:val="single" w:sz="8" w:color="auto"/>
            </w:tcBorders>
          </w:tcPr>
          <w:p>
            <w:pPr>
              <w:jc w:val="right"/>
              <w:ind w:right="72"/>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9.09</w:t>
            </w: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9.40</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9.14</w:t>
            </w: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9.30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30"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$11.1 million and $11.4 million for the three-months ended September 30, 2018 and 2017, respectively, related to the recognition of deferred revenue. Includes $33.3 million and $31.6 million for the nine-months ended September 30, 2018 and 2017, respectively, related to the recognition of deferred revenue.</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$6.6 million and $5.2 million for the three-months ended September 30, 2018 and 2017, respectively, comprised of net sales of AFF Third-Party Products to independent third-party customers, as these sales do not have unit case equivalents. Excludes Other segment net sales of $17.9 million and $16.9 million for the nine-months ended September 30, 2018 and 2017, respectively, comprised of net sales of AFF Third-Party Products to independent third-party customers, as these sales do not have unit case equivalents.</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vertAlign w:val="superscript"/>
        </w:rPr>
        <w:t>3</w:t>
      </w:r>
      <w:r>
        <w:rPr>
          <w:rFonts w:ascii="Arial" w:cs="Arial" w:eastAsia="Arial" w:hAnsi="Arial"/>
          <w:sz w:val="14"/>
          <w:szCs w:val="14"/>
          <w:i w:val="1"/>
          <w:iCs w:val="1"/>
          <w:color w:val="auto"/>
        </w:rPr>
        <w:t>Without the adoption of ASC 606, the overall average net sales per case decreased to $9.20 for the three-months ended September 30, 2018, which was 2.2% lower than the average net sales per case of $9.40 for the three-months ended September 30, 2017. Without the adoption of ASC 606, the overall average net sales per case decreased to $9.25 for the nine-months ended September 30, 2018, which was 0.5% lower than the average net sales per case of $9.30 for the nine-months ended September 30, 2017.</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$821.4 million for the nine-months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as compared with cash provided by operating activities of $790.1 million for the nine-months ended September 30, 2017.</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nine-months ended September 30, 2018, cash provided by operating activities was primarily attributable to net income earned of $753.9 million and adjustments for certain non-cash expenses, consisting of $42.4 million of stock-based compensation and $42.5 million of depreciation and other amortization. For the nine-months ended September 30, 2018, cash provided by operating activities also increased due to a $96.5 million decrease in prepaid income taxes, a $48.7 million increase in accrued promotional allowances, a $39.6 million increase in accounts payable, a $16.5 million increase in accrued liabilities, a $7.8 million decrease in distributor receivables and a $1.6 million increase in other liabilities. For the nine-months ended September 30, 2018, cash used in operating activities was primarily attributable to a $181.7 million increase in accounts receivable, a $16.5 million increase in prepaid expenses and other current assets, a $13.9 million decrease in deferred revenue, a $10.3 million increase in inventories, a $4.4 million decrease in accrued compensation and a $1.4 million decrease in income taxes payable.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nine-months ended September 30, 2017, cash provided by operating activities was primarily attributable to net income earned of $619.4 million and adjustments for certain non-cash expenses, consisting of $39.3 million of stock-based compensation and $35.1 million of depreciation and other amortization. For the nine-months ended September 30, 2017, cash provided by operating activities also increased due to a $125.0 million decrease in the TCCC transaction receivables, a $42.1 million increase in accrued promotional allowances, a $24.7 million increase in accounts payable, a $24.2 million decrease in prepaid income taxes, a $15.9 million increase in accrued liabilities and a $7.4 million increase in accrued distributor terminations. For the nine-months ended September 30, 2017, cash used in operating activities was primarily attributable to a $70.9 million increase in accounts receivable, a $46.7 million increase in inventories, a $12.5 million decrease in deferred revenue, a $9.2 million increase in prepaid expenses and other current assets, a $4.1 million decrease in income taxes payable and a $3.2 million decrease in accrued compensation.</w:t>
      </w:r>
    </w:p>
    <w:p>
      <w:pPr>
        <w:spacing w:after="0" w:line="19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(used in) investing activities. </w:t>
      </w:r>
      <w:r>
        <w:rPr>
          <w:rFonts w:ascii="Arial" w:cs="Arial" w:eastAsia="Arial" w:hAnsi="Arial"/>
          <w:sz w:val="18"/>
          <w:szCs w:val="18"/>
          <w:color w:val="auto"/>
        </w:rPr>
        <w:t>Cash provided by investing activities was $154.1 million for the nine-months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2018 as compared to cash used in investing activities of ($483.4) million for the nine-months ended September 30, 2017.</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both the nine-months ended September 30, 2018 and 2017, cash provided by investing activities was primarily attributable to sales of available-for-sale investments. For both the nine-months ended September 30, 2018 and 2017, cash used in investing activities was primarily attributable to purchases of available-for-sale investments. For both the nine-months ended September 30, 2018 and 2017,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Cash flows used in financing activities. </w:t>
      </w:r>
      <w:r>
        <w:rPr>
          <w:rFonts w:ascii="Arial" w:cs="Arial" w:eastAsia="Arial" w:hAnsi="Arial"/>
          <w:sz w:val="19"/>
          <w:szCs w:val="19"/>
          <w:color w:val="auto"/>
        </w:rPr>
        <w:t>Cash used in financing activities was $782.2 million for the nine-months ended September 30,</w:t>
      </w:r>
      <w:r>
        <w:rPr>
          <w:rFonts w:ascii="Arial" w:cs="Arial" w:eastAsia="Arial" w:hAnsi="Arial"/>
          <w:sz w:val="19"/>
          <w:szCs w:val="19"/>
          <w:i w:val="1"/>
          <w:iCs w:val="1"/>
          <w:color w:val="auto"/>
        </w:rPr>
        <w:t xml:space="preserve"> </w:t>
      </w:r>
      <w:r>
        <w:rPr>
          <w:rFonts w:ascii="Arial" w:cs="Arial" w:eastAsia="Arial" w:hAnsi="Arial"/>
          <w:sz w:val="19"/>
          <w:szCs w:val="19"/>
          <w:color w:val="auto"/>
        </w:rPr>
        <w:t>2018 as compared to cash flows used in financing activities of $224.3 million for the nine-months ended September 30, 2017. The cash flows used in financing activities for both the nine-months ended September 30, 2018 and 2017 was primarily the result of the repurchases of our common stock. The cash flows provided by financing activities for both the nine-months ended September 30, 2018, and 2017 was primarily attributable to the issuance of our common stock under our stock-based compensation plans.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At September 30, 2018, we had $713.7 million in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$457.9 million in short-term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Of our $713.7 million of cash and cash equivalents held at September 30, 2018, $360.2 million was held by our foreign subsidiaries. No short-term or long-term investments were held by our foreign subsidiaries at September 30, 2018. We do not currently intend, nor do we foresee a need, to repatriate undistributed earnings of our foreign subsidiaries other than to repay certain intercompany debt owed to our U.S. operations.</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and purchases of shares of our common stock, through at least the next 12 months. Based on our current plans, at this time we estimate that capital expenditures are likely to be less than $100.0 million through September 30, 2019. However, future business opportunities may cause a change in this estimate.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September 30,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300"/>
              <w:spacing w:after="0"/>
              <w:rPr>
                <w:sz w:val="20"/>
                <w:szCs w:val="20"/>
                <w:color w:val="auto"/>
              </w:rPr>
            </w:pPr>
            <w:r>
              <w:rPr>
                <w:rFonts w:ascii="Arial" w:cs="Arial" w:eastAsia="Arial" w:hAnsi="Arial"/>
                <w:sz w:val="22"/>
                <w:szCs w:val="22"/>
                <w:color w:val="auto"/>
              </w:rPr>
              <w:t>Payments due by period (in thousands)</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15"/>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Less than</w:t>
            </w:r>
          </w:p>
        </w:tc>
        <w:tc>
          <w:tcPr>
            <w:tcW w:w="320" w:type="dxa"/>
            <w:vAlign w:val="bottom"/>
          </w:tcPr>
          <w:p>
            <w:pPr>
              <w:spacing w:after="0"/>
              <w:rPr>
                <w:sz w:val="18"/>
                <w:szCs w:val="18"/>
                <w:color w:val="auto"/>
              </w:rPr>
            </w:pPr>
          </w:p>
        </w:tc>
        <w:tc>
          <w:tcPr>
            <w:tcW w:w="1100" w:type="dxa"/>
            <w:vAlign w:val="bottom"/>
          </w:tcPr>
          <w:p>
            <w:pPr>
              <w:jc w:val="right"/>
              <w:ind w:right="472"/>
              <w:spacing w:after="0" w:line="216" w:lineRule="exact"/>
              <w:rPr>
                <w:sz w:val="20"/>
                <w:szCs w:val="20"/>
                <w:color w:val="auto"/>
              </w:rPr>
            </w:pPr>
            <w:r>
              <w:rPr>
                <w:rFonts w:ascii="Arial" w:cs="Arial" w:eastAsia="Arial" w:hAnsi="Arial"/>
                <w:sz w:val="22"/>
                <w:szCs w:val="22"/>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72"/>
              <w:spacing w:after="0" w:line="216" w:lineRule="exact"/>
              <w:rPr>
                <w:sz w:val="20"/>
                <w:szCs w:val="20"/>
                <w:color w:val="auto"/>
              </w:rPr>
            </w:pPr>
            <w:r>
              <w:rPr>
                <w:rFonts w:ascii="Arial" w:cs="Arial" w:eastAsia="Arial" w:hAnsi="Arial"/>
                <w:sz w:val="22"/>
                <w:szCs w:val="22"/>
                <w:color w:val="auto"/>
                <w:w w:val="92"/>
              </w:rPr>
              <w:t>More than</w:t>
            </w:r>
          </w:p>
        </w:tc>
      </w:tr>
      <w:tr>
        <w:trPr>
          <w:trHeight w:val="265"/>
        </w:trPr>
        <w:tc>
          <w:tcPr>
            <w:tcW w:w="362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Obligations</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Total</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1 year</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years</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5 years</w:t>
            </w:r>
          </w:p>
        </w:tc>
      </w:tr>
      <w:tr>
        <w:trPr>
          <w:trHeight w:val="458"/>
        </w:trPr>
        <w:tc>
          <w:tcPr>
            <w:tcW w:w="3740" w:type="dxa"/>
            <w:vAlign w:val="bottom"/>
            <w:gridSpan w:val="2"/>
          </w:tcPr>
          <w:p>
            <w:pPr>
              <w:spacing w:after="0"/>
              <w:rPr>
                <w:sz w:val="20"/>
                <w:szCs w:val="20"/>
                <w:color w:val="auto"/>
              </w:rPr>
            </w:pPr>
            <w:r>
              <w:rPr>
                <w:rFonts w:ascii="Arial" w:cs="Arial" w:eastAsia="Arial" w:hAnsi="Arial"/>
                <w:sz w:val="22"/>
                <w:szCs w:val="22"/>
                <w:color w:val="auto"/>
              </w:rPr>
              <w:t>Contractual Obligations</w:t>
            </w:r>
            <w:r>
              <w:rPr>
                <w:rFonts w:ascii="Arial" w:cs="Arial" w:eastAsia="Arial" w:hAnsi="Arial"/>
                <w:sz w:val="11"/>
                <w:szCs w:val="11"/>
                <w:color w:val="auto"/>
              </w:rPr>
              <w:t>1</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180,845</w:t>
            </w: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85,279</w:t>
            </w:r>
          </w:p>
        </w:tc>
        <w:tc>
          <w:tcPr>
            <w:tcW w:w="12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75,910</w:t>
            </w:r>
          </w:p>
        </w:tc>
        <w:tc>
          <w:tcPr>
            <w:tcW w:w="10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19,656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977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977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15,126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2,350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3,458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2,630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6,688</w:t>
            </w:r>
          </w:p>
        </w:tc>
      </w:tr>
      <w:tr>
        <w:trPr>
          <w:trHeight w:val="265"/>
        </w:trPr>
        <w:tc>
          <w:tcPr>
            <w:tcW w:w="3740" w:type="dxa"/>
            <w:vAlign w:val="bottom"/>
            <w:gridSpan w:val="2"/>
          </w:tcPr>
          <w:p>
            <w:pPr>
              <w:spacing w:after="0"/>
              <w:rPr>
                <w:sz w:val="20"/>
                <w:szCs w:val="20"/>
                <w:color w:val="auto"/>
              </w:rPr>
            </w:pPr>
            <w:r>
              <w:rPr>
                <w:rFonts w:ascii="Arial" w:cs="Arial" w:eastAsia="Arial" w:hAnsi="Arial"/>
                <w:sz w:val="22"/>
                <w:szCs w:val="22"/>
                <w:color w:val="auto"/>
              </w:rPr>
              <w:t>Purchase Commitments</w:t>
            </w:r>
            <w:r>
              <w:rPr>
                <w:rFonts w:ascii="Arial" w:cs="Arial" w:eastAsia="Arial" w:hAnsi="Arial"/>
                <w:sz w:val="11"/>
                <w:szCs w:val="11"/>
                <w:color w:val="auto"/>
              </w:rPr>
              <w:t>2</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33,781</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33,781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230,729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122,387</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79,368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22,286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6,688</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Contractual obligations include our obligations related to sponsorships and other commitments.</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$5.3 million of unrecognized tax benefits have been recorded as liabilities as of September 30, 2018. It is expected that the amount of unrecognized tax benefits will not significantly change within the next 12 months. As of September 30, 2018, we had $1.0 million of accrued interest and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2017 (“Form 10-K”).</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Cost of Sales </w:t>
      </w:r>
      <w:r>
        <w:rPr>
          <w:rFonts w:ascii="Arial" w:cs="Arial" w:eastAsia="Arial" w:hAnsi="Arial"/>
          <w:sz w:val="19"/>
          <w:szCs w:val="19"/>
          <w:color w:val="auto"/>
        </w:rPr>
        <w:t>- Cost of sales consists of the costs of flavors, concentrates and/or beverage bases, the costs of raw materials utilized in</w:t>
      </w:r>
      <w:r>
        <w:rPr>
          <w:rFonts w:ascii="Arial" w:cs="Arial" w:eastAsia="Arial" w:hAnsi="Arial"/>
          <w:sz w:val="19"/>
          <w:szCs w:val="19"/>
          <w:i w:val="1"/>
          <w:iCs w:val="1"/>
          <w:color w:val="auto"/>
        </w:rPr>
        <w:t xml:space="preserve"> </w:t>
      </w:r>
      <w:r>
        <w:rPr>
          <w:rFonts w:ascii="Arial" w:cs="Arial" w:eastAsia="Arial" w:hAnsi="Arial"/>
          <w:sz w:val="19"/>
          <w:szCs w:val="19"/>
          <w:color w:val="auto"/>
        </w:rPr>
        <w:t>the manufacture of beverages, co-packing fees, repacking fees, in-bound freight charges, as well as certain internal transfer costs, warehouse expenses incurred prior to the manufacture of the Company’s finished products and certain quality control costs. In addition, the Company includes in cost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Recently issued accounting pronouncements not yet adopted</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52525"/>
        </w:rPr>
        <w:t xml:space="preserve">In August 2018, the Financial Accounting Standards Board (“FASB”) issued Accounting Standards Update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is effective for the Company on a prospective or retrospective basis beginning on January 1, 2020, with early adoption permitted. </w:t>
      </w:r>
      <w:r>
        <w:rPr>
          <w:rFonts w:ascii="Arial" w:cs="Arial" w:eastAsia="Arial" w:hAnsi="Arial"/>
          <w:sz w:val="20"/>
          <w:szCs w:val="20"/>
          <w:color w:val="000000"/>
        </w:rPr>
        <w:t>The Company is currently evaluating the impact of ASU No. 2018-15 on its financial position, results of</w:t>
      </w:r>
      <w:r>
        <w:rPr>
          <w:rFonts w:ascii="Arial" w:cs="Arial" w:eastAsia="Arial" w:hAnsi="Arial"/>
          <w:sz w:val="20"/>
          <w:szCs w:val="20"/>
          <w:color w:val="252525"/>
        </w:rPr>
        <w:t xml:space="preserve"> </w:t>
      </w:r>
      <w:r>
        <w:rPr>
          <w:rFonts w:ascii="Arial" w:cs="Arial" w:eastAsia="Arial" w:hAnsi="Arial"/>
          <w:sz w:val="20"/>
          <w:szCs w:val="20"/>
          <w:color w:val="000000"/>
        </w:rPr>
        <w:t>operations and liquidity.</w:t>
      </w:r>
    </w:p>
    <w:p>
      <w:pPr>
        <w:spacing w:after="0" w:line="20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52525"/>
        </w:rPr>
        <w:t xml:space="preserve">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with early adoption permitted. </w:t>
      </w:r>
      <w:r>
        <w:rPr>
          <w:rFonts w:ascii="Arial" w:cs="Arial" w:eastAsia="Arial" w:hAnsi="Arial"/>
          <w:sz w:val="18"/>
          <w:szCs w:val="18"/>
          <w:color w:val="000000"/>
        </w:rPr>
        <w:t>The</w:t>
      </w:r>
      <w:r>
        <w:rPr>
          <w:rFonts w:ascii="Arial" w:cs="Arial" w:eastAsia="Arial" w:hAnsi="Arial"/>
          <w:sz w:val="18"/>
          <w:szCs w:val="18"/>
          <w:color w:val="252525"/>
        </w:rPr>
        <w:t xml:space="preserve"> </w:t>
      </w:r>
      <w:r>
        <w:rPr>
          <w:rFonts w:ascii="Arial" w:cs="Arial" w:eastAsia="Arial" w:hAnsi="Arial"/>
          <w:sz w:val="18"/>
          <w:szCs w:val="18"/>
          <w:color w:val="000000"/>
        </w:rPr>
        <w:t>Company is currently evaluating the impact of ASU No. 2018-14 on its financial position, results of operations and liquidity.</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52525"/>
        </w:rPr>
        <w:t xml:space="preserve">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is effective for the Company beginning on January 1, 2020, with early adoption permitted. Certain disclosures in the new guidance will need to be applied on a retrospective basis and others on a prospective basis. </w:t>
      </w:r>
      <w:r>
        <w:rPr>
          <w:rFonts w:ascii="Arial" w:cs="Arial" w:eastAsia="Arial" w:hAnsi="Arial"/>
          <w:sz w:val="19"/>
          <w:szCs w:val="19"/>
          <w:color w:val="000000"/>
        </w:rPr>
        <w:t>The Company is currently evaluating the impact of ASU No. 2018-13 on its financial position, results of operations and</w:t>
      </w:r>
      <w:r>
        <w:rPr>
          <w:rFonts w:ascii="Arial" w:cs="Arial" w:eastAsia="Arial" w:hAnsi="Arial"/>
          <w:sz w:val="19"/>
          <w:szCs w:val="19"/>
          <w:color w:val="252525"/>
        </w:rPr>
        <w:t xml:space="preserve"> </w:t>
      </w:r>
      <w:r>
        <w:rPr>
          <w:rFonts w:ascii="Arial" w:cs="Arial" w:eastAsia="Arial" w:hAnsi="Arial"/>
          <w:sz w:val="19"/>
          <w:szCs w:val="19"/>
          <w:color w:val="000000"/>
        </w:rPr>
        <w:t>liquidity.</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252525"/>
        </w:rPr>
        <w:t xml:space="preserve">In February 2018, the FASB issued ASU No. 2018-02 (ASU No. 2018-02), “Income Statement - Reporting Comprehensive Income (Topic 220)”, which amends the previous guidance to allow for certain tax effects “stranded” in accumulated other comprehensive income, which are impacted by the </w:t>
      </w:r>
      <w:r>
        <w:rPr>
          <w:rFonts w:ascii="Arial" w:cs="Arial" w:eastAsia="Arial" w:hAnsi="Arial"/>
          <w:sz w:val="18"/>
          <w:szCs w:val="18"/>
          <w:color w:val="000000"/>
        </w:rPr>
        <w:t>Tax Reform Act</w:t>
      </w:r>
      <w:r>
        <w:rPr>
          <w:rFonts w:ascii="Arial" w:cs="Arial" w:eastAsia="Arial" w:hAnsi="Arial"/>
          <w:sz w:val="18"/>
          <w:szCs w:val="18"/>
          <w:color w:val="252525"/>
        </w:rPr>
        <w:t xml:space="preserve">, to be reclassified from accumulated other comprehensive income into retained earnings. This amendment pertains only to those items impacted by the new tax law and will not apply to any future tax effects stranded in accumulated other comprehensive income. This standard is effective for fiscal years beginning after December 15, 2018, and allows for early adoption. </w:t>
      </w:r>
      <w:r>
        <w:rPr>
          <w:rFonts w:ascii="Arial" w:cs="Arial" w:eastAsia="Arial" w:hAnsi="Arial"/>
          <w:sz w:val="18"/>
          <w:szCs w:val="18"/>
          <w:color w:val="000000"/>
        </w:rPr>
        <w:t>The</w:t>
      </w:r>
      <w:r>
        <w:rPr>
          <w:rFonts w:ascii="Arial" w:cs="Arial" w:eastAsia="Arial" w:hAnsi="Arial"/>
          <w:sz w:val="18"/>
          <w:szCs w:val="18"/>
          <w:color w:val="252525"/>
        </w:rPr>
        <w:t xml:space="preserve"> </w:t>
      </w:r>
      <w:r>
        <w:rPr>
          <w:rFonts w:ascii="Arial" w:cs="Arial" w:eastAsia="Arial" w:hAnsi="Arial"/>
          <w:sz w:val="18"/>
          <w:szCs w:val="18"/>
          <w:color w:val="000000"/>
        </w:rPr>
        <w:t>Company is currently evaluating the impact of ASU No. 2018-02 on its financial position, results of operations and liquidity.</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 xml:space="preserve">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Arial" w:cs="Arial" w:eastAsia="Arial" w:hAnsi="Arial"/>
          <w:sz w:val="19"/>
          <w:szCs w:val="19"/>
          <w:color w:val="000000"/>
        </w:rPr>
        <w:t>The Company is currently evaluating</w:t>
      </w:r>
      <w:r>
        <w:rPr>
          <w:rFonts w:ascii="Arial" w:cs="Arial" w:eastAsia="Arial" w:hAnsi="Arial"/>
          <w:sz w:val="19"/>
          <w:szCs w:val="19"/>
          <w:color w:val="252525"/>
        </w:rPr>
        <w:t xml:space="preserve"> </w:t>
      </w:r>
      <w:r>
        <w:rPr>
          <w:rFonts w:ascii="Arial" w:cs="Arial" w:eastAsia="Arial" w:hAnsi="Arial"/>
          <w:sz w:val="19"/>
          <w:szCs w:val="19"/>
          <w:color w:val="000000"/>
        </w:rPr>
        <w:t>the impact of ASU No. 2017-04 on its financial position, results of operations and liquidity.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has completed its initial assessment of ASU No. 2016-02 and currently believes the adoption will not have a material impact on its financial position, results of operations and liquidity. The Company anticipates finalizing its assessment prior to December 31, 2018.</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Recently adopted 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recognizes the income tax consequences of an intra-entity transfer of an asset other than inventory when the transfer occurs. ASU No. 2016-16 was effective for financial statements issued for annual periods beginning after December 15, 2017 and interim periods within those annual periods. </w:t>
      </w:r>
      <w:r>
        <w:rPr>
          <w:rFonts w:ascii="Arial" w:cs="Arial" w:eastAsia="Arial" w:hAnsi="Arial"/>
          <w:sz w:val="18"/>
          <w:szCs w:val="18"/>
          <w:color w:val="000000"/>
        </w:rPr>
        <w:t>The Company adopted ASU No. 2016-16 effective</w:t>
      </w:r>
      <w:r>
        <w:rPr>
          <w:rFonts w:ascii="Arial" w:cs="Arial" w:eastAsia="Arial" w:hAnsi="Arial"/>
          <w:sz w:val="18"/>
          <w:szCs w:val="18"/>
          <w:color w:val="252525"/>
        </w:rPr>
        <w:t xml:space="preserve"> </w:t>
      </w:r>
      <w:r>
        <w:rPr>
          <w:rFonts w:ascii="Arial" w:cs="Arial" w:eastAsia="Arial" w:hAnsi="Arial"/>
          <w:sz w:val="18"/>
          <w:szCs w:val="18"/>
          <w:color w:val="000000"/>
        </w:rPr>
        <w:t>January 1, 2018 on a modified retrospective basis, resulting in a $6.6 million reclassification of the unrecognized income tax effects related to assets transfers that occurred prior to the adoption from deferred income taxes to opening retained earnings.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May 2014, the FASB issued ASU No. 2014-09, “Revenue from Contracts with Customers (Topic 606)”, which superseded previous revenue recognition guidance. ASU No. 2014-09 and its amendments were included in ASC 606, “Revenue from Contracts with Customers”. ASC 606 requires that a company recognizes revenue at an amount that reflects the consideration to which the company expects to be entitled in exchange for transferring goods or services to a customer. The Company adopted ASC 606 effective January 1, 2018, using the modified retrospective approach, with no impact to the opening retained earnings. Results for periods beginning on or after January 1, 2018 are presented under ASC 606, while prior periods are not adjusted and continue to be reported in accordance with the prior accounting guidance under ASC 605,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6"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effects of our arbitration with TCCC regarding energy products developed by TCCC;</w:t>
      </w:r>
    </w:p>
    <w:p>
      <w:pPr>
        <w:ind w:left="38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380" w:hanging="372"/>
        <w:spacing w:after="0" w:line="266"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TCCC’s refranchising initiative to transition from a TCCC owned system to an independent bottling system, including our ability to maintain relationships with TCCC system bottlers/distributors and manage their ongoing commitment to focus on our products;</w:t>
      </w:r>
    </w:p>
    <w:p>
      <w:pPr>
        <w:ind w:left="38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380" w:right="2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possible slowing of and/or decline in the sales growth rates of the energy drink category and/or the U.S. convenience store market generally;</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380" w:hanging="372"/>
        <w:spacing w:after="0"/>
        <w:tabs>
          <w:tab w:leader="none" w:pos="3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Fluctuations in the inventory levels of our bottlers/distributors, planned or otherwise, and the resultant impact on our revenues;</w:t>
      </w:r>
    </w:p>
    <w:p>
      <w:pPr>
        <w:spacing w:after="0" w:line="11" w:lineRule="exact"/>
        <w:rPr>
          <w:rFonts w:ascii="Arial" w:cs="Arial" w:eastAsia="Arial" w:hAnsi="Arial"/>
          <w:sz w:val="19"/>
          <w:szCs w:val="19"/>
          <w:color w:val="auto"/>
        </w:rPr>
      </w:pPr>
    </w:p>
    <w:p>
      <w:pPr>
        <w:ind w:left="380" w:right="20" w:hanging="372"/>
        <w:spacing w:after="0" w:line="266"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jc w:val="both"/>
        <w:ind w:left="380" w:hanging="372"/>
        <w:spacing w:after="0" w:line="252" w:lineRule="auto"/>
        <w:tabs>
          <w:tab w:leader="none" w:pos="3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ind w:left="38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comply with regulations and evolving industry standards regarding consumer privacy and data use and security, including with respect to the General Data Protection Regulation approved by the European Union;</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ind w:left="380" w:hanging="372"/>
        <w:spacing w:after="0" w:line="252" w:lineRule="auto"/>
        <w:tabs>
          <w:tab w:leader="none" w:pos="3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80" w:hanging="372"/>
        <w:spacing w:after="0" w:line="244"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Implications of the Tax Reform Act;</w:t>
      </w: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80" w:hanging="372"/>
        <w:spacing w:after="0" w:line="252" w:lineRule="auto"/>
        <w:tabs>
          <w:tab w:leader="none" w:pos="3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outcome of any other litigation;</w:t>
      </w: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Unfavorable resolution of tax matters;</w:t>
      </w: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Uncertainty and volatility in the domestic and global economies;</w:t>
      </w: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our expansion plans and general operating activities;</w:t>
      </w:r>
    </w:p>
    <w:p>
      <w:pPr>
        <w:jc w:val="both"/>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w:t>
      </w: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impact on our business of 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implement and/or maintain price increases;</w:t>
      </w: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achieve growth for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2" w:lineRule="exact"/>
        <w:rPr>
          <w:rFonts w:ascii="Arial" w:cs="Arial" w:eastAsia="Arial" w:hAnsi="Arial"/>
          <w:sz w:val="20"/>
          <w:szCs w:val="20"/>
          <w:color w:val="auto"/>
        </w:rPr>
      </w:pPr>
    </w:p>
    <w:p>
      <w:pPr>
        <w:jc w:val="both"/>
        <w:ind w:left="380" w:hanging="372"/>
        <w:spacing w:after="0" w:line="266"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8"/>
          <w:szCs w:val="18"/>
          <w:color w:val="auto"/>
        </w:rPr>
      </w:pPr>
    </w:p>
    <w:p>
      <w:pPr>
        <w:jc w:val="both"/>
        <w:ind w:left="380" w:right="20" w:hanging="372"/>
        <w:spacing w:after="0" w:line="241"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80" w:hanging="372"/>
        <w:spacing w:after="0" w:line="252" w:lineRule="auto"/>
        <w:tabs>
          <w:tab w:leader="none" w:pos="3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 including, without limitation, PET containers used for our Monster Hydro® energy drinks and 24-ounce aluminum cap cans;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spacing w:after="0" w:line="22" w:lineRule="exact"/>
        <w:rPr>
          <w:rFonts w:ascii="Arial" w:cs="Arial" w:eastAsia="Arial" w:hAnsi="Arial"/>
          <w:sz w:val="18"/>
          <w:szCs w:val="18"/>
          <w:color w:val="auto"/>
        </w:rPr>
      </w:pP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by the full service bottlers/distributors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effects of retailer consolidation on our business;</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Unforeseen economic and political changes and local or international catastrophic events;</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80" w:hanging="372"/>
        <w:spacing w:after="0" w:line="252" w:lineRule="auto"/>
        <w:tabs>
          <w:tab w:leader="none" w:pos="3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Our ability to make suitable arrangements for the co-packing of any of our products both domestically and internationally, the timely replacement of discontinued co-packing arrangements and/or limitations on co-packing availability, including for retort production;</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 as well as negatively impact the motivation of equity award grantees;</w:t>
      </w:r>
    </w:p>
    <w:p>
      <w:pPr>
        <w:spacing w:after="0" w:line="1" w:lineRule="exact"/>
        <w:rPr>
          <w:rFonts w:ascii="Arial" w:cs="Arial" w:eastAsia="Arial" w:hAnsi="Arial"/>
          <w:sz w:val="20"/>
          <w:szCs w:val="20"/>
          <w:color w:val="auto"/>
        </w:rPr>
      </w:pPr>
    </w:p>
    <w:p>
      <w:pPr>
        <w:ind w:left="380" w:right="2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September 30, 2018 compared with the disclosures in Part II, Item 7A of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September 30, 2018,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 Note 11. Commitments and Contingencies: Legal Proceedings in Part I, Item 1, of this Quarterly Report on Form 10-Q.</w:t>
      </w:r>
    </w:p>
    <w:p>
      <w:pPr>
        <w:spacing w:after="0" w:line="16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240" w:type="dxa"/>
            <w:vAlign w:val="bottom"/>
            <w:gridSpan w:val="7"/>
          </w:tcPr>
          <w:p>
            <w:pPr>
              <w:ind w:left="4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180" w:type="dxa"/>
            <w:vAlign w:val="bottom"/>
          </w:tcPr>
          <w:p>
            <w:pPr>
              <w:ind w:left="660"/>
              <w:spacing w:after="0"/>
              <w:rPr>
                <w:sz w:val="20"/>
                <w:szCs w:val="20"/>
                <w:color w:val="auto"/>
              </w:rPr>
            </w:pPr>
            <w:r>
              <w:rPr>
                <w:rFonts w:ascii="Arial" w:cs="Arial" w:eastAsia="Arial" w:hAnsi="Arial"/>
                <w:sz w:val="20"/>
                <w:szCs w:val="20"/>
                <w:color w:val="auto"/>
                <w:w w:val="93"/>
              </w:rPr>
              <w:t>None.</w:t>
            </w: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240" w:type="dxa"/>
            <w:vAlign w:val="bottom"/>
            <w:gridSpan w:val="7"/>
          </w:tcPr>
          <w:p>
            <w:pPr>
              <w:ind w:left="40"/>
              <w:spacing w:after="0"/>
              <w:rPr>
                <w:sz w:val="20"/>
                <w:szCs w:val="20"/>
                <w:color w:val="auto"/>
              </w:rPr>
            </w:pPr>
            <w:r>
              <w:rPr>
                <w:rFonts w:ascii="Arial" w:cs="Arial" w:eastAsia="Arial" w:hAnsi="Arial"/>
                <w:sz w:val="20"/>
                <w:szCs w:val="20"/>
                <w:b w:val="1"/>
                <w:bCs w:val="1"/>
                <w:color w:val="auto"/>
              </w:rPr>
              <w:t>EXHIBITS</w:t>
            </w:r>
          </w:p>
        </w:tc>
      </w:tr>
      <w:tr>
        <w:trPr>
          <w:trHeight w:val="415"/>
        </w:trPr>
        <w:tc>
          <w:tcPr>
            <w:tcW w:w="1180" w:type="dxa"/>
            <w:vAlign w:val="bottom"/>
          </w:tcPr>
          <w:p>
            <w:pPr>
              <w:spacing w:after="0"/>
              <w:rPr>
                <w:sz w:val="20"/>
                <w:szCs w:val="20"/>
                <w:color w:val="auto"/>
              </w:rPr>
            </w:pPr>
            <w:r>
              <w:rPr>
                <w:rFonts w:ascii="Arial" w:cs="Arial" w:eastAsia="Arial" w:hAnsi="Arial"/>
                <w:sz w:val="20"/>
                <w:szCs w:val="20"/>
                <w:color w:val="auto"/>
              </w:rPr>
              <w:t>31.1*</w:t>
            </w:r>
          </w:p>
        </w:tc>
        <w:tc>
          <w:tcPr>
            <w:tcW w:w="400" w:type="dxa"/>
            <w:vAlign w:val="bottom"/>
          </w:tcPr>
          <w:p>
            <w:pPr>
              <w:spacing w:after="0"/>
              <w:rPr>
                <w:sz w:val="24"/>
                <w:szCs w:val="24"/>
                <w:color w:val="auto"/>
              </w:rPr>
            </w:pPr>
          </w:p>
        </w:tc>
        <w:tc>
          <w:tcPr>
            <w:tcW w:w="7920" w:type="dxa"/>
            <w:vAlign w:val="bottom"/>
            <w:tcBorders>
              <w:bottom w:val="single" w:sz="8" w:color="0000EE"/>
            </w:tcBorders>
            <w:gridSpan w:val="3"/>
          </w:tcPr>
          <w:p>
            <w:pPr>
              <w:spacing w:after="0"/>
              <w:rPr>
                <w:rFonts w:ascii="Arial" w:cs="Arial" w:eastAsia="Arial" w:hAnsi="Arial"/>
                <w:sz w:val="20"/>
                <w:szCs w:val="20"/>
                <w:color w:val="0000EE"/>
                <w:w w:val="91"/>
              </w:rPr>
            </w:pPr>
            <w:hyperlink w:anchor="page52">
              <w:r>
                <w:rPr>
                  <w:rFonts w:ascii="Arial" w:cs="Arial" w:eastAsia="Arial" w:hAnsi="Arial"/>
                  <w:sz w:val="20"/>
                  <w:szCs w:val="20"/>
                  <w:color w:val="0000EE"/>
                  <w:w w:val="91"/>
                </w:rPr>
                <w:t>Certification of Chief Executive Officer Pursuant to Section 302 of the Sarbanes-Oxley Act of 2002</w:t>
              </w:r>
            </w:hyperlink>
          </w:p>
        </w:tc>
        <w:tc>
          <w:tcPr>
            <w:tcW w:w="1920" w:type="dxa"/>
            <w:vAlign w:val="bottom"/>
            <w:gridSpan w:val="3"/>
          </w:tcPr>
          <w:p>
            <w:pPr>
              <w:spacing w:after="0"/>
              <w:rPr>
                <w:sz w:val="24"/>
                <w:szCs w:val="24"/>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20"/>
                <w:szCs w:val="20"/>
                <w:color w:val="auto"/>
              </w:rPr>
              <w:t>31.2*</w:t>
            </w:r>
          </w:p>
        </w:tc>
        <w:tc>
          <w:tcPr>
            <w:tcW w:w="40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20"/>
                <w:szCs w:val="20"/>
                <w:color w:val="0000EE"/>
              </w:rPr>
            </w:pPr>
            <w:hyperlink w:anchor="page53">
              <w:r>
                <w:rPr>
                  <w:rFonts w:ascii="Arial" w:cs="Arial" w:eastAsia="Arial" w:hAnsi="Arial"/>
                  <w:sz w:val="20"/>
                  <w:szCs w:val="20"/>
                  <w:color w:val="0000EE"/>
                </w:rPr>
                <w:t>Certification of Chief Financial Officer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20"/>
                <w:szCs w:val="20"/>
                <w:color w:val="auto"/>
              </w:rPr>
              <w:t>32.1*</w:t>
            </w:r>
          </w:p>
        </w:tc>
        <w:tc>
          <w:tcPr>
            <w:tcW w:w="400" w:type="dxa"/>
            <w:vAlign w:val="bottom"/>
          </w:tcPr>
          <w:p>
            <w:pPr>
              <w:spacing w:after="0"/>
              <w:rPr>
                <w:sz w:val="24"/>
                <w:szCs w:val="24"/>
                <w:color w:val="auto"/>
              </w:rPr>
            </w:pPr>
          </w:p>
        </w:tc>
        <w:tc>
          <w:tcPr>
            <w:tcW w:w="9480" w:type="dxa"/>
            <w:vAlign w:val="bottom"/>
            <w:tcBorders>
              <w:bottom w:val="single" w:sz="8" w:color="0000EE"/>
            </w:tcBorders>
            <w:gridSpan w:val="5"/>
          </w:tcPr>
          <w:p>
            <w:pPr>
              <w:spacing w:after="0"/>
              <w:rPr>
                <w:rFonts w:ascii="Arial" w:cs="Arial" w:eastAsia="Arial" w:hAnsi="Arial"/>
                <w:sz w:val="20"/>
                <w:szCs w:val="20"/>
                <w:color w:val="0000EE"/>
                <w:w w:val="90"/>
              </w:rPr>
            </w:pPr>
            <w:hyperlink w:anchor="page54">
              <w:r>
                <w:rPr>
                  <w:rFonts w:ascii="Arial" w:cs="Arial" w:eastAsia="Arial" w:hAnsi="Arial"/>
                  <w:sz w:val="20"/>
                  <w:szCs w:val="20"/>
                  <w:color w:val="0000EE"/>
                  <w:w w:val="90"/>
                </w:rPr>
                <w:t>Certification of Chief Executive Officer Pursuant to 18 U.S.C. Section 1350, as Adopted Pursuant to Section 906 of the</w:t>
              </w:r>
            </w:hyperlink>
          </w:p>
        </w:tc>
        <w:tc>
          <w:tcPr>
            <w:tcW w:w="360" w:type="dxa"/>
            <w:vAlign w:val="bottom"/>
          </w:tcPr>
          <w:p>
            <w:pPr>
              <w:spacing w:after="0"/>
              <w:rPr>
                <w:sz w:val="24"/>
                <w:szCs w:val="24"/>
                <w:color w:val="auto"/>
              </w:rPr>
            </w:pPr>
          </w:p>
        </w:tc>
      </w:tr>
      <w:tr>
        <w:trPr>
          <w:trHeight w:val="210"/>
        </w:trPr>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40" w:type="dxa"/>
            <w:vAlign w:val="bottom"/>
            <w:gridSpan w:val="6"/>
          </w:tcPr>
          <w:p>
            <w:pPr>
              <w:spacing w:after="0" w:line="209" w:lineRule="exact"/>
              <w:rPr>
                <w:rFonts w:ascii="Arial" w:cs="Arial" w:eastAsia="Arial" w:hAnsi="Arial"/>
                <w:sz w:val="20"/>
                <w:szCs w:val="20"/>
                <w:color w:val="0000EE"/>
              </w:rPr>
            </w:pPr>
            <w:hyperlink w:anchor="page54">
              <w:r>
                <w:rPr>
                  <w:rFonts w:ascii="Arial" w:cs="Arial" w:eastAsia="Arial" w:hAnsi="Arial"/>
                  <w:sz w:val="20"/>
                  <w:szCs w:val="20"/>
                  <w:color w:val="0000EE"/>
                </w:rPr>
                <w:t>Sarbanes-Oxley Act of 2002</w:t>
              </w:r>
            </w:hyperlink>
          </w:p>
        </w:tc>
      </w:tr>
      <w:tr>
        <w:trPr>
          <w:trHeight w:val="20"/>
        </w:trPr>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1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20"/>
                <w:szCs w:val="20"/>
                <w:color w:val="auto"/>
              </w:rPr>
              <w:t>32.2*</w:t>
            </w:r>
          </w:p>
        </w:tc>
        <w:tc>
          <w:tcPr>
            <w:tcW w:w="40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20"/>
                <w:szCs w:val="20"/>
                <w:color w:val="0000EE"/>
                <w:w w:val="94"/>
              </w:rPr>
            </w:pPr>
            <w:hyperlink w:anchor="page55">
              <w:r>
                <w:rPr>
                  <w:rFonts w:ascii="Arial" w:cs="Arial" w:eastAsia="Arial" w:hAnsi="Arial"/>
                  <w:sz w:val="20"/>
                  <w:szCs w:val="20"/>
                  <w:color w:val="0000EE"/>
                  <w:w w:val="94"/>
                </w:rPr>
                <w:t>Certification by Chief Financial Officer Pursuant to 18 U.S.C. Section 1350, as Adopted Pursuant to Section 906 of the</w:t>
              </w:r>
            </w:hyperlink>
          </w:p>
        </w:tc>
      </w:tr>
      <w:tr>
        <w:trPr>
          <w:trHeight w:val="210"/>
        </w:trPr>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4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w:anchor="page55">
              <w:r>
                <w:rPr>
                  <w:rFonts w:ascii="Arial" w:cs="Arial" w:eastAsia="Arial" w:hAnsi="Arial"/>
                  <w:sz w:val="20"/>
                  <w:szCs w:val="20"/>
                  <w:color w:val="0000EE"/>
                </w:rPr>
                <w:t>Sarbanes-Oxley Act of 2002</w:t>
              </w:r>
            </w:hyperlink>
          </w:p>
        </w:tc>
        <w:tc>
          <w:tcPr>
            <w:tcW w:w="400" w:type="dxa"/>
            <w:vAlign w:val="bottom"/>
            <w:gridSpan w:val="2"/>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r>
      <w:tr>
        <w:trPr>
          <w:trHeight w:val="449"/>
        </w:trPr>
        <w:tc>
          <w:tcPr>
            <w:tcW w:w="1180" w:type="dxa"/>
            <w:vAlign w:val="bottom"/>
          </w:tcPr>
          <w:p>
            <w:pPr>
              <w:spacing w:after="0"/>
              <w:rPr>
                <w:sz w:val="20"/>
                <w:szCs w:val="20"/>
                <w:color w:val="auto"/>
              </w:rPr>
            </w:pPr>
            <w:r>
              <w:rPr>
                <w:rFonts w:ascii="Arial" w:cs="Arial" w:eastAsia="Arial" w:hAnsi="Arial"/>
                <w:sz w:val="20"/>
                <w:szCs w:val="20"/>
                <w:color w:val="auto"/>
              </w:rPr>
              <w:t>101*</w:t>
            </w:r>
          </w:p>
        </w:tc>
        <w:tc>
          <w:tcPr>
            <w:tcW w:w="40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20"/>
                <w:szCs w:val="20"/>
                <w:color w:val="auto"/>
                <w:w w:val="93"/>
              </w:rPr>
              <w:t>The following financial information from Monster Beverage Corporation’s Quarterly Report on Form 10-Q for the quarter</w:t>
            </w:r>
          </w:p>
        </w:tc>
      </w:tr>
      <w:tr>
        <w:trPr>
          <w:trHeight w:val="246"/>
        </w:trPr>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40" w:type="dxa"/>
            <w:vAlign w:val="bottom"/>
            <w:gridSpan w:val="6"/>
          </w:tcPr>
          <w:p>
            <w:pPr>
              <w:spacing w:after="0"/>
              <w:rPr>
                <w:sz w:val="20"/>
                <w:szCs w:val="20"/>
                <w:color w:val="auto"/>
              </w:rPr>
            </w:pPr>
            <w:r>
              <w:rPr>
                <w:rFonts w:ascii="Arial" w:cs="Arial" w:eastAsia="Arial" w:hAnsi="Arial"/>
                <w:sz w:val="20"/>
                <w:szCs w:val="20"/>
                <w:color w:val="auto"/>
                <w:w w:val="92"/>
              </w:rPr>
              <w:t>ended September 30, 2018, formatted in XBRL (eXtensible Business Reporting Language): (i) Condensed Consolidated</w:t>
            </w:r>
          </w:p>
        </w:tc>
      </w:tr>
    </w:tbl>
    <w:p>
      <w:pPr>
        <w:jc w:val="both"/>
        <w:ind w:left="1580" w:right="40"/>
        <w:spacing w:after="0"/>
        <w:rPr>
          <w:sz w:val="20"/>
          <w:szCs w:val="20"/>
          <w:color w:val="auto"/>
        </w:rPr>
      </w:pPr>
      <w:r>
        <w:rPr>
          <w:rFonts w:ascii="Arial" w:cs="Arial" w:eastAsia="Arial" w:hAnsi="Arial"/>
          <w:sz w:val="20"/>
          <w:szCs w:val="20"/>
          <w:color w:val="auto"/>
        </w:rPr>
        <w:t>Balance Sheets as of September 30, 2018 and December 31, 2017, (ii) Condensed Consolidated Statements of Income for the three- and nine-months ended September 30, 2018 and 2017, (iii) Condensed Consolidated Statements of Comprehensive Income for the three- and nine-months ended September 30, 2018 and 2017, (iv) Condensed Consolidated Statements of Cash Flows for the nine-months ended September 30, 2018 and 2017, and (v) the Notes to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8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800" w:type="dxa"/>
            <w:vAlign w:val="bottom"/>
          </w:tcPr>
          <w:p>
            <w:pPr>
              <w:spacing w:after="0"/>
              <w:rPr>
                <w:sz w:val="20"/>
                <w:szCs w:val="20"/>
                <w:color w:val="auto"/>
              </w:rPr>
            </w:pPr>
            <w:r>
              <w:rPr>
                <w:rFonts w:ascii="Arial" w:cs="Arial" w:eastAsia="Arial" w:hAnsi="Arial"/>
                <w:sz w:val="20"/>
                <w:szCs w:val="20"/>
                <w:color w:val="auto"/>
              </w:rPr>
              <w:t>Date: November 8, 2018</w:t>
            </w:r>
          </w:p>
        </w:tc>
        <w:tc>
          <w:tcPr>
            <w:tcW w:w="1940" w:type="dxa"/>
            <w:vAlign w:val="bottom"/>
          </w:tcPr>
          <w:p>
            <w:pPr>
              <w:spacing w:after="0"/>
              <w:rPr>
                <w:sz w:val="24"/>
                <w:szCs w:val="24"/>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/s/ RODNEY C. SACKS</w:t>
            </w:r>
          </w:p>
        </w:tc>
        <w:tc>
          <w:tcPr>
            <w:tcW w:w="3740" w:type="dxa"/>
            <w:vAlign w:val="bottom"/>
          </w:tcPr>
          <w:p>
            <w:pPr>
              <w:spacing w:after="0"/>
              <w:rPr>
                <w:sz w:val="24"/>
                <w:szCs w:val="24"/>
                <w:color w:val="auto"/>
              </w:rPr>
            </w:pPr>
          </w:p>
        </w:tc>
      </w:tr>
      <w:tr>
        <w:trPr>
          <w:trHeight w:val="233"/>
        </w:trPr>
        <w:tc>
          <w:tcPr>
            <w:tcW w:w="3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Rodney C. Sacks</w:t>
            </w:r>
          </w:p>
        </w:tc>
      </w:tr>
      <w:tr>
        <w:trPr>
          <w:trHeight w:val="230"/>
        </w:trPr>
        <w:tc>
          <w:tcPr>
            <w:tcW w:w="3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8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42"/>
        </w:trPr>
        <w:tc>
          <w:tcPr>
            <w:tcW w:w="3800" w:type="dxa"/>
            <w:vAlign w:val="bottom"/>
          </w:tcPr>
          <w:p>
            <w:pPr>
              <w:spacing w:after="0"/>
              <w:rPr>
                <w:sz w:val="24"/>
                <w:szCs w:val="24"/>
                <w:color w:val="auto"/>
              </w:rPr>
            </w:pPr>
          </w:p>
        </w:tc>
        <w:tc>
          <w:tcPr>
            <w:tcW w:w="3920" w:type="dxa"/>
            <w:vAlign w:val="bottom"/>
            <w:gridSpan w:val="2"/>
          </w:tcPr>
          <w:p>
            <w:pPr>
              <w:jc w:val="right"/>
              <w:ind w:right="1821"/>
              <w:spacing w:after="0"/>
              <w:rPr>
                <w:sz w:val="20"/>
                <w:szCs w:val="20"/>
                <w:color w:val="auto"/>
              </w:rPr>
            </w:pPr>
            <w:r>
              <w:rPr>
                <w:rFonts w:ascii="Arial" w:cs="Arial" w:eastAsia="Arial" w:hAnsi="Arial"/>
                <w:sz w:val="18"/>
                <w:szCs w:val="18"/>
                <w:color w:val="auto"/>
              </w:rPr>
              <w:t>52</w:t>
            </w:r>
          </w:p>
        </w:tc>
        <w:tc>
          <w:tcPr>
            <w:tcW w:w="37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2" w:name="page53"/>
    <w:bookmarkEnd w:id="5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4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4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4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280"/>
              <w:spacing w:after="0"/>
              <w:rPr>
                <w:sz w:val="20"/>
                <w:szCs w:val="20"/>
                <w:color w:val="auto"/>
              </w:rPr>
            </w:pPr>
            <w:r>
              <w:rPr>
                <w:rFonts w:ascii="Arial" w:cs="Arial" w:eastAsia="Arial" w:hAnsi="Arial"/>
                <w:sz w:val="18"/>
                <w:szCs w:val="18"/>
                <w:color w:val="auto"/>
              </w:rPr>
              <w:t>November 8, 2018</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/s/Rodney C. Sacks</w:t>
            </w:r>
          </w:p>
        </w:tc>
        <w:tc>
          <w:tcPr>
            <w:tcW w:w="4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3" w:name="page54"/>
    <w:bookmarkEnd w:id="5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right="40" w:hanging="332"/>
        <w:spacing w:after="0" w:line="342" w:lineRule="auto"/>
        <w:tabs>
          <w:tab w:leader="none" w:pos="4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40" w:hanging="332"/>
        <w:spacing w:after="0" w:line="277"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40" w:hanging="332"/>
        <w:spacing w:after="0" w:line="264" w:lineRule="auto"/>
        <w:tabs>
          <w:tab w:leader="none" w:pos="4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93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right="40" w:hanging="315"/>
        <w:spacing w:after="0" w:line="264"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right="40" w:hanging="315"/>
        <w:spacing w:after="0" w:line="342" w:lineRule="auto"/>
        <w:tabs>
          <w:tab w:leader="none" w:pos="16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right="40" w:hanging="315"/>
        <w:spacing w:after="0" w:line="264" w:lineRule="auto"/>
        <w:tabs>
          <w:tab w:leader="none" w:pos="1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46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right="40" w:hanging="315"/>
        <w:spacing w:after="0" w:line="308" w:lineRule="auto"/>
        <w:tabs>
          <w:tab w:leader="none" w:pos="1758"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right="40" w:hanging="315"/>
        <w:spacing w:after="0" w:line="277" w:lineRule="auto"/>
        <w:tabs>
          <w:tab w:leader="none" w:pos="1633"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240"/>
              <w:spacing w:after="0"/>
              <w:rPr>
                <w:sz w:val="20"/>
                <w:szCs w:val="20"/>
                <w:color w:val="auto"/>
              </w:rPr>
            </w:pPr>
            <w:r>
              <w:rPr>
                <w:rFonts w:ascii="Arial" w:cs="Arial" w:eastAsia="Arial" w:hAnsi="Arial"/>
                <w:sz w:val="18"/>
                <w:szCs w:val="18"/>
                <w:color w:val="auto"/>
              </w:rPr>
              <w:t>November 8,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6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4" w:name="page55"/>
    <w:bookmarkEnd w:id="54"/>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quarterly report of Monster Beverage Corporation (the “Company”) on Form 10-Q for the quarter ended September 30, 2018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66"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12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80"/>
              <w:spacing w:after="0"/>
              <w:rPr>
                <w:sz w:val="20"/>
                <w:szCs w:val="20"/>
                <w:color w:val="auto"/>
              </w:rPr>
            </w:pPr>
            <w:r>
              <w:rPr>
                <w:rFonts w:ascii="Arial" w:cs="Arial" w:eastAsia="Arial" w:hAnsi="Arial"/>
                <w:sz w:val="18"/>
                <w:szCs w:val="18"/>
                <w:color w:val="auto"/>
              </w:rPr>
              <w:t>November 8,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c>
          <w:tcPr>
            <w:tcW w:w="40" w:type="dxa"/>
            <w:vAlign w:val="bottom"/>
          </w:tcPr>
          <w:p>
            <w:pPr>
              <w:spacing w:after="0"/>
              <w:rPr>
                <w:sz w:val="20"/>
                <w:szCs w:val="20"/>
                <w:color w:val="auto"/>
              </w:rPr>
            </w:pPr>
          </w:p>
        </w:tc>
      </w:tr>
      <w:tr>
        <w:trPr>
          <w:trHeight w:val="195"/>
        </w:trPr>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5" w:name="page56"/>
    <w:bookmarkEnd w:id="55"/>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September 30, 2018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80"/>
              <w:spacing w:after="0"/>
              <w:rPr>
                <w:sz w:val="20"/>
                <w:szCs w:val="20"/>
                <w:color w:val="auto"/>
              </w:rPr>
            </w:pPr>
            <w:r>
              <w:rPr>
                <w:rFonts w:ascii="Arial" w:cs="Arial" w:eastAsia="Arial" w:hAnsi="Arial"/>
                <w:sz w:val="18"/>
                <w:szCs w:val="18"/>
                <w:color w:val="auto"/>
              </w:rPr>
              <w:t>November 8,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0"/>
                <w:szCs w:val="20"/>
                <w:color w:val="auto"/>
              </w:rPr>
            </w:pPr>
          </w:p>
        </w:tc>
      </w:tr>
      <w:tr>
        <w:trPr>
          <w:trHeight w:val="195"/>
        </w:trPr>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c>
          <w:tcPr>
            <w:tcW w:w="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Financial Officer and Secretary</w:t>
            </w:r>
          </w:p>
        </w:tc>
        <w:tc>
          <w:tcPr>
            <w:tcW w:w="4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Roman"/>
      <w:start w:val="1"/>
    </w:lvl>
  </w:abstractNum>
  <w:abstractNum w:abstractNumId="5">
    <w:nsid w:val="257130A3"/>
    <w:multiLevelType w:val="hybridMultilevel"/>
    <w:lvl w:ilvl="0">
      <w:lvlJc w:val="left"/>
      <w:lvlText w:val="1"/>
      <w:numFmt w:val="bullet"/>
      <w:start w:val="1"/>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6"/>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2"/>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abstractNum>
  <w:abstractNum w:abstractNumId="19">
    <w:nsid w:val="189A769B"/>
    <w:multiLevelType w:val="hybridMultilevel"/>
    <w:lvl w:ilvl="0">
      <w:lvlJc w:val="left"/>
      <w:lvlText w:val="%1."/>
      <w:numFmt w:val="decimal"/>
      <w:start w:val="17"/>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8"/>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Roman"/>
      <w:start w:val="5"/>
    </w:lvl>
  </w:abstractNum>
  <w:abstractNum w:abstractNumId="24">
    <w:nsid w:val="2901D82"/>
    <w:multiLevelType w:val="hybridMultilevel"/>
    <w:lvl w:ilvl="0">
      <w:lvlJc w:val="left"/>
      <w:lvlText w:val="(%1)"/>
      <w:numFmt w:val="lowerRoman"/>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2019-12-28T18:08:50Z</dcterms:created>
  <dcterms:modified xsi:type="dcterms:W3CDTF">2019-12-28T18:08:50Z</dcterms:modified>
</cp:coreProperties>
</file>