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nst-20250331x10q.htm"/>
        <w:bookmarkStart w:id="1" w:name="ksmnst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bookmarkStart w:id="2" w:name="_637e7a94_0f5a_4bae_af7e_81bfa782f00f"/>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Quarterly</w:t>
      </w:r>
      <w:r>
        <w:rPr>
          <w:rFonts w:ascii="Times New Roman;Times;serif" w:hAnsi="Times New Roman;Times;serif"/>
          <w:sz w:val="24"/>
        </w:rPr>
        <w:t xml:space="preserve"> </w:t>
      </w:r>
      <w:r>
        <w:rPr>
          <w:rFonts w:ascii="Times New Roman;Times;serif" w:hAnsi="Times New Roman;Times;serif"/>
          <w:b/>
          <w:sz w:val="24"/>
        </w:rPr>
        <w:t>Report</w:t>
      </w:r>
      <w:r>
        <w:rPr>
          <w:rFonts w:ascii="Times New Roman;Times;serif" w:hAnsi="Times New Roman;Times;serif"/>
          <w:sz w:val="24"/>
        </w:rPr>
        <w:t xml:space="preserve"> </w:t>
      </w:r>
      <w:r>
        <w:rPr>
          <w:rFonts w:ascii="Times New Roman;Times;serif" w:hAnsi="Times New Roman;Times;serif"/>
          <w:b/>
          <w:sz w:val="24"/>
        </w:rPr>
        <w:t>Pursuant to Section 13 or 15(d)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the Securities Exchange Act of 1934</w:t>
      </w:r>
    </w:p>
    <w:p>
      <w:pPr>
        <w:pStyle w:val="TextBody"/>
        <w:bidi w:val="0"/>
        <w:spacing w:before="0" w:after="0"/>
        <w:ind w:left="0" w:right="0" w:hanging="0"/>
        <w:jc w:val="center"/>
        <w:rPr/>
      </w:pPr>
      <w:r>
        <w:rPr/>
        <w:t>​</w:t>
      </w:r>
    </w:p>
    <w:tbl>
      <w:tblPr>
        <w:tblW w:w="7191" w:type="dxa"/>
        <w:jc w:val="left"/>
        <w:tblInd w:w="0" w:type="dxa"/>
        <w:tblLayout w:type="fixed"/>
        <w:tblCellMar>
          <w:top w:w="0" w:type="dxa"/>
          <w:left w:w="0" w:type="dxa"/>
          <w:bottom w:w="0" w:type="dxa"/>
          <w:right w:w="0" w:type="dxa"/>
        </w:tblCellMar>
      </w:tblPr>
      <w:tblGrid>
        <w:gridCol w:w="3916"/>
        <w:gridCol w:w="3121"/>
        <w:gridCol w:w="154"/>
      </w:tblGrid>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quarterly period ended March 31, 2025</w:t>
            </w:r>
          </w:p>
        </w:tc>
        <w:tc>
          <w:tcPr>
            <w:tcW w:w="3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Commission File Number 001-18761</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MONSTER BEVERAGE CORPORATION</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3qo7Yv6SI0mEPWEJmpY-Bg_3_2"/>
      <w:bookmarkStart w:id="4" w:name="Tc_Zz3v5gZU7EumHWCLp2BbpA_3_0"/>
      <w:bookmarkStart w:id="5" w:name="Tc_DYTwPvxNd0W6O9SWYyqxaQ_2_2"/>
      <w:bookmarkStart w:id="6" w:name="Tc_RK2ri8TWQkO7NRcnnKPOng_2_0"/>
      <w:bookmarkStart w:id="7" w:name="_7c34c122_80de_42ce_bdc9_cb651d4bdee5"/>
      <w:bookmarkStart w:id="8" w:name="Tc_3qo7Yv6SI0mEPWEJmpY-Bg_3_2"/>
      <w:bookmarkStart w:id="9" w:name="Tc_Zz3v5gZU7EumHWCLp2BbpA_3_0"/>
      <w:bookmarkStart w:id="10" w:name="Tc_DYTwPvxNd0W6O9SWYyqxaQ_2_2"/>
      <w:bookmarkStart w:id="11" w:name="Tc_RK2ri8TWQkO7NRcnnKPOng_2_0"/>
      <w:bookmarkStart w:id="12" w:name="_7c34c122_80de_42ce_bdc9_cb651d4bdee5"/>
      <w:bookmarkEnd w:id="8"/>
      <w:bookmarkEnd w:id="9"/>
      <w:bookmarkEnd w:id="10"/>
      <w:bookmarkEnd w:id="11"/>
      <w:bookmarkEnd w:id="12"/>
    </w:p>
    <w:tbl>
      <w:tblPr>
        <w:tblW w:w="4003" w:type="dxa"/>
        <w:jc w:val="left"/>
        <w:tblInd w:w="0" w:type="dxa"/>
        <w:tblLayout w:type="fixed"/>
        <w:tblCellMar>
          <w:top w:w="0" w:type="dxa"/>
          <w:left w:w="0" w:type="dxa"/>
          <w:bottom w:w="0" w:type="dxa"/>
          <w:right w:w="0" w:type="dxa"/>
        </w:tblCellMar>
      </w:tblPr>
      <w:tblGrid>
        <w:gridCol w:w="2236"/>
        <w:gridCol w:w="326"/>
        <w:gridCol w:w="1441"/>
      </w:tblGrid>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47-1809393</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California 92879</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(951) 739 - 6200</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 w:name="Tc_qM6BuBYd0U-jp9qubwqarw_1_2"/>
      <w:bookmarkStart w:id="14" w:name="Tc_javIVf7FvUqYufx7kjSNLw_1_1"/>
      <w:bookmarkStart w:id="15" w:name="Tc_IYRRPfjaZEqB27G3rdhFVw_1_0"/>
      <w:bookmarkStart w:id="16" w:name="_fa178305_9a1f_42a6_93c4_acbfe5acb49e"/>
      <w:bookmarkStart w:id="17" w:name="Tc_qM6BuBYd0U-jp9qubwqarw_1_2"/>
      <w:bookmarkStart w:id="18" w:name="Tc_javIVf7FvUqYufx7kjSNLw_1_1"/>
      <w:bookmarkStart w:id="19" w:name="Tc_IYRRPfjaZEqB27G3rdhFVw_1_0"/>
      <w:bookmarkStart w:id="20" w:name="_fa178305_9a1f_42a6_93c4_acbfe5acb49e"/>
      <w:bookmarkEnd w:id="17"/>
      <w:bookmarkEnd w:id="18"/>
      <w:bookmarkEnd w:id="19"/>
      <w:bookmarkEnd w:id="20"/>
    </w:p>
    <w:tbl>
      <w:tblPr>
        <w:tblW w:w="5718" w:type="dxa"/>
        <w:jc w:val="left"/>
        <w:tblInd w:w="0" w:type="dxa"/>
        <w:tblLayout w:type="fixed"/>
        <w:tblCellMar>
          <w:top w:w="0" w:type="dxa"/>
          <w:left w:w="0" w:type="dxa"/>
          <w:bottom w:w="0" w:type="dxa"/>
          <w:right w:w="0" w:type="dxa"/>
        </w:tblCellMar>
      </w:tblPr>
      <w:tblGrid>
        <w:gridCol w:w="1576"/>
        <w:gridCol w:w="1621"/>
        <w:gridCol w:w="252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5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w:t>
              <w:br/>
              <w:t>which registered</w:t>
            </w:r>
          </w:p>
        </w:tc>
      </w:tr>
      <w:tr>
        <w:trPr/>
        <w:tc>
          <w:tcPr>
            <w:tcW w:w="15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MNST</w:t>
            </w:r>
          </w:p>
        </w:tc>
        <w:tc>
          <w:tcPr>
            <w:tcW w:w="2521"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pPr>
      <w:r>
        <w:rPr/>
        <w:t>​</w:t>
      </w:r>
    </w:p>
    <w:tbl>
      <w:tblPr>
        <w:tblW w:w="4725" w:type="dxa"/>
        <w:jc w:val="left"/>
        <w:tblInd w:w="0" w:type="dxa"/>
        <w:tblLayout w:type="fixed"/>
        <w:tblCellMar>
          <w:top w:w="0" w:type="dxa"/>
          <w:left w:w="0" w:type="dxa"/>
          <w:bottom w:w="0" w:type="dxa"/>
          <w:right w:w="0" w:type="dxa"/>
        </w:tblCellMar>
      </w:tblPr>
      <w:tblGrid>
        <w:gridCol w:w="1141"/>
        <w:gridCol w:w="1004"/>
        <w:gridCol w:w="1068"/>
        <w:gridCol w:w="1512"/>
      </w:tblGrid>
      <w:tr>
        <w:trPr/>
        <w:tc>
          <w:tcPr>
            <w:tcW w:w="1141"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left"/>
              <w:rPr/>
            </w:pPr>
            <w:r>
              <w:rPr/>
              <w:t>​</w:t>
            </w:r>
          </w:p>
        </w:tc>
        <w:tc>
          <w:tcPr>
            <w:tcW w:w="1512" w:type="dxa"/>
            <w:tcBorders/>
            <w:vAlign w:val="center"/>
          </w:tcPr>
          <w:p>
            <w:pPr>
              <w:pStyle w:val="TableContents"/>
              <w:bidi w:val="0"/>
              <w:spacing w:before="0" w:after="0"/>
              <w:ind w:left="0" w:right="0" w:hanging="0"/>
              <w:jc w:val="left"/>
              <w:rPr/>
            </w:pPr>
            <w:r>
              <w:rPr/>
              <w:t>​</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45" w:type="dxa"/>
            <w:gridSpan w:val="2"/>
            <w:tcBorders/>
            <w:vAlign w:val="center"/>
          </w:tcPr>
          <w:p>
            <w:pPr>
              <w:pStyle w:val="TableContents"/>
              <w:bidi w:val="0"/>
              <w:spacing w:before="0" w:after="0"/>
              <w:ind w:left="0" w:right="0" w:hanging="0"/>
              <w:jc w:val="left"/>
              <w:rPr/>
            </w:pPr>
            <w:r>
              <w:rPr/>
              <w:t>​</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Yes __    No X</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registrant had 975,246,159 shares of common stock, par value $0.005 per share, outstanding as of April 30, 2025.</w:t>
      </w:r>
    </w:p>
    <w:p>
      <w:pPr>
        <w:pStyle w:val="TextBody"/>
        <w:bidi w:val="0"/>
        <w:spacing w:before="0" w:after="0"/>
        <w:ind w:left="0" w:right="0" w:hanging="0"/>
        <w:jc w:val="both"/>
        <w:rPr/>
      </w:pPr>
      <w:r>
        <w:rPr/>
        <w:t>​</w:t>
      </w:r>
    </w:p>
    <w:p>
      <w:pPr>
        <w:pStyle w:val="TextBody"/>
        <w:pBdr>
          <w:top w:val="single" w:sz="2" w:space="1" w:color="000000"/>
          <w:bottom w:val="single" w:sz="24" w:space="1" w:color="000000"/>
        </w:pBdr>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cff83e67_9b89_4dbb_9af8_fdf86dbaaff6"/>
      <w:bookmarkEnd w:id="21"/>
      <w:r>
        <w:rPr>
          <w:rFonts w:ascii="Times New Roman;Times;serif" w:hAnsi="Times New Roman;Times;serif"/>
          <w:b/>
          <w:sz w:val="20"/>
        </w:rPr>
        <w:t>MONSTER BEVERAGE CORPORATION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4"/>
        <w:gridCol w:w="8282"/>
        <w:gridCol w:w="326"/>
        <w:gridCol w:w="843"/>
      </w:tblGrid>
      <w:tr>
        <w:trPr/>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78790" cy="175260"/>
                      <wp:effectExtent l="0" t="0" r="0" b="0"/>
                      <wp:wrapNone/>
                      <wp:docPr id="1" name="Frame1"/>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259070" cy="175260"/>
                      <wp:effectExtent l="0" t="0" r="0" b="0"/>
                      <wp:wrapNone/>
                      <wp:docPr id="2" name="Frame2"/>
                      <a:graphic xmlns:a="http://schemas.openxmlformats.org/drawingml/2006/main">
                        <a:graphicData uri="http://schemas.microsoft.com/office/word/2010/wordprocessingShape">
                          <wps:wsp>
                            <wps:cNvSpPr txBox="1"/>
                            <wps:spPr>
                              <a:xfrm>
                                <a:off x="0" y="0"/>
                                <a:ext cx="525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35305" cy="175260"/>
                      <wp:effectExtent l="0" t="0" r="0" b="0"/>
                      <wp:wrapNone/>
                      <wp:docPr id="3" name="Frame3"/>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4" w:type="dxa"/>
            <w:tcBorders/>
            <w:vAlign w:val="center"/>
          </w:tcPr>
          <w:p>
            <w:pPr>
              <w:pStyle w:val="TableContents"/>
              <w:pBdr/>
              <w:bidi w:val="0"/>
              <w:spacing w:before="0" w:after="0"/>
              <w:ind w:left="0" w:right="0" w:hanging="0"/>
              <w:jc w:val="left"/>
              <w:rPr/>
            </w:pPr>
            <w:hyperlink w:anchor="PARTIFINANCIALINFORMATION_555950">
              <w:r>
                <w:rPr>
                  <w:rStyle w:val="InternetLink"/>
                  <w:rFonts w:ascii="Times New Roman;Times;serif" w:hAnsi="Times New Roman;Times;serif"/>
                  <w:b/>
                  <w:i w:val="false"/>
                  <w:caps w:val="false"/>
                  <w:smallCaps w:val="false"/>
                  <w:sz w:val="20"/>
                </w:rPr>
                <w:t>Part I.</w:t>
              </w:r>
            </w:hyperlink>
          </w:p>
        </w:tc>
        <w:tc>
          <w:tcPr>
            <w:tcW w:w="8282" w:type="dxa"/>
            <w:tcBorders/>
            <w:vAlign w:val="center"/>
          </w:tcPr>
          <w:p>
            <w:pPr>
              <w:pStyle w:val="TableContents"/>
              <w:bidi w:val="0"/>
              <w:spacing w:before="0" w:after="0"/>
              <w:ind w:left="0" w:right="0" w:hanging="0"/>
              <w:jc w:val="both"/>
              <w:rPr/>
            </w:pPr>
            <w:hyperlink w:anchor="PARTIFINANCIALINFORMATION_555950">
              <w:r>
                <w:rPr>
                  <w:rStyle w:val="InternetLink"/>
                  <w:rFonts w:ascii="Times New Roman;Times;serif" w:hAnsi="Times New Roman;Times;serif"/>
                  <w:b/>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center"/>
              <w:rPr/>
            </w:pPr>
            <w:r>
              <w:rPr/>
              <w:t>    </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pBdr/>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8282" w:type="dxa"/>
            <w:tcBorders/>
            <w:vAlign w:val="center"/>
          </w:tcPr>
          <w:p>
            <w:pPr>
              <w:pStyle w:val="TableContents"/>
              <w:pBdr/>
              <w:bidi w:val="0"/>
              <w:spacing w:before="0" w:after="0"/>
              <w:ind w:left="0" w:right="0" w:hanging="0"/>
              <w:jc w:val="both"/>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pBdr/>
              <w:bidi w:val="0"/>
              <w:spacing w:before="0" w:after="0"/>
              <w:ind w:left="0" w:right="0" w:hanging="0"/>
              <w:jc w:val="both"/>
              <w:rPr/>
            </w:pPr>
            <w:hyperlink w:anchor="CONDENSEDCONSOLIDATEDBALANCESHEETS_69653">
              <w:r>
                <w:rPr>
                  <w:rStyle w:val="InternetLink"/>
                  <w:rFonts w:ascii="Times New Roman;Times;serif" w:hAnsi="Times New Roman;Times;serif"/>
                  <w:b w:val="false"/>
                  <w:i w:val="false"/>
                  <w:caps w:val="false"/>
                  <w:smallCaps w:val="false"/>
                  <w:sz w:val="20"/>
                </w:rPr>
                <w:t>Condensed Consolidated Balance Sheets as of March 31, 2025 and December 31, 2024</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pBdr/>
              <w:bidi w:val="0"/>
              <w:spacing w:before="0" w:after="0"/>
              <w:ind w:left="0" w:right="0" w:hanging="0"/>
              <w:jc w:val="both"/>
              <w:rPr/>
            </w:pPr>
            <w:hyperlink w:anchor="STATEMENTSOFINCOME_393941">
              <w:r>
                <w:rPr>
                  <w:rStyle w:val="InternetLink"/>
                  <w:rFonts w:ascii="Times New Roman;Times;serif" w:hAnsi="Times New Roman;Times;serif"/>
                  <w:b w:val="false"/>
                  <w:i w:val="false"/>
                  <w:caps w:val="false"/>
                  <w:smallCaps w:val="false"/>
                  <w:sz w:val="20"/>
                </w:rPr>
                <w:t>Condensed Consolidated Statements of Income for the Three-Months Ended March 31, 2025 and 2024</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pBdr/>
              <w:bidi w:val="0"/>
              <w:spacing w:before="0" w:after="0"/>
              <w:ind w:left="0" w:right="0" w:hanging="0"/>
              <w:jc w:val="both"/>
              <w:rPr/>
            </w:pPr>
            <w:hyperlink w:anchor="STATEMENTSOFCOMPREHENSIVEINCOME_19420">
              <w:r>
                <w:rPr>
                  <w:rStyle w:val="InternetLink"/>
                  <w:rFonts w:ascii="Times New Roman;Times;serif" w:hAnsi="Times New Roman;Times;serif"/>
                  <w:b w:val="false"/>
                  <w:i w:val="false"/>
                  <w:caps w:val="false"/>
                  <w:smallCaps w:val="false"/>
                  <w:sz w:val="20"/>
                </w:rPr>
                <w:t>Condensed Consolidated Statements of Comprehensive Income for the Three-Months Ended March 31, 2025 and 2024</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pBdr/>
              <w:bidi w:val="0"/>
              <w:spacing w:before="0" w:after="0"/>
              <w:ind w:left="0" w:right="0" w:hanging="0"/>
              <w:jc w:val="both"/>
              <w:rPr/>
            </w:pPr>
            <w:hyperlink w:anchor="STATEMENTSOFSTOCKHOLDERSEQUITY_603690">
              <w:r>
                <w:rPr>
                  <w:rStyle w:val="InternetLink"/>
                  <w:rFonts w:ascii="Times New Roman;Times;serif" w:hAnsi="Times New Roman;Times;serif"/>
                  <w:b w:val="false"/>
                  <w:i w:val="false"/>
                  <w:caps w:val="false"/>
                  <w:smallCaps w:val="false"/>
                  <w:sz w:val="20"/>
                </w:rPr>
                <w:t>Condensed Consolidated Statements of Stockholders’ Equity for the Three-Months Ended March 31, 2025 and 2024</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pBdr/>
              <w:bidi w:val="0"/>
              <w:spacing w:before="0" w:after="0"/>
              <w:ind w:left="0" w:right="0" w:hanging="0"/>
              <w:jc w:val="both"/>
              <w:rPr/>
            </w:pPr>
            <w:hyperlink w:anchor="STATEMENTSOFCASHFLOWS_392736">
              <w:r>
                <w:rPr>
                  <w:rStyle w:val="InternetLink"/>
                  <w:rFonts w:ascii="Times New Roman;Times;serif" w:hAnsi="Times New Roman;Times;serif"/>
                  <w:b w:val="false"/>
                  <w:i w:val="false"/>
                  <w:caps w:val="false"/>
                  <w:smallCaps w:val="false"/>
                  <w:sz w:val="20"/>
                </w:rPr>
                <w:t>Condensed Consolidated Statements of Cash Flows for the Three-Months Ended March 31, 2025 and 2024</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pBdr/>
              <w:bidi w:val="0"/>
              <w:spacing w:before="0" w:after="0"/>
              <w:ind w:left="0" w:right="0" w:hanging="0"/>
              <w:jc w:val="both"/>
              <w:rPr/>
            </w:pPr>
            <w:hyperlink w:anchor="a1BASISOFPRESENTATION_156061">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pBdr/>
              <w:bidi w:val="0"/>
              <w:spacing w:before="0" w:after="0"/>
              <w:ind w:left="0" w:right="0" w:hanging="0"/>
              <w:jc w:val="left"/>
              <w:rPr/>
            </w:pPr>
            <w:hyperlink w:anchor="ITEM2MANAGEMENTSDISCUSSIONANDANALYSIS_40">
              <w:r>
                <w:rPr>
                  <w:rStyle w:val="InternetLink"/>
                  <w:rFonts w:ascii="Times New Roman;Times;serif" w:hAnsi="Times New Roman;Times;serif"/>
                  <w:b w:val="false"/>
                  <w:i w:val="false"/>
                  <w:caps w:val="false"/>
                  <w:smallCaps w:val="false"/>
                  <w:sz w:val="20"/>
                </w:rPr>
                <w:t>Item 2.</w:t>
              </w:r>
            </w:hyperlink>
          </w:p>
        </w:tc>
        <w:tc>
          <w:tcPr>
            <w:tcW w:w="8282" w:type="dxa"/>
            <w:tcBorders/>
            <w:vAlign w:val="center"/>
          </w:tcPr>
          <w:p>
            <w:pPr>
              <w:pStyle w:val="TableContents"/>
              <w:pBdr/>
              <w:bidi w:val="0"/>
              <w:spacing w:before="0" w:after="0"/>
              <w:ind w:left="0" w:right="0" w:hanging="0"/>
              <w:jc w:val="both"/>
              <w:rPr/>
            </w:pPr>
            <w:hyperlink w:anchor="ITEM2MANAGEMENTSDISCUSSIONANDANALYSIS_4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282" w:type="dxa"/>
            <w:tcBorders/>
            <w:vAlign w:val="center"/>
          </w:tcPr>
          <w:p>
            <w:pPr>
              <w:pStyle w:val="TableContents"/>
              <w:pBdr/>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pBdr/>
              <w:bidi w:val="0"/>
              <w:spacing w:before="0" w:after="0"/>
              <w:ind w:left="0" w:right="0" w:hanging="0"/>
              <w:jc w:val="left"/>
              <w:rPr/>
            </w:pPr>
            <w:hyperlink w:anchor="ITEM4CONTROLSANDPROCEDURES_270637">
              <w:r>
                <w:rPr>
                  <w:rStyle w:val="InternetLink"/>
                  <w:rFonts w:ascii="Times New Roman;Times;serif" w:hAnsi="Times New Roman;Times;serif"/>
                  <w:b w:val="false"/>
                  <w:i w:val="false"/>
                  <w:caps w:val="false"/>
                  <w:smallCaps w:val="false"/>
                  <w:sz w:val="20"/>
                </w:rPr>
                <w:t>Item 4.</w:t>
              </w:r>
            </w:hyperlink>
          </w:p>
        </w:tc>
        <w:tc>
          <w:tcPr>
            <w:tcW w:w="8282" w:type="dxa"/>
            <w:tcBorders/>
            <w:vAlign w:val="center"/>
          </w:tcPr>
          <w:p>
            <w:pPr>
              <w:pStyle w:val="TableContents"/>
              <w:pBdr/>
              <w:bidi w:val="0"/>
              <w:spacing w:before="0" w:after="0"/>
              <w:ind w:left="0" w:right="0" w:hanging="0"/>
              <w:jc w:val="both"/>
              <w:rPr/>
            </w:pPr>
            <w:hyperlink w:anchor="ITEM4CONTROLSANDPROCEDURES_270637">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pBdr/>
              <w:bidi w:val="0"/>
              <w:spacing w:before="0" w:after="0"/>
              <w:ind w:left="0" w:right="0" w:hanging="0"/>
              <w:jc w:val="left"/>
              <w:rPr/>
            </w:pPr>
            <w:hyperlink w:anchor="PARTIIOTHERINFORMATION_669833">
              <w:r>
                <w:rPr>
                  <w:rStyle w:val="InternetLink"/>
                  <w:rFonts w:ascii="Times New Roman;Times;serif" w:hAnsi="Times New Roman;Times;serif"/>
                  <w:b/>
                  <w:i w:val="false"/>
                  <w:caps w:val="false"/>
                  <w:smallCaps w:val="false"/>
                  <w:sz w:val="20"/>
                </w:rPr>
                <w:t>Part II.</w:t>
              </w:r>
            </w:hyperlink>
          </w:p>
        </w:tc>
        <w:tc>
          <w:tcPr>
            <w:tcW w:w="8282" w:type="dxa"/>
            <w:tcBorders/>
            <w:vAlign w:val="center"/>
          </w:tcPr>
          <w:p>
            <w:pPr>
              <w:pStyle w:val="TableContents"/>
              <w:bidi w:val="0"/>
              <w:spacing w:before="0" w:after="0"/>
              <w:ind w:left="0" w:right="0" w:hanging="0"/>
              <w:jc w:val="both"/>
              <w:rPr/>
            </w:pPr>
            <w:hyperlink w:anchor="PARTIIOTHERINFORMATION_669833">
              <w:r>
                <w:rPr>
                  <w:rStyle w:val="InternetLink"/>
                  <w:rFonts w:ascii="Times New Roman;Times;serif" w:hAnsi="Times New Roman;Times;serif"/>
                  <w:b/>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pBdr/>
              <w:bidi w:val="0"/>
              <w:spacing w:before="0" w:after="0"/>
              <w:ind w:left="0" w:right="0" w:hanging="0"/>
              <w:jc w:val="left"/>
              <w:rPr/>
            </w:pPr>
            <w:hyperlink w:anchor="ITEM1LEGALPROCEEDINGS_448899">
              <w:r>
                <w:rPr>
                  <w:rStyle w:val="InternetLink"/>
                  <w:rFonts w:ascii="Times New Roman;Times;serif" w:hAnsi="Times New Roman;Times;serif"/>
                  <w:b w:val="false"/>
                  <w:i w:val="false"/>
                  <w:caps w:val="false"/>
                  <w:smallCaps w:val="false"/>
                  <w:sz w:val="20"/>
                </w:rPr>
                <w:t>Item 1.</w:t>
              </w:r>
            </w:hyperlink>
          </w:p>
        </w:tc>
        <w:tc>
          <w:tcPr>
            <w:tcW w:w="8282" w:type="dxa"/>
            <w:tcBorders/>
            <w:vAlign w:val="center"/>
          </w:tcPr>
          <w:p>
            <w:pPr>
              <w:pStyle w:val="TableContents"/>
              <w:pBdr/>
              <w:bidi w:val="0"/>
              <w:spacing w:before="0" w:after="0"/>
              <w:ind w:left="0" w:right="0" w:hanging="0"/>
              <w:jc w:val="both"/>
              <w:rPr/>
            </w:pPr>
            <w:hyperlink w:anchor="ITEM1LEGALPROCEEDINGS_448899">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pBdr/>
              <w:bidi w:val="0"/>
              <w:spacing w:before="0" w:after="0"/>
              <w:ind w:left="0" w:right="0" w:hanging="0"/>
              <w:jc w:val="left"/>
              <w:rPr/>
            </w:pPr>
            <w:hyperlink w:anchor="ITEM1ARISKFACTORS_609704">
              <w:r>
                <w:rPr>
                  <w:rStyle w:val="InternetLink"/>
                  <w:rFonts w:ascii="Times New Roman;Times;serif" w:hAnsi="Times New Roman;Times;serif"/>
                  <w:b w:val="false"/>
                  <w:i w:val="false"/>
                  <w:caps w:val="false"/>
                  <w:smallCaps w:val="false"/>
                  <w:sz w:val="20"/>
                </w:rPr>
                <w:t>Item 1A.</w:t>
              </w:r>
            </w:hyperlink>
          </w:p>
        </w:tc>
        <w:tc>
          <w:tcPr>
            <w:tcW w:w="8282" w:type="dxa"/>
            <w:tcBorders/>
            <w:vAlign w:val="center"/>
          </w:tcPr>
          <w:p>
            <w:pPr>
              <w:pStyle w:val="TableContents"/>
              <w:pBdr/>
              <w:bidi w:val="0"/>
              <w:spacing w:before="0" w:after="0"/>
              <w:ind w:left="0" w:right="0" w:hanging="0"/>
              <w:jc w:val="both"/>
              <w:rPr/>
            </w:pPr>
            <w:hyperlink w:anchor="ITEM1ARISKFACTORS_609704">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pBdr/>
              <w:bidi w:val="0"/>
              <w:spacing w:before="0" w:after="0"/>
              <w:ind w:left="0" w:right="0" w:hanging="0"/>
              <w:jc w:val="left"/>
              <w:rPr/>
            </w:pPr>
            <w:hyperlink w:anchor="ITEM2UNREGISTEREDSALESOFEQUITY_417570">
              <w:r>
                <w:rPr>
                  <w:rStyle w:val="InternetLink"/>
                  <w:rFonts w:ascii="Times New Roman;Times;serif" w:hAnsi="Times New Roman;Times;serif"/>
                  <w:b w:val="false"/>
                  <w:i w:val="false"/>
                  <w:caps w:val="false"/>
                  <w:smallCaps w:val="false"/>
                  <w:sz w:val="20"/>
                </w:rPr>
                <w:t>Item 2.</w:t>
              </w:r>
            </w:hyperlink>
          </w:p>
        </w:tc>
        <w:tc>
          <w:tcPr>
            <w:tcW w:w="8282" w:type="dxa"/>
            <w:tcBorders/>
            <w:vAlign w:val="center"/>
          </w:tcPr>
          <w:p>
            <w:pPr>
              <w:pStyle w:val="TableContents"/>
              <w:pBdr/>
              <w:bidi w:val="0"/>
              <w:spacing w:before="0" w:after="0"/>
              <w:ind w:left="0" w:right="0" w:hanging="0"/>
              <w:jc w:val="both"/>
              <w:rPr/>
            </w:pPr>
            <w:hyperlink w:anchor="ITEM2UNREGISTEREDSALESOFEQUITY_417570">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pBdr/>
              <w:bidi w:val="0"/>
              <w:spacing w:before="0" w:after="0"/>
              <w:ind w:left="0" w:right="0" w:hanging="0"/>
              <w:jc w:val="left"/>
              <w:rPr/>
            </w:pPr>
            <w:hyperlink w:anchor="ITEM3DEFAULTSUPONSENIORSECURITIES_753663">
              <w:r>
                <w:rPr>
                  <w:rStyle w:val="InternetLink"/>
                  <w:rFonts w:ascii="Times New Roman;Times;serif" w:hAnsi="Times New Roman;Times;serif"/>
                  <w:b w:val="false"/>
                  <w:i w:val="false"/>
                  <w:caps w:val="false"/>
                  <w:smallCaps w:val="false"/>
                  <w:sz w:val="20"/>
                </w:rPr>
                <w:t>Item 3.</w:t>
              </w:r>
            </w:hyperlink>
          </w:p>
        </w:tc>
        <w:tc>
          <w:tcPr>
            <w:tcW w:w="8282" w:type="dxa"/>
            <w:tcBorders/>
            <w:vAlign w:val="center"/>
          </w:tcPr>
          <w:p>
            <w:pPr>
              <w:pStyle w:val="TableContents"/>
              <w:pBdr/>
              <w:bidi w:val="0"/>
              <w:spacing w:before="0" w:after="0"/>
              <w:ind w:left="0" w:right="0" w:hanging="0"/>
              <w:jc w:val="both"/>
              <w:rPr/>
            </w:pPr>
            <w:hyperlink w:anchor="ITEM3DEFAULTSUPONSENIORSECURITIES_753663">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pBdr/>
              <w:bidi w:val="0"/>
              <w:spacing w:before="0" w:after="0"/>
              <w:ind w:left="0" w:right="0" w:hanging="0"/>
              <w:jc w:val="left"/>
              <w:rPr/>
            </w:pPr>
            <w:hyperlink w:anchor="ITEM4MINESAFETYDISCLOSURES_417702">
              <w:r>
                <w:rPr>
                  <w:rStyle w:val="InternetLink"/>
                  <w:rFonts w:ascii="Times New Roman;Times;serif" w:hAnsi="Times New Roman;Times;serif"/>
                  <w:b w:val="false"/>
                  <w:i w:val="false"/>
                  <w:caps w:val="false"/>
                  <w:smallCaps w:val="false"/>
                  <w:sz w:val="20"/>
                </w:rPr>
                <w:t>Item 4.</w:t>
              </w:r>
            </w:hyperlink>
          </w:p>
        </w:tc>
        <w:tc>
          <w:tcPr>
            <w:tcW w:w="8282" w:type="dxa"/>
            <w:tcBorders/>
            <w:vAlign w:val="center"/>
          </w:tcPr>
          <w:p>
            <w:pPr>
              <w:pStyle w:val="TableContents"/>
              <w:pBdr/>
              <w:bidi w:val="0"/>
              <w:spacing w:before="0" w:after="0"/>
              <w:ind w:left="0" w:right="0" w:hanging="0"/>
              <w:jc w:val="both"/>
              <w:rPr/>
            </w:pPr>
            <w:hyperlink w:anchor="ITEM4MINESAFETYDISCLOSURES_417702">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pBdr/>
              <w:bidi w:val="0"/>
              <w:spacing w:before="0" w:after="0"/>
              <w:ind w:left="0" w:right="0" w:hanging="0"/>
              <w:jc w:val="left"/>
              <w:rPr/>
            </w:pPr>
            <w:hyperlink w:anchor="ITEM5OTHERINFORMATION_353440">
              <w:r>
                <w:rPr>
                  <w:rStyle w:val="InternetLink"/>
                  <w:rFonts w:ascii="Times New Roman;Times;serif" w:hAnsi="Times New Roman;Times;serif"/>
                  <w:b w:val="false"/>
                  <w:i w:val="false"/>
                  <w:caps w:val="false"/>
                  <w:smallCaps w:val="false"/>
                  <w:sz w:val="20"/>
                </w:rPr>
                <w:t>Item 5.</w:t>
              </w:r>
            </w:hyperlink>
          </w:p>
        </w:tc>
        <w:tc>
          <w:tcPr>
            <w:tcW w:w="8282" w:type="dxa"/>
            <w:tcBorders/>
            <w:vAlign w:val="center"/>
          </w:tcPr>
          <w:p>
            <w:pPr>
              <w:pStyle w:val="TableContents"/>
              <w:pBdr/>
              <w:bidi w:val="0"/>
              <w:spacing w:before="0" w:after="0"/>
              <w:ind w:left="0" w:right="0" w:hanging="0"/>
              <w:jc w:val="both"/>
              <w:rPr/>
            </w:pPr>
            <w:hyperlink w:anchor="ITEM5OTHERINFORMATION_353440">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pBdr/>
              <w:bidi w:val="0"/>
              <w:spacing w:before="0" w:after="0"/>
              <w:ind w:left="0" w:right="0" w:hanging="0"/>
              <w:jc w:val="left"/>
              <w:rPr/>
            </w:pPr>
            <w:hyperlink w:anchor="ITEM6EXHIBITS_20622">
              <w:r>
                <w:rPr>
                  <w:rStyle w:val="InternetLink"/>
                  <w:rFonts w:ascii="Times New Roman;Times;serif" w:hAnsi="Times New Roman;Times;serif"/>
                  <w:b w:val="false"/>
                  <w:i w:val="false"/>
                  <w:caps w:val="false"/>
                  <w:smallCaps w:val="false"/>
                  <w:sz w:val="20"/>
                </w:rPr>
                <w:t>Item 6.</w:t>
              </w:r>
            </w:hyperlink>
          </w:p>
        </w:tc>
        <w:tc>
          <w:tcPr>
            <w:tcW w:w="8282" w:type="dxa"/>
            <w:tcBorders/>
            <w:vAlign w:val="center"/>
          </w:tcPr>
          <w:p>
            <w:pPr>
              <w:pStyle w:val="TableContents"/>
              <w:pBdr/>
              <w:bidi w:val="0"/>
              <w:spacing w:before="0" w:after="0"/>
              <w:ind w:left="0" w:right="0" w:hanging="0"/>
              <w:jc w:val="both"/>
              <w:rPr/>
            </w:pPr>
            <w:hyperlink w:anchor="ITEM6EXHIBITS_20622">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pPr>
            <w:r>
              <w:rPr/>
              <w:t>​</w:t>
            </w:r>
          </w:p>
        </w:tc>
      </w:tr>
      <w:tr>
        <w:trPr/>
        <w:tc>
          <w:tcPr>
            <w:tcW w:w="754" w:type="dxa"/>
            <w:tcBorders/>
            <w:vAlign w:val="center"/>
          </w:tcPr>
          <w:p>
            <w:pPr>
              <w:pStyle w:val="TableContents"/>
              <w:bidi w:val="0"/>
              <w:spacing w:before="0" w:after="0"/>
              <w:ind w:left="0" w:right="0" w:hanging="0"/>
              <w:jc w:val="left"/>
              <w:rPr/>
            </w:pPr>
            <w:r>
              <w:rPr/>
              <w:t>​</w:t>
            </w:r>
          </w:p>
        </w:tc>
        <w:tc>
          <w:tcPr>
            <w:tcW w:w="8282" w:type="dxa"/>
            <w:tcBorders/>
            <w:vAlign w:val="center"/>
          </w:tcPr>
          <w:p>
            <w:pPr>
              <w:pStyle w:val="TableContents"/>
              <w:pBdr/>
              <w:bidi w:val="0"/>
              <w:spacing w:before="0" w:after="0"/>
              <w:ind w:left="0" w:right="0" w:hanging="0"/>
              <w:jc w:val="both"/>
              <w:rPr/>
            </w:pPr>
            <w:hyperlink w:anchor="SIGNATURES_652864">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righ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23" w:name="PARTIFINANCIALINFORMATION_555950"/>
      <w:bookmarkStart w:id="24" w:name="_c89953cb_01fa_4884_a7a8_fd212dfb351b"/>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5" w:name="ITEM1CONDENSEDCONSOLIDATEDFINANCIALSTATE"/>
      <w:bookmarkEnd w:id="25"/>
      <w:r>
        <w:rPr>
          <w:rFonts w:ascii="Times New Roman;Times;serif" w:hAnsi="Times New Roman;Times;serif"/>
          <w:b/>
          <w:sz w:val="20"/>
        </w:rPr>
        <w:t>ITEM 1. CONDENSED CONSOLIDATED FINANCIAL STATEMENTS (UNAUDITED)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MONSTER BEVERAGE CORPORATION AND SUBSIDIARIES</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b/>
          <w:sz w:val="20"/>
        </w:rPr>
      </w:pPr>
      <w:bookmarkStart w:id="26" w:name="CONDENSEDCONSOLIDATEDBALANCESHEETS_69653"/>
      <w:bookmarkEnd w:id="26"/>
      <w:r>
        <w:rPr>
          <w:rFonts w:ascii="Times New Roman;Times;serif" w:hAnsi="Times New Roman;Times;serif"/>
          <w:b/>
          <w:sz w:val="20"/>
        </w:rPr>
        <w:t>CONDENSED CONSOLIDATED BALANCE SHEETS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 OF MARCH 31, 2025 AND DECEMBER 31, 2024</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Except Par Value)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G82sxe1T8U2wT2sMM5m0AA_43_5"/>
      <w:bookmarkStart w:id="28" w:name="Tc_AewyJOTAzU-KC2lRWDEvcQ_43_2"/>
      <w:bookmarkStart w:id="29" w:name="Tc_zQ0Hd1E2fUu6CUrpQi839Q_43_0"/>
      <w:bookmarkStart w:id="30" w:name="Tc_edo73zepmka_Q2I1etH73g_42_0"/>
      <w:bookmarkStart w:id="31" w:name="Tc_m7MR040luECFwqvqwwbVgw_41_0"/>
      <w:bookmarkStart w:id="32" w:name="Tc_g9CKqBU8H0qNhCIfvuADrw_40_0"/>
      <w:bookmarkStart w:id="33" w:name="Tc_pHOcJ-dhdk6MzqzF6BNOdQ_39_0"/>
      <w:bookmarkStart w:id="34" w:name="Tc_y40JAh4aQkac_ZI5_X3j0Q_38_0"/>
      <w:bookmarkStart w:id="35" w:name="Tc_1njuPI5ilUCZ0Ggr-haqQg_37_0"/>
      <w:bookmarkStart w:id="36" w:name="Tc_IKGa_sQbIkKE3wp3ayhtCA_35_0"/>
      <w:bookmarkStart w:id="37" w:name="Tc_ziMF7s-E2UCxLitLdBRcCg_33_0"/>
      <w:bookmarkStart w:id="38" w:name="Tc_zj9lqzpCB02UFkRomO47Cw_31_0"/>
      <w:bookmarkStart w:id="39" w:name="Tc_Q3nH7uqviECDRr5P1ZWi1Q_30_0"/>
      <w:bookmarkStart w:id="40" w:name="Tc_6omWUhO7bk-Irb3YQ0_ggw_29_0"/>
      <w:bookmarkStart w:id="41" w:name="Tc_cP9MB5XF2UW68GG8aajFHw_27_0"/>
      <w:bookmarkStart w:id="42" w:name="Tc_VT0sctHyiUWgYBdpUNh59w_26_0"/>
      <w:bookmarkStart w:id="43" w:name="Tc_qcsMxXPuR02NQXpwjAojvA_25_0"/>
      <w:bookmarkStart w:id="44" w:name="Tc_EQAzc8GxqESn5jTyA49B5w_24_0"/>
      <w:bookmarkStart w:id="45" w:name="Tc_ANIPpz07zUy8FmmEQRv9cw_23_0"/>
      <w:bookmarkStart w:id="46" w:name="Tc_nRLwQ2C4xUi-HqlRQaN56Q_22_0"/>
      <w:bookmarkStart w:id="47" w:name="Tc_uOZkxk_-6kiB-80WjvA_iw_21_5"/>
      <w:bookmarkStart w:id="48" w:name="Tc_4-bWjsW4tES-Vkjy3dpzIQ_21_2"/>
      <w:bookmarkStart w:id="49" w:name="Tc_jSHOW1e-8UCEd1r2VxwVWg_21_0"/>
      <w:bookmarkStart w:id="50" w:name="Tc_Ey_Yvcv5LUSOMQTo73lgKQ_20_0"/>
      <w:bookmarkStart w:id="51" w:name="Tc_Bdjalxzgbk6GmhrFGO0cFQ_19_0"/>
      <w:bookmarkStart w:id="52" w:name="Tc_KQwCzTMYzUi2Rq2vxtKPZg_17_5"/>
      <w:bookmarkStart w:id="53" w:name="Tc_oblZJkJCq02z0mkQY58J3w_17_2"/>
      <w:bookmarkStart w:id="54" w:name="Tc_5zyGjQKag02R-vDESjPQbw_17_0"/>
      <w:bookmarkStart w:id="55" w:name="Tc_kIFOU8DApECJ32YdxVAq4A_16_0"/>
      <w:bookmarkStart w:id="56" w:name="Tc_UnoWlDzvRE6gm_3ohonLtw_15_0"/>
      <w:bookmarkStart w:id="57" w:name="Tc_Unj8nl2t1kOX-DdCBr2zaw_14_0"/>
      <w:bookmarkStart w:id="58" w:name="Tc_vWO68PXQTUO2VflwHi7OlA_13_0"/>
      <w:bookmarkStart w:id="59" w:name="Tc_oN5730p11km07qzx9PeXyQ_12_0"/>
      <w:bookmarkStart w:id="60" w:name="Tc_UX3hmum2KkqMezFHM-0MAg_10_0"/>
      <w:bookmarkStart w:id="61" w:name="Tc_i0WvIhQ6k0GZrCQAvyr76A_9_0"/>
      <w:bookmarkStart w:id="62" w:name="Tc_UPWoOEM-b06qZJJydVKaFQ_8_0"/>
      <w:bookmarkStart w:id="63" w:name="Tc_2-5uaYTvMka7TIpjNlzg1w_7_0"/>
      <w:bookmarkStart w:id="64" w:name="Tc_DZ6vM08mZUKHy7RvSl8ibg_6_0"/>
      <w:bookmarkStart w:id="65" w:name="Tc_u9D4SJQUmU-jE8EDn-yjXw_5_5"/>
      <w:bookmarkStart w:id="66" w:name="Tc_0TQ-Z2k2nU238WxR0A86Ig_5_2"/>
      <w:bookmarkStart w:id="67" w:name="Tc_mKvyqQTMXES9apqSZXfzeQ_5_0"/>
      <w:bookmarkStart w:id="68" w:name="Tc_fi1xcCvm_k-0yp16BfpnuQ_4_0"/>
      <w:bookmarkStart w:id="69" w:name="Tc_k0kLscabKU-pdxcwfHJ_vg_3_0"/>
      <w:bookmarkStart w:id="70" w:name="Tc_3yWP7SvxpEyfe8q5Wz-A_A_2_5"/>
      <w:bookmarkStart w:id="71" w:name="Tc_T-nBmvwjQkq7M0jJ36xGjQ_2_2"/>
      <w:bookmarkStart w:id="72" w:name="Tc_61eceBnHsUOQbcpd1kIgcg_1_5"/>
      <w:bookmarkStart w:id="73" w:name="Tc_x9EtOzC7i0CIjFz792aoCQ_1_2"/>
      <w:bookmarkStart w:id="74" w:name="_aa78ee75_a14b_4317_a4f4_2660b50578dd"/>
      <w:bookmarkStart w:id="75" w:name="Tc_G82sxe1T8U2wT2sMM5m0AA_43_5"/>
      <w:bookmarkStart w:id="76" w:name="Tc_AewyJOTAzU-KC2lRWDEvcQ_43_2"/>
      <w:bookmarkStart w:id="77" w:name="Tc_zQ0Hd1E2fUu6CUrpQi839Q_43_0"/>
      <w:bookmarkStart w:id="78" w:name="Tc_edo73zepmka_Q2I1etH73g_42_0"/>
      <w:bookmarkStart w:id="79" w:name="Tc_m7MR040luECFwqvqwwbVgw_41_0"/>
      <w:bookmarkStart w:id="80" w:name="Tc_g9CKqBU8H0qNhCIfvuADrw_40_0"/>
      <w:bookmarkStart w:id="81" w:name="Tc_pHOcJ-dhdk6MzqzF6BNOdQ_39_0"/>
      <w:bookmarkStart w:id="82" w:name="Tc_y40JAh4aQkac_ZI5_X3j0Q_38_0"/>
      <w:bookmarkStart w:id="83" w:name="Tc_1njuPI5ilUCZ0Ggr-haqQg_37_0"/>
      <w:bookmarkStart w:id="84" w:name="Tc_IKGa_sQbIkKE3wp3ayhtCA_35_0"/>
      <w:bookmarkStart w:id="85" w:name="Tc_ziMF7s-E2UCxLitLdBRcCg_33_0"/>
      <w:bookmarkStart w:id="86" w:name="Tc_zj9lqzpCB02UFkRomO47Cw_31_0"/>
      <w:bookmarkStart w:id="87" w:name="Tc_Q3nH7uqviECDRr5P1ZWi1Q_30_0"/>
      <w:bookmarkStart w:id="88" w:name="Tc_6omWUhO7bk-Irb3YQ0_ggw_29_0"/>
      <w:bookmarkStart w:id="89" w:name="Tc_cP9MB5XF2UW68GG8aajFHw_27_0"/>
      <w:bookmarkStart w:id="90" w:name="Tc_VT0sctHyiUWgYBdpUNh59w_26_0"/>
      <w:bookmarkStart w:id="91" w:name="Tc_qcsMxXPuR02NQXpwjAojvA_25_0"/>
      <w:bookmarkStart w:id="92" w:name="Tc_EQAzc8GxqESn5jTyA49B5w_24_0"/>
      <w:bookmarkStart w:id="93" w:name="Tc_ANIPpz07zUy8FmmEQRv9cw_23_0"/>
      <w:bookmarkStart w:id="94" w:name="Tc_nRLwQ2C4xUi-HqlRQaN56Q_22_0"/>
      <w:bookmarkStart w:id="95" w:name="Tc_uOZkxk_-6kiB-80WjvA_iw_21_5"/>
      <w:bookmarkStart w:id="96" w:name="Tc_4-bWjsW4tES-Vkjy3dpzIQ_21_2"/>
      <w:bookmarkStart w:id="97" w:name="Tc_jSHOW1e-8UCEd1r2VxwVWg_21_0"/>
      <w:bookmarkStart w:id="98" w:name="Tc_Ey_Yvcv5LUSOMQTo73lgKQ_20_0"/>
      <w:bookmarkStart w:id="99" w:name="Tc_Bdjalxzgbk6GmhrFGO0cFQ_19_0"/>
      <w:bookmarkStart w:id="100" w:name="Tc_KQwCzTMYzUi2Rq2vxtKPZg_17_5"/>
      <w:bookmarkStart w:id="101" w:name="Tc_oblZJkJCq02z0mkQY58J3w_17_2"/>
      <w:bookmarkStart w:id="102" w:name="Tc_5zyGjQKag02R-vDESjPQbw_17_0"/>
      <w:bookmarkStart w:id="103" w:name="Tc_kIFOU8DApECJ32YdxVAq4A_16_0"/>
      <w:bookmarkStart w:id="104" w:name="Tc_UnoWlDzvRE6gm_3ohonLtw_15_0"/>
      <w:bookmarkStart w:id="105" w:name="Tc_Unj8nl2t1kOX-DdCBr2zaw_14_0"/>
      <w:bookmarkStart w:id="106" w:name="Tc_vWO68PXQTUO2VflwHi7OlA_13_0"/>
      <w:bookmarkStart w:id="107" w:name="Tc_oN5730p11km07qzx9PeXyQ_12_0"/>
      <w:bookmarkStart w:id="108" w:name="Tc_UX3hmum2KkqMezFHM-0MAg_10_0"/>
      <w:bookmarkStart w:id="109" w:name="Tc_i0WvIhQ6k0GZrCQAvyr76A_9_0"/>
      <w:bookmarkStart w:id="110" w:name="Tc_UPWoOEM-b06qZJJydVKaFQ_8_0"/>
      <w:bookmarkStart w:id="111" w:name="Tc_2-5uaYTvMka7TIpjNlzg1w_7_0"/>
      <w:bookmarkStart w:id="112" w:name="Tc_DZ6vM08mZUKHy7RvSl8ibg_6_0"/>
      <w:bookmarkStart w:id="113" w:name="Tc_u9D4SJQUmU-jE8EDn-yjXw_5_5"/>
      <w:bookmarkStart w:id="114" w:name="Tc_0TQ-Z2k2nU238WxR0A86Ig_5_2"/>
      <w:bookmarkStart w:id="115" w:name="Tc_mKvyqQTMXES9apqSZXfzeQ_5_0"/>
      <w:bookmarkStart w:id="116" w:name="Tc_fi1xcCvm_k-0yp16BfpnuQ_4_0"/>
      <w:bookmarkStart w:id="117" w:name="Tc_k0kLscabKU-pdxcwfHJ_vg_3_0"/>
      <w:bookmarkStart w:id="118" w:name="Tc_3yWP7SvxpEyfe8q5Wz-A_A_2_5"/>
      <w:bookmarkStart w:id="119" w:name="Tc_T-nBmvwjQkq7M0jJ36xGjQ_2_2"/>
      <w:bookmarkStart w:id="120" w:name="Tc_61eceBnHsUOQbcpd1kIgcg_1_5"/>
      <w:bookmarkStart w:id="121" w:name="Tc_x9EtOzC7i0CIjFz792aoCQ_1_2"/>
      <w:bookmarkStart w:id="122" w:name="_aa78ee75_a14b_4317_a4f4_2660b50578dd"/>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tbl>
      <w:tblPr>
        <w:tblW w:w="10205" w:type="dxa"/>
        <w:jc w:val="left"/>
        <w:tblInd w:w="0" w:type="dxa"/>
        <w:tblLayout w:type="fixed"/>
        <w:tblCellMar>
          <w:top w:w="0" w:type="dxa"/>
          <w:left w:w="0" w:type="dxa"/>
          <w:bottom w:w="0" w:type="dxa"/>
          <w:right w:w="0" w:type="dxa"/>
        </w:tblCellMar>
      </w:tblPr>
      <w:tblGrid>
        <w:gridCol w:w="7297"/>
        <w:gridCol w:w="326"/>
        <w:gridCol w:w="196"/>
        <w:gridCol w:w="909"/>
        <w:gridCol w:w="326"/>
        <w:gridCol w:w="196"/>
        <w:gridCol w:w="955"/>
      </w:tblGrid>
      <w:tr>
        <w:trPr/>
        <w:tc>
          <w:tcPr>
            <w:tcW w:w="7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633595" cy="175260"/>
                      <wp:effectExtent l="0" t="0" r="0" b="0"/>
                      <wp:wrapNone/>
                      <wp:docPr id="4" name="Frame4"/>
                      <a:graphic xmlns:a="http://schemas.openxmlformats.org/drawingml/2006/main">
                        <a:graphicData uri="http://schemas.microsoft.com/office/word/2010/wordprocessingShape">
                          <wps:wsp>
                            <wps:cNvSpPr txBox="1"/>
                            <wps:spPr>
                              <a:xfrm>
                                <a:off x="0" y="0"/>
                                <a:ext cx="463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77215" cy="175260"/>
                      <wp:effectExtent l="0" t="0" r="0" b="0"/>
                      <wp:wrapNone/>
                      <wp:docPr id="7" name="Frame7"/>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06425" cy="175260"/>
                      <wp:effectExtent l="0" t="0" r="0" b="0"/>
                      <wp:wrapNone/>
                      <wp:docPr id="10" name="Frame10"/>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97"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1,903,419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1,533,287</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1,360,233</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1,221,646</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725,129</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737,107</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112,525</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107,262</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34,113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42,202</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4,135,419</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3,641,504</w:t>
            </w:r>
          </w:p>
        </w:tc>
      </w:tr>
      <w:tr>
        <w:trPr/>
        <w:tc>
          <w:tcPr>
            <w:tcW w:w="729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1,064,008</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1,047,024</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184,358</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184,260</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1,331,643</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1,331,643</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1,415,958</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1,414,252</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95,642</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100,406</w:t>
            </w:r>
          </w:p>
        </w:tc>
      </w:tr>
      <w:tr>
        <w:trPr/>
        <w:tc>
          <w:tcPr>
            <w:tcW w:w="7297"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8,227,028</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7,719,089</w:t>
            </w:r>
          </w:p>
        </w:tc>
      </w:tr>
      <w:tr>
        <w:trPr/>
        <w:tc>
          <w:tcPr>
            <w:tcW w:w="729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486,951</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466,775</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262,545</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220,764</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304,670</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267,711</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47,542</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45,809</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55,812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92,454</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67,837</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4,006</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1,225,357</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1,097,519</w:t>
            </w:r>
          </w:p>
        </w:tc>
      </w:tr>
      <w:tr>
        <w:trPr/>
        <w:tc>
          <w:tcPr>
            <w:tcW w:w="7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lef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173,921</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179,008</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109,252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110,893</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199,059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373,951</w:t>
            </w:r>
          </w:p>
        </w:tc>
      </w:tr>
      <w:tr>
        <w:trPr/>
        <w:tc>
          <w:tcPr>
            <w:tcW w:w="7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r>
      <w:tr>
        <w:trPr/>
        <w:tc>
          <w:tcPr>
            <w:tcW w:w="7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r>
      <w:tr>
        <w:trPr/>
        <w:tc>
          <w:tcPr>
            <w:tcW w:w="7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 $0.005 par value; 5,000,000 shares authorized; 1,128,695 shares issued and 975,143 shares outstanding as of March 31, 2025; 1,126,329 shares issued and 973,079 shares outstanding as of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5,632</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5,213,731</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5,144,922</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7,891,777</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7,448,784</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(202,946)</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(269,487)</w:t>
            </w:r>
          </w:p>
        </w:tc>
      </w:tr>
      <w:tr>
        <w:trPr/>
        <w:tc>
          <w:tcPr>
            <w:tcW w:w="72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in treasury, at cost; 153,552 shares and 153,250 shares as of March 31, 2025 and December 31, 2024,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(6,388,766)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(6,372,133)</w:t>
            </w:r>
          </w:p>
        </w:tc>
      </w:tr>
      <w:tr>
        <w:trPr/>
        <w:tc>
          <w:tcPr>
            <w:tcW w:w="7297"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6,519,439</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5,957,718</w:t>
            </w:r>
          </w:p>
        </w:tc>
      </w:tr>
      <w:tr>
        <w:trPr/>
        <w:tc>
          <w:tcPr>
            <w:tcW w:w="7297"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8,227,028</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7,719,089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23" w:name="_b506151b_8542_4a50_9458_cf59e8683816"/>
      <w:bookmarkEnd w:id="123"/>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bookmarkStart w:id="124" w:name="STATEMENTSOFINCOME_393941"/>
      <w:bookmarkEnd w:id="124"/>
      <w:r>
        <w:rPr>
          <w:rFonts w:ascii="Times New Roman;Times;serif" w:hAnsi="Times New Roman;Times;serif"/>
          <w:b/>
          <w:sz w:val="20"/>
        </w:rPr>
        <w:t>CONDENSED CONSOLIDATED STATEMENTS OF INCOME</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 THE THREE-MONTHS ENDED MARCH 31, 2025 AND 2024</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Except Per Share Amounts)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5" w:name="Tc_7OwhKStAM0aj8HqpzobvGQ_29_0"/>
      <w:bookmarkStart w:id="126" w:name="Tc_rKNGht37WESPIS63903xxA_28_0"/>
      <w:bookmarkStart w:id="127" w:name="Tc_V5UUWSed3UqeiQ01QoKLIg_27_0"/>
      <w:bookmarkStart w:id="128" w:name="Tc_C2T2wJthb0Oe4NeUQiHPNA_25_5"/>
      <w:bookmarkStart w:id="129" w:name="Tc_vJsbVONwoUS3jF227uGRig_25_2"/>
      <w:bookmarkStart w:id="130" w:name="Tc_Dzn2kWEsiE6UqQgO0T1MSA_25_0"/>
      <w:bookmarkStart w:id="131" w:name="Tc_4QxzLYxez0WGBiYgwOD1xg_24_5"/>
      <w:bookmarkStart w:id="132" w:name="Tc_-fANbrYzZ06nwrBxn41eiA_24_2"/>
      <w:bookmarkStart w:id="133" w:name="Tc_lZT43wp3ekS_fvbRnGuiXw_24_0"/>
      <w:bookmarkStart w:id="134" w:name="Tc_Xl3sdYIQMk-78vggphs7pw_23_0"/>
      <w:bookmarkStart w:id="135" w:name="Tc_yNUfNIhRhkaurw527SjxXw_21_5"/>
      <w:bookmarkStart w:id="136" w:name="Tc_glZMqdE_3EuFRsrq9xfihw_21_2"/>
      <w:bookmarkStart w:id="137" w:name="Tc_7VABTKlXCkKCkCKp9_r0Gw_21_0"/>
      <w:bookmarkStart w:id="138" w:name="Tc_yN26flgQjEutTonY-3XE2Q_19_0"/>
      <w:bookmarkStart w:id="139" w:name="Tc_IDPUZaVEr0SncyZi4_7DFA_17_0"/>
      <w:bookmarkStart w:id="140" w:name="Tc_xNEobo0zD0ysWZyDt1Q_ZA_15_0"/>
      <w:bookmarkStart w:id="141" w:name="Tc_zOLGNn6J-k-Afgy9FESg7w_13_0"/>
      <w:bookmarkStart w:id="142" w:name="Tc_5gO03sRMmU6GTYO7Lwd9UA_11_0"/>
      <w:bookmarkStart w:id="143" w:name="Tc_vsTcvwtC00KS_RzynOl1dw_9_0"/>
      <w:bookmarkStart w:id="144" w:name="Tc_4N9WwSGRlkKGm8mDrC2r6A_7_0"/>
      <w:bookmarkStart w:id="145" w:name="Tc_RiSOX0DmLk6hmpGvnCmnfg_5_5"/>
      <w:bookmarkStart w:id="146" w:name="Tc_I7yrrZ-yU06Vtjeyf7ZRfg_5_2"/>
      <w:bookmarkStart w:id="147" w:name="Tc_Esv5EIzH4Ey5PO8XTrCqmQ_5_0"/>
      <w:bookmarkStart w:id="148" w:name="Tc_FoC6TUZxIE-lanl8EL4tJQ_3_5"/>
      <w:bookmarkStart w:id="149" w:name="Tc_1nXyGtl6zEeSuQz2e9PPJQ_3_2"/>
      <w:bookmarkStart w:id="150" w:name="Tc_UsVCBXLzrE6RUhH7g4V9KA_2_2"/>
      <w:bookmarkStart w:id="151" w:name="Tc_HkSlTaM6dUCDNw5f6_5dHQ_1_2"/>
      <w:bookmarkStart w:id="152" w:name="_e41ed53e_8063_4a6b_97b7_63b0959abaf8"/>
      <w:bookmarkStart w:id="153" w:name="Tc_7OwhKStAM0aj8HqpzobvGQ_29_0"/>
      <w:bookmarkStart w:id="154" w:name="Tc_rKNGht37WESPIS63903xxA_28_0"/>
      <w:bookmarkStart w:id="155" w:name="Tc_V5UUWSed3UqeiQ01QoKLIg_27_0"/>
      <w:bookmarkStart w:id="156" w:name="Tc_C2T2wJthb0Oe4NeUQiHPNA_25_5"/>
      <w:bookmarkStart w:id="157" w:name="Tc_vJsbVONwoUS3jF227uGRig_25_2"/>
      <w:bookmarkStart w:id="158" w:name="Tc_Dzn2kWEsiE6UqQgO0T1MSA_25_0"/>
      <w:bookmarkStart w:id="159" w:name="Tc_4QxzLYxez0WGBiYgwOD1xg_24_5"/>
      <w:bookmarkStart w:id="160" w:name="Tc_-fANbrYzZ06nwrBxn41eiA_24_2"/>
      <w:bookmarkStart w:id="161" w:name="Tc_lZT43wp3ekS_fvbRnGuiXw_24_0"/>
      <w:bookmarkStart w:id="162" w:name="Tc_Xl3sdYIQMk-78vggphs7pw_23_0"/>
      <w:bookmarkStart w:id="163" w:name="Tc_yNUfNIhRhkaurw527SjxXw_21_5"/>
      <w:bookmarkStart w:id="164" w:name="Tc_glZMqdE_3EuFRsrq9xfihw_21_2"/>
      <w:bookmarkStart w:id="165" w:name="Tc_7VABTKlXCkKCkCKp9_r0Gw_21_0"/>
      <w:bookmarkStart w:id="166" w:name="Tc_yN26flgQjEutTonY-3XE2Q_19_0"/>
      <w:bookmarkStart w:id="167" w:name="Tc_IDPUZaVEr0SncyZi4_7DFA_17_0"/>
      <w:bookmarkStart w:id="168" w:name="Tc_xNEobo0zD0ysWZyDt1Q_ZA_15_0"/>
      <w:bookmarkStart w:id="169" w:name="Tc_zOLGNn6J-k-Afgy9FESg7w_13_0"/>
      <w:bookmarkStart w:id="170" w:name="Tc_5gO03sRMmU6GTYO7Lwd9UA_11_0"/>
      <w:bookmarkStart w:id="171" w:name="Tc_vsTcvwtC00KS_RzynOl1dw_9_0"/>
      <w:bookmarkStart w:id="172" w:name="Tc_4N9WwSGRlkKGm8mDrC2r6A_7_0"/>
      <w:bookmarkStart w:id="173" w:name="Tc_RiSOX0DmLk6hmpGvnCmnfg_5_5"/>
      <w:bookmarkStart w:id="174" w:name="Tc_I7yrrZ-yU06Vtjeyf7ZRfg_5_2"/>
      <w:bookmarkStart w:id="175" w:name="Tc_Esv5EIzH4Ey5PO8XTrCqmQ_5_0"/>
      <w:bookmarkStart w:id="176" w:name="Tc_FoC6TUZxIE-lanl8EL4tJQ_3_5"/>
      <w:bookmarkStart w:id="177" w:name="Tc_1nXyGtl6zEeSuQz2e9PPJQ_3_2"/>
      <w:bookmarkStart w:id="178" w:name="Tc_UsVCBXLzrE6RUhH7g4V9KA_2_2"/>
      <w:bookmarkStart w:id="179" w:name="Tc_HkSlTaM6dUCDNw5f6_5dHQ_1_2"/>
      <w:bookmarkStart w:id="180" w:name="_e41ed53e_8063_4a6b_97b7_63b0959abaf8"/>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tbl>
      <w:tblPr>
        <w:tblW w:w="10205" w:type="dxa"/>
        <w:jc w:val="left"/>
        <w:tblInd w:w="0" w:type="dxa"/>
        <w:tblLayout w:type="fixed"/>
        <w:tblCellMar>
          <w:top w:w="0" w:type="dxa"/>
          <w:left w:w="0" w:type="dxa"/>
          <w:bottom w:w="0" w:type="dxa"/>
          <w:right w:w="0" w:type="dxa"/>
        </w:tblCellMar>
      </w:tblPr>
      <w:tblGrid>
        <w:gridCol w:w="7333"/>
        <w:gridCol w:w="326"/>
        <w:gridCol w:w="196"/>
        <w:gridCol w:w="861"/>
        <w:gridCol w:w="326"/>
        <w:gridCol w:w="196"/>
        <w:gridCol w:w="967"/>
      </w:tblGrid>
      <w:tr>
        <w:trPr/>
        <w:tc>
          <w:tcPr>
            <w:tcW w:w="7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656455" cy="175260"/>
                      <wp:effectExtent l="0" t="0" r="0" b="0"/>
                      <wp:wrapNone/>
                      <wp:docPr id="11" name="Frame11"/>
                      <a:graphic xmlns:a="http://schemas.openxmlformats.org/drawingml/2006/main">
                        <a:graphicData uri="http://schemas.microsoft.com/office/word/2010/wordprocessingShape">
                          <wps:wsp>
                            <wps:cNvSpPr txBox="1"/>
                            <wps:spPr>
                              <a:xfrm>
                                <a:off x="0" y="0"/>
                                <a:ext cx="4656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46735" cy="175260"/>
                      <wp:effectExtent l="0" t="0" r="0" b="0"/>
                      <wp:wrapNone/>
                      <wp:docPr id="14" name="Frame14"/>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14045" cy="175260"/>
                      <wp:effectExtent l="0" t="0" r="0" b="0"/>
                      <wp:wrapNone/>
                      <wp:docPr id="17" name="Frame17"/>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Three-Months Ended </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67" w:type="dxa"/>
            <w:tcBorders/>
            <w:vAlign w:val="center"/>
          </w:tcPr>
          <w:p>
            <w:pPr>
              <w:pStyle w:val="TableContents"/>
              <w:bidi w:val="0"/>
              <w:spacing w:before="0" w:after="0"/>
              <w:ind w:left="0" w:right="0" w:hanging="0"/>
              <w:jc w:val="center"/>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1,854,558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1,899,098</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806,596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871,969 </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lef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1,047,962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1,027,129 </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lef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478,217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485,138 </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lef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569,745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541,991 </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lef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8,272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35,754 </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lef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578,017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577,745 </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lef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135,024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135,696 </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442,993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442,049</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0.42</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0.42</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SHARES OF COMMON STOCK AND COMMON STOCK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973,622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1,041,081 </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981,282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 xml:space="preserve">1,051,282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81" w:name="_3c82c9a4_a787_4728_9ce0_55d31594c08b"/>
      <w:bookmarkEnd w:id="181"/>
      <w:r>
        <w:rPr>
          <w:rFonts w:ascii="Times New Roman;Times;serif" w:hAnsi="Times New Roman;Times;serif"/>
          <w:b/>
          <w:sz w:val="20"/>
        </w:rPr>
        <w:t>MONSTER BEVERAGE CORPORATION AND SUBSIDIARIES</w:t>
      </w:r>
    </w:p>
    <w:p>
      <w:pPr>
        <w:pStyle w:val="TextBody"/>
        <w:bidi w:val="0"/>
        <w:spacing w:before="0" w:after="0"/>
        <w:ind w:left="0" w:right="0" w:hanging="0"/>
        <w:jc w:val="both"/>
        <w:rPr>
          <w:rFonts w:ascii="Times New Roman;Times;serif" w:hAnsi="Times New Roman;Times;serif"/>
          <w:b/>
          <w:sz w:val="20"/>
        </w:rPr>
      </w:pPr>
      <w:bookmarkStart w:id="182" w:name="STATEMENTSOFCOMPREHENSIVEINCOME_19420"/>
      <w:bookmarkEnd w:id="182"/>
      <w:r>
        <w:rPr>
          <w:rFonts w:ascii="Times New Roman;Times;serif" w:hAnsi="Times New Roman;Times;serif"/>
          <w:b/>
          <w:sz w:val="20"/>
        </w:rPr>
        <w:t>CONDENSED CONSOLIDATED STATEMENTS OF COMPREHENSIVE INCOME</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 THE THREE-MONTHS ENDED MARCH 31, 2025 AND 2024</w:t>
      </w:r>
    </w:p>
    <w:p>
      <w:pPr>
        <w:pStyle w:val="TextBody"/>
        <w:pBdr>
          <w:bottom w:val="single" w:sz="12" w:space="1" w:color="000000"/>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83" w:name="Tc_26lj9_wFCUKc0KF69IlZzg_10_5"/>
      <w:bookmarkStart w:id="184" w:name="Tc_tqm1OigLZUOD1UyjVTGngA_10_2"/>
      <w:bookmarkStart w:id="185" w:name="Tc_xpyrIyUbEEOy8EBpyWuaSQ_10_0"/>
      <w:bookmarkStart w:id="186" w:name="Tc_mNj-806yekK49VLompGfdw_9_0"/>
      <w:bookmarkStart w:id="187" w:name="Tc_RzG9UNglbkWXgxKH9Pd4Ow_8_0"/>
      <w:bookmarkStart w:id="188" w:name="Tc_UO4flFe9ukiYg4nhn7RLKQ_7_0"/>
      <w:bookmarkStart w:id="189" w:name="Tc_3L12duyzjUK-jrsRfamYhA_6_0"/>
      <w:bookmarkStart w:id="190" w:name="Tc_lHiOw2Vm8kCddTW1DoqzWA_5_0"/>
      <w:bookmarkStart w:id="191" w:name="Tc_gQ3lWloFs0SZ7-3aLg0pqA_4_5"/>
      <w:bookmarkStart w:id="192" w:name="Tc_sg9SatArYUqsK6I2JT7CVQ_4_2"/>
      <w:bookmarkStart w:id="193" w:name="Tc_cS8XcGx-7Eq8XoUbQn9hOQ_4_0"/>
      <w:bookmarkStart w:id="194" w:name="Tc_iCnpjJZakEifTSGs2e8SpQ_3_5"/>
      <w:bookmarkStart w:id="195" w:name="Tc_aT8qdkFpMk21uMPYsh0rXA_3_2"/>
      <w:bookmarkStart w:id="196" w:name="Tc_AG3zjCDHukWGNl2nZCA_Ag_2_2"/>
      <w:bookmarkStart w:id="197" w:name="Tc_p60FdUrjTkKcmyNLJ1YtgA_1_2"/>
      <w:bookmarkStart w:id="198" w:name="_573ee5ac_a9bc_4816_916d_45e1e2716977"/>
      <w:bookmarkStart w:id="199" w:name="Tc_26lj9_wFCUKc0KF69IlZzg_10_5"/>
      <w:bookmarkStart w:id="200" w:name="Tc_tqm1OigLZUOD1UyjVTGngA_10_2"/>
      <w:bookmarkStart w:id="201" w:name="Tc_xpyrIyUbEEOy8EBpyWuaSQ_10_0"/>
      <w:bookmarkStart w:id="202" w:name="Tc_mNj-806yekK49VLompGfdw_9_0"/>
      <w:bookmarkStart w:id="203" w:name="Tc_RzG9UNglbkWXgxKH9Pd4Ow_8_0"/>
      <w:bookmarkStart w:id="204" w:name="Tc_UO4flFe9ukiYg4nhn7RLKQ_7_0"/>
      <w:bookmarkStart w:id="205" w:name="Tc_3L12duyzjUK-jrsRfamYhA_6_0"/>
      <w:bookmarkStart w:id="206" w:name="Tc_lHiOw2Vm8kCddTW1DoqzWA_5_0"/>
      <w:bookmarkStart w:id="207" w:name="Tc_gQ3lWloFs0SZ7-3aLg0pqA_4_5"/>
      <w:bookmarkStart w:id="208" w:name="Tc_sg9SatArYUqsK6I2JT7CVQ_4_2"/>
      <w:bookmarkStart w:id="209" w:name="Tc_cS8XcGx-7Eq8XoUbQn9hOQ_4_0"/>
      <w:bookmarkStart w:id="210" w:name="Tc_iCnpjJZakEifTSGs2e8SpQ_3_5"/>
      <w:bookmarkStart w:id="211" w:name="Tc_aT8qdkFpMk21uMPYsh0rXA_3_2"/>
      <w:bookmarkStart w:id="212" w:name="Tc_AG3zjCDHukWGNl2nZCA_Ag_2_2"/>
      <w:bookmarkStart w:id="213" w:name="Tc_p60FdUrjTkKcmyNLJ1YtgA_1_2"/>
      <w:bookmarkStart w:id="214" w:name="_573ee5ac_a9bc_4816_916d_45e1e2716977"/>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tbl>
      <w:tblPr>
        <w:tblW w:w="8517" w:type="dxa"/>
        <w:jc w:val="left"/>
        <w:tblInd w:w="0" w:type="dxa"/>
        <w:tblLayout w:type="fixed"/>
        <w:tblCellMar>
          <w:top w:w="0" w:type="dxa"/>
          <w:left w:w="0" w:type="dxa"/>
          <w:bottom w:w="0" w:type="dxa"/>
          <w:right w:w="0" w:type="dxa"/>
        </w:tblCellMar>
      </w:tblPr>
      <w:tblGrid>
        <w:gridCol w:w="5776"/>
        <w:gridCol w:w="326"/>
        <w:gridCol w:w="211"/>
        <w:gridCol w:w="781"/>
        <w:gridCol w:w="326"/>
        <w:gridCol w:w="211"/>
        <w:gridCol w:w="886"/>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667760" cy="175260"/>
                      <wp:effectExtent l="0" t="0" r="0" b="0"/>
                      <wp:wrapNone/>
                      <wp:docPr id="18" name="Frame18"/>
                      <a:graphic xmlns:a="http://schemas.openxmlformats.org/drawingml/2006/main">
                        <a:graphicData uri="http://schemas.microsoft.com/office/word/2010/wordprocessingShape">
                          <wps:wsp>
                            <wps:cNvSpPr txBox="1"/>
                            <wps:spPr>
                              <a:xfrm>
                                <a:off x="0" y="0"/>
                                <a:ext cx="3667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95935" cy="175260"/>
                      <wp:effectExtent l="0" t="0" r="0" b="0"/>
                      <wp:wrapNone/>
                      <wp:docPr id="20" name="Frame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62610" cy="175260"/>
                      <wp:effectExtent l="0" t="0" r="0" b="0"/>
                      <wp:wrapNone/>
                      <wp:docPr id="23" name="Frame2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Three-Months Ended </w:t>
            </w:r>
          </w:p>
        </w:tc>
      </w:tr>
      <w:tr>
        <w:trPr/>
        <w:tc>
          <w:tcPr>
            <w:tcW w:w="5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as reported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442,049</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(30,695)</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net unrealized gain (loss) on available-for-sale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net gain (loss) on commodity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(32,603)</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Comprehensive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509,534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409,446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both"/>
        <w:rPr>
          <w:rFonts w:ascii="Times New Roman;Times;serif" w:hAnsi="Times New Roman;Times;serif"/>
          <w:b/>
          <w:sz w:val="20"/>
        </w:rPr>
      </w:pPr>
      <w:bookmarkStart w:id="215" w:name="_ecb8d71e_392d_465a_91bc_f4becbeaf00b"/>
      <w:bookmarkEnd w:id="215"/>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both"/>
        <w:rPr>
          <w:rFonts w:ascii="Times New Roman;Times;serif" w:hAnsi="Times New Roman;Times;serif"/>
          <w:b/>
          <w:sz w:val="20"/>
        </w:rPr>
      </w:pPr>
      <w:bookmarkStart w:id="216" w:name="STATEMENTSOFSTOCKHOLDERSEQUITY_603690"/>
      <w:bookmarkEnd w:id="216"/>
      <w:r>
        <w:rPr>
          <w:rFonts w:ascii="Times New Roman;Times;serif" w:hAnsi="Times New Roman;Times;serif"/>
          <w:b/>
          <w:sz w:val="20"/>
        </w:rPr>
        <w:t xml:space="preserve">CONDENSED CONSOLIDATED STATEMENTS OF STOCKHOLDERS’ EQUITY </w:t>
      </w:r>
    </w:p>
    <w:p>
      <w:pPr>
        <w:pStyle w:val="TextBody"/>
        <w:pBdr/>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FOR THE THREE-MONTHS ENDED MARCH 31, 2025 AND 2024</w:t>
      </w:r>
    </w:p>
    <w:p>
      <w:pPr>
        <w:pStyle w:val="TextBody"/>
        <w:pBdr>
          <w:bottom w:val="single" w:sz="12" w:space="1" w:color="000000"/>
        </w:pBdr>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(In Thousands)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7" w:name="Tc_BbqyisHNMUyTIEV8WWtCtA_13_21"/>
      <w:bookmarkStart w:id="218" w:name="Tc_nDWyhUkME0y61ngIGVoUrA_13_18"/>
      <w:bookmarkStart w:id="219" w:name="Tc_gWYk-WXB50WyKcDnp592kg_13_13"/>
      <w:bookmarkStart w:id="220" w:name="Tc_4aJeQbPatEaqaIdAsjMp7g_13_10"/>
      <w:bookmarkStart w:id="221" w:name="Tc_zNRFTLG0VkSmz_PEoOMomg_13_7"/>
      <w:bookmarkStart w:id="222" w:name="Tc_v-oCRGLfnky_8HTQc6r-0Q_13_4"/>
      <w:bookmarkStart w:id="223" w:name="Tc_t9aYBiwufkOt8HpkHbrm_Q_13_0"/>
      <w:bookmarkStart w:id="224" w:name="Tc_jI1ZMIUWdUS5GcUhvDAUmg_12_19"/>
      <w:bookmarkStart w:id="225" w:name="Tc_geq4VbJrvkqX6i8bTI6PQQ_12_16"/>
      <w:bookmarkStart w:id="226" w:name="Tc_qHdTHwEMfEW_7bmuMuQdpw_12_14"/>
      <w:bookmarkStart w:id="227" w:name="Tc_0NhqAjuGu0meDKyiq_0Cdw_12_8"/>
      <w:bookmarkStart w:id="228" w:name="Tc_NYULkfka3EGErtYITvUYOQ_12_5"/>
      <w:bookmarkStart w:id="229" w:name="Tc_XmSYFM_yb0KCaar36g95Zw_12_2"/>
      <w:bookmarkStart w:id="230" w:name="Tc_DXotfsLMs0awKIhx4An_Fg_12_0"/>
      <w:bookmarkStart w:id="231" w:name="Tc_Z2Q4a5m2UkW5nz-Vn5qKtA_11_19"/>
      <w:bookmarkStart w:id="232" w:name="Tc_w6nXvbkid0qe3iVva8dDlQ_11_16"/>
      <w:bookmarkStart w:id="233" w:name="Tc_RMmtqv95iUeLxXu3zRdw6Q_11_11"/>
      <w:bookmarkStart w:id="234" w:name="Tc_gMZW_DYW1EC69jYDI9KKzA_11_8"/>
      <w:bookmarkStart w:id="235" w:name="Tc_q3DNte4c80CuIyAJHrFTjg_11_5"/>
      <w:bookmarkStart w:id="236" w:name="Tc_8V2tHIQc7ESSoTtTVa8V4g_11_2"/>
      <w:bookmarkStart w:id="237" w:name="Tc_v1JZm8HnwEykbypFIRPbXA_11_0"/>
      <w:bookmarkStart w:id="238" w:name="Tc_9fVUQCvURkSFHy9nFatvEg_10_19"/>
      <w:bookmarkStart w:id="239" w:name="Tc_g_sqizGnZESyWWPD0jpj5g_10_16"/>
      <w:bookmarkStart w:id="240" w:name="Tc_zGMFY57gr0GmBgyLKGZsjg_10_11"/>
      <w:bookmarkStart w:id="241" w:name="Tc_LGlvhKbXpE--p1W_pq8HoA_10_8"/>
      <w:bookmarkStart w:id="242" w:name="Tc_OvQoF0eTDEeuHe3iIBsoqA_10_5"/>
      <w:bookmarkStart w:id="243" w:name="Tc_UY5Ojj7An0aM1AhhIsct-Q_10_2"/>
      <w:bookmarkStart w:id="244" w:name="Tc_u6r8YahOA0ioog0sloezDw_10_0"/>
      <w:bookmarkStart w:id="245" w:name="Tc_xFkZKi7nK0qvDT2GfGcg7w_9_14"/>
      <w:bookmarkStart w:id="246" w:name="Tc_dIqZW86Xn0-qhYPWruYSJA_9_11"/>
      <w:bookmarkStart w:id="247" w:name="Tc_PmZVBXRrCkKwtPkh5AV6Ag_9_8"/>
      <w:bookmarkStart w:id="248" w:name="Tc_L5_gdl6-1UaIM6tOigt6EA_9_5"/>
      <w:bookmarkStart w:id="249" w:name="Tc_hMbQ5v1q7UqO-E9y_HBNFQ_9_2"/>
      <w:bookmarkStart w:id="250" w:name="Tc_uExCmjVR3kGTh-PnxecTAQ_9_0"/>
      <w:bookmarkStart w:id="251" w:name="Tc_o-LQ6KUQ9Ei2xSn-8gpyAg_8_22"/>
      <w:bookmarkStart w:id="252" w:name="Tc_kmwzUf-02kK3dR7O1EDybg_8_19"/>
      <w:bookmarkStart w:id="253" w:name="Tc_n3UHfgTwa0CEH11ju3NVXQ_8_16"/>
      <w:bookmarkStart w:id="254" w:name="Tc_pNvoK2RC20aNwklbyrJciw_8_14"/>
      <w:bookmarkStart w:id="255" w:name="Tc_fxYRY0ZhRUmxWMYcujfcAg_8_11"/>
      <w:bookmarkStart w:id="256" w:name="Tc_0WTXWGikf0-xsgiKVl2XdQ_8_8"/>
      <w:bookmarkStart w:id="257" w:name="Tc_bZGsK8d4vUeqqdqHQ1ihuA_8_5"/>
      <w:bookmarkStart w:id="258" w:name="Tc_Km_pXqGMwUyJ_musVTb0Ng_8_2"/>
      <w:bookmarkStart w:id="259" w:name="Tc_F7eLRSPdU0WVp5xpzo299g_8_0"/>
      <w:bookmarkStart w:id="260" w:name="Tc_cOM9nXW9zU-CTtKzWnJXqg_7_19"/>
      <w:bookmarkStart w:id="261" w:name="Tc_vaESY9LDOkGq3ZjL7ToC7g_7_16"/>
      <w:bookmarkStart w:id="262" w:name="Tc_A8dhDcgtsUaob3oCUP05Qw_7_14"/>
      <w:bookmarkStart w:id="263" w:name="Tc_C9hCcE6eyU6t9KXSfB_-bw_7_11"/>
      <w:bookmarkStart w:id="264" w:name="Tc_iIBn6LjMFkCwRjHHlmgf1g_7_0"/>
      <w:bookmarkStart w:id="265" w:name="Tc__S-1kvV9x0mBn6aaAzckug_6_19"/>
      <w:bookmarkStart w:id="266" w:name="Tc_dwBw23gTOEyxi_GaBC0Lfg_6_16"/>
      <w:bookmarkStart w:id="267" w:name="Tc_kPZjw7ZIx0Kin32-cT-ErQ_6_14"/>
      <w:bookmarkStart w:id="268" w:name="Tc_hIulyxcYGUKi4YMlPbVk5g_6_11"/>
      <w:bookmarkStart w:id="269" w:name="Tc_6oQqjr4KD0C9V5JkwAgbOA_6_5"/>
      <w:bookmarkStart w:id="270" w:name="Tc_hqdVWhQtTEWG87ADg_MHcQ_6_2"/>
      <w:bookmarkStart w:id="271" w:name="Tc_-UnF0gFokEqiKo2R1gD-8A_6_0"/>
      <w:bookmarkStart w:id="272" w:name="Tc_QgNyH2yPu0OonSDrH6xmcg_4_21"/>
      <w:bookmarkStart w:id="273" w:name="Tc_sqXSXBwZSUm12g8mjszJcA_4_18"/>
      <w:bookmarkStart w:id="274" w:name="Tc_s1GElsTv1kahJVHPN_nARg_4_13"/>
      <w:bookmarkStart w:id="275" w:name="Tc_8mLgNigLDUWpY7APyyj6qg_4_10"/>
      <w:bookmarkStart w:id="276" w:name="Tc_PHXjIHN1zEK7KzN2hjlaZg_4_7"/>
      <w:bookmarkStart w:id="277" w:name="Tc_kTshABibVE2DTGnRI7nBvw_4_4"/>
      <w:bookmarkStart w:id="278" w:name="Tc_qeuuHfTXZE6W4isyOrOHnA_4_0"/>
      <w:bookmarkStart w:id="279" w:name="Tc_jurLLHupbUGqY8tGB0Tjlw_3_21"/>
      <w:bookmarkStart w:id="280" w:name="Tc_aQxegWtGGEq19Ds8xikXSw_3_18"/>
      <w:bookmarkStart w:id="281" w:name="Tc_XTRAijR1mkGFH50MrArk1Q_3_16"/>
      <w:bookmarkStart w:id="282" w:name="Tc_EXzz5NiIUUeq4XoBJGE1pQ_3_13"/>
      <w:bookmarkStart w:id="283" w:name="Tc_4MBuoP1fb0uvFlzSbseluQ_3_10"/>
      <w:bookmarkStart w:id="284" w:name="Tc_Dtk6qgJG5kaDLKfu7oyimA_3_7"/>
      <w:bookmarkStart w:id="285" w:name="Tc_-7-0ocZQXEyWuqJm6xILuw_3_4"/>
      <w:bookmarkStart w:id="286" w:name="Tc_Ltn54E91RUuZt3Fn8cfhbA_3_2"/>
      <w:bookmarkStart w:id="287" w:name="Tc_HTzd0Y-IR0GGaWw4_34fRA_2_21"/>
      <w:bookmarkStart w:id="288" w:name="Tc_y2gnUsgVaEqlUdcVYihUQw_2_16"/>
      <w:bookmarkStart w:id="289" w:name="Tc_Da_OBcAiHUiO1en_b5NxPQ_2_13"/>
      <w:bookmarkStart w:id="290" w:name="Tc_5Z2tDoNDKkW6QL2T-nTWLw_2_10"/>
      <w:bookmarkStart w:id="291" w:name="Tc_qJDGR65g0EK4of8XzEwDZw_2_7"/>
      <w:bookmarkStart w:id="292" w:name="Tc_mSnifnw5OEq3i6mAkMxOuw_2_2"/>
      <w:bookmarkStart w:id="293" w:name="Tc_TCR5WkkG002M1Y9pzJYgsw_1_21"/>
      <w:bookmarkStart w:id="294" w:name="Tc_Sf-14pHp0UW0pR9KK7tx8g_1_13"/>
      <w:bookmarkStart w:id="295" w:name="_f30de4c4_50e8_4b76_95e7_5cf508d24da9"/>
      <w:bookmarkStart w:id="296" w:name="Tc_BbqyisHNMUyTIEV8WWtCtA_13_21"/>
      <w:bookmarkStart w:id="297" w:name="Tc_nDWyhUkME0y61ngIGVoUrA_13_18"/>
      <w:bookmarkStart w:id="298" w:name="Tc_gWYk-WXB50WyKcDnp592kg_13_13"/>
      <w:bookmarkStart w:id="299" w:name="Tc_4aJeQbPatEaqaIdAsjMp7g_13_10"/>
      <w:bookmarkStart w:id="300" w:name="Tc_zNRFTLG0VkSmz_PEoOMomg_13_7"/>
      <w:bookmarkStart w:id="301" w:name="Tc_v-oCRGLfnky_8HTQc6r-0Q_13_4"/>
      <w:bookmarkStart w:id="302" w:name="Tc_t9aYBiwufkOt8HpkHbrm_Q_13_0"/>
      <w:bookmarkStart w:id="303" w:name="Tc_jI1ZMIUWdUS5GcUhvDAUmg_12_19"/>
      <w:bookmarkStart w:id="304" w:name="Tc_geq4VbJrvkqX6i8bTI6PQQ_12_16"/>
      <w:bookmarkStart w:id="305" w:name="Tc_qHdTHwEMfEW_7bmuMuQdpw_12_14"/>
      <w:bookmarkStart w:id="306" w:name="Tc_0NhqAjuGu0meDKyiq_0Cdw_12_8"/>
      <w:bookmarkStart w:id="307" w:name="Tc_NYULkfka3EGErtYITvUYOQ_12_5"/>
      <w:bookmarkStart w:id="308" w:name="Tc_XmSYFM_yb0KCaar36g95Zw_12_2"/>
      <w:bookmarkStart w:id="309" w:name="Tc_DXotfsLMs0awKIhx4An_Fg_12_0"/>
      <w:bookmarkStart w:id="310" w:name="Tc_Z2Q4a5m2UkW5nz-Vn5qKtA_11_19"/>
      <w:bookmarkStart w:id="311" w:name="Tc_w6nXvbkid0qe3iVva8dDlQ_11_16"/>
      <w:bookmarkStart w:id="312" w:name="Tc_RMmtqv95iUeLxXu3zRdw6Q_11_11"/>
      <w:bookmarkStart w:id="313" w:name="Tc_gMZW_DYW1EC69jYDI9KKzA_11_8"/>
      <w:bookmarkStart w:id="314" w:name="Tc_q3DNte4c80CuIyAJHrFTjg_11_5"/>
      <w:bookmarkStart w:id="315" w:name="Tc_8V2tHIQc7ESSoTtTVa8V4g_11_2"/>
      <w:bookmarkStart w:id="316" w:name="Tc_v1JZm8HnwEykbypFIRPbXA_11_0"/>
      <w:bookmarkStart w:id="317" w:name="Tc_9fVUQCvURkSFHy9nFatvEg_10_19"/>
      <w:bookmarkStart w:id="318" w:name="Tc_g_sqizGnZESyWWPD0jpj5g_10_16"/>
      <w:bookmarkStart w:id="319" w:name="Tc_zGMFY57gr0GmBgyLKGZsjg_10_11"/>
      <w:bookmarkStart w:id="320" w:name="Tc_LGlvhKbXpE--p1W_pq8HoA_10_8"/>
      <w:bookmarkStart w:id="321" w:name="Tc_OvQoF0eTDEeuHe3iIBsoqA_10_5"/>
      <w:bookmarkStart w:id="322" w:name="Tc_UY5Ojj7An0aM1AhhIsct-Q_10_2"/>
      <w:bookmarkStart w:id="323" w:name="Tc_u6r8YahOA0ioog0sloezDw_10_0"/>
      <w:bookmarkStart w:id="324" w:name="Tc_xFkZKi7nK0qvDT2GfGcg7w_9_14"/>
      <w:bookmarkStart w:id="325" w:name="Tc_dIqZW86Xn0-qhYPWruYSJA_9_11"/>
      <w:bookmarkStart w:id="326" w:name="Tc_PmZVBXRrCkKwtPkh5AV6Ag_9_8"/>
      <w:bookmarkStart w:id="327" w:name="Tc_L5_gdl6-1UaIM6tOigt6EA_9_5"/>
      <w:bookmarkStart w:id="328" w:name="Tc_hMbQ5v1q7UqO-E9y_HBNFQ_9_2"/>
      <w:bookmarkStart w:id="329" w:name="Tc_uExCmjVR3kGTh-PnxecTAQ_9_0"/>
      <w:bookmarkStart w:id="330" w:name="Tc_o-LQ6KUQ9Ei2xSn-8gpyAg_8_22"/>
      <w:bookmarkStart w:id="331" w:name="Tc_kmwzUf-02kK3dR7O1EDybg_8_19"/>
      <w:bookmarkStart w:id="332" w:name="Tc_n3UHfgTwa0CEH11ju3NVXQ_8_16"/>
      <w:bookmarkStart w:id="333" w:name="Tc_pNvoK2RC20aNwklbyrJciw_8_14"/>
      <w:bookmarkStart w:id="334" w:name="Tc_fxYRY0ZhRUmxWMYcujfcAg_8_11"/>
      <w:bookmarkStart w:id="335" w:name="Tc_0WTXWGikf0-xsgiKVl2XdQ_8_8"/>
      <w:bookmarkStart w:id="336" w:name="Tc_bZGsK8d4vUeqqdqHQ1ihuA_8_5"/>
      <w:bookmarkStart w:id="337" w:name="Tc_Km_pXqGMwUyJ_musVTb0Ng_8_2"/>
      <w:bookmarkStart w:id="338" w:name="Tc_F7eLRSPdU0WVp5xpzo299g_8_0"/>
      <w:bookmarkStart w:id="339" w:name="Tc_cOM9nXW9zU-CTtKzWnJXqg_7_19"/>
      <w:bookmarkStart w:id="340" w:name="Tc_vaESY9LDOkGq3ZjL7ToC7g_7_16"/>
      <w:bookmarkStart w:id="341" w:name="Tc_A8dhDcgtsUaob3oCUP05Qw_7_14"/>
      <w:bookmarkStart w:id="342" w:name="Tc_C9hCcE6eyU6t9KXSfB_-bw_7_11"/>
      <w:bookmarkStart w:id="343" w:name="Tc_iIBn6LjMFkCwRjHHlmgf1g_7_0"/>
      <w:bookmarkStart w:id="344" w:name="Tc__S-1kvV9x0mBn6aaAzckug_6_19"/>
      <w:bookmarkStart w:id="345" w:name="Tc_dwBw23gTOEyxi_GaBC0Lfg_6_16"/>
      <w:bookmarkStart w:id="346" w:name="Tc_kPZjw7ZIx0Kin32-cT-ErQ_6_14"/>
      <w:bookmarkStart w:id="347" w:name="Tc_hIulyxcYGUKi4YMlPbVk5g_6_11"/>
      <w:bookmarkStart w:id="348" w:name="Tc_6oQqjr4KD0C9V5JkwAgbOA_6_5"/>
      <w:bookmarkStart w:id="349" w:name="Tc_hqdVWhQtTEWG87ADg_MHcQ_6_2"/>
      <w:bookmarkStart w:id="350" w:name="Tc_-UnF0gFokEqiKo2R1gD-8A_6_0"/>
      <w:bookmarkStart w:id="351" w:name="Tc_QgNyH2yPu0OonSDrH6xmcg_4_21"/>
      <w:bookmarkStart w:id="352" w:name="Tc_sqXSXBwZSUm12g8mjszJcA_4_18"/>
      <w:bookmarkStart w:id="353" w:name="Tc_s1GElsTv1kahJVHPN_nARg_4_13"/>
      <w:bookmarkStart w:id="354" w:name="Tc_8mLgNigLDUWpY7APyyj6qg_4_10"/>
      <w:bookmarkStart w:id="355" w:name="Tc_PHXjIHN1zEK7KzN2hjlaZg_4_7"/>
      <w:bookmarkStart w:id="356" w:name="Tc_kTshABibVE2DTGnRI7nBvw_4_4"/>
      <w:bookmarkStart w:id="357" w:name="Tc_qeuuHfTXZE6W4isyOrOHnA_4_0"/>
      <w:bookmarkStart w:id="358" w:name="Tc_jurLLHupbUGqY8tGB0Tjlw_3_21"/>
      <w:bookmarkStart w:id="359" w:name="Tc_aQxegWtGGEq19Ds8xikXSw_3_18"/>
      <w:bookmarkStart w:id="360" w:name="Tc_XTRAijR1mkGFH50MrArk1Q_3_16"/>
      <w:bookmarkStart w:id="361" w:name="Tc_EXzz5NiIUUeq4XoBJGE1pQ_3_13"/>
      <w:bookmarkStart w:id="362" w:name="Tc_4MBuoP1fb0uvFlzSbseluQ_3_10"/>
      <w:bookmarkStart w:id="363" w:name="Tc_Dtk6qgJG5kaDLKfu7oyimA_3_7"/>
      <w:bookmarkStart w:id="364" w:name="Tc_-7-0ocZQXEyWuqJm6xILuw_3_4"/>
      <w:bookmarkStart w:id="365" w:name="Tc_Ltn54E91RUuZt3Fn8cfhbA_3_2"/>
      <w:bookmarkStart w:id="366" w:name="Tc_HTzd0Y-IR0GGaWw4_34fRA_2_21"/>
      <w:bookmarkStart w:id="367" w:name="Tc_y2gnUsgVaEqlUdcVYihUQw_2_16"/>
      <w:bookmarkStart w:id="368" w:name="Tc_Da_OBcAiHUiO1en_b5NxPQ_2_13"/>
      <w:bookmarkStart w:id="369" w:name="Tc_5Z2tDoNDKkW6QL2T-nTWLw_2_10"/>
      <w:bookmarkStart w:id="370" w:name="Tc_qJDGR65g0EK4of8XzEwDZw_2_7"/>
      <w:bookmarkStart w:id="371" w:name="Tc_mSnifnw5OEq3i6mAkMxOuw_2_2"/>
      <w:bookmarkStart w:id="372" w:name="Tc_TCR5WkkG002M1Y9pzJYgsw_1_21"/>
      <w:bookmarkStart w:id="373" w:name="Tc_Sf-14pHp0UW0pR9KK7tx8g_1_13"/>
      <w:bookmarkStart w:id="374" w:name="_f30de4c4_50e8_4b76_95e7_5cf508d24da9"/>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tbl>
      <w:tblPr>
        <w:tblW w:w="11876" w:type="dxa"/>
        <w:jc w:val="left"/>
        <w:tblInd w:w="0" w:type="dxa"/>
        <w:tblLayout w:type="fixed"/>
        <w:tblCellMar>
          <w:top w:w="0" w:type="dxa"/>
          <w:left w:w="0" w:type="dxa"/>
          <w:bottom w:w="0" w:type="dxa"/>
          <w:right w:w="0" w:type="dxa"/>
        </w:tblCellMar>
      </w:tblPr>
      <w:tblGrid>
        <w:gridCol w:w="1321"/>
        <w:gridCol w:w="326"/>
        <w:gridCol w:w="826"/>
        <w:gridCol w:w="326"/>
        <w:gridCol w:w="196"/>
        <w:gridCol w:w="511"/>
        <w:gridCol w:w="326"/>
        <w:gridCol w:w="233"/>
        <w:gridCol w:w="983"/>
        <w:gridCol w:w="326"/>
        <w:gridCol w:w="196"/>
        <w:gridCol w:w="826"/>
        <w:gridCol w:w="326"/>
        <w:gridCol w:w="316"/>
        <w:gridCol w:w="900"/>
        <w:gridCol w:w="326"/>
        <w:gridCol w:w="751"/>
        <w:gridCol w:w="326"/>
        <w:gridCol w:w="196"/>
        <w:gridCol w:w="886"/>
        <w:gridCol w:w="326"/>
        <w:gridCol w:w="196"/>
        <w:gridCol w:w="93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838835" cy="175260"/>
                      <wp:effectExtent l="0" t="0" r="0" b="0"/>
                      <wp:wrapNone/>
                      <wp:docPr id="24" name="Frame2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24510" cy="175260"/>
                      <wp:effectExtent l="0" t="0" r="0" b="0"/>
                      <wp:wrapNone/>
                      <wp:docPr id="26" name="Frame2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24485" cy="175260"/>
                      <wp:effectExtent l="0" t="0" r="0" b="0"/>
                      <wp:wrapNone/>
                      <wp:docPr id="29" name="Frame2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7955" cy="175260"/>
                      <wp:effectExtent l="0" t="0" r="0" b="0"/>
                      <wp:wrapNone/>
                      <wp:docPr id="31" name="Frame3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24205" cy="175260"/>
                      <wp:effectExtent l="0" t="0" r="0" b="0"/>
                      <wp:wrapNone/>
                      <wp:docPr id="32" name="Frame32"/>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4"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24510" cy="175260"/>
                      <wp:effectExtent l="0" t="0" r="0" b="0"/>
                      <wp:wrapNone/>
                      <wp:docPr id="35" name="Frame3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0660" cy="175260"/>
                      <wp:effectExtent l="0" t="0" r="0" b="0"/>
                      <wp:wrapNone/>
                      <wp:docPr id="37" name="Frame3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71500" cy="175260"/>
                      <wp:effectExtent l="0" t="0" r="0" b="0"/>
                      <wp:wrapNone/>
                      <wp:docPr id="38" name="Frame38"/>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76885" cy="175260"/>
                      <wp:effectExtent l="0" t="0" r="0" b="0"/>
                      <wp:wrapNone/>
                      <wp:docPr id="40" name="Frame4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2"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62610" cy="175260"/>
                      <wp:effectExtent l="0" t="0" r="0" b="0"/>
                      <wp:wrapNone/>
                      <wp:docPr id="43" name="Frame4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91185" cy="175260"/>
                      <wp:effectExtent l="0" t="0" r="0" b="0"/>
                      <wp:wrapNone/>
                      <wp:docPr id="46" name="Frame4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0"/>
              <w:ind w:left="0" w:right="0" w:hanging="0"/>
              <w:jc w:val="left"/>
              <w:rPr/>
            </w:pPr>
            <w:r>
              <w:rPr/>
              <w:t>​</w:t>
            </w:r>
          </w:p>
        </w:tc>
        <w:tc>
          <w:tcPr>
            <w:tcW w:w="21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1,126,329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5,632</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5,144,922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7,448,784</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(269,487)</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(153,250)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(6,372,133)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5,957,718</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20,727</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 options/awards </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48,093</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net on available-for-sale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(16,633)</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63,971</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63,971</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gain (loss) on commodity derivatives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2,570</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442,993</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442,993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March 31, 2025</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1,128,695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5,643</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5,213,731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7,891,777</w:t>
            </w:r>
          </w:p>
        </w:tc>
        <w:tc>
          <w:tcPr>
            <w:tcW w:w="326" w:type="dxa"/>
            <w:tcBorders/>
            <w:vAlign w:val="center"/>
          </w:tcPr>
          <w:p>
            <w:pPr>
              <w:pStyle w:val="TableContents"/>
              <w:bidi w:val="0"/>
              <w:spacing w:before="0" w:after="0"/>
              <w:ind w:left="0" w:right="0" w:hanging="0"/>
              <w:jc w:val="left"/>
              <w:rPr/>
            </w:pPr>
            <w:r>
              <w:rPr/>
              <w:t>​</w:t>
            </w:r>
          </w:p>
        </w:tc>
        <w:tc>
          <w:tcPr>
            <w:tcW w:w="3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(202,946)</w:t>
            </w:r>
          </w:p>
        </w:tc>
        <w:tc>
          <w:tcPr>
            <w:tcW w:w="326" w:type="dxa"/>
            <w:tcBorders/>
            <w:vAlign w:val="center"/>
          </w:tcPr>
          <w:p>
            <w:pPr>
              <w:pStyle w:val="TableContents"/>
              <w:bidi w:val="0"/>
              <w:spacing w:before="0" w:after="0"/>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(153,552)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(6,388,766)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6,519,439</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5" w:name="Tc_IhZ92T44pUe-GTdHqUM03g_13_21"/>
      <w:bookmarkStart w:id="376" w:name="Tc_GiNYozd-lEC1t3lKZenKCQ_13_18"/>
      <w:bookmarkStart w:id="377" w:name="Tc_o0kY-Qn5l0m7gKkG86EmUg_13_13"/>
      <w:bookmarkStart w:id="378" w:name="Tc_a7WA5QlKpkWsirmQRQBUPQ_13_10"/>
      <w:bookmarkStart w:id="379" w:name="Tc_m5JyxFGCAkGmFaaUOsIXOg_13_7"/>
      <w:bookmarkStart w:id="380" w:name="Tc_gXrNA13PhUqLR0WexsvcGA_13_4"/>
      <w:bookmarkStart w:id="381" w:name="Tc_MqSJXDDrFE6PA0UwO4O11g_13_0"/>
      <w:bookmarkStart w:id="382" w:name="Tc_VPHxmcCeiU-D2lgyHdrmeQ_12_19"/>
      <w:bookmarkStart w:id="383" w:name="Tc_mA8J77IHbEOYjzTqadvr0g_12_16"/>
      <w:bookmarkStart w:id="384" w:name="Tc_K1MhM5XXbkKyTqg5LkTCSA_12_14"/>
      <w:bookmarkStart w:id="385" w:name="Tc_0prnp3pnv0yBocInDIa5aQ_12_8"/>
      <w:bookmarkStart w:id="386" w:name="Tc_WQRr81CNIUWwYjEBrIHBMg_12_5"/>
      <w:bookmarkStart w:id="387" w:name="Tc_8kvELy0rQEybleI8R4l3Iw_12_2"/>
      <w:bookmarkStart w:id="388" w:name="Tc_Pbcy_rozpEaKeExoXk7ZDA_12_0"/>
      <w:bookmarkStart w:id="389" w:name="Tc_AJ6drvNtKk6YGg8sAkta5A_11_19"/>
      <w:bookmarkStart w:id="390" w:name="Tc_456HS_9FyEqKMkHW9gYgDg_11_16"/>
      <w:bookmarkStart w:id="391" w:name="Tc_kVtKsWtAhkyGHariZxMkew_11_11"/>
      <w:bookmarkStart w:id="392" w:name="Tc_mOlJvZnRh0C3Oy23XDkXRQ_11_8"/>
      <w:bookmarkStart w:id="393" w:name="Tc_iHlnJM2Wukm_EkJgVpZ3Lw_11_5"/>
      <w:bookmarkStart w:id="394" w:name="Tc_MdniqyrlLk6q8zZh7dqWHw_11_2"/>
      <w:bookmarkStart w:id="395" w:name="Tc_B9LZxUMzc067YzsGIB_ikg_11_0"/>
      <w:bookmarkStart w:id="396" w:name="Tc_P1ZW48aOREK8AQNt0ukoSg_10_19"/>
      <w:bookmarkStart w:id="397" w:name="Tc_8M7sK2vq5kmPV-CBBzpm_A_10_16"/>
      <w:bookmarkStart w:id="398" w:name="Tc_P-DUl8isPkCM7pYEVNjkvQ_10_11"/>
      <w:bookmarkStart w:id="399" w:name="Tc_qmv7INCRL0WY_w3n-3htZQ_10_8"/>
      <w:bookmarkStart w:id="400" w:name="Tc_awtHR_xq5EaB_ZfgP79-EQ_10_5"/>
      <w:bookmarkStart w:id="401" w:name="Tc_NNGjN9JYK0y-RowT52-lUQ_10_2"/>
      <w:bookmarkStart w:id="402" w:name="Tc_ZxmmS0Ssrk-XWE8I6Xyr9Q_10_0"/>
      <w:bookmarkStart w:id="403" w:name="Tc_TWF4L6_W2EqOK5AJmc7fPQ_9_14"/>
      <w:bookmarkStart w:id="404" w:name="Tc_VM7dC6__zEG-NQthTzQr5Q_9_11"/>
      <w:bookmarkStart w:id="405" w:name="Tc_iyOtqDRPjE61Ely1RxDlgA_9_8"/>
      <w:bookmarkStart w:id="406" w:name="Tc_ILigBQxe9EuKD5b2mmsIjA_9_5"/>
      <w:bookmarkStart w:id="407" w:name="Tc_tcMGuBhca0m3rC_C6iYX4g_9_2"/>
      <w:bookmarkStart w:id="408" w:name="Tc_j-S_NgzHrU-CcNhljyTsSA_9_0"/>
      <w:bookmarkStart w:id="409" w:name="Tc_huVYIDWPIUepl3uLhlXVbQ_8_19"/>
      <w:bookmarkStart w:id="410" w:name="Tc_ATuoxIiynUe_dwD4UBcjOw_8_16"/>
      <w:bookmarkStart w:id="411" w:name="Tc_p8s030UCkUa7evLnilFdXg_8_11"/>
      <w:bookmarkStart w:id="412" w:name="Tc_9I1ZyZIvnkOjL7L4HFD3Sw_8_8"/>
      <w:bookmarkStart w:id="413" w:name="Tc_uvGpIA8gfUSR8ZWa5Ohvmg_8_5"/>
      <w:bookmarkStart w:id="414" w:name="Tc_4mJ3hloDakCpbG2yNnwcXg_8_2"/>
      <w:bookmarkStart w:id="415" w:name="Tc_Ekzw7bn8wUuEi1tXgrq6_w_8_0"/>
      <w:bookmarkStart w:id="416" w:name="Tc_XC24iWxs7EmEWP6fthBI_Q_7_19"/>
      <w:bookmarkStart w:id="417" w:name="Tc_lalMl2xJNk-kDcEz0dKKCg_7_16"/>
      <w:bookmarkStart w:id="418" w:name="Tc_9nMgUsWrXkqQLfSgxwqN1w_7_14"/>
      <w:bookmarkStart w:id="419" w:name="Tc_JGDXZI3Fo0m1aAJ8InrIEg_7_11"/>
      <w:bookmarkStart w:id="420" w:name="Tc_JsVkk-XudE2qf9ILHDUROA_7_0"/>
      <w:bookmarkStart w:id="421" w:name="Tc_McOihdddhkW1bXugWpcVtw_6_19"/>
      <w:bookmarkStart w:id="422" w:name="Tc_6gWJ1Ds0TkaMdXL9E2h4Zg_6_16"/>
      <w:bookmarkStart w:id="423" w:name="Tc_FHir_I6-kUKf9EeubeAlng_6_14"/>
      <w:bookmarkStart w:id="424" w:name="Tc_Glhcy-kD_UKVJESrc2DlfQ_6_11"/>
      <w:bookmarkStart w:id="425" w:name="Tc_X3r47u5C506NM06c3oV2Ow_6_5"/>
      <w:bookmarkStart w:id="426" w:name="Tc_6fbPfefT0ES9NEGCJ1DHlQ_6_2"/>
      <w:bookmarkStart w:id="427" w:name="Tc_ICC__6glhUCMUIpLtoGJdQ_6_0"/>
      <w:bookmarkStart w:id="428" w:name="Tc_3gSpoiau2UevIsh1y0T9Ww_4_21"/>
      <w:bookmarkStart w:id="429" w:name="Tc_xLlwzBTWFkuWYI_qPEBYtQ_4_18"/>
      <w:bookmarkStart w:id="430" w:name="Tc_xGt1xnVvpEeRr7LXlwUJ4w_4_13"/>
      <w:bookmarkStart w:id="431" w:name="Tc_x7rmwas_lEyLlmtmN0TYrg_4_10"/>
      <w:bookmarkStart w:id="432" w:name="Tc_OpIOAdLcWUa1O-8WiFSnUQ_4_7"/>
      <w:bookmarkStart w:id="433" w:name="Tc_Vx1TxrrSt0aPXrS-9zeNTQ_4_4"/>
      <w:bookmarkStart w:id="434" w:name="Tc_p9ZlAO6rsUKjzBzAO0ENjg_4_0"/>
      <w:bookmarkStart w:id="435" w:name="Tc_ECn6RcctYEmm8Q4KSQgveg_3_21"/>
      <w:bookmarkStart w:id="436" w:name="Tc_3Ir7A9fDrkiA704YRpjAcw_3_18"/>
      <w:bookmarkStart w:id="437" w:name="Tc_f7eobl_PlUGfjkejfrJ-FQ_3_16"/>
      <w:bookmarkStart w:id="438" w:name="Tc_HS62KCi3eEaIxVvM2JLBUQ_3_13"/>
      <w:bookmarkStart w:id="439" w:name="Tc_uTCif2oMIE6IeY8VlNcohQ_3_10"/>
      <w:bookmarkStart w:id="440" w:name="Tc_uOzVpiKqeUy1w4HVs_TG3Q_3_7"/>
      <w:bookmarkStart w:id="441" w:name="Tc_GfDrnEpbnUK5gXbZSwKYFw_3_4"/>
      <w:bookmarkStart w:id="442" w:name="Tc_mx-82DyxgkWoorfK8jg1Cg_3_2"/>
      <w:bookmarkStart w:id="443" w:name="Tc_xuhmdiu-K0mvlOiEISwOsg_2_21"/>
      <w:bookmarkStart w:id="444" w:name="Tc_hmarNN4KLkOgElHYfbMedA_2_16"/>
      <w:bookmarkStart w:id="445" w:name="Tc_ywGT4eOg7U6sFGYONqpULg_2_13"/>
      <w:bookmarkStart w:id="446" w:name="Tc_o45rjfV-v06HNGOxNtuAVg_2_10"/>
      <w:bookmarkStart w:id="447" w:name="Tc_irruii2F8E-yQk8_KPJA2A_2_7"/>
      <w:bookmarkStart w:id="448" w:name="Tc_MJurka8AHUikGDf_SgTiIA_2_2"/>
      <w:bookmarkStart w:id="449" w:name="Tc_ZGwz0r7a90aYJv01WrpCvA_1_21"/>
      <w:bookmarkStart w:id="450" w:name="Tc_eGRnHtBgykyAGvVoM495Ew_1_13"/>
      <w:bookmarkStart w:id="451" w:name="_7a4560e4_7e00_4866_9e2e_3d3fd636dbde"/>
      <w:bookmarkStart w:id="452" w:name="Tc_IhZ92T44pUe-GTdHqUM03g_13_21"/>
      <w:bookmarkStart w:id="453" w:name="Tc_GiNYozd-lEC1t3lKZenKCQ_13_18"/>
      <w:bookmarkStart w:id="454" w:name="Tc_o0kY-Qn5l0m7gKkG86EmUg_13_13"/>
      <w:bookmarkStart w:id="455" w:name="Tc_a7WA5QlKpkWsirmQRQBUPQ_13_10"/>
      <w:bookmarkStart w:id="456" w:name="Tc_m5JyxFGCAkGmFaaUOsIXOg_13_7"/>
      <w:bookmarkStart w:id="457" w:name="Tc_gXrNA13PhUqLR0WexsvcGA_13_4"/>
      <w:bookmarkStart w:id="458" w:name="Tc_MqSJXDDrFE6PA0UwO4O11g_13_0"/>
      <w:bookmarkStart w:id="459" w:name="Tc_VPHxmcCeiU-D2lgyHdrmeQ_12_19"/>
      <w:bookmarkStart w:id="460" w:name="Tc_mA8J77IHbEOYjzTqadvr0g_12_16"/>
      <w:bookmarkStart w:id="461" w:name="Tc_K1MhM5XXbkKyTqg5LkTCSA_12_14"/>
      <w:bookmarkStart w:id="462" w:name="Tc_0prnp3pnv0yBocInDIa5aQ_12_8"/>
      <w:bookmarkStart w:id="463" w:name="Tc_WQRr81CNIUWwYjEBrIHBMg_12_5"/>
      <w:bookmarkStart w:id="464" w:name="Tc_8kvELy0rQEybleI8R4l3Iw_12_2"/>
      <w:bookmarkStart w:id="465" w:name="Tc_Pbcy_rozpEaKeExoXk7ZDA_12_0"/>
      <w:bookmarkStart w:id="466" w:name="Tc_AJ6drvNtKk6YGg8sAkta5A_11_19"/>
      <w:bookmarkStart w:id="467" w:name="Tc_456HS_9FyEqKMkHW9gYgDg_11_16"/>
      <w:bookmarkStart w:id="468" w:name="Tc_kVtKsWtAhkyGHariZxMkew_11_11"/>
      <w:bookmarkStart w:id="469" w:name="Tc_mOlJvZnRh0C3Oy23XDkXRQ_11_8"/>
      <w:bookmarkStart w:id="470" w:name="Tc_iHlnJM2Wukm_EkJgVpZ3Lw_11_5"/>
      <w:bookmarkStart w:id="471" w:name="Tc_MdniqyrlLk6q8zZh7dqWHw_11_2"/>
      <w:bookmarkStart w:id="472" w:name="Tc_B9LZxUMzc067YzsGIB_ikg_11_0"/>
      <w:bookmarkStart w:id="473" w:name="Tc_P1ZW48aOREK8AQNt0ukoSg_10_19"/>
      <w:bookmarkStart w:id="474" w:name="Tc_8M7sK2vq5kmPV-CBBzpm_A_10_16"/>
      <w:bookmarkStart w:id="475" w:name="Tc_P-DUl8isPkCM7pYEVNjkvQ_10_11"/>
      <w:bookmarkStart w:id="476" w:name="Tc_qmv7INCRL0WY_w3n-3htZQ_10_8"/>
      <w:bookmarkStart w:id="477" w:name="Tc_awtHR_xq5EaB_ZfgP79-EQ_10_5"/>
      <w:bookmarkStart w:id="478" w:name="Tc_NNGjN9JYK0y-RowT52-lUQ_10_2"/>
      <w:bookmarkStart w:id="479" w:name="Tc_ZxmmS0Ssrk-XWE8I6Xyr9Q_10_0"/>
      <w:bookmarkStart w:id="480" w:name="Tc_TWF4L6_W2EqOK5AJmc7fPQ_9_14"/>
      <w:bookmarkStart w:id="481" w:name="Tc_VM7dC6__zEG-NQthTzQr5Q_9_11"/>
      <w:bookmarkStart w:id="482" w:name="Tc_iyOtqDRPjE61Ely1RxDlgA_9_8"/>
      <w:bookmarkStart w:id="483" w:name="Tc_ILigBQxe9EuKD5b2mmsIjA_9_5"/>
      <w:bookmarkStart w:id="484" w:name="Tc_tcMGuBhca0m3rC_C6iYX4g_9_2"/>
      <w:bookmarkStart w:id="485" w:name="Tc_j-S_NgzHrU-CcNhljyTsSA_9_0"/>
      <w:bookmarkStart w:id="486" w:name="Tc_huVYIDWPIUepl3uLhlXVbQ_8_19"/>
      <w:bookmarkStart w:id="487" w:name="Tc_ATuoxIiynUe_dwD4UBcjOw_8_16"/>
      <w:bookmarkStart w:id="488" w:name="Tc_p8s030UCkUa7evLnilFdXg_8_11"/>
      <w:bookmarkStart w:id="489" w:name="Tc_9I1ZyZIvnkOjL7L4HFD3Sw_8_8"/>
      <w:bookmarkStart w:id="490" w:name="Tc_uvGpIA8gfUSR8ZWa5Ohvmg_8_5"/>
      <w:bookmarkStart w:id="491" w:name="Tc_4mJ3hloDakCpbG2yNnwcXg_8_2"/>
      <w:bookmarkStart w:id="492" w:name="Tc_Ekzw7bn8wUuEi1tXgrq6_w_8_0"/>
      <w:bookmarkStart w:id="493" w:name="Tc_XC24iWxs7EmEWP6fthBI_Q_7_19"/>
      <w:bookmarkStart w:id="494" w:name="Tc_lalMl2xJNk-kDcEz0dKKCg_7_16"/>
      <w:bookmarkStart w:id="495" w:name="Tc_9nMgUsWrXkqQLfSgxwqN1w_7_14"/>
      <w:bookmarkStart w:id="496" w:name="Tc_JGDXZI3Fo0m1aAJ8InrIEg_7_11"/>
      <w:bookmarkStart w:id="497" w:name="Tc_JsVkk-XudE2qf9ILHDUROA_7_0"/>
      <w:bookmarkStart w:id="498" w:name="Tc_McOihdddhkW1bXugWpcVtw_6_19"/>
      <w:bookmarkStart w:id="499" w:name="Tc_6gWJ1Ds0TkaMdXL9E2h4Zg_6_16"/>
      <w:bookmarkStart w:id="500" w:name="Tc_FHir_I6-kUKf9EeubeAlng_6_14"/>
      <w:bookmarkStart w:id="501" w:name="Tc_Glhcy-kD_UKVJESrc2DlfQ_6_11"/>
      <w:bookmarkStart w:id="502" w:name="Tc_X3r47u5C506NM06c3oV2Ow_6_5"/>
      <w:bookmarkStart w:id="503" w:name="Tc_6fbPfefT0ES9NEGCJ1DHlQ_6_2"/>
      <w:bookmarkStart w:id="504" w:name="Tc_ICC__6glhUCMUIpLtoGJdQ_6_0"/>
      <w:bookmarkStart w:id="505" w:name="Tc_3gSpoiau2UevIsh1y0T9Ww_4_21"/>
      <w:bookmarkStart w:id="506" w:name="Tc_xLlwzBTWFkuWYI_qPEBYtQ_4_18"/>
      <w:bookmarkStart w:id="507" w:name="Tc_xGt1xnVvpEeRr7LXlwUJ4w_4_13"/>
      <w:bookmarkStart w:id="508" w:name="Tc_x7rmwas_lEyLlmtmN0TYrg_4_10"/>
      <w:bookmarkStart w:id="509" w:name="Tc_OpIOAdLcWUa1O-8WiFSnUQ_4_7"/>
      <w:bookmarkStart w:id="510" w:name="Tc_Vx1TxrrSt0aPXrS-9zeNTQ_4_4"/>
      <w:bookmarkStart w:id="511" w:name="Tc_p9ZlAO6rsUKjzBzAO0ENjg_4_0"/>
      <w:bookmarkStart w:id="512" w:name="Tc_ECn6RcctYEmm8Q4KSQgveg_3_21"/>
      <w:bookmarkStart w:id="513" w:name="Tc_3Ir7A9fDrkiA704YRpjAcw_3_18"/>
      <w:bookmarkStart w:id="514" w:name="Tc_f7eobl_PlUGfjkejfrJ-FQ_3_16"/>
      <w:bookmarkStart w:id="515" w:name="Tc_HS62KCi3eEaIxVvM2JLBUQ_3_13"/>
      <w:bookmarkStart w:id="516" w:name="Tc_uTCif2oMIE6IeY8VlNcohQ_3_10"/>
      <w:bookmarkStart w:id="517" w:name="Tc_uOzVpiKqeUy1w4HVs_TG3Q_3_7"/>
      <w:bookmarkStart w:id="518" w:name="Tc_GfDrnEpbnUK5gXbZSwKYFw_3_4"/>
      <w:bookmarkStart w:id="519" w:name="Tc_mx-82DyxgkWoorfK8jg1Cg_3_2"/>
      <w:bookmarkStart w:id="520" w:name="Tc_xuhmdiu-K0mvlOiEISwOsg_2_21"/>
      <w:bookmarkStart w:id="521" w:name="Tc_hmarNN4KLkOgElHYfbMedA_2_16"/>
      <w:bookmarkStart w:id="522" w:name="Tc_ywGT4eOg7U6sFGYONqpULg_2_13"/>
      <w:bookmarkStart w:id="523" w:name="Tc_o45rjfV-v06HNGOxNtuAVg_2_10"/>
      <w:bookmarkStart w:id="524" w:name="Tc_irruii2F8E-yQk8_KPJA2A_2_7"/>
      <w:bookmarkStart w:id="525" w:name="Tc_MJurka8AHUikGDf_SgTiIA_2_2"/>
      <w:bookmarkStart w:id="526" w:name="Tc_ZGwz0r7a90aYJv01WrpCvA_1_21"/>
      <w:bookmarkStart w:id="527" w:name="Tc_eGRnHtBgykyAGvVoM495Ew_1_13"/>
      <w:bookmarkStart w:id="528" w:name="_7a4560e4_7e00_4866_9e2e_3d3fd636dbde"/>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tbl>
      <w:tblPr>
        <w:tblW w:w="11786" w:type="dxa"/>
        <w:jc w:val="left"/>
        <w:tblInd w:w="0" w:type="dxa"/>
        <w:tblLayout w:type="fixed"/>
        <w:tblCellMar>
          <w:top w:w="0" w:type="dxa"/>
          <w:left w:w="0" w:type="dxa"/>
          <w:bottom w:w="0" w:type="dxa"/>
          <w:right w:w="0" w:type="dxa"/>
        </w:tblCellMar>
      </w:tblPr>
      <w:tblGrid>
        <w:gridCol w:w="1321"/>
        <w:gridCol w:w="326"/>
        <w:gridCol w:w="826"/>
        <w:gridCol w:w="326"/>
        <w:gridCol w:w="196"/>
        <w:gridCol w:w="511"/>
        <w:gridCol w:w="326"/>
        <w:gridCol w:w="233"/>
        <w:gridCol w:w="983"/>
        <w:gridCol w:w="326"/>
        <w:gridCol w:w="196"/>
        <w:gridCol w:w="826"/>
        <w:gridCol w:w="326"/>
        <w:gridCol w:w="316"/>
        <w:gridCol w:w="900"/>
        <w:gridCol w:w="326"/>
        <w:gridCol w:w="661"/>
        <w:gridCol w:w="326"/>
        <w:gridCol w:w="196"/>
        <w:gridCol w:w="886"/>
        <w:gridCol w:w="326"/>
        <w:gridCol w:w="196"/>
        <w:gridCol w:w="93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838835" cy="175260"/>
                      <wp:effectExtent l="0" t="0" r="0" b="0"/>
                      <wp:wrapNone/>
                      <wp:docPr id="47" name="Frame47"/>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24510" cy="175260"/>
                      <wp:effectExtent l="0" t="0" r="0" b="0"/>
                      <wp:wrapNone/>
                      <wp:docPr id="49" name="Frame4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24485" cy="175260"/>
                      <wp:effectExtent l="0" t="0" r="0" b="0"/>
                      <wp:wrapNone/>
                      <wp:docPr id="52" name="Frame5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7955" cy="175260"/>
                      <wp:effectExtent l="0" t="0" r="0" b="0"/>
                      <wp:wrapNone/>
                      <wp:docPr id="54" name="Frame5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24205" cy="175260"/>
                      <wp:effectExtent l="0" t="0" r="0" b="0"/>
                      <wp:wrapNone/>
                      <wp:docPr id="55" name="Frame55"/>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24510" cy="175260"/>
                      <wp:effectExtent l="0" t="0" r="0" b="0"/>
                      <wp:wrapNone/>
                      <wp:docPr id="58" name="Frame5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0660" cy="175260"/>
                      <wp:effectExtent l="0" t="0" r="0" b="0"/>
                      <wp:wrapNone/>
                      <wp:docPr id="60" name="Frame6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71500" cy="175260"/>
                      <wp:effectExtent l="0" t="0" r="0" b="0"/>
                      <wp:wrapNone/>
                      <wp:docPr id="61" name="Frame61"/>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19735" cy="175260"/>
                      <wp:effectExtent l="0" t="0" r="0" b="0"/>
                      <wp:wrapNone/>
                      <wp:docPr id="63" name="Frame6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62610" cy="175260"/>
                      <wp:effectExtent l="0" t="0" r="0" b="0"/>
                      <wp:wrapNone/>
                      <wp:docPr id="66" name="Frame6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91185" cy="175260"/>
                      <wp:effectExtent l="0" t="0" r="0" b="0"/>
                      <wp:wrapNone/>
                      <wp:docPr id="69" name="Frame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0"/>
              <w:ind w:left="0" w:right="0" w:hanging="0"/>
              <w:jc w:val="left"/>
              <w:rPr/>
            </w:pPr>
            <w:r>
              <w:rPr/>
              <w:t>​</w:t>
            </w:r>
          </w:p>
        </w:tc>
        <w:tc>
          <w:tcPr>
            <w:tcW w:w="20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1,122,592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5,613</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4,975,115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5,939,736</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(125,337)</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(2,566,383)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8,228,744</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21,452</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options/awards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38,381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38,392</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Unrealized gain (loss), net on available-for-sale securities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(120,245)</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(30,695)</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(30,695)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gain (loss) on commodity derivatives</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(2,131)</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(2,131)</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442,049</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442,049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March 31, 2024</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1,124,870</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5,624</w:t>
            </w:r>
          </w:p>
        </w:tc>
        <w:tc>
          <w:tcPr>
            <w:tcW w:w="32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5,034,948</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6,381,785</w:t>
            </w:r>
          </w:p>
        </w:tc>
        <w:tc>
          <w:tcPr>
            <w:tcW w:w="326" w:type="dxa"/>
            <w:tcBorders/>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(157,940)</w:t>
            </w:r>
          </w:p>
        </w:tc>
        <w:tc>
          <w:tcPr>
            <w:tcW w:w="326" w:type="dxa"/>
            <w:tcBorders/>
            <w:vAlign w:val="center"/>
          </w:tcPr>
          <w:p>
            <w:pPr>
              <w:pStyle w:val="TableContents"/>
              <w:bidi w:val="0"/>
              <w:spacing w:before="0" w:after="0"/>
              <w:ind w:left="0" w:right="0" w:hanging="0"/>
              <w:jc w:val="left"/>
              <w:rPr/>
            </w:pPr>
            <w:r>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(83,172)</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(2,686,628)</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8,577,789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529" w:name="_0859b572_5a5d_476f_b4ba_5bc8a89f4cbb"/>
      <w:bookmarkEnd w:id="529"/>
      <w:r>
        <w:rPr>
          <w:rFonts w:ascii="Times New Roman;Times;serif" w:hAnsi="Times New Roman;Times;serif"/>
          <w:b/>
          <w:sz w:val="20"/>
        </w:rPr>
        <w:t>MONSTER BEVERAGE CORPORATION AND SUBSIDIARIES</w:t>
      </w:r>
    </w:p>
    <w:p>
      <w:pPr>
        <w:pStyle w:val="TextBody"/>
        <w:bidi w:val="0"/>
        <w:spacing w:lineRule="atLeast" w:line="220" w:before="0" w:after="0"/>
        <w:ind w:left="0" w:right="0" w:hanging="0"/>
        <w:jc w:val="both"/>
        <w:rPr>
          <w:rFonts w:ascii="Times New Roman;Times;serif" w:hAnsi="Times New Roman;Times;serif"/>
          <w:b/>
          <w:sz w:val="20"/>
        </w:rPr>
      </w:pPr>
      <w:bookmarkStart w:id="530" w:name="STATEMENTSOFCASHFLOWS_392736"/>
      <w:bookmarkEnd w:id="530"/>
      <w:r>
        <w:rPr>
          <w:rFonts w:ascii="Times New Roman;Times;serif" w:hAnsi="Times New Roman;Times;serif"/>
          <w:b/>
          <w:sz w:val="20"/>
        </w:rPr>
        <w:t>CONDENSED CONSOLIDATED STATEMENTS OF CASH FLOWS</w:t>
      </w:r>
    </w:p>
    <w:p>
      <w:pPr>
        <w:pStyle w:val="TextBody"/>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FOR THE THREE-MONTHS ENDED MARCH 31, 2025 AND 2024</w:t>
      </w:r>
    </w:p>
    <w:p>
      <w:pPr>
        <w:pStyle w:val="TextBody"/>
        <w:pBdr>
          <w:bottom w:val="single" w:sz="12" w:space="1" w:color="000000"/>
        </w:pBdr>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31" w:name="Tc_dXwNs-uRDkekcvlSGNbHmg_52_5"/>
      <w:bookmarkStart w:id="532" w:name="Tc_A3grAlFtbkKPN8YsSr1o6w_52_2"/>
      <w:bookmarkStart w:id="533" w:name="Tc_bjZV2g7CPUej4EysETnfig_52_0"/>
      <w:bookmarkStart w:id="534" w:name="Tc_R6QbPi2r3UOY5gTUnqCGAQ_51_5"/>
      <w:bookmarkStart w:id="535" w:name="Tc_zZKCHzpb-kePrhslZ5NSOw_51_2"/>
      <w:bookmarkStart w:id="536" w:name="Tc_JQpF4S_IiUespMeIiOzX7A_51_0"/>
      <w:bookmarkStart w:id="537" w:name="Tc_-LPsswFDwEWLcTYR5fneIg_50_0"/>
      <w:bookmarkStart w:id="538" w:name="Tc_yEN5qo74O06PTAgoOhrXPA_49_0"/>
      <w:bookmarkStart w:id="539" w:name="Tc_eLhErqZ8_EuKicBsMSFKtQ_47_5"/>
      <w:bookmarkStart w:id="540" w:name="Tc_j3NZ-EazzUGsprom2r9_wQ_47_2"/>
      <w:bookmarkStart w:id="541" w:name="Tc_FMgiwl9OlUCHoAcZZRQfaA_47_0"/>
      <w:bookmarkStart w:id="542" w:name="Tc_vbQY9Jo6Z02jtjRVGdBrUg_46_0"/>
      <w:bookmarkStart w:id="543" w:name="Tc_KP3OopPBvUKriz4Rk3IY3w_45_0"/>
      <w:bookmarkStart w:id="544" w:name="Tc_HQgS4VHMJE64DFrDNSsXuQ_43_0"/>
      <w:bookmarkStart w:id="545" w:name="Tc_Qq0x9aDL8EOzjjZIVoKrMg_41_0"/>
      <w:bookmarkStart w:id="546" w:name="Tc_NQEaVU37lkCaRwTWamgNFA_40_0"/>
      <w:bookmarkStart w:id="547" w:name="Tc_tvi6cS3X9kurn2TuCvz4wQ_39_0"/>
      <w:bookmarkStart w:id="548" w:name="Tc_WU2A9TDkEU-3ek3v06bQ-w_38_0"/>
      <w:bookmarkStart w:id="549" w:name="Tc_s2_JD2JGm0-2-hpLVCQkUA_37_0"/>
      <w:bookmarkStart w:id="550" w:name="Tc_oNWMjsPZVU6eoYzjVQtr2g_36_0"/>
      <w:bookmarkStart w:id="551" w:name="Tc_CXSCf8sjQUuDNAUbL_Ey5Q_34_0"/>
      <w:bookmarkStart w:id="552" w:name="Tc_N8PLBgGiuEO8akEa05O6Tw_33_0"/>
      <w:bookmarkStart w:id="553" w:name="Tc_z3McvtmyPU6GXmwi--s-0A_32_0"/>
      <w:bookmarkStart w:id="554" w:name="Tc_RjKl-2d3iUKfl0sHUmWcXg_31_0"/>
      <w:bookmarkStart w:id="555" w:name="Tc_XJcAPYtKZEml5LzyUL7ZjQ_30_0"/>
      <w:bookmarkStart w:id="556" w:name="Tc_JpIUG0dI8kivv-rLN_XDdA_29_0"/>
      <w:bookmarkStart w:id="557" w:name="Tc_EAYWfe2o6UG8nc-xcSNYcg_28_0"/>
      <w:bookmarkStart w:id="558" w:name="Tc_wnia_Nr25UiHkYYUT4R_xg_27_0"/>
      <w:bookmarkStart w:id="559" w:name="Tc_zAFTNpiVRkGI3JLQs84Wvg_25_0"/>
      <w:bookmarkStart w:id="560" w:name="Tc_gzq6QYoY8Eq-1Pgtum9mFg_24_0"/>
      <w:bookmarkStart w:id="561" w:name="Tc_H1ACih2X9kSQtQE6m-PX2g_23_0"/>
      <w:bookmarkStart w:id="562" w:name="Tc_xoVzV1DzVkqXFm4e-KC-4A_22_0"/>
      <w:bookmarkStart w:id="563" w:name="Tc_ZIT3KknjOkGjYLZm9nt-7Q_21_0"/>
      <w:bookmarkStart w:id="564" w:name="Tc_r_jSPP5w3E2mk4eDOF3OIA_20_0"/>
      <w:bookmarkStart w:id="565" w:name="Tc_bXbkksqIOUiVHV6FTxqcVw_19_0"/>
      <w:bookmarkStart w:id="566" w:name="Tc_3bhmRWQ-cUiQWN9Jju5FOQ_18_0"/>
      <w:bookmarkStart w:id="567" w:name="Tc_EFbUcjGLV0uyCo4eZZLDWA_17_0"/>
      <w:bookmarkStart w:id="568" w:name="Tc_pf6XbrPJt0WzFdu7gMWoaw_16_0"/>
      <w:bookmarkStart w:id="569" w:name="Tc_G1mmf03b-keHBCaeHSh17w_15_0"/>
      <w:bookmarkStart w:id="570" w:name="Tc_wq9CyZdZhEe77C2i6YGQfA_14_0"/>
      <w:bookmarkStart w:id="571" w:name="Tc_4CR-J9kIcES3djroOQs2Gg_13_0"/>
      <w:bookmarkStart w:id="572" w:name="Tc_0vnjwirlx0i3NB8ZH8Jr1g_12_0"/>
      <w:bookmarkStart w:id="573" w:name="Tc_6I4B3dHTn0SCRN7ixh0O7A_11_0"/>
      <w:bookmarkStart w:id="574" w:name="Tc_4ONYmvSARUa5LXR-z9FPWw_10_0"/>
      <w:bookmarkStart w:id="575" w:name="Tc_E4OXicELs06xN9iLeXGZJA_9_0"/>
      <w:bookmarkStart w:id="576" w:name="Tc_207TZil8y0OscKcPaTr_bQ_8_0"/>
      <w:bookmarkStart w:id="577" w:name="Tc_yrUuYcIqc0erOWmVT4_mjQ_7_0"/>
      <w:bookmarkStart w:id="578" w:name="Tc_Pam2tA1jiUqnApXgo3VZtw_6_0"/>
      <w:bookmarkStart w:id="579" w:name="Tc_inUVzEQJ0kCXyfWMRYUliQ_5_5"/>
      <w:bookmarkStart w:id="580" w:name="Tc_5cSYaNAL3kKdEETm6Pbp-A_5_2"/>
      <w:bookmarkStart w:id="581" w:name="Tc_AGW7AxzgME68y14SdkV3Fw_5_0"/>
      <w:bookmarkStart w:id="582" w:name="Tc_6pMJKbdBE0GbWJZvCpA_cA_4_0"/>
      <w:bookmarkStart w:id="583" w:name="Tc_-pu-APp310OEDNUo2MV2mA_3_5"/>
      <w:bookmarkStart w:id="584" w:name="Tc_OJ25hjfc5UqQp7tsGcE2GA_3_2"/>
      <w:bookmarkStart w:id="585" w:name="Tc_PoTWXjI780y1I9C5vwPJpA_2_2"/>
      <w:bookmarkStart w:id="586" w:name="Tc_yWWE0pe6yEKx_rUMUUZ_fQ_1_2"/>
      <w:bookmarkStart w:id="587" w:name="_71a6b9e4_4df5_4f37_9a92_3ee23909c94c"/>
      <w:bookmarkStart w:id="588" w:name="Tc_dXwNs-uRDkekcvlSGNbHmg_52_5"/>
      <w:bookmarkStart w:id="589" w:name="Tc_A3grAlFtbkKPN8YsSr1o6w_52_2"/>
      <w:bookmarkStart w:id="590" w:name="Tc_bjZV2g7CPUej4EysETnfig_52_0"/>
      <w:bookmarkStart w:id="591" w:name="Tc_R6QbPi2r3UOY5gTUnqCGAQ_51_5"/>
      <w:bookmarkStart w:id="592" w:name="Tc_zZKCHzpb-kePrhslZ5NSOw_51_2"/>
      <w:bookmarkStart w:id="593" w:name="Tc_JQpF4S_IiUespMeIiOzX7A_51_0"/>
      <w:bookmarkStart w:id="594" w:name="Tc_-LPsswFDwEWLcTYR5fneIg_50_0"/>
      <w:bookmarkStart w:id="595" w:name="Tc_yEN5qo74O06PTAgoOhrXPA_49_0"/>
      <w:bookmarkStart w:id="596" w:name="Tc_eLhErqZ8_EuKicBsMSFKtQ_47_5"/>
      <w:bookmarkStart w:id="597" w:name="Tc_j3NZ-EazzUGsprom2r9_wQ_47_2"/>
      <w:bookmarkStart w:id="598" w:name="Tc_FMgiwl9OlUCHoAcZZRQfaA_47_0"/>
      <w:bookmarkStart w:id="599" w:name="Tc_vbQY9Jo6Z02jtjRVGdBrUg_46_0"/>
      <w:bookmarkStart w:id="600" w:name="Tc_KP3OopPBvUKriz4Rk3IY3w_45_0"/>
      <w:bookmarkStart w:id="601" w:name="Tc_HQgS4VHMJE64DFrDNSsXuQ_43_0"/>
      <w:bookmarkStart w:id="602" w:name="Tc_Qq0x9aDL8EOzjjZIVoKrMg_41_0"/>
      <w:bookmarkStart w:id="603" w:name="Tc_NQEaVU37lkCaRwTWamgNFA_40_0"/>
      <w:bookmarkStart w:id="604" w:name="Tc_tvi6cS3X9kurn2TuCvz4wQ_39_0"/>
      <w:bookmarkStart w:id="605" w:name="Tc_WU2A9TDkEU-3ek3v06bQ-w_38_0"/>
      <w:bookmarkStart w:id="606" w:name="Tc_s2_JD2JGm0-2-hpLVCQkUA_37_0"/>
      <w:bookmarkStart w:id="607" w:name="Tc_oNWMjsPZVU6eoYzjVQtr2g_36_0"/>
      <w:bookmarkStart w:id="608" w:name="Tc_CXSCf8sjQUuDNAUbL_Ey5Q_34_0"/>
      <w:bookmarkStart w:id="609" w:name="Tc_N8PLBgGiuEO8akEa05O6Tw_33_0"/>
      <w:bookmarkStart w:id="610" w:name="Tc_z3McvtmyPU6GXmwi--s-0A_32_0"/>
      <w:bookmarkStart w:id="611" w:name="Tc_RjKl-2d3iUKfl0sHUmWcXg_31_0"/>
      <w:bookmarkStart w:id="612" w:name="Tc_XJcAPYtKZEml5LzyUL7ZjQ_30_0"/>
      <w:bookmarkStart w:id="613" w:name="Tc_JpIUG0dI8kivv-rLN_XDdA_29_0"/>
      <w:bookmarkStart w:id="614" w:name="Tc_EAYWfe2o6UG8nc-xcSNYcg_28_0"/>
      <w:bookmarkStart w:id="615" w:name="Tc_wnia_Nr25UiHkYYUT4R_xg_27_0"/>
      <w:bookmarkStart w:id="616" w:name="Tc_zAFTNpiVRkGI3JLQs84Wvg_25_0"/>
      <w:bookmarkStart w:id="617" w:name="Tc_gzq6QYoY8Eq-1Pgtum9mFg_24_0"/>
      <w:bookmarkStart w:id="618" w:name="Tc_H1ACih2X9kSQtQE6m-PX2g_23_0"/>
      <w:bookmarkStart w:id="619" w:name="Tc_xoVzV1DzVkqXFm4e-KC-4A_22_0"/>
      <w:bookmarkStart w:id="620" w:name="Tc_ZIT3KknjOkGjYLZm9nt-7Q_21_0"/>
      <w:bookmarkStart w:id="621" w:name="Tc_r_jSPP5w3E2mk4eDOF3OIA_20_0"/>
      <w:bookmarkStart w:id="622" w:name="Tc_bXbkksqIOUiVHV6FTxqcVw_19_0"/>
      <w:bookmarkStart w:id="623" w:name="Tc_3bhmRWQ-cUiQWN9Jju5FOQ_18_0"/>
      <w:bookmarkStart w:id="624" w:name="Tc_EFbUcjGLV0uyCo4eZZLDWA_17_0"/>
      <w:bookmarkStart w:id="625" w:name="Tc_pf6XbrPJt0WzFdu7gMWoaw_16_0"/>
      <w:bookmarkStart w:id="626" w:name="Tc_G1mmf03b-keHBCaeHSh17w_15_0"/>
      <w:bookmarkStart w:id="627" w:name="Tc_wq9CyZdZhEe77C2i6YGQfA_14_0"/>
      <w:bookmarkStart w:id="628" w:name="Tc_4CR-J9kIcES3djroOQs2Gg_13_0"/>
      <w:bookmarkStart w:id="629" w:name="Tc_0vnjwirlx0i3NB8ZH8Jr1g_12_0"/>
      <w:bookmarkStart w:id="630" w:name="Tc_6I4B3dHTn0SCRN7ixh0O7A_11_0"/>
      <w:bookmarkStart w:id="631" w:name="Tc_4ONYmvSARUa5LXR-z9FPWw_10_0"/>
      <w:bookmarkStart w:id="632" w:name="Tc_E4OXicELs06xN9iLeXGZJA_9_0"/>
      <w:bookmarkStart w:id="633" w:name="Tc_207TZil8y0OscKcPaTr_bQ_8_0"/>
      <w:bookmarkStart w:id="634" w:name="Tc_yrUuYcIqc0erOWmVT4_mjQ_7_0"/>
      <w:bookmarkStart w:id="635" w:name="Tc_Pam2tA1jiUqnApXgo3VZtw_6_0"/>
      <w:bookmarkStart w:id="636" w:name="Tc_inUVzEQJ0kCXyfWMRYUliQ_5_5"/>
      <w:bookmarkStart w:id="637" w:name="Tc_5cSYaNAL3kKdEETm6Pbp-A_5_2"/>
      <w:bookmarkStart w:id="638" w:name="Tc_AGW7AxzgME68y14SdkV3Fw_5_0"/>
      <w:bookmarkStart w:id="639" w:name="Tc_6pMJKbdBE0GbWJZvCpA_cA_4_0"/>
      <w:bookmarkStart w:id="640" w:name="Tc_-pu-APp310OEDNUo2MV2mA_3_5"/>
      <w:bookmarkStart w:id="641" w:name="Tc_OJ25hjfc5UqQp7tsGcE2GA_3_2"/>
      <w:bookmarkStart w:id="642" w:name="Tc_PoTWXjI780y1I9C5vwPJpA_2_2"/>
      <w:bookmarkStart w:id="643" w:name="Tc_yWWE0pe6yEKx_rUMUUZ_fQ_1_2"/>
      <w:bookmarkStart w:id="644" w:name="_71a6b9e4_4df5_4f37_9a92_3ee23909c94c"/>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tbl>
      <w:tblPr>
        <w:tblW w:w="8457" w:type="dxa"/>
        <w:jc w:val="left"/>
        <w:tblInd w:w="0" w:type="dxa"/>
        <w:tblLayout w:type="fixed"/>
        <w:tblCellMar>
          <w:top w:w="0" w:type="dxa"/>
          <w:left w:w="0" w:type="dxa"/>
          <w:bottom w:w="0" w:type="dxa"/>
          <w:right w:w="0" w:type="dxa"/>
        </w:tblCellMar>
      </w:tblPr>
      <w:tblGrid>
        <w:gridCol w:w="5716"/>
        <w:gridCol w:w="326"/>
        <w:gridCol w:w="196"/>
        <w:gridCol w:w="826"/>
        <w:gridCol w:w="326"/>
        <w:gridCol w:w="196"/>
        <w:gridCol w:w="871"/>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629660" cy="175260"/>
                      <wp:effectExtent l="0" t="0" r="0" b="0"/>
                      <wp:wrapNone/>
                      <wp:docPr id="70" name="Frame70"/>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4460" cy="175260"/>
                      <wp:effectExtent l="0" t="0" r="0" b="0"/>
                      <wp:wrapNone/>
                      <wp:docPr id="71" name="Frame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24510" cy="175260"/>
                      <wp:effectExtent l="0" t="0" r="0" b="0"/>
                      <wp:wrapNone/>
                      <wp:docPr id="72" name="Frame7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53085" cy="175260"/>
                      <wp:effectExtent l="0" t="0" r="0" b="0"/>
                      <wp:wrapNone/>
                      <wp:docPr id="75" name="Frame7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Three-Months Ended </w: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442,993</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442,049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24,848</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20,475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(gain) on disposal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impairment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20,727</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22,472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on cash of 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(109,557)</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(195,081)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19,594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22,708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11,912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11,840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11,768</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(9,062)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33,661</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28,259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30,785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52,814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(37,338)</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(35,653)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61,674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60,512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(1,885)</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507,600</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412,142</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of 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382,125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available-for-sale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(342,228)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(29,056)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(66,044)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to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2,397</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(30,855)</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(35,322)</w: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short-term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(2,896)</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credit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38,392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common stock held in treasury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(120,245)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(145,585)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(84,749)</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(13,222)</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IN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370,132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278,849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1,533,287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2,297,675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1,903,419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2,576,524</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INFORMATION: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period for: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61,646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63,634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FOR THE</w:t>
      </w:r>
      <w:r>
        <w:rPr>
          <w:rFonts w:ascii="Times New Roman;Times;serif" w:hAnsi="Times New Roman;Times;serif"/>
          <w:sz w:val="20"/>
        </w:rPr>
        <w:t xml:space="preserve"> </w:t>
      </w:r>
      <w:r>
        <w:rPr>
          <w:rFonts w:ascii="Times New Roman;Times;serif" w:hAnsi="Times New Roman;Times;serif"/>
          <w:b/>
          <w:sz w:val="20"/>
        </w:rPr>
        <w:t>THREE-MONTHS ENDED</w:t>
      </w:r>
      <w:r>
        <w:rPr>
          <w:rFonts w:ascii="Times New Roman;Times;serif" w:hAnsi="Times New Roman;Times;serif"/>
          <w:sz w:val="20"/>
        </w:rPr>
        <w:t xml:space="preserve"> </w:t>
      </w:r>
      <w:r>
        <w:rPr>
          <w:rFonts w:ascii="Times New Roman;Times;serif" w:hAnsi="Times New Roman;Times;serif"/>
          <w:b/>
          <w:sz w:val="20"/>
        </w:rPr>
        <w:t>MARCH 31, 2025 AND 2024</w:t>
      </w:r>
    </w:p>
    <w:p>
      <w:pPr>
        <w:pStyle w:val="TextBody"/>
        <w:pBdr>
          <w:bottom w:val="single" w:sz="12" w:space="1" w:color="000000"/>
        </w:pBdr>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 Thousands) (Unaudited)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SUPPLEMENTAL DISCLOSURE OF NON-CASH ITEMS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accrued liabilities as of March 31, 2025 and 2024 were additions to other intangible assets of $5.1 million and $11.7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March 31, 2025 and 2024 were property and equipment purchases of $4.0 million and $3.2 million, respectively.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645" w:name="a1BASISOFPRESENTATION_156061"/>
      <w:bookmarkStart w:id="646" w:name="a1BASISOFPRESENTATION_156061"/>
      <w:bookmarkEnd w:id="646"/>
    </w:p>
    <w:tbl>
      <w:tblPr>
        <w:tblW w:w="2717" w:type="dxa"/>
        <w:jc w:val="left"/>
        <w:tblInd w:w="0" w:type="dxa"/>
        <w:tblLayout w:type="fixed"/>
        <w:tblCellMar>
          <w:top w:w="0" w:type="dxa"/>
          <w:left w:w="0" w:type="dxa"/>
          <w:bottom w:w="0" w:type="dxa"/>
          <w:right w:w="0" w:type="dxa"/>
        </w:tblCellMar>
      </w:tblPr>
      <w:tblGrid>
        <w:gridCol w:w="271"/>
        <w:gridCol w:w="244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24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BASIS OF PRESENTATION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Notes to Consolidated Financial Statements, in Monster Beverage Corporation and Subsidiaries (the “Company”) Annual Report on Form 10-K for the year ended December 31, 2024 for a summary of significant accounting policies utilized by the Company and its consolidated subsidiaries and other disclosures, which should be read in conjunction with this Quarterly Report on Form 10-Q (“Form 10-Q”).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2025 and 2024,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The amendments in this update primarily require more detailed disclosures related to the rate reconciliation and income taxes paid. The amendments in ASU 2023-09 are effective for fiscal years beginning after December 15, 2024. Early adoption is permitted. The Company is currently evaluating the impact ASU 2023-09 will have on its consolidated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The amendments in this update require the Company to disaggregate key expense categories such as purchases of inventory, employee compensation, depreciation and intangible asset amortization, within its financial statements. The amendments in ASU 2024-03 are effective for fiscal years beginning after December 15, 2026. Early adoption is permitted. The Company is currently evaluating the impact ASU 2024-03 will have on its consolidated financial statements.</w:t>
      </w:r>
    </w:p>
    <w:p>
      <w:pPr>
        <w:pStyle w:val="TextBody"/>
        <w:bidi w:val="0"/>
        <w:spacing w:before="0" w:after="0"/>
        <w:ind w:left="0" w:right="0" w:hanging="0"/>
        <w:jc w:val="both"/>
        <w:rPr/>
      </w:pPr>
      <w:r>
        <w:rPr/>
        <w:t>​</w:t>
      </w:r>
    </w:p>
    <w:tbl>
      <w:tblPr>
        <w:tblW w:w="2672" w:type="dxa"/>
        <w:jc w:val="left"/>
        <w:tblInd w:w="0" w:type="dxa"/>
        <w:tblLayout w:type="fixed"/>
        <w:tblCellMar>
          <w:top w:w="0" w:type="dxa"/>
          <w:left w:w="0" w:type="dxa"/>
          <w:bottom w:w="0" w:type="dxa"/>
          <w:right w:w="0" w:type="dxa"/>
        </w:tblCellMar>
      </w:tblPr>
      <w:tblGrid>
        <w:gridCol w:w="271"/>
        <w:gridCol w:w="240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24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REVENUE RECOGNITION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are accounted for in accordance with FASB Accounting Standards Codification (“ASC”) 606, “Revenue from Contracts with Customers”. The Company has four operating and reportable segments: (i) Monster Energy® Drinks segment (“Monster Energy® Drinks”), which is primarily comprised of the Company’s Monster Energy® drinks, Reign Total Body Fuel® high performance energy drinks, Reign Storm® total wellness energy drinks and Bang Energy® drinks, (ii) Strategic Brands segment (“Strategic Brands”), which is primarily comprised of the various energy drink brands acquired from The Coca-Cola Company (“TCCC”) in 2015 as well as the Company’s affordable energy brands, Predator® and Fury®, (iii) Alcohol Brands segment (“Alcohol Brands”), which is comprised of various craft beers, flavored malt beverages (“FMBs”) and hard seltzers and (iv) Other segment (“Other”), which is comprised of certain products sold by American Fruits and Flavors, LLC, a wholly-owned subsidiary of the Company, to independent third-party customers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 and full service beverage distributors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March 31, 2025 and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excludes from revenues all taxes assessed by a governmental authority that are imposed on the sale of its products and collected from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Distribution expenses to transport the Company’s products, where applicable, and warehousing expenses after manufacture are accounted for within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and other allowances (variable consideration) recorded as a reduction to net sales for the Company’s energy drink products primarily include consideration given to the Company’s non-alcohol bottlers/distributors or retail customers, including, but not limited to, the following:</w:t>
      </w:r>
    </w:p>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granted off list prices to support price promotions to end-consumers by retailers;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reimbursements given to the Company’s bottlers/distributors for agreed portions of their promotional spend with retailers, including slotting, shelf space allowances and other fees for both new and existing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fees given to bottlers/distributors and/or directly to retailers for advertising, in-store marketing and promotional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slotting, shelf space allowances and other fees given directly to retailers, club stores and/or wholesalers;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incentives given to the Company’s bottlers/distributors and/or retailers for achieving or exceeding certain predetermined sales goals;</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or free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fees given to the Company’s bottlers/distributors related to sales made directly by the Company to certain customers that fall within the bottlers’/distributors’ sales territories;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to TCCC based on the Company’s sales to wholly-owned subsidiaries of TCCC (the “TCCC Subsidiaries”) and/or to TCCC bottlers/distributors accounted for under the equity method by TCCC (the “TCCC Related Parties”).</w:t>
            </w:r>
          </w:p>
        </w:tc>
      </w:tr>
    </w:tbl>
    <w:p>
      <w:pPr>
        <w:pStyle w:val="TextBody"/>
        <w:bidi w:val="0"/>
        <w:spacing w:before="0" w:after="0"/>
        <w:ind w:left="144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sz w:val="20"/>
        </w:rPr>
      </w:pPr>
      <w:bookmarkStart w:id="647" w:name="Tc_fAV37ncMbkKR9zWiAF8U7Q_9_14"/>
      <w:bookmarkStart w:id="648" w:name="Tc_ietO4fG_JEmUIojTNfnMjA_9_11"/>
      <w:bookmarkStart w:id="649" w:name="Tc_2RCZ-zj7I0yX2RPS1gjnTQ_9_8"/>
      <w:bookmarkStart w:id="650" w:name="Tc_MnUfmXcftU2mFKPPhaop7Q_9_5"/>
      <w:bookmarkStart w:id="651" w:name="Tc_RUOfqvvgEEOBIItLU9mEYg_9_2"/>
      <w:bookmarkStart w:id="652" w:name="Tc_M5Eb-pib30eVPDWNQcvReA_9_0"/>
      <w:bookmarkStart w:id="653" w:name="Tc_ASfGkV-1MEGEoZ8wJer7KA_8_0"/>
      <w:bookmarkStart w:id="654" w:name="Tc_bV876jEb6keZU116M7fdWQ_7_0"/>
      <w:bookmarkStart w:id="655" w:name="Tc_zjTY0WAbdEO9ifcEkmpUWg_6_0"/>
      <w:bookmarkStart w:id="656" w:name="Tc_Tsb7HQS3wkm-b9__sZNJ0A_5_14"/>
      <w:bookmarkStart w:id="657" w:name="Tc_WX2ZVZQd1UOYSVZfqbqedQ_5_11"/>
      <w:bookmarkStart w:id="658" w:name="Tc_V7tajL-nrkSPUkArvbA4Sw_5_8"/>
      <w:bookmarkStart w:id="659" w:name="Tc_VRGki1f4bUyIJiYvsZVuEQ_5_5"/>
      <w:bookmarkStart w:id="660" w:name="Tc_ljuW1OAAok-qJrjTpOjnLA_5_2"/>
      <w:bookmarkStart w:id="661" w:name="Tc_wcQe23AWlUisXSE3U8M73A_5_0"/>
      <w:bookmarkStart w:id="662" w:name="Tc_uKaxmhdPgkG__qDVKvLRnw_4_14"/>
      <w:bookmarkStart w:id="663" w:name="Tc_kz8xKZNus06pe7IWa-Ed1Q_4_11"/>
      <w:bookmarkStart w:id="664" w:name="Tc_FZLXmy9kvUWLaF6mdlSjcw_4_8"/>
      <w:bookmarkStart w:id="665" w:name="Tc_qrtAc3rocEmek5BktW8J5w_4_5"/>
      <w:bookmarkStart w:id="666" w:name="Tc_meflVaRKCU6__lsT_ZvJPA_4_2"/>
      <w:bookmarkStart w:id="667" w:name="Tc_ZEPopJrZZUiTQ-fDNWOCAw_4_0"/>
      <w:bookmarkStart w:id="668" w:name="Tc_yePHZYdhP0aPVutGx0jY6Q_3_11"/>
      <w:bookmarkStart w:id="669" w:name="Tc_7GsyxTS_NEqhsD2Sgu4iIA_3_8"/>
      <w:bookmarkStart w:id="670" w:name="Tc_2U5rzl4dIUO7L0ijwmTsag_3_2"/>
      <w:bookmarkStart w:id="671" w:name="Tc_4Il128XpIUallAXE7V9STw_2_11"/>
      <w:bookmarkStart w:id="672" w:name="Tc_6lg_xLktVkCrtuYw4r9GVg_2_8"/>
      <w:bookmarkStart w:id="673" w:name="Tc_NXj8cn-LpkuX2Z7Tq4lU1A_1_2"/>
      <w:bookmarkStart w:id="674" w:name="_220eae69_a6ce_45dc_85c8_6740366435ee"/>
      <w:bookmarkStart w:id="675" w:name="Tc_mudSbAei106uF9DiS61gHw_9_14"/>
      <w:bookmarkStart w:id="676" w:name="Tc_oChLHQoiYk6oWcSBqSXMgA_9_11"/>
      <w:bookmarkStart w:id="677" w:name="Tc_yce2MIVISkO0YdUGYUJMmg_9_8"/>
      <w:bookmarkStart w:id="678" w:name="Tc_tY8frYSdhk2JAgoMiiDbag_9_5"/>
      <w:bookmarkStart w:id="679" w:name="Tc_4e-fwhPEf0u6vrbDSsxEXA_9_2"/>
      <w:bookmarkStart w:id="680" w:name="Tc_mTYLCr-zWUmB_RPT_WQSGw_9_0"/>
      <w:bookmarkStart w:id="681" w:name="Tc_gUEDl3o8PEel-438GGM56Q_8_0"/>
      <w:bookmarkStart w:id="682" w:name="Tc_VdrZQ4Y2xkaSGbRnSMsTKw_7_0"/>
      <w:bookmarkStart w:id="683" w:name="Tc_IrbsDylmmEmFNDlaAyxPXg_6_0"/>
      <w:bookmarkStart w:id="684" w:name="Tc_2Hc1EmIDNkSymcIABQh2AQ_5_14"/>
      <w:bookmarkStart w:id="685" w:name="Tc_ezq2_zHUzUauxsfH3irfAQ_5_11"/>
      <w:bookmarkStart w:id="686" w:name="Tc_SCJCN4AQoUKTSUs6waxIFg_5_8"/>
      <w:bookmarkStart w:id="687" w:name="Tc_aZpXQ7YKJk2uI48oEsQ4hg_5_5"/>
      <w:bookmarkStart w:id="688" w:name="Tc_Mx8VneMPcEO6IhrLxq8vrg_5_2"/>
      <w:bookmarkStart w:id="689" w:name="Tc_h9U3IqK010yvefOEX5FcVw_5_0"/>
      <w:bookmarkStart w:id="690" w:name="Tc_yNzFBUz1J0234D92YmvW8A_4_14"/>
      <w:bookmarkStart w:id="691" w:name="Tc_5Mk_1kf500icRK3B5lE7Bg_4_11"/>
      <w:bookmarkStart w:id="692" w:name="Tc_hOA5JhPmi0qPfoaOi99MCQ_4_8"/>
      <w:bookmarkStart w:id="693" w:name="Tc_VNYgDR6T_kmguU6g6yeiJA_4_5"/>
      <w:bookmarkStart w:id="694" w:name="Tc_-bQQMUqKL0a56BnSq7Kqfg_4_2"/>
      <w:bookmarkStart w:id="695" w:name="Tc_v19reMUo-0CyNUuTXgaFTQ_4_0"/>
      <w:bookmarkStart w:id="696" w:name="Tc_5f-ku7VDCUOW8Q118JZ0KA_3_11"/>
      <w:bookmarkStart w:id="697" w:name="Tc_a9XBv4RjpEW_QIaJRc26_w_3_8"/>
      <w:bookmarkStart w:id="698" w:name="Tc_rZ4TboyxLEGO8NGwe4mnvQ_3_2"/>
      <w:bookmarkStart w:id="699" w:name="Tc_w1b_7PnTLUSzUQnLJKeGEg_2_11"/>
      <w:bookmarkStart w:id="700" w:name="Tc_kEdTdgU4zkyfNoNquzi45w_2_8"/>
      <w:bookmarkStart w:id="701" w:name="Tc_OpY04tNunUakya7tezGGTg_1_2"/>
      <w:bookmarkStart w:id="702" w:name="_a455006d_229b_4f87_9ac0_b9e396400e85"/>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r>
        <w:rPr>
          <w:rFonts w:ascii="Times New Roman;Times;serif" w:hAnsi="Times New Roman;Times;serif"/>
          <w:sz w:val="20"/>
        </w:rPr>
        <w:t>The Company’s promotional allowance programs for its energy drink products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also enters into license agreements that generate revenues associated with third-party sales of non-beverage products bearing the Company’s trademarks including, but not limited to, clothing, hats, t-shirts, jackets, helmets and automotive wheels.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Management believes that adequate provision has been made for cash discounts, returns and spoilage based on the Company’s historical experience.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geographical markets and reportable segments:</w:t>
      </w:r>
    </w:p>
    <w:p>
      <w:pPr>
        <w:pStyle w:val="TextBody"/>
        <w:bidi w:val="0"/>
        <w:spacing w:before="0" w:after="0"/>
        <w:ind w:left="0" w:right="0" w:hanging="0"/>
        <w:jc w:val="left"/>
        <w:rPr/>
      </w:pPr>
      <w:r>
        <w:rPr/>
        <w:t>​</w:t>
      </w:r>
    </w:p>
    <w:tbl>
      <w:tblPr>
        <w:tblW w:w="936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72235" cy="175260"/>
                      <wp:effectExtent l="0" t="0" r="0" b="0"/>
                      <wp:wrapNone/>
                      <wp:docPr id="76" name="Frame76"/>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91185" cy="175260"/>
                      <wp:effectExtent l="0" t="0" r="0" b="0"/>
                      <wp:wrapNone/>
                      <wp:docPr id="79" name="Frame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82" name="Frame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3510" cy="175260"/>
                      <wp:effectExtent l="0" t="0" r="0" b="0"/>
                      <wp:wrapNone/>
                      <wp:docPr id="84" name="Frame8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33400" cy="175260"/>
                      <wp:effectExtent l="0" t="0" r="0" b="0"/>
                      <wp:wrapNone/>
                      <wp:docPr id="85" name="Frame8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51765" cy="175260"/>
                      <wp:effectExtent l="0" t="0" r="0" b="0"/>
                      <wp:wrapNone/>
                      <wp:docPr id="87" name="Frame8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62610" cy="175260"/>
                      <wp:effectExtent l="0" t="0" r="0" b="0"/>
                      <wp:wrapNone/>
                      <wp:docPr id="88" name="Frame8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57860" cy="175260"/>
                      <wp:effectExtent l="0" t="0" r="0" b="0"/>
                      <wp:wrapNone/>
                      <wp:docPr id="91" name="Frame9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March 31, 2025</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1,080,337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346,071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132,019</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1,715,548</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38,504</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12,504</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98,332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34,703</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5,975</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1,164,645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384,575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144,523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1,854,558</w:t>
            </w:r>
          </w:p>
        </w:tc>
      </w:tr>
    </w:tbl>
    <w:p>
      <w:pPr>
        <w:pStyle w:val="TextBody"/>
        <w:bidi w:val="0"/>
        <w:spacing w:before="0" w:after="0"/>
        <w:ind w:left="0" w:right="0" w:hanging="0"/>
        <w:jc w:val="left"/>
        <w:rPr/>
      </w:pPr>
      <w:r>
        <w:rPr/>
        <w:t>​</w:t>
      </w:r>
    </w:p>
    <w:tbl>
      <w:tblPr>
        <w:tblW w:w="9363"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39"/>
        <w:gridCol w:w="886"/>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72235" cy="175260"/>
                      <wp:effectExtent l="0" t="0" r="0" b="0"/>
                      <wp:wrapNone/>
                      <wp:docPr id="92" name="Frame92"/>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91185" cy="175260"/>
                      <wp:effectExtent l="0" t="0" r="0" b="0"/>
                      <wp:wrapNone/>
                      <wp:docPr id="95" name="Frame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8" name="Frame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3510" cy="175260"/>
                      <wp:effectExtent l="0" t="0" r="0" b="0"/>
                      <wp:wrapNone/>
                      <wp:docPr id="100" name="Frame10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33400" cy="175260"/>
                      <wp:effectExtent l="0" t="0" r="0" b="0"/>
                      <wp:wrapNone/>
                      <wp:docPr id="101" name="Frame101"/>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51765" cy="175260"/>
                      <wp:effectExtent l="0" t="0" r="0" b="0"/>
                      <wp:wrapNone/>
                      <wp:docPr id="103" name="Frame10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62610" cy="175260"/>
                      <wp:effectExtent l="0" t="0" r="0" b="0"/>
                      <wp:wrapNone/>
                      <wp:docPr id="104" name="Frame10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57860" cy="175260"/>
                      <wp:effectExtent l="0" t="0" r="0" b="0"/>
                      <wp:wrapNone/>
                      <wp:docPr id="107" name="Frame10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7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March 31, 2024</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1,094,846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352,229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122,018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1,729,051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43,337</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9,197</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108,444</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56,070</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1,206,091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395,566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131,215</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1,899,098</w:t>
            </w:r>
          </w:p>
        </w:tc>
      </w:tr>
    </w:tbl>
    <w:p>
      <w:pPr>
        <w:pStyle w:val="TextBody"/>
        <w:bidi w:val="0"/>
        <w:spacing w:before="0" w:after="0"/>
        <w:ind w:left="0" w:right="0" w:hanging="0"/>
        <w:jc w:val="left"/>
        <w:rPr/>
      </w:pPr>
      <w:r>
        <w:rPr/>
        <w:t>​</w:t>
      </w:r>
    </w:p>
    <w:p>
      <w:pPr>
        <w:pStyle w:val="TextBody"/>
        <w:bidi w:val="0"/>
        <w:spacing w:lineRule="auto" w:line="240" w:before="0" w:after="120"/>
        <w:ind w:left="0" w:right="0" w:hanging="0"/>
        <w:jc w:val="left"/>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Europe, Middle East and Africa (“EMEA”)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Amounts received from certain bottlers/distributors at inception of their distribution contracts or at the inception of certain sales/marketing programs are accounted for as deferred revenue. As of March 31, 2025 and December 31, 2024, the Company had $221.5 million and $224.8 million, respectively, of deferred revenue, which is included in current and long-term deferred revenue in the Company’s condensed consolidated balance sheets. During both the three-months ended March 31, 2025 and 2024, $9.9 million of deferred revenue was recognized in net sales. See Note 9.</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03" w:name="Tc_TSvXwsEWLU-cwT_A_Cvnig_10_5"/>
      <w:bookmarkStart w:id="704" w:name="Tc_q-SUPGi1qkSSM29-p3UIZQ_10_2"/>
      <w:bookmarkStart w:id="705" w:name="Tc_CVesAI7cnkuxu5AmHsHYMA_10_0"/>
      <w:bookmarkStart w:id="706" w:name="Tc_uNpQBmK710S_HuS7At6iww_9_5"/>
      <w:bookmarkStart w:id="707" w:name="Tc_SMFUVrojkUGU2T6sZfDCUw_9_2"/>
      <w:bookmarkStart w:id="708" w:name="Tc_85FYEMJUhEilm4M2FEKcqA_9_0"/>
      <w:bookmarkStart w:id="709" w:name="Tc_KeYXDcKe0k-UsZMicbQ-eg_8_0"/>
      <w:bookmarkStart w:id="710" w:name="Tc_dPzEqhmEyEep0cZXteX29Q_6_5"/>
      <w:bookmarkStart w:id="711" w:name="Tc_pVzEhZWTlU-cD8rK7bW0uQ_6_2"/>
      <w:bookmarkStart w:id="712" w:name="Tc_ahb2GgkHSkO4MkSFDJ76cQ_6_0"/>
      <w:bookmarkStart w:id="713" w:name="Tc_2K-psUQjlE-eKgzJF21w4w_5_5"/>
      <w:bookmarkStart w:id="714" w:name="Tc_-pdu8SVjKUCuElU0DyD4Yw_5_2"/>
      <w:bookmarkStart w:id="715" w:name="Tc_JfMHahXsUUmJMCv2Cgp0bw_5_0"/>
      <w:bookmarkStart w:id="716" w:name="Tc_tv1eY00Ca0mFylPWITDyPQ_4_5"/>
      <w:bookmarkStart w:id="717" w:name="Tc_Ttxb5hpoqEGq7P3jYQO8SQ_4_2"/>
      <w:bookmarkStart w:id="718" w:name="Tc_t1BB7uJL6EeNLzW9GZVRLA_4_0"/>
      <w:bookmarkStart w:id="719" w:name="Tc_4wIe6TcbXUGKp96F4_GOig_3_0"/>
      <w:bookmarkStart w:id="720" w:name="Tc_LH0AVI2VQEuo2G3PqPy6uA_2_5"/>
      <w:bookmarkStart w:id="721" w:name="Tc_1j6_-qhX0UCOs5BBgdAwVA_2_2"/>
      <w:bookmarkStart w:id="722" w:name="Tc_EBYumY5tO0ekxPR15I4alw_1_2"/>
      <w:bookmarkStart w:id="723" w:name="Tc_QFdn3vH1s0G3F-9VBTtTLA_12_5"/>
      <w:bookmarkStart w:id="724" w:name="Tc_Dt-JSQtkc0W6R4RHv7Jn_A_12_2"/>
      <w:bookmarkStart w:id="725" w:name="Tc_MqjTX4xZqkOq-F64Pwulyg_12_0"/>
      <w:bookmarkStart w:id="726" w:name="Tc_l9IhL58ekUGn-JrAAHOa7A_10_0"/>
      <w:bookmarkStart w:id="727" w:name="Tc_UcXJg9piwEC6rgx-FalwHw_9_0"/>
      <w:bookmarkStart w:id="728" w:name="Tc_Fx0egxy1bECm1IsINzdGOg_8_0"/>
      <w:bookmarkStart w:id="729" w:name="Tc_NpYGy9hff0eeBn0EjuhMwQ_7_0"/>
      <w:bookmarkStart w:id="730" w:name="Tc_VH_ZyFmsWUCKBaF7M13jMQ_5_0"/>
      <w:bookmarkStart w:id="731" w:name="Tc_SzS-PSmm6kCLs8puCHJ-qA_4_0"/>
      <w:bookmarkStart w:id="732" w:name="Tc_QtoBkRtJ6UWGNEzfvDh0Wg_3_5"/>
      <w:bookmarkStart w:id="733" w:name="Tc_cRFUb0yWnkecILtk8gWbsA_3_2"/>
      <w:bookmarkStart w:id="734" w:name="Tc_LYT6v7AGy06rSy5_IUVZoA_3_0"/>
      <w:bookmarkStart w:id="735" w:name="Tc_Y69cIXUzik25uDy-wURm2g_2_5"/>
      <w:bookmarkStart w:id="736" w:name="Tc_PqHWXwaVykemttjVraztBA_2_2"/>
      <w:bookmarkStart w:id="737" w:name="Tc_QkvGA_bYA0K4tfrNYDB3vw_1_2"/>
      <w:bookmarkStart w:id="738" w:name="Tc_TSvXwsEWLU-cwT_A_Cvnig_10_5"/>
      <w:bookmarkStart w:id="739" w:name="Tc_q-SUPGi1qkSSM29-p3UIZQ_10_2"/>
      <w:bookmarkStart w:id="740" w:name="Tc_CVesAI7cnkuxu5AmHsHYMA_10_0"/>
      <w:bookmarkStart w:id="741" w:name="Tc_uNpQBmK710S_HuS7At6iww_9_5"/>
      <w:bookmarkStart w:id="742" w:name="Tc_SMFUVrojkUGU2T6sZfDCUw_9_2"/>
      <w:bookmarkStart w:id="743" w:name="Tc_85FYEMJUhEilm4M2FEKcqA_9_0"/>
      <w:bookmarkStart w:id="744" w:name="Tc_KeYXDcKe0k-UsZMicbQ-eg_8_0"/>
      <w:bookmarkStart w:id="745" w:name="Tc_dPzEqhmEyEep0cZXteX29Q_6_5"/>
      <w:bookmarkStart w:id="746" w:name="Tc_pVzEhZWTlU-cD8rK7bW0uQ_6_2"/>
      <w:bookmarkStart w:id="747" w:name="Tc_ahb2GgkHSkO4MkSFDJ76cQ_6_0"/>
      <w:bookmarkStart w:id="748" w:name="Tc_2K-psUQjlE-eKgzJF21w4w_5_5"/>
      <w:bookmarkStart w:id="749" w:name="Tc_-pdu8SVjKUCuElU0DyD4Yw_5_2"/>
      <w:bookmarkStart w:id="750" w:name="Tc_JfMHahXsUUmJMCv2Cgp0bw_5_0"/>
      <w:bookmarkStart w:id="751" w:name="Tc_tv1eY00Ca0mFylPWITDyPQ_4_5"/>
      <w:bookmarkStart w:id="752" w:name="Tc_Ttxb5hpoqEGq7P3jYQO8SQ_4_2"/>
      <w:bookmarkStart w:id="753" w:name="Tc_t1BB7uJL6EeNLzW9GZVRLA_4_0"/>
      <w:bookmarkStart w:id="754" w:name="Tc_4wIe6TcbXUGKp96F4_GOig_3_0"/>
      <w:bookmarkStart w:id="755" w:name="Tc_LH0AVI2VQEuo2G3PqPy6uA_2_5"/>
      <w:bookmarkStart w:id="756" w:name="Tc_1j6_-qhX0UCOs5BBgdAwVA_2_2"/>
      <w:bookmarkStart w:id="757" w:name="Tc_EBYumY5tO0ekxPR15I4alw_1_2"/>
      <w:bookmarkStart w:id="758" w:name="Tc_QFdn3vH1s0G3F-9VBTtTLA_12_5"/>
      <w:bookmarkStart w:id="759" w:name="Tc_Dt-JSQtkc0W6R4RHv7Jn_A_12_2"/>
      <w:bookmarkStart w:id="760" w:name="Tc_MqjTX4xZqkOq-F64Pwulyg_12_0"/>
      <w:bookmarkStart w:id="761" w:name="Tc_l9IhL58ekUGn-JrAAHOa7A_10_0"/>
      <w:bookmarkStart w:id="762" w:name="Tc_UcXJg9piwEC6rgx-FalwHw_9_0"/>
      <w:bookmarkStart w:id="763" w:name="Tc_Fx0egxy1bECm1IsINzdGOg_8_0"/>
      <w:bookmarkStart w:id="764" w:name="Tc_NpYGy9hff0eeBn0EjuhMwQ_7_0"/>
      <w:bookmarkStart w:id="765" w:name="Tc_VH_ZyFmsWUCKBaF7M13jMQ_5_0"/>
      <w:bookmarkStart w:id="766" w:name="Tc_SzS-PSmm6kCLs8puCHJ-qA_4_0"/>
      <w:bookmarkStart w:id="767" w:name="Tc_QtoBkRtJ6UWGNEzfvDh0Wg_3_5"/>
      <w:bookmarkStart w:id="768" w:name="Tc_cRFUb0yWnkecILtk8gWbsA_3_2"/>
      <w:bookmarkStart w:id="769" w:name="Tc_LYT6v7AGy06rSy5_IUVZoA_3_0"/>
      <w:bookmarkStart w:id="770" w:name="Tc_Y69cIXUzik25uDy-wURm2g_2_5"/>
      <w:bookmarkStart w:id="771" w:name="Tc_PqHWXwaVykemttjVraztBA_2_2"/>
      <w:bookmarkStart w:id="772" w:name="Tc_QkvGA_bYA0K4tfrNYDB3vw_1_2"/>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tbl>
      <w:tblPr>
        <w:tblW w:w="1127" w:type="dxa"/>
        <w:jc w:val="left"/>
        <w:tblInd w:w="0" w:type="dxa"/>
        <w:tblLayout w:type="fixed"/>
        <w:tblCellMar>
          <w:top w:w="0" w:type="dxa"/>
          <w:left w:w="0" w:type="dxa"/>
          <w:bottom w:w="0" w:type="dxa"/>
          <w:right w:w="0" w:type="dxa"/>
        </w:tblCellMar>
      </w:tblPr>
      <w:tblGrid>
        <w:gridCol w:w="271"/>
        <w:gridCol w:w="85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8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LEASES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leases identified assets consisting primarily of office and warehouse space, warehouse equipment and vehicles. Leases are classified as either finance leases or operating leases based on criteria in ASC 842, “Leases”. The Company’s leases have remaining lease terms of less than one year to nine years, </w:t>
      </w:r>
      <w:r>
        <w:rPr>
          <w:rFonts w:ascii="Times New Roman;Times;serif" w:hAnsi="Times New Roman;Times;serif"/>
          <w:b w:val="false"/>
          <w:i w:val="false"/>
          <w:caps w:val="false"/>
          <w:smallCaps w:val="false"/>
          <w:sz w:val="20"/>
        </w:rPr>
        <w:t>some</w:t>
      </w:r>
      <w:r>
        <w:rPr>
          <w:rFonts w:ascii="Times New Roman;Times;serif" w:hAnsi="Times New Roman;Times;serif"/>
          <w:sz w:val="20"/>
        </w:rPr>
        <w:t xml:space="preserve"> of </w:t>
      </w:r>
      <w:r>
        <w:rPr>
          <w:rFonts w:ascii="Times New Roman;Times;serif" w:hAnsi="Times New Roman;Times;serif"/>
          <w:b w:val="false"/>
          <w:i w:val="false"/>
          <w:caps w:val="false"/>
          <w:smallCaps w:val="false"/>
          <w:sz w:val="20"/>
        </w:rPr>
        <w:t>which</w:t>
      </w:r>
      <w:r>
        <w:rPr>
          <w:rFonts w:ascii="Times New Roman;Times;serif" w:hAnsi="Times New Roman;Times;serif"/>
          <w:sz w:val="20"/>
        </w:rPr>
        <w:t xml:space="preserve"> include options to extend the </w:t>
      </w:r>
      <w:r>
        <w:rPr>
          <w:rFonts w:ascii="Times New Roman;Times;serif" w:hAnsi="Times New Roman;Times;serif"/>
          <w:b w:val="false"/>
          <w:i w:val="false"/>
          <w:caps w:val="false"/>
          <w:smallCaps w:val="false"/>
          <w:sz w:val="20"/>
        </w:rPr>
        <w:t>leases</w:t>
      </w:r>
      <w:r>
        <w:rPr>
          <w:rFonts w:ascii="Times New Roman;Times;serif" w:hAnsi="Times New Roman;Times;serif"/>
          <w:sz w:val="20"/>
        </w:rPr>
        <w:t xml:space="preserve"> for up to five years, and some of which include options to terminate the </w:t>
      </w:r>
      <w:r>
        <w:rPr>
          <w:rFonts w:ascii="Times New Roman;Times;serif" w:hAnsi="Times New Roman;Times;serif"/>
          <w:b w:val="false"/>
          <w:i w:val="false"/>
          <w:caps w:val="false"/>
          <w:smallCaps w:val="false"/>
          <w:sz w:val="20"/>
        </w:rPr>
        <w:t>leases</w:t>
      </w:r>
      <w:r>
        <w:rPr>
          <w:rFonts w:ascii="Times New Roman;Times;serif" w:hAnsi="Times New Roman;Times;serif"/>
          <w:sz w:val="20"/>
        </w:rPr>
        <w:t xml:space="preserve"> within one year.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components of lease cost were as follows:</w:t>
      </w:r>
    </w:p>
    <w:p>
      <w:pPr>
        <w:pStyle w:val="TextBody"/>
        <w:bidi w:val="0"/>
        <w:spacing w:before="0" w:after="0"/>
        <w:ind w:left="0" w:right="0" w:firstLine="720"/>
        <w:jc w:val="both"/>
        <w:rPr/>
      </w:pPr>
      <w:r>
        <w:rPr/>
        <w:t>​</w:t>
      </w:r>
    </w:p>
    <w:tbl>
      <w:tblPr>
        <w:tblW w:w="6026" w:type="dxa"/>
        <w:jc w:val="left"/>
        <w:tblInd w:w="0" w:type="dxa"/>
        <w:tblLayout w:type="fixed"/>
        <w:tblCellMar>
          <w:top w:w="0" w:type="dxa"/>
          <w:left w:w="0" w:type="dxa"/>
          <w:bottom w:w="0" w:type="dxa"/>
          <w:right w:w="0" w:type="dxa"/>
        </w:tblCellMar>
      </w:tblPr>
      <w:tblGrid>
        <w:gridCol w:w="2911"/>
        <w:gridCol w:w="326"/>
        <w:gridCol w:w="295"/>
        <w:gridCol w:w="798"/>
        <w:gridCol w:w="456"/>
        <w:gridCol w:w="295"/>
        <w:gridCol w:w="945"/>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848485" cy="175260"/>
                      <wp:effectExtent l="0" t="0" r="0" b="0"/>
                      <wp:wrapNone/>
                      <wp:docPr id="108" name="Frame108"/>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87325" cy="175260"/>
                      <wp:effectExtent l="0" t="0" r="0" b="0"/>
                      <wp:wrapNone/>
                      <wp:docPr id="110" name="Frame110"/>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06730" cy="175260"/>
                      <wp:effectExtent l="0" t="0" r="0" b="0"/>
                      <wp:wrapNone/>
                      <wp:docPr id="111" name="Frame111"/>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89560" cy="175260"/>
                      <wp:effectExtent l="0" t="0" r="0" b="0"/>
                      <wp:wrapNone/>
                      <wp:docPr id="112" name="Frame112"/>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87325" cy="175260"/>
                      <wp:effectExtent l="0" t="0" r="0" b="0"/>
                      <wp:wrapNone/>
                      <wp:docPr id="113" name="Frame113"/>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00075" cy="175260"/>
                      <wp:effectExtent l="0" t="0" r="0" b="0"/>
                      <wp:wrapNone/>
                      <wp:docPr id="114" name="Frame114"/>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March 31, </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456" w:type="dxa"/>
            <w:tcBorders/>
            <w:vAlign w:val="center"/>
          </w:tcPr>
          <w:p>
            <w:pPr>
              <w:pStyle w:val="TableContents"/>
              <w:bidi w:val="0"/>
              <w:spacing w:before="0" w:after="0"/>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4,294</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r>
      <w:tr>
        <w:trPr/>
        <w:tc>
          <w:tcPr>
            <w:tcW w:w="29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6,882</w:t>
            </w:r>
          </w:p>
        </w:tc>
        <w:tc>
          <w:tcPr>
            <w:tcW w:w="45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7,371</w:t>
            </w:r>
          </w:p>
        </w:tc>
      </w:tr>
    </w:tbl>
    <w:p>
      <w:pPr>
        <w:pStyle w:val="TextBody"/>
        <w:pBdr/>
        <w:bidi w:val="0"/>
        <w:spacing w:before="0" w:after="0"/>
        <w:ind w:left="0" w:right="0" w:hanging="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Supplemental cash flow information was as follows:</w:t>
      </w:r>
    </w:p>
    <w:p>
      <w:pPr>
        <w:pStyle w:val="TextBody"/>
        <w:bidi w:val="0"/>
        <w:spacing w:before="0" w:after="0"/>
        <w:ind w:left="0" w:right="0" w:firstLine="720"/>
        <w:jc w:val="both"/>
        <w:rPr/>
      </w:pPr>
      <w:r>
        <w:rPr/>
        <w:t>​</w:t>
      </w:r>
    </w:p>
    <w:tbl>
      <w:tblPr>
        <w:tblW w:w="8981" w:type="dxa"/>
        <w:jc w:val="left"/>
        <w:tblInd w:w="0" w:type="dxa"/>
        <w:tblLayout w:type="fixed"/>
        <w:tblCellMar>
          <w:top w:w="0" w:type="dxa"/>
          <w:left w:w="0" w:type="dxa"/>
          <w:bottom w:w="0" w:type="dxa"/>
          <w:right w:w="0" w:type="dxa"/>
        </w:tblCellMar>
      </w:tblPr>
      <w:tblGrid>
        <w:gridCol w:w="5866"/>
        <w:gridCol w:w="326"/>
        <w:gridCol w:w="295"/>
        <w:gridCol w:w="798"/>
        <w:gridCol w:w="456"/>
        <w:gridCol w:w="295"/>
        <w:gridCol w:w="945"/>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724910" cy="175260"/>
                      <wp:effectExtent l="0" t="0" r="0" b="0"/>
                      <wp:wrapNone/>
                      <wp:docPr id="115" name="Frame115"/>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87325" cy="175260"/>
                      <wp:effectExtent l="0" t="0" r="0" b="0"/>
                      <wp:wrapNone/>
                      <wp:docPr id="117" name="Frame11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06730" cy="175260"/>
                      <wp:effectExtent l="0" t="0" r="0" b="0"/>
                      <wp:wrapNone/>
                      <wp:docPr id="118" name="Frame118"/>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89560" cy="175260"/>
                      <wp:effectExtent l="0" t="0" r="0" b="0"/>
                      <wp:wrapNone/>
                      <wp:docPr id="119" name="Frame119"/>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87325" cy="175260"/>
                      <wp:effectExtent l="0" t="0" r="0" b="0"/>
                      <wp:wrapNone/>
                      <wp:docPr id="120" name="Frame120"/>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00075" cy="175260"/>
                      <wp:effectExtent l="0" t="0" r="0" b="0"/>
                      <wp:wrapNone/>
                      <wp:docPr id="121" name="Frame121"/>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March 31, </w: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456" w:type="dxa"/>
            <w:tcBorders/>
            <w:vAlign w:val="center"/>
          </w:tcPr>
          <w:p>
            <w:pPr>
              <w:pStyle w:val="TableContents"/>
              <w:bidi w:val="0"/>
              <w:spacing w:before="0" w:after="0"/>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 from operating leases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4,087</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3,607</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 from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outflows from finance leases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2,897</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obligations: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6,390</w:t>
            </w:r>
          </w:p>
        </w:tc>
        <w:tc>
          <w:tcPr>
            <w:tcW w:w="45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45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1,091</w:t>
            </w:r>
          </w:p>
        </w:tc>
      </w:tr>
    </w:tbl>
    <w:p>
      <w:pPr>
        <w:pStyle w:val="TextBody"/>
        <w:pBdr/>
        <w:bidi w:val="0"/>
        <w:spacing w:before="0" w:after="0"/>
        <w:ind w:left="0" w:right="0" w:hanging="72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773" w:name="Tc_iCs8spJ0LkucOV5wD2PdIQ_11_5"/>
      <w:bookmarkStart w:id="774" w:name="Tc_25OTuEWs502MO3_u3b_oGw_11_2"/>
      <w:bookmarkStart w:id="775" w:name="Tc_0hSJDMq7H0aPg7T2ixiYFg_11_0"/>
      <w:bookmarkStart w:id="776" w:name="Tc_ifHN-Mt87kiUUm4vYGtdGg_10_0"/>
      <w:bookmarkStart w:id="777" w:name="Tc_5ppxNsEzc0eq-OGH6qCphA_9_0"/>
      <w:bookmarkStart w:id="778" w:name="Tc_3rk_I_1WVEi5DZQ5RIWn9w_8_0"/>
      <w:bookmarkStart w:id="779" w:name="Tc_DJMPbi8mXEK2mc5LZcyyBg_7_0"/>
      <w:bookmarkStart w:id="780" w:name="Tc_lced3s9tt06aP7xxF7izcg_6_0"/>
      <w:bookmarkStart w:id="781" w:name="Tc_jn2P7dZjjk2ysHJoO2TCWw_5_0"/>
      <w:bookmarkStart w:id="782" w:name="Tc_9rmSRsFbXUOGWtxu9x-Ryw_4_0"/>
      <w:bookmarkStart w:id="783" w:name="Tc_kiYWUJM6UkWprrTWwjrYOQ_3_5"/>
      <w:bookmarkStart w:id="784" w:name="Tc_jAnQE5Tzz0aJzF5qdPGG7g_3_2"/>
      <w:bookmarkStart w:id="785" w:name="Tc_PQaORF8AFkqypUeLS8ODPw_3_0"/>
      <w:bookmarkStart w:id="786" w:name="Tc_l3PBqXn02ECtGib6RnhzHQ_2_5"/>
      <w:bookmarkStart w:id="787" w:name="Tc_XAvzfKnJikiFlXqQ8yPELQ_2_2"/>
      <w:bookmarkStart w:id="788" w:name="Tc__Jl6B94WwEG4Ka6jc2S4JA_1_2"/>
      <w:bookmarkStart w:id="789" w:name="_f09d4950_4819_4ec9_bf5d_bbd390ce0ca7"/>
      <w:bookmarkStart w:id="790" w:name="Tc_6jEOuMHO1U6Jdlel5Tmqkw_9_5"/>
      <w:bookmarkStart w:id="791" w:name="Tc_WpQXnZqPkkK3X0voKTx-mg_9_3"/>
      <w:bookmarkStart w:id="792" w:name="Tc_XKOKu0DJBE-oyoUJQ9VB7A_9_0"/>
      <w:bookmarkStart w:id="793" w:name="Tc_GxSNWTnWRku-jagIYAr12w_8_5"/>
      <w:bookmarkStart w:id="794" w:name="Tc_Mc62nAuL2ECzjoOJzjNfhA_8_3"/>
      <w:bookmarkStart w:id="795" w:name="Tc_AnMT_na-n0ixIdfZdHyxCg_8_0"/>
      <w:bookmarkStart w:id="796" w:name="Tc_yMaFoUCZrE2_Y5XJq86e_Q_7_0"/>
      <w:bookmarkStart w:id="797" w:name="Tc_8YCNMcPYB06N8BKL7LMGsQ_5_0"/>
      <w:bookmarkStart w:id="798" w:name="Tc_gokgkS7kCk6bdLNEAKycVQ_4_0"/>
      <w:bookmarkStart w:id="799" w:name="Tc_PkUc3eEAuUiTmSY0sHbIBg_3_0"/>
      <w:bookmarkStart w:id="800" w:name="Tc_JvgbG3OkEU6oZAvW30wTpg_2_4"/>
      <w:bookmarkStart w:id="801" w:name="Tc_TtzyA2m-GUaRmKCq0gGNkg_2_2"/>
      <w:bookmarkStart w:id="802" w:name="Tc_csbuQgwPU0CT1lq27M0__Q_1_4"/>
      <w:bookmarkStart w:id="803" w:name="Tc_dfmDCnxjnk-rH1uGwBdJgA_1_2"/>
      <w:bookmarkStart w:id="804" w:name="_a50aab39_4848_47b5_bed5_5d1eb27bbd9d"/>
      <w:bookmarkStart w:id="805" w:name="Tc_IL8mQ389MEWHz-8P_j2Nwg_15_7"/>
      <w:bookmarkStart w:id="806" w:name="Tc_ZhYCcJC590-K5Ktd2L7-VA_15_4"/>
      <w:bookmarkStart w:id="807" w:name="Tc_W2B-zxTZRUu5TRaRNmRzrA_15_0"/>
      <w:bookmarkStart w:id="808" w:name="Tc_4glPwuEixUCbGClgYbcmpA_14_0"/>
      <w:bookmarkStart w:id="809" w:name="Tc_3qlEcnZlNEWvSsb6DXlD-A_13_7"/>
      <w:bookmarkStart w:id="810" w:name="Tc_aGas_RbZ4keov0AthsFjNg_13_4"/>
      <w:bookmarkStart w:id="811" w:name="Tc_KIWyCAqaxU-Fi0dCTjRRmQ_13_0"/>
      <w:bookmarkStart w:id="812" w:name="Tc_5foE1dBFkEONQndw_e2jXQ_11_7"/>
      <w:bookmarkStart w:id="813" w:name="Tc_TtHA3lfGs0aXN5kbnaqQ3g_11_4"/>
      <w:bookmarkStart w:id="814" w:name="Tc_MC0SI2nEPkaIgNqvbff7-A_11_0"/>
      <w:bookmarkStart w:id="815" w:name="Tc_pvePmYJ9N0qUKo4F9iX9zQ_10_0"/>
      <w:bookmarkStart w:id="816" w:name="Tc_bmSOf-ZNYUOLOIe7vFh22Q_8_7"/>
      <w:bookmarkStart w:id="817" w:name="Tc_P7zx0YsZDEyGAGsGcDmX0Q_8_4"/>
      <w:bookmarkStart w:id="818" w:name="Tc_1-rMDh540EeND2SxnHoL-g_8_0"/>
      <w:bookmarkStart w:id="819" w:name="Tc__-SfFKIy-EeztmVeR8Fciw_7_0"/>
      <w:bookmarkStart w:id="820" w:name="Tc_XCs49E2AoEWkEDGq1iJIXA_6_7"/>
      <w:bookmarkStart w:id="821" w:name="Tc_kwOUnqYc1k601evL-_HG4A_6_4"/>
      <w:bookmarkStart w:id="822" w:name="Tc_g7GmyQNfBUeW89pwAfrPzw_6_0"/>
      <w:bookmarkStart w:id="823" w:name="Tc_qKXPVd-XH0edYYbAwc3AiQ_4_7"/>
      <w:bookmarkStart w:id="824" w:name="Tc_xRj5ywybiEq5Nqj3Yrxt0Q_4_4"/>
      <w:bookmarkStart w:id="825" w:name="Tc_mSuMvXJLdkOg8AUch2iCwg_4_0"/>
      <w:bookmarkStart w:id="826" w:name="Tc_7_k5dBveF0-0w-TSvw5G7w_3_0"/>
      <w:bookmarkStart w:id="827" w:name="Tc_CyzlSRZnyE-l19JImpiRQA_2_7"/>
      <w:bookmarkStart w:id="828" w:name="Tc_XxZ856-vdkSu7zLcHA5vvg_2_4"/>
      <w:bookmarkStart w:id="829" w:name="Tc_wr7mEEk3cU2Cq1tr5G3TYA_2_2"/>
      <w:bookmarkStart w:id="830" w:name="Tc_GilB1IER9UaMEhC5fR6yJg_1_7"/>
      <w:bookmarkStart w:id="831" w:name="Tc_q860RWvCTEaxKaVVsk5AdA_1_4"/>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r>
        <w:rPr>
          <w:rFonts w:ascii="Times New Roman;Times;serif" w:hAnsi="Times New Roman;Times;serif"/>
          <w:sz w:val="20"/>
        </w:rPr>
        <w:t>Supplemental balance sheet information was as follows:</w:t>
      </w:r>
    </w:p>
    <w:p>
      <w:pPr>
        <w:pStyle w:val="TextBody"/>
        <w:bidi w:val="0"/>
        <w:spacing w:before="0" w:after="0"/>
        <w:ind w:left="0" w:right="0" w:firstLine="720"/>
        <w:jc w:val="both"/>
        <w:rPr/>
      </w:pPr>
      <w:r>
        <w:rPr/>
        <w:t>​</w:t>
      </w:r>
    </w:p>
    <w:tbl>
      <w:tblPr>
        <w:tblW w:w="8315" w:type="dxa"/>
        <w:jc w:val="left"/>
        <w:tblInd w:w="0" w:type="dxa"/>
        <w:tblLayout w:type="fixed"/>
        <w:tblCellMar>
          <w:top w:w="0" w:type="dxa"/>
          <w:left w:w="0" w:type="dxa"/>
          <w:bottom w:w="0" w:type="dxa"/>
          <w:right w:w="0" w:type="dxa"/>
        </w:tblCellMar>
      </w:tblPr>
      <w:tblGrid>
        <w:gridCol w:w="2656"/>
        <w:gridCol w:w="326"/>
        <w:gridCol w:w="2401"/>
        <w:gridCol w:w="326"/>
        <w:gridCol w:w="232"/>
        <w:gridCol w:w="743"/>
        <w:gridCol w:w="326"/>
        <w:gridCol w:w="295"/>
        <w:gridCol w:w="1010"/>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686560" cy="175260"/>
                      <wp:effectExtent l="0" t="0" r="0" b="0"/>
                      <wp:wrapNone/>
                      <wp:docPr id="122" name="Frame122"/>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524635" cy="175260"/>
                      <wp:effectExtent l="0" t="0" r="0" b="0"/>
                      <wp:wrapNone/>
                      <wp:docPr id="124" name="Frame124"/>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7320" cy="175260"/>
                      <wp:effectExtent l="0" t="0" r="0" b="0"/>
                      <wp:wrapNone/>
                      <wp:docPr id="126" name="Frame12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71805" cy="175260"/>
                      <wp:effectExtent l="0" t="0" r="0" b="0"/>
                      <wp:wrapNone/>
                      <wp:docPr id="127" name="Frame127"/>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87325" cy="175260"/>
                      <wp:effectExtent l="0" t="0" r="0" b="0"/>
                      <wp:wrapNone/>
                      <wp:docPr id="129" name="Frame12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1350" cy="175260"/>
                      <wp:effectExtent l="0" t="0" r="0" b="0"/>
                      <wp:wrapNone/>
                      <wp:docPr id="130" name="Frame130"/>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c>
          <w:tcPr>
            <w:tcW w:w="326" w:type="dxa"/>
            <w:tcBorders/>
            <w:vAlign w:val="center"/>
          </w:tcPr>
          <w:p>
            <w:pPr>
              <w:pStyle w:val="TableContents"/>
              <w:bidi w:val="0"/>
              <w:spacing w:before="0" w:after="0"/>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52,394</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55,240</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12,054</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12,530</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41,436</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43,857</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53,490</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56,387</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  </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10,688</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6,129</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8,054</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4,211</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2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8,088</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4,249</w:t>
            </w:r>
          </w:p>
        </w:tc>
      </w:tr>
    </w:tbl>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Weighted-average remaining lease term and weighted-average discount rate for the Company’s leases were as follows:</w:t>
      </w:r>
    </w:p>
    <w:p>
      <w:pPr>
        <w:pStyle w:val="TextBody"/>
        <w:bidi w:val="0"/>
        <w:spacing w:before="0" w:after="0"/>
        <w:ind w:left="0" w:right="0" w:firstLine="720"/>
        <w:jc w:val="both"/>
        <w:rPr/>
      </w:pPr>
      <w:r>
        <w:rPr/>
        <w:t>​</w:t>
      </w:r>
    </w:p>
    <w:tbl>
      <w:tblPr>
        <w:tblW w:w="7306" w:type="dxa"/>
        <w:jc w:val="left"/>
        <w:tblInd w:w="0" w:type="dxa"/>
        <w:tblLayout w:type="fixed"/>
        <w:tblCellMar>
          <w:top w:w="0" w:type="dxa"/>
          <w:left w:w="0" w:type="dxa"/>
          <w:bottom w:w="0" w:type="dxa"/>
          <w:right w:w="0" w:type="dxa"/>
        </w:tblCellMar>
      </w:tblPr>
      <w:tblGrid>
        <w:gridCol w:w="4066"/>
        <w:gridCol w:w="326"/>
        <w:gridCol w:w="976"/>
        <w:gridCol w:w="361"/>
        <w:gridCol w:w="1261"/>
        <w:gridCol w:w="31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581910" cy="175260"/>
                      <wp:effectExtent l="0" t="0" r="0" b="0"/>
                      <wp:wrapNone/>
                      <wp:docPr id="131" name="Frame131"/>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19760" cy="175260"/>
                      <wp:effectExtent l="0" t="0" r="0" b="0"/>
                      <wp:wrapNone/>
                      <wp:docPr id="133" name="Frame13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29235" cy="175260"/>
                      <wp:effectExtent l="0" t="0" r="0" b="0"/>
                      <wp:wrapNone/>
                      <wp:docPr id="134" name="Frame1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800735" cy="175260"/>
                      <wp:effectExtent l="0" t="0" r="0" b="0"/>
                      <wp:wrapNone/>
                      <wp:docPr id="135" name="Frame13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0660" cy="175260"/>
                      <wp:effectExtent l="0" t="0" r="0" b="0"/>
                      <wp:wrapNone/>
                      <wp:docPr id="136" name="Frame13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61"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16" w:type="dxa"/>
            <w:tcBorders/>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61" w:type="dxa"/>
            <w:tcBorders/>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16" w:type="dxa"/>
            <w:tcBorders/>
            <w:vAlign w:val="center"/>
          </w:tcPr>
          <w:p>
            <w:pPr>
              <w:pStyle w:val="TableContents"/>
              <w:bidi w:val="0"/>
              <w:spacing w:before="0" w:after="0"/>
              <w:ind w:left="0" w:right="0" w:hanging="0"/>
              <w:jc w:val="left"/>
              <w:rPr/>
            </w:pPr>
            <w:r>
              <w:rPr/>
              <w:t> </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outlines maturities of the Company’s lease liabilities as of March 31, 2025:</w:t>
      </w:r>
    </w:p>
    <w:p>
      <w:pPr>
        <w:pStyle w:val="TextBody"/>
        <w:bidi w:val="0"/>
        <w:spacing w:before="0" w:after="0"/>
        <w:ind w:left="0" w:right="0" w:firstLine="720"/>
        <w:jc w:val="both"/>
        <w:rPr/>
      </w:pPr>
      <w:r>
        <w:rPr/>
        <w:t>​</w:t>
      </w:r>
    </w:p>
    <w:tbl>
      <w:tblPr>
        <w:tblW w:w="7736" w:type="dxa"/>
        <w:jc w:val="left"/>
        <w:tblInd w:w="0" w:type="dxa"/>
        <w:tblLayout w:type="fixed"/>
        <w:tblCellMar>
          <w:top w:w="0" w:type="dxa"/>
          <w:left w:w="0" w:type="dxa"/>
          <w:bottom w:w="0" w:type="dxa"/>
          <w:right w:w="0" w:type="dxa"/>
        </w:tblCellMar>
      </w:tblPr>
      <w:tblGrid>
        <w:gridCol w:w="4036"/>
        <w:gridCol w:w="326"/>
        <w:gridCol w:w="357"/>
        <w:gridCol w:w="1144"/>
        <w:gridCol w:w="492"/>
        <w:gridCol w:w="328"/>
        <w:gridCol w:w="1053"/>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562860" cy="175260"/>
                      <wp:effectExtent l="0" t="0" r="0" b="0"/>
                      <wp:wrapNone/>
                      <wp:docPr id="137" name="Frame137"/>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26695" cy="175260"/>
                      <wp:effectExtent l="0" t="0" r="0" b="0"/>
                      <wp:wrapNone/>
                      <wp:docPr id="139" name="Frame139"/>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26440" cy="175260"/>
                      <wp:effectExtent l="0" t="0" r="0" b="0"/>
                      <wp:wrapNone/>
                      <wp:docPr id="140" name="Frame140"/>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12420" cy="175260"/>
                      <wp:effectExtent l="0" t="0" r="0" b="0"/>
                      <wp:wrapNone/>
                      <wp:docPr id="141" name="Frame141"/>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8280" cy="175260"/>
                      <wp:effectExtent l="0" t="0" r="0" b="0"/>
                      <wp:wrapNone/>
                      <wp:docPr id="142" name="Frame14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68655" cy="175260"/>
                      <wp:effectExtent l="0" t="0" r="0" b="0"/>
                      <wp:wrapNone/>
                      <wp:docPr id="143" name="Frame143"/>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Undiscounted Future Lease Payments</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492"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(from April 1, 2025 to December 31, 2025)</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11,031</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7,325</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11,711</w:t>
            </w:r>
          </w:p>
        </w:tc>
        <w:tc>
          <w:tcPr>
            <w:tcW w:w="492"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10,683</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8,778</w:t>
            </w:r>
          </w:p>
        </w:tc>
        <w:tc>
          <w:tcPr>
            <w:tcW w:w="492"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6,810</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11,862</w:t>
            </w:r>
          </w:p>
        </w:tc>
        <w:tc>
          <w:tcPr>
            <w:tcW w:w="492"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60,875</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8,279</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(7,385)</w:t>
            </w:r>
          </w:p>
        </w:tc>
        <w:tc>
          <w:tcPr>
            <w:tcW w:w="492"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53,490</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8,088</w:t>
            </w:r>
          </w:p>
        </w:tc>
      </w:tr>
    </w:tbl>
    <w:p>
      <w:pPr>
        <w:pStyle w:val="TextBody"/>
        <w:pBdr/>
        <w:bidi w:val="0"/>
        <w:spacing w:before="0" w:after="0"/>
        <w:ind w:left="0" w:right="0" w:hanging="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March 31, 2025, the Company did not have any significant leases that had not yet commenced.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w:t>
      </w:r>
    </w:p>
    <w:tbl>
      <w:tblPr>
        <w:tblW w:w="6107" w:type="dxa"/>
        <w:jc w:val="left"/>
        <w:tblInd w:w="0" w:type="dxa"/>
        <w:tblLayout w:type="fixed"/>
        <w:tblCellMar>
          <w:top w:w="0" w:type="dxa"/>
          <w:left w:w="0" w:type="dxa"/>
          <w:bottom w:w="0" w:type="dxa"/>
          <w:right w:w="0" w:type="dxa"/>
        </w:tblCellMar>
      </w:tblPr>
      <w:tblGrid>
        <w:gridCol w:w="271"/>
        <w:gridCol w:w="583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58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FAIR VALUE OF CERTAIN FINANCIAL ASSETS AND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2: </w:t>
            </w:r>
            <w:r>
              <w:rPr>
                <w:rFonts w:ascii="Times New Roman;Times;serif" w:hAnsi="Times New Roman;Times;serif"/>
                <w:b w:val="false"/>
                <w:i w:val="false"/>
                <w:caps w:val="false"/>
                <w:smallCaps w:val="false"/>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3: </w:t>
            </w:r>
            <w:r>
              <w:rPr>
                <w:rFonts w:ascii="Times New Roman;Times;serif" w:hAnsi="Times New Roman;Times;serif"/>
                <w:b w:val="false"/>
                <w:i w:val="false"/>
                <w:caps w:val="false"/>
                <w:smallCaps w:val="false"/>
                <w:sz w:val="20"/>
              </w:rPr>
              <w:t>Unobservable inputs that are supported by little or no market activity and that are significant to the fair value of the assets or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requires the use of observable market inputs (quoted market prices) when measuring fair value and requires a Level 1 quoted price to be used to measure fair value whenever possible.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832" w:name="_839788ad_c501_4b43_a655_cc7e4a324398_3"/>
      <w:bookmarkStart w:id="833" w:name="_839788ad_c501_4b43_a655_cc7e4a324398_2"/>
      <w:bookmarkStart w:id="834" w:name="_839788ad_c501_4b43_a655_cc7e4a324398"/>
      <w:bookmarkStart w:id="835" w:name="_349b750c_fa94_4c60_9c87_084131f7ccf7_3"/>
      <w:bookmarkStart w:id="836" w:name="_349b750c_fa94_4c60_9c87_084131f7ccf7_2"/>
      <w:bookmarkStart w:id="837" w:name="_349b750c_fa94_4c60_9c87_084131f7ccf7"/>
      <w:bookmarkStart w:id="838" w:name="_a2942ca6_f60f_435f_9704_8594af99e835_3"/>
      <w:bookmarkStart w:id="839" w:name="_a2942ca6_f60f_435f_9704_8594af99e835_2"/>
      <w:bookmarkStart w:id="840" w:name="_a2942ca6_f60f_435f_9704_8594af99e835"/>
      <w:bookmarkStart w:id="841" w:name="Tc_GJZu7-KLRkel6Zy8EdXrXQ_15_11"/>
      <w:bookmarkStart w:id="842" w:name="Tc_buwrjF0Hi0upVFP213x27g_15_8"/>
      <w:bookmarkStart w:id="843" w:name="Tc_eEjYevXg2EyIu_k1vZKAQA_15_5"/>
      <w:bookmarkStart w:id="844" w:name="Tc_AGySi2wZCEaf994FNZ2y9A_15_2"/>
      <w:bookmarkStart w:id="845" w:name="Tc_a6b7omwKBkGYdI-d7axwBg_15_0"/>
      <w:bookmarkStart w:id="846" w:name="Tc_IIjvXguYsE-NTpwCGk8pDg_14_9"/>
      <w:bookmarkStart w:id="847" w:name="Tc_kCqxcvygxUyydI0M_cF0iA_14_3"/>
      <w:bookmarkStart w:id="848" w:name="Tc_IGyhWPuLPEGmNYly4LBSBQ_14_0"/>
      <w:bookmarkStart w:id="849" w:name="Tc_3C-zTLRBI0yJVT69r9kFxg_13_0"/>
      <w:bookmarkStart w:id="850" w:name="Tc_ebG_busR_kSE5d2toKQm4w_12_9"/>
      <w:bookmarkStart w:id="851" w:name="Tc_jai1SdFqdEyhJqujzlcGOA_12_3"/>
      <w:bookmarkStart w:id="852" w:name="Tc_-XyUXx-jjUGBDWYoXz34jA_12_0"/>
      <w:bookmarkStart w:id="853" w:name="Tc_g7d_oHD7E02otJzi9WNM8w_11_0"/>
      <w:bookmarkStart w:id="854" w:name="Tc_v1--XWjxq0i4sXv8io1KWQ_10_11"/>
      <w:bookmarkStart w:id="855" w:name="Tc_fchBPTKpBkeruC9E0tlTEQ_10_8"/>
      <w:bookmarkStart w:id="856" w:name="Tc_sLxvRjlkw0SBMs-fkOH1RA_10_5"/>
      <w:bookmarkStart w:id="857" w:name="Tc_vHunFbW0e02oUR-aBNx59A_10_2"/>
      <w:bookmarkStart w:id="858" w:name="Tc_NQl4eAZ7AEy8hio9-0AHkg_10_0"/>
      <w:bookmarkStart w:id="859" w:name="Tc_akZYiQBS10eKBYmZq9BrLQ_9_0"/>
      <w:bookmarkStart w:id="860" w:name="Tc_6DRdsjgwe0yhtyXSQc6qOg_7_11"/>
      <w:bookmarkStart w:id="861" w:name="Tc_L2syF70IMEeFe2ibQ9tKFg_7_8"/>
      <w:bookmarkStart w:id="862" w:name="Tc_Ot4INxR6p0SZWUW0tPQUGg_7_5"/>
      <w:bookmarkStart w:id="863" w:name="Tc_6Ge1LhaADkmE5Jg8BZjP8Q_7_2"/>
      <w:bookmarkStart w:id="864" w:name="Tc_k1a2kATEKE25ACdQYd4F4w_7_0"/>
      <w:bookmarkStart w:id="865" w:name="Tc_HoOFYz67eEe7lc2mW5Xe5Q_6_9"/>
      <w:bookmarkStart w:id="866" w:name="Tc_6IlrmvKP8EaQ3lCX3N_kFA_6_3"/>
      <w:bookmarkStart w:id="867" w:name="Tc_-LW2oPJT1UeDL9zJk0vXBg_6_0"/>
      <w:bookmarkStart w:id="868" w:name="Tc_0bsUZ6Bg8kWSS6FQ0tfMrw_5_0"/>
      <w:bookmarkStart w:id="869" w:name="Tc_hp7_Aw3WuEKYRSAYDSZh7A_4_0"/>
      <w:bookmarkStart w:id="870" w:name="Tc_L7b50u38qkqp005nca8gTw_3_0"/>
      <w:bookmarkStart w:id="871" w:name="Tc_Fq34DWGvZkKSzuU25q02Qw_2_11"/>
      <w:bookmarkStart w:id="872" w:name="Tc_C--dYlJB-0G2yt-R6YsNfA_2_8"/>
      <w:bookmarkStart w:id="873" w:name="Tc_olGTpwDqOkKjJxfLl1QEEQ_2_5"/>
      <w:bookmarkStart w:id="874" w:name="Tc_2YgtAeijYEuNivaoAC4Z2A_2_2"/>
      <w:bookmarkStart w:id="875" w:name="Tc_nAuNkZtYbk6SG6f1PAfPxQ_2_0"/>
      <w:bookmarkStart w:id="876" w:name="Tc_FVezpeK8QU239x4VzDI_hA_1_11"/>
      <w:bookmarkStart w:id="877" w:name="Tc_VvA-_EdHOUqnwrVK4Ehsiw_1_8"/>
      <w:bookmarkStart w:id="878" w:name="Tc_WPRo6kLZd0yBCpI43b4OKQ_1_5"/>
      <w:bookmarkStart w:id="879" w:name="Tc_GQhAnEesbk6qVnTFpduoCw_1_2"/>
      <w:bookmarkStart w:id="880" w:name="Tc_L7lNISKZWU-CZgkrPpmXTg_1_0"/>
      <w:bookmarkStart w:id="881" w:name="_c899e345_8a9f_4227_b79e_3e69ce4878b9"/>
      <w:bookmarkStart w:id="882" w:name="Tc_CIDdAMzPpUiik1Be__oGVA_16_11"/>
      <w:bookmarkStart w:id="883" w:name="Tc_c_Gw2yVa-06wYAVdGuvnDw_16_8"/>
      <w:bookmarkStart w:id="884" w:name="Tc_agn-mhgbD02ZD6T2PEo6NQ_16_5"/>
      <w:bookmarkStart w:id="885" w:name="Tc_qQ9XGXLVEE6IauWjdmrlcA_16_2"/>
      <w:bookmarkStart w:id="886" w:name="Tc_DRC4l4rwvU-meCgVR3EHUA_16_0"/>
      <w:bookmarkStart w:id="887" w:name="Tc_UsnTKUhSZUyeYfrZEDe0XQ_15_9"/>
      <w:bookmarkStart w:id="888" w:name="Tc_prSYG-Ri4U6jg80o-vtYqA_15_3"/>
      <w:bookmarkStart w:id="889" w:name="Tc_ICifWhCjiUq5vHFRYr-aJg_15_0"/>
      <w:bookmarkStart w:id="890" w:name="Tc_q0o3bdvj3EO-7avYt5tVQw_14_0"/>
      <w:bookmarkStart w:id="891" w:name="Tc_l8Qe7uphnEOGASDkTeEh2g_13_0"/>
      <w:bookmarkStart w:id="892" w:name="Tc_r8GfbYV-qEq1GozHJ1tvDA_12_9"/>
      <w:bookmarkStart w:id="893" w:name="Tc_iu5Wd6mI5EiG6uawNbID0w_12_3"/>
      <w:bookmarkStart w:id="894" w:name="Tc_fVax3Xnwn0uJSBOhLJndfA_12_0"/>
      <w:bookmarkStart w:id="895" w:name="Tc_QGPm9jnRq06mjV_OrYGpMQ_11_0"/>
      <w:bookmarkStart w:id="896" w:name="Tc_9QS-hBndoUS4sCCy7NxAWQ_10_11"/>
      <w:bookmarkStart w:id="897" w:name="Tc_acbuI3a6-0m7vI8PcaRFqA_10_8"/>
      <w:bookmarkStart w:id="898" w:name="Tc_rhhkfEO7x0uddYaaWuAs-w_10_5"/>
      <w:bookmarkStart w:id="899" w:name="Tc_ppRbsoZfpEW-Gm8LfGNh4A_10_2"/>
      <w:bookmarkStart w:id="900" w:name="Tc_VNpAPnGsEUWQe8xvHrWH0A_10_0"/>
      <w:bookmarkStart w:id="901" w:name="Tc_PV1_n1pkXkqluef8V35UYA_9_0"/>
      <w:bookmarkStart w:id="902" w:name="Tc_VsLf2VWupUOE1i9fkMD72w_7_11"/>
      <w:bookmarkStart w:id="903" w:name="Tc_fm4l37Hkm0OEk6TfyF6v2Q_7_8"/>
      <w:bookmarkStart w:id="904" w:name="Tc_M1jigc-P4ESb4huyCtvKMw_7_5"/>
      <w:bookmarkStart w:id="905" w:name="Tc_WQSpYv4kzEaSnSC0RBCiHg_7_2"/>
      <w:bookmarkStart w:id="906" w:name="Tc_DUoXIH7_nUyeg-kBQ8_jyQ_7_0"/>
      <w:bookmarkStart w:id="907" w:name="Tc_ZZPrUUxfuUa-S9RAQwOxrQ_6_9"/>
      <w:bookmarkStart w:id="908" w:name="Tc_mVONaiwgA0mFjrY02S9Nmw_6_3"/>
      <w:bookmarkStart w:id="909" w:name="Tc_EKxu8pEGjk2q1frM9-AGsA_6_0"/>
      <w:bookmarkStart w:id="910" w:name="Tc_t-As3i4PuUOWqNWA7UpQ5w_5_0"/>
      <w:bookmarkStart w:id="911" w:name="Tc_dMXq6g4eQUGB-tdjJPUfag_4_0"/>
      <w:bookmarkStart w:id="912" w:name="Tc_CI24rWCijEO9Imd-305jmQ_3_0"/>
      <w:bookmarkStart w:id="913" w:name="Tc_0CTVo5EVGUKvfADpGRJmCQ_2_11"/>
      <w:bookmarkStart w:id="914" w:name="Tc_pk2fFrAoiEODHbrzIEYGtQ_2_8"/>
      <w:bookmarkStart w:id="915" w:name="Tc_xetvDuqfmk-jJcPXximkDQ_2_5"/>
      <w:bookmarkStart w:id="916" w:name="Tc_ijpuT6I2m0O1kkn99uL-uw_2_2"/>
      <w:bookmarkStart w:id="917" w:name="Tc_64YtvW8NFkuFZ4NduJto9A_2_0"/>
      <w:bookmarkStart w:id="918" w:name="Tc_YQN2_uSJPUCepmxHkPFJdQ_1_11"/>
      <w:bookmarkStart w:id="919" w:name="Tc_PK5mpv6Tdk28R9wSjUYTBA_1_8"/>
      <w:bookmarkStart w:id="920" w:name="Tc_qdAJRiQ1_k2Yl95J6wcB9A_1_5"/>
      <w:bookmarkStart w:id="921" w:name="Tc_-V8pYHVDhEaWeFxGFwZ_ag_1_2"/>
      <w:bookmarkStart w:id="922" w:name="Tc_lwJfc5SxVkyeRnyvCEM0_w_1_0"/>
      <w:bookmarkStart w:id="923" w:name="_28b21def_c64e_419b_9475_3e21586523d5"/>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r>
        <w:rPr>
          <w:rFonts w:ascii="Times New Roman;Times;serif" w:hAnsi="Times New Roman;Times;serif"/>
          <w:sz w:val="20"/>
        </w:rPr>
        <w:t>The following tables present the fair value of the Company’s financial assets and liabilities that are recorded at fair value on a recurring basis, segregated among the appropriate levels within the fair value hierarchy at:</w:t>
      </w:r>
    </w:p>
    <w:p>
      <w:pPr>
        <w:pStyle w:val="TextBody"/>
        <w:bidi w:val="0"/>
        <w:spacing w:before="0" w:after="0"/>
        <w:ind w:left="0" w:right="0" w:firstLine="720"/>
        <w:jc w:val="both"/>
        <w:rPr/>
      </w:pPr>
      <w:r>
        <w:rPr/>
        <w:t>​</w:t>
      </w:r>
    </w:p>
    <w:tbl>
      <w:tblPr>
        <w:tblW w:w="8767" w:type="dxa"/>
        <w:jc w:val="left"/>
        <w:tblInd w:w="0" w:type="dxa"/>
        <w:tblLayout w:type="fixed"/>
        <w:tblCellMar>
          <w:top w:w="0" w:type="dxa"/>
          <w:left w:w="0" w:type="dxa"/>
          <w:bottom w:w="0" w:type="dxa"/>
          <w:right w:w="0" w:type="dxa"/>
        </w:tblCellMar>
      </w:tblPr>
      <w:tblGrid>
        <w:gridCol w:w="3451"/>
        <w:gridCol w:w="326"/>
        <w:gridCol w:w="211"/>
        <w:gridCol w:w="931"/>
        <w:gridCol w:w="326"/>
        <w:gridCol w:w="211"/>
        <w:gridCol w:w="691"/>
        <w:gridCol w:w="326"/>
        <w:gridCol w:w="273"/>
        <w:gridCol w:w="448"/>
        <w:gridCol w:w="326"/>
        <w:gridCol w:w="211"/>
        <w:gridCol w:w="103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1385" cy="175260"/>
                      <wp:effectExtent l="0" t="0" r="0" b="0"/>
                      <wp:wrapNone/>
                      <wp:docPr id="144" name="Frame144"/>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91185" cy="175260"/>
                      <wp:effectExtent l="0" t="0" r="0" b="0"/>
                      <wp:wrapNone/>
                      <wp:docPr id="147" name="Frame1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38785" cy="175260"/>
                      <wp:effectExtent l="0" t="0" r="0" b="0"/>
                      <wp:wrapNone/>
                      <wp:docPr id="150" name="Frame1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73355" cy="175260"/>
                      <wp:effectExtent l="0" t="0" r="0" b="0"/>
                      <wp:wrapNone/>
                      <wp:docPr id="152" name="Frame152"/>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84480" cy="175260"/>
                      <wp:effectExtent l="0" t="0" r="0" b="0"/>
                      <wp:wrapNone/>
                      <wp:docPr id="153" name="Frame153"/>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57860" cy="175260"/>
                      <wp:effectExtent l="0" t="0" r="0" b="0"/>
                      <wp:wrapNone/>
                      <wp:docPr id="156" name="Frame15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1,230,144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1,230,144</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628,556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628,556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44,719</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44,719</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1,858,700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48,115</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1,906,815</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1,858,700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44,719</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1,903,419</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7,442</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1,858,700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48,115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1,906,815</w:t>
            </w:r>
          </w:p>
        </w:tc>
      </w:tr>
    </w:tbl>
    <w:p>
      <w:pPr>
        <w:pStyle w:val="TextBody"/>
        <w:bidi w:val="0"/>
        <w:spacing w:before="0" w:after="0"/>
        <w:ind w:left="0" w:right="0" w:firstLine="720"/>
        <w:jc w:val="both"/>
        <w:rPr/>
      </w:pPr>
      <w:r>
        <w:rPr/>
        <w:t>​</w:t>
      </w:r>
    </w:p>
    <w:tbl>
      <w:tblPr>
        <w:tblW w:w="7762" w:type="dxa"/>
        <w:jc w:val="left"/>
        <w:tblInd w:w="0" w:type="dxa"/>
        <w:tblLayout w:type="fixed"/>
        <w:tblCellMar>
          <w:top w:w="0" w:type="dxa"/>
          <w:left w:w="0" w:type="dxa"/>
          <w:bottom w:w="0" w:type="dxa"/>
          <w:right w:w="0" w:type="dxa"/>
        </w:tblCellMar>
      </w:tblPr>
      <w:tblGrid>
        <w:gridCol w:w="2446"/>
        <w:gridCol w:w="326"/>
        <w:gridCol w:w="211"/>
        <w:gridCol w:w="931"/>
        <w:gridCol w:w="326"/>
        <w:gridCol w:w="211"/>
        <w:gridCol w:w="691"/>
        <w:gridCol w:w="326"/>
        <w:gridCol w:w="273"/>
        <w:gridCol w:w="448"/>
        <w:gridCol w:w="326"/>
        <w:gridCol w:w="211"/>
        <w:gridCol w:w="103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53210" cy="175260"/>
                      <wp:effectExtent l="0" t="0" r="0" b="0"/>
                      <wp:wrapNone/>
                      <wp:docPr id="157" name="Frame157"/>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91185" cy="175260"/>
                      <wp:effectExtent l="0" t="0" r="0" b="0"/>
                      <wp:wrapNone/>
                      <wp:docPr id="160" name="Frame1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38785" cy="175260"/>
                      <wp:effectExtent l="0" t="0" r="0" b="0"/>
                      <wp:wrapNone/>
                      <wp:docPr id="163" name="Frame1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73355" cy="175260"/>
                      <wp:effectExtent l="0" t="0" r="0" b="0"/>
                      <wp:wrapNone/>
                      <wp:docPr id="165" name="Frame165"/>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84480" cy="175260"/>
                      <wp:effectExtent l="0" t="0" r="0" b="0"/>
                      <wp:wrapNone/>
                      <wp:docPr id="166" name="Frame166"/>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57860" cy="175260"/>
                      <wp:effectExtent l="0" t="0" r="0" b="0"/>
                      <wp:wrapNone/>
                      <wp:docPr id="169" name="Frame16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1,103,647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1,103,647</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396,306</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33,348</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1,533,301</w:t>
            </w:r>
          </w:p>
        </w:tc>
      </w:tr>
      <w:tr>
        <w:trPr/>
        <w:tc>
          <w:tcPr>
            <w:tcW w:w="24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1,533,287</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33,348</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1,533,301</w:t>
            </w:r>
          </w:p>
        </w:tc>
      </w:tr>
    </w:tbl>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three-months ended March 31, 2025, or during the year-ended December 31, 2024, and there were no changes in the Company’s valuation techniques.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924" w:name="Tc_0poMVev-TkKj9Z4EnIexjg_5_7"/>
      <w:bookmarkStart w:id="925" w:name="Tc_N6d7ASaDk0SQNxWP_sQtGQ_5_5"/>
      <w:bookmarkStart w:id="926" w:name="Tc_dk8d73F0PkeRKKT8CjvF2A_5_2"/>
      <w:bookmarkStart w:id="927" w:name="Tc_q7FZENvkB0GKmAwiUtTmDA_5_0"/>
      <w:bookmarkStart w:id="928" w:name="Tc_CD0Vny4CM02WDkQ-Q7rDpQ_4_7"/>
      <w:bookmarkStart w:id="929" w:name="Tc_wQ6vz2NDoUGMi4OGrR71HQ_4_5"/>
      <w:bookmarkStart w:id="930" w:name="Tc_sGX0PplGFUCL_WNxxKl7oQ_4_2"/>
      <w:bookmarkStart w:id="931" w:name="Tc_rDR10ZC6Bka5zm70S3Wx4Q_4_0"/>
      <w:bookmarkStart w:id="932" w:name="Tc_TNStRS_obkuc1cc0nfDvww_3_7"/>
      <w:bookmarkStart w:id="933" w:name="Tc_6fcQw42ackCdtGCUs_Ja5w_3_5"/>
      <w:bookmarkStart w:id="934" w:name="Tc_E30YyosBJkO4UCTba7x6BA_3_2"/>
      <w:bookmarkStart w:id="935" w:name="Tc_dpVzjXaxeE6ZP6mjPBUA9Q_3_0"/>
      <w:bookmarkStart w:id="936" w:name="Tc_k_4AyWPyHkybG1N7QWabXw_2_7"/>
      <w:bookmarkStart w:id="937" w:name="Tc_pUPRz_heXEuTIL6ye6CK2A_1_0"/>
      <w:bookmarkStart w:id="938" w:name="_1a4365f6_4406_4ee5_ad9e_b6ef788ae2b7"/>
      <w:bookmarkStart w:id="939" w:name="Tc_BkIpZZDlpkSz6nt9UrAUyw_7_8"/>
      <w:bookmarkStart w:id="940" w:name="Tc_xMDbFsG8CEqqmI8QtqNEcA_7_5"/>
      <w:bookmarkStart w:id="941" w:name="Tc_x5L-S1rDlUipo6TJ-6X4sg_7_2"/>
      <w:bookmarkStart w:id="942" w:name="Tc_JmA8IekoKkKHuTpz4giJuw_7_0"/>
      <w:bookmarkStart w:id="943" w:name="Tc_AJLEqrYpAkyXyUuIJifDKA_6_0"/>
      <w:bookmarkStart w:id="944" w:name="Tc_NLfwfJ7sk0SOrHqQPKVFKw_5_8"/>
      <w:bookmarkStart w:id="945" w:name="Tc_KCQ7prTXLUOHSl2KSEX5Fg_5_5"/>
      <w:bookmarkStart w:id="946" w:name="Tc_O7gV1QS8b0GeBhyDEV5WLQ_5_2"/>
      <w:bookmarkStart w:id="947" w:name="Tc_drzlqpsJ9UegqKMtTiFeDw_5_0"/>
      <w:bookmarkStart w:id="948" w:name="Tc_3kBpkVtvakCC40_7WIrUJA_4_0"/>
      <w:bookmarkStart w:id="949" w:name="Tc_EqP8eSmdek6feYWfPgbkvA_3_8"/>
      <w:bookmarkStart w:id="950" w:name="Tc_rZVrK8jC4kC7HZ8l7oTnlg_3_5"/>
      <w:bookmarkStart w:id="951" w:name="Tc_M0zqldR7aEWIQFsQw75_Ww_3_2"/>
      <w:bookmarkStart w:id="952" w:name="Tc_DnvoA6uRPEKIzqRxOjIneg_3_0"/>
      <w:bookmarkStart w:id="953" w:name="Tc_Ic1sHrX79k6wQx4MbZ1IBg_2_5"/>
      <w:bookmarkStart w:id="954" w:name="Tc_3h_6sm7ip0uIF0BBpx-prg_2_2"/>
      <w:bookmarkStart w:id="955" w:name="Tc_T19ycL0qtkiyJY6VPfrRCg_2_0"/>
      <w:bookmarkStart w:id="956" w:name="Tc_2GkWK9Jmn0ef1EpHTtbj5g_1_2"/>
      <w:bookmarkStart w:id="957" w:name="_4d150810_5c8b_4de6_84b2_fddec2ff86f3"/>
      <w:bookmarkStart w:id="958" w:name="Tc_eoK8h1RjqkefSaQVXK86EQ_11_8"/>
      <w:bookmarkStart w:id="959" w:name="Tc_vegYSqY8q0OwfmK_savtgw_11_5"/>
      <w:bookmarkStart w:id="960" w:name="Tc__wIZD4gJuUeTCqeUK6FA6w_11_2"/>
      <w:bookmarkStart w:id="961" w:name="Tc_6jYYbPN-REWyDgrHCmMJ6w_11_0"/>
      <w:bookmarkStart w:id="962" w:name="Tc_On_HYiO_hkWXZp0vpoGrTg_10_8"/>
      <w:bookmarkStart w:id="963" w:name="Tc_Rd2lxeQFi0GxiYhXvtydGg_10_5"/>
      <w:bookmarkStart w:id="964" w:name="Tc_Ydx-JgtxvEqn5YCXP1iIuw_10_2"/>
      <w:bookmarkStart w:id="965" w:name="Tc_th_HS8mIRkyveV1sSJmCtQ_10_0"/>
      <w:bookmarkStart w:id="966" w:name="Tc_m-b19dL2AE6KOn-gdO-yDA_9_8"/>
      <w:bookmarkStart w:id="967" w:name="Tc_ejplv4sXUEe61C16iuSWuA_9_5"/>
      <w:bookmarkStart w:id="968" w:name="Tc_M2H7b4KnjUWl-zy_eCHNfw_9_2"/>
      <w:bookmarkStart w:id="969" w:name="Tc_71eNvmXQlkStXI612_pvWA_9_0"/>
      <w:bookmarkStart w:id="970" w:name="Tc_43wGDagldEqr_vpMEIjv-Q_8_0"/>
      <w:bookmarkStart w:id="971" w:name="Tc_iXhP9nup_0Gy7L6x5IP71w_7_8"/>
      <w:bookmarkStart w:id="972" w:name="Tc_ZJrzHsmpN0G3sCM4Z93Uyw_7_5"/>
      <w:bookmarkStart w:id="973" w:name="Tc_VhUyUq1E306bu3YbnWEu9A_7_2"/>
      <w:bookmarkStart w:id="974" w:name="Tc_dWQgSUsWiEOh7tIeuZEBWA_7_0"/>
      <w:bookmarkStart w:id="975" w:name="Tc_iEIj62TggEaIipghDb1HxQ_6_8"/>
      <w:bookmarkStart w:id="976" w:name="Tc_NMCquGRdaEOMHBU5W8BMCw_6_5"/>
      <w:bookmarkStart w:id="977" w:name="Tc_FPe7NPYS8kOzzYi2jCv5AA_6_2"/>
      <w:bookmarkStart w:id="978" w:name="Tc_f6_v9D0nk0O2bHe79JTtow_6_0"/>
      <w:bookmarkStart w:id="979" w:name="Tc_bdF8JmcK2UiTeYx_0KRiuA_5_8"/>
      <w:bookmarkStart w:id="980" w:name="Tc_CZjFaFF1wE-kGo2-OPRz0A_5_5"/>
      <w:bookmarkStart w:id="981" w:name="Tc_-hoYlDLqCkmvkxHBoBrLDQ_5_2"/>
      <w:bookmarkStart w:id="982" w:name="Tc_8UBCv70NzEaLgZWNlO9h2Q_5_0"/>
      <w:bookmarkStart w:id="983" w:name="Tc_halFwuPHdEKgizvCYYb2xA_4_0"/>
      <w:bookmarkStart w:id="984" w:name="Tc_mQf4kzbxQkyKObgGaXiBcQ_3_8"/>
      <w:bookmarkStart w:id="985" w:name="Tc_mA_E6TaoKEOs26e4UQ3bDw_3_5"/>
      <w:bookmarkStart w:id="986" w:name="Tc_8cpuMM2sCU6_VYKZjS4nag_3_2"/>
      <w:bookmarkStart w:id="987" w:name="Tc_iF4LQ_-EZE6iaQOqVfcjPA_3_0"/>
      <w:bookmarkStart w:id="988" w:name="Tc_7kgOoDxB0keKX28tJS71Gw_2_5"/>
      <w:bookmarkStart w:id="989" w:name="Tc_RvjSgORetEWRr6u7t0D-Ig_2_2"/>
      <w:bookmarkStart w:id="990" w:name="Tc_MCdzueVeCki-sNJ4djf34Q_2_0"/>
      <w:bookmarkStart w:id="991" w:name="Tc_nB4aAxowlkS1ZZLC8VJUrA_1_2"/>
      <w:bookmarkStart w:id="992" w:name="_cdbb6adf_f2e5_40e5_9ecc_085188f5aed1"/>
      <w:bookmarkStart w:id="993" w:name="Tc_0poMVev-TkKj9Z4EnIexjg_5_7"/>
      <w:bookmarkStart w:id="994" w:name="Tc_N6d7ASaDk0SQNxWP_sQtGQ_5_5"/>
      <w:bookmarkStart w:id="995" w:name="Tc_dk8d73F0PkeRKKT8CjvF2A_5_2"/>
      <w:bookmarkStart w:id="996" w:name="Tc_q7FZENvkB0GKmAwiUtTmDA_5_0"/>
      <w:bookmarkStart w:id="997" w:name="Tc_CD0Vny4CM02WDkQ-Q7rDpQ_4_7"/>
      <w:bookmarkStart w:id="998" w:name="Tc_wQ6vz2NDoUGMi4OGrR71HQ_4_5"/>
      <w:bookmarkStart w:id="999" w:name="Tc_sGX0PplGFUCL_WNxxKl7oQ_4_2"/>
      <w:bookmarkStart w:id="1000" w:name="Tc_rDR10ZC6Bka5zm70S3Wx4Q_4_0"/>
      <w:bookmarkStart w:id="1001" w:name="Tc_TNStRS_obkuc1cc0nfDvww_3_7"/>
      <w:bookmarkStart w:id="1002" w:name="Tc_6fcQw42ackCdtGCUs_Ja5w_3_5"/>
      <w:bookmarkStart w:id="1003" w:name="Tc_E30YyosBJkO4UCTba7x6BA_3_2"/>
      <w:bookmarkStart w:id="1004" w:name="Tc_dpVzjXaxeE6ZP6mjPBUA9Q_3_0"/>
      <w:bookmarkStart w:id="1005" w:name="Tc_k_4AyWPyHkybG1N7QWabXw_2_7"/>
      <w:bookmarkStart w:id="1006" w:name="Tc_pUPRz_heXEuTIL6ye6CK2A_1_0"/>
      <w:bookmarkStart w:id="1007" w:name="_1a4365f6_4406_4ee5_ad9e_b6ef788ae2b7"/>
      <w:bookmarkStart w:id="1008" w:name="Tc_BkIpZZDlpkSz6nt9UrAUyw_7_8"/>
      <w:bookmarkStart w:id="1009" w:name="Tc_xMDbFsG8CEqqmI8QtqNEcA_7_5"/>
      <w:bookmarkStart w:id="1010" w:name="Tc_x5L-S1rDlUipo6TJ-6X4sg_7_2"/>
      <w:bookmarkStart w:id="1011" w:name="Tc_JmA8IekoKkKHuTpz4giJuw_7_0"/>
      <w:bookmarkStart w:id="1012" w:name="Tc_AJLEqrYpAkyXyUuIJifDKA_6_0"/>
      <w:bookmarkStart w:id="1013" w:name="Tc_NLfwfJ7sk0SOrHqQPKVFKw_5_8"/>
      <w:bookmarkStart w:id="1014" w:name="Tc_KCQ7prTXLUOHSl2KSEX5Fg_5_5"/>
      <w:bookmarkStart w:id="1015" w:name="Tc_O7gV1QS8b0GeBhyDEV5WLQ_5_2"/>
      <w:bookmarkStart w:id="1016" w:name="Tc_drzlqpsJ9UegqKMtTiFeDw_5_0"/>
      <w:bookmarkStart w:id="1017" w:name="Tc_3kBpkVtvakCC40_7WIrUJA_4_0"/>
      <w:bookmarkStart w:id="1018" w:name="Tc_EqP8eSmdek6feYWfPgbkvA_3_8"/>
      <w:bookmarkStart w:id="1019" w:name="Tc_rZVrK8jC4kC7HZ8l7oTnlg_3_5"/>
      <w:bookmarkStart w:id="1020" w:name="Tc_M0zqldR7aEWIQFsQw75_Ww_3_2"/>
      <w:bookmarkStart w:id="1021" w:name="Tc_DnvoA6uRPEKIzqRxOjIneg_3_0"/>
      <w:bookmarkStart w:id="1022" w:name="Tc_Ic1sHrX79k6wQx4MbZ1IBg_2_5"/>
      <w:bookmarkStart w:id="1023" w:name="Tc_3h_6sm7ip0uIF0BBpx-prg_2_2"/>
      <w:bookmarkStart w:id="1024" w:name="Tc_T19ycL0qtkiyJY6VPfrRCg_2_0"/>
      <w:bookmarkStart w:id="1025" w:name="Tc_2GkWK9Jmn0ef1EpHTtbj5g_1_2"/>
      <w:bookmarkStart w:id="1026" w:name="_4d150810_5c8b_4de6_84b2_fddec2ff86f3"/>
      <w:bookmarkStart w:id="1027" w:name="Tc_eoK8h1RjqkefSaQVXK86EQ_11_8"/>
      <w:bookmarkStart w:id="1028" w:name="Tc_vegYSqY8q0OwfmK_savtgw_11_5"/>
      <w:bookmarkStart w:id="1029" w:name="Tc__wIZD4gJuUeTCqeUK6FA6w_11_2"/>
      <w:bookmarkStart w:id="1030" w:name="Tc_6jYYbPN-REWyDgrHCmMJ6w_11_0"/>
      <w:bookmarkStart w:id="1031" w:name="Tc_On_HYiO_hkWXZp0vpoGrTg_10_8"/>
      <w:bookmarkStart w:id="1032" w:name="Tc_Rd2lxeQFi0GxiYhXvtydGg_10_5"/>
      <w:bookmarkStart w:id="1033" w:name="Tc_Ydx-JgtxvEqn5YCXP1iIuw_10_2"/>
      <w:bookmarkStart w:id="1034" w:name="Tc_th_HS8mIRkyveV1sSJmCtQ_10_0"/>
      <w:bookmarkStart w:id="1035" w:name="Tc_m-b19dL2AE6KOn-gdO-yDA_9_8"/>
      <w:bookmarkStart w:id="1036" w:name="Tc_ejplv4sXUEe61C16iuSWuA_9_5"/>
      <w:bookmarkStart w:id="1037" w:name="Tc_M2H7b4KnjUWl-zy_eCHNfw_9_2"/>
      <w:bookmarkStart w:id="1038" w:name="Tc_71eNvmXQlkStXI612_pvWA_9_0"/>
      <w:bookmarkStart w:id="1039" w:name="Tc_43wGDagldEqr_vpMEIjv-Q_8_0"/>
      <w:bookmarkStart w:id="1040" w:name="Tc_iXhP9nup_0Gy7L6x5IP71w_7_8"/>
      <w:bookmarkStart w:id="1041" w:name="Tc_ZJrzHsmpN0G3sCM4Z93Uyw_7_5"/>
      <w:bookmarkStart w:id="1042" w:name="Tc_VhUyUq1E306bu3YbnWEu9A_7_2"/>
      <w:bookmarkStart w:id="1043" w:name="Tc_dWQgSUsWiEOh7tIeuZEBWA_7_0"/>
      <w:bookmarkStart w:id="1044" w:name="Tc_iEIj62TggEaIipghDb1HxQ_6_8"/>
      <w:bookmarkStart w:id="1045" w:name="Tc_NMCquGRdaEOMHBU5W8BMCw_6_5"/>
      <w:bookmarkStart w:id="1046" w:name="Tc_FPe7NPYS8kOzzYi2jCv5AA_6_2"/>
      <w:bookmarkStart w:id="1047" w:name="Tc_f6_v9D0nk0O2bHe79JTtow_6_0"/>
      <w:bookmarkStart w:id="1048" w:name="Tc_bdF8JmcK2UiTeYx_0KRiuA_5_8"/>
      <w:bookmarkStart w:id="1049" w:name="Tc_CZjFaFF1wE-kGo2-OPRz0A_5_5"/>
      <w:bookmarkStart w:id="1050" w:name="Tc_-hoYlDLqCkmvkxHBoBrLDQ_5_2"/>
      <w:bookmarkStart w:id="1051" w:name="Tc_8UBCv70NzEaLgZWNlO9h2Q_5_0"/>
      <w:bookmarkStart w:id="1052" w:name="Tc_halFwuPHdEKgizvCYYb2xA_4_0"/>
      <w:bookmarkStart w:id="1053" w:name="Tc_mQf4kzbxQkyKObgGaXiBcQ_3_8"/>
      <w:bookmarkStart w:id="1054" w:name="Tc_mA_E6TaoKEOs26e4UQ3bDw_3_5"/>
      <w:bookmarkStart w:id="1055" w:name="Tc_8cpuMM2sCU6_VYKZjS4nag_3_2"/>
      <w:bookmarkStart w:id="1056" w:name="Tc_iF4LQ_-EZE6iaQOqVfcjPA_3_0"/>
      <w:bookmarkStart w:id="1057" w:name="Tc_7kgOoDxB0keKX28tJS71Gw_2_5"/>
      <w:bookmarkStart w:id="1058" w:name="Tc_RvjSgORetEWRr6u7t0D-Ig_2_2"/>
      <w:bookmarkStart w:id="1059" w:name="Tc_MCdzueVeCki-sNJ4djf34Q_2_0"/>
      <w:bookmarkStart w:id="1060" w:name="Tc_nB4aAxowlkS1ZZLC8VJUrA_1_2"/>
      <w:bookmarkStart w:id="1061" w:name="_cdbb6adf_f2e5_40e5_9ecc_085188f5aed1"/>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p>
    <w:tbl>
      <w:tblPr>
        <w:tblW w:w="5417" w:type="dxa"/>
        <w:jc w:val="left"/>
        <w:tblInd w:w="0" w:type="dxa"/>
        <w:tblLayout w:type="fixed"/>
        <w:tblCellMar>
          <w:top w:w="0" w:type="dxa"/>
          <w:left w:w="0" w:type="dxa"/>
          <w:bottom w:w="0" w:type="dxa"/>
          <w:right w:w="0" w:type="dxa"/>
        </w:tblCellMar>
      </w:tblPr>
      <w:tblGrid>
        <w:gridCol w:w="271"/>
        <w:gridCol w:w="514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51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DERIVATIVE INSTRUMENTS AND HEDGING ACTIVITIES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accounts for its derivative instruments and hedging activities under ASC 815, “Derivatives and Hedging.” The following table presents the fair values of the Company’s derivative instruments:</w:t>
      </w:r>
    </w:p>
    <w:p>
      <w:pPr>
        <w:pStyle w:val="TextBody"/>
        <w:bidi w:val="0"/>
        <w:spacing w:before="0" w:after="0"/>
        <w:ind w:left="0" w:right="0" w:hanging="0"/>
        <w:jc w:val="left"/>
        <w:rPr/>
      </w:pPr>
      <w:r>
        <w:rPr/>
        <w:t>​</w:t>
      </w:r>
    </w:p>
    <w:tbl>
      <w:tblPr>
        <w:tblW w:w="9800" w:type="dxa"/>
        <w:jc w:val="left"/>
        <w:tblInd w:w="0" w:type="dxa"/>
        <w:tblLayout w:type="fixed"/>
        <w:tblCellMar>
          <w:top w:w="0" w:type="dxa"/>
          <w:left w:w="0" w:type="dxa"/>
          <w:bottom w:w="0" w:type="dxa"/>
          <w:right w:w="0" w:type="dxa"/>
        </w:tblCellMar>
      </w:tblPr>
      <w:tblGrid>
        <w:gridCol w:w="3106"/>
        <w:gridCol w:w="326"/>
        <w:gridCol w:w="228"/>
        <w:gridCol w:w="747"/>
        <w:gridCol w:w="326"/>
        <w:gridCol w:w="315"/>
        <w:gridCol w:w="945"/>
        <w:gridCol w:w="326"/>
        <w:gridCol w:w="348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972310" cy="175260"/>
                      <wp:effectExtent l="0" t="0" r="0" b="0"/>
                      <wp:wrapNone/>
                      <wp:docPr id="170" name="Frame170"/>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44780" cy="175260"/>
                      <wp:effectExtent l="0" t="0" r="0" b="0"/>
                      <wp:wrapNone/>
                      <wp:docPr id="172" name="Frame17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74345" cy="175260"/>
                      <wp:effectExtent l="0" t="0" r="0" b="0"/>
                      <wp:wrapNone/>
                      <wp:docPr id="173" name="Frame173"/>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0025" cy="175260"/>
                      <wp:effectExtent l="0" t="0" r="0" b="0"/>
                      <wp:wrapNone/>
                      <wp:docPr id="175" name="Frame17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00075" cy="175260"/>
                      <wp:effectExtent l="0" t="0" r="0" b="0"/>
                      <wp:wrapNone/>
                      <wp:docPr id="176" name="Frame176"/>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10435" cy="175260"/>
                      <wp:effectExtent l="0" t="0" r="0" b="0"/>
                      <wp:wrapNone/>
                      <wp:docPr id="178" name="Frame178"/>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vAlign w:val="center"/>
          </w:tcPr>
          <w:p>
            <w:pPr>
              <w:pStyle w:val="TableContents"/>
              <w:bidi w:val="0"/>
              <w:spacing w:before="0" w:after="0"/>
              <w:ind w:left="0" w:right="0" w:hanging="0"/>
              <w:jc w:val="center"/>
              <w:rPr/>
            </w:pPr>
            <w:r>
              <w:rPr/>
              <w:t>    </w:t>
            </w:r>
          </w:p>
        </w:tc>
        <w:tc>
          <w:tcPr>
            <w:tcW w:w="3481" w:type="dxa"/>
            <w:tcBorders/>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designated as</w:t>
            </w:r>
          </w:p>
        </w:tc>
        <w:tc>
          <w:tcPr>
            <w:tcW w:w="326" w:type="dxa"/>
            <w:tcBorders/>
            <w:vAlign w:val="center"/>
          </w:tcPr>
          <w:p>
            <w:pPr>
              <w:pStyle w:val="TableContents"/>
              <w:bidi w:val="0"/>
              <w:spacing w:before="0" w:after="0"/>
              <w:ind w:left="0" w:right="0" w:hanging="0"/>
              <w:jc w:val="center"/>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26" w:type="dxa"/>
            <w:tcBorders/>
            <w:vAlign w:val="center"/>
          </w:tcPr>
          <w:p>
            <w:pPr>
              <w:pStyle w:val="TableContents"/>
              <w:bidi w:val="0"/>
              <w:spacing w:before="0" w:after="0"/>
              <w:ind w:left="0" w:right="0" w:hanging="0"/>
              <w:jc w:val="center"/>
              <w:rPr/>
            </w:pPr>
            <w:r>
              <w:rPr/>
              <w:t>    </w:t>
            </w:r>
          </w:p>
        </w:tc>
        <w:tc>
          <w:tcPr>
            <w:tcW w:w="3481" w:type="dxa"/>
            <w:tcBorders/>
            <w:vAlign w:val="center"/>
          </w:tcPr>
          <w:p>
            <w:pPr>
              <w:pStyle w:val="TableContents"/>
              <w:bidi w:val="0"/>
              <w:spacing w:before="0" w:after="0"/>
              <w:ind w:left="0" w:right="0" w:hanging="0"/>
              <w:jc w:val="center"/>
              <w:rPr/>
            </w:pPr>
            <w:r>
              <w:rPr/>
              <w:t>​</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481" w:type="dxa"/>
            <w:tcBorders/>
            <w:shd w:fill="CCEEFF" w:val="clear"/>
            <w:vAlign w:val="center"/>
          </w:tcPr>
          <w:p>
            <w:pPr>
              <w:pStyle w:val="TableContents"/>
              <w:bidi w:val="0"/>
              <w:spacing w:before="0" w:after="0"/>
              <w:ind w:left="0" w:right="0" w:hanging="0"/>
              <w:jc w:val="right"/>
              <w:rPr/>
            </w:pPr>
            <w:r>
              <w:rPr/>
              <w:t>  </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4,699</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w:t>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481" w:type="dxa"/>
            <w:tcBorders/>
            <w:shd w:fill="CCEEFF" w:val="clear"/>
            <w:vAlign w:val="center"/>
          </w:tcPr>
          <w:p>
            <w:pPr>
              <w:pStyle w:val="TableContents"/>
              <w:bidi w:val="0"/>
              <w:spacing w:before="0" w:after="0"/>
              <w:ind w:left="0" w:right="0" w:hanging="0"/>
              <w:jc w:val="right"/>
              <w:rPr/>
            </w:pPr>
            <w:r>
              <w:rPr/>
              <w:t>  </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(2,644)</w:t>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r>
    </w:tbl>
    <w:p>
      <w:pPr>
        <w:pStyle w:val="TextBody"/>
        <w:bidi w:val="0"/>
        <w:spacing w:before="0" w:after="0"/>
        <w:ind w:left="0" w:right="0" w:hanging="0"/>
        <w:jc w:val="left"/>
        <w:rPr/>
      </w:pPr>
      <w:r>
        <w:rPr/>
        <w:t>​</w:t>
      </w:r>
    </w:p>
    <w:tbl>
      <w:tblPr>
        <w:tblW w:w="8465" w:type="dxa"/>
        <w:jc w:val="left"/>
        <w:tblInd w:w="0" w:type="dxa"/>
        <w:tblLayout w:type="fixed"/>
        <w:tblCellMar>
          <w:top w:w="0" w:type="dxa"/>
          <w:left w:w="0" w:type="dxa"/>
          <w:bottom w:w="0" w:type="dxa"/>
          <w:right w:w="0" w:type="dxa"/>
        </w:tblCellMar>
      </w:tblPr>
      <w:tblGrid>
        <w:gridCol w:w="3106"/>
        <w:gridCol w:w="326"/>
        <w:gridCol w:w="228"/>
        <w:gridCol w:w="747"/>
        <w:gridCol w:w="326"/>
        <w:gridCol w:w="315"/>
        <w:gridCol w:w="945"/>
        <w:gridCol w:w="326"/>
        <w:gridCol w:w="214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972310" cy="175260"/>
                      <wp:effectExtent l="0" t="0" r="0" b="0"/>
                      <wp:wrapNone/>
                      <wp:docPr id="179" name="Frame179"/>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44780" cy="175260"/>
                      <wp:effectExtent l="0" t="0" r="0" b="0"/>
                      <wp:wrapNone/>
                      <wp:docPr id="181" name="Frame18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74345" cy="175260"/>
                      <wp:effectExtent l="0" t="0" r="0" b="0"/>
                      <wp:wrapNone/>
                      <wp:docPr id="182" name="Frame182"/>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0025" cy="175260"/>
                      <wp:effectExtent l="0" t="0" r="0" b="0"/>
                      <wp:wrapNone/>
                      <wp:docPr id="184" name="Frame184"/>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00075" cy="175260"/>
                      <wp:effectExtent l="0" t="0" r="0" b="0"/>
                      <wp:wrapNone/>
                      <wp:docPr id="185" name="Frame185"/>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62710" cy="175260"/>
                      <wp:effectExtent l="0" t="0" r="0" b="0"/>
                      <wp:wrapNone/>
                      <wp:docPr id="187" name="Frame187"/>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    </w:t>
            </w:r>
          </w:p>
        </w:tc>
      </w:tr>
      <w:tr>
        <w:trPr/>
        <w:tc>
          <w:tcPr>
            <w:tcW w:w="31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326" w:type="dxa"/>
            <w:tcBorders/>
            <w:vAlign w:val="center"/>
          </w:tcPr>
          <w:p>
            <w:pPr>
              <w:pStyle w:val="TableContents"/>
              <w:bidi w:val="0"/>
              <w:spacing w:before="0" w:after="0"/>
              <w:ind w:left="0" w:right="0" w:hanging="0"/>
              <w:jc w:val="center"/>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26" w:type="dxa"/>
            <w:tcBorders/>
            <w:vAlign w:val="center"/>
          </w:tcPr>
          <w:p>
            <w:pPr>
              <w:pStyle w:val="TableContents"/>
              <w:bidi w:val="0"/>
              <w:spacing w:before="0" w:after="0"/>
              <w:ind w:left="0" w:right="0" w:hanging="0"/>
              <w:jc w:val="center"/>
              <w:rPr/>
            </w:pPr>
            <w:r>
              <w:rPr/>
              <w:t>    </w:t>
            </w:r>
          </w:p>
        </w:tc>
        <w:tc>
          <w:tcPr>
            <w:tcW w:w="2146" w:type="dxa"/>
            <w:tcBorders/>
            <w:vAlign w:val="center"/>
          </w:tcPr>
          <w:p>
            <w:pPr>
              <w:pStyle w:val="TableContents"/>
              <w:bidi w:val="0"/>
              <w:spacing w:before="0" w:after="0"/>
              <w:ind w:left="0" w:right="0" w:hanging="0"/>
              <w:jc w:val="center"/>
              <w:rPr/>
            </w:pPr>
            <w:r>
              <w:rPr/>
              <w:t>​</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w:t>
            </w:r>
          </w:p>
        </w:tc>
        <w:tc>
          <w:tcPr>
            <w:tcW w:w="2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right"/>
              <w:rPr/>
            </w:pPr>
            <w:r>
              <w:rPr/>
              <w:t>  </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2,743</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4,107</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46" w:type="dxa"/>
            <w:tcBorders/>
            <w:shd w:fill="CCEEFF" w:val="clear"/>
            <w:vAlign w:val="center"/>
          </w:tcPr>
          <w:p>
            <w:pPr>
              <w:pStyle w:val="TableContents"/>
              <w:bidi w:val="0"/>
              <w:spacing w:before="0" w:after="0"/>
              <w:ind w:left="0" w:right="0" w:hanging="0"/>
              <w:jc w:val="right"/>
              <w:rPr/>
            </w:pPr>
            <w:r>
              <w:rPr/>
              <w:t>  </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w:t>
            </w:r>
          </w:p>
        </w:tc>
        <w:tc>
          <w:tcPr>
            <w:tcW w:w="326" w:type="dxa"/>
            <w:tcBorders/>
            <w:vAlign w:val="center"/>
          </w:tcPr>
          <w:p>
            <w:pPr>
              <w:pStyle w:val="TableContents"/>
              <w:bidi w:val="0"/>
              <w:spacing w:before="0" w:after="0"/>
              <w:ind w:left="0" w:right="0" w:hanging="0"/>
              <w:jc w:val="left"/>
              <w:rPr/>
            </w:pPr>
            <w:r>
              <w:rPr/>
              <w:t>​</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Cash Flow Hedging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uses cash flow hedges to minimize the variability in cash flows of forecasted transactions caused by fluctuations in commodity prices. The changes in the fair values of derivatives designated as cash flow hedges are recorded in accumulated other comprehensive income (loss) (“AOCI”) and are reclassified into the line item in our condensed consolidated statement of income in which the hedged items are recorded in the same period that the hedged items affect earnings. The changes in the fair values of hedges that are determined to be ineffective are immediately reclassified from AOCI into earnings. The maximum length of time for which the Company hedges its exposure to the variability in future cash flows is currently less than two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entered into commodity hedge contracts to mitigate the price risk associated with a portion of its forecasted aluminum purchases. These derivative instruments were designated as part of the Company’s commodity cash flow hedging program. The objective of this hedging program is to reduce the variability of cash flows associated with future purchases of aluminum. The total notional values of derivatives that were designated and qualified for this program were $141.1 million and $127.0 million as of March 31, 2025 and December 31, 2024,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the impact that changes in the fair values of derivatives designated as cash flow hedges had on other comprehensive income (“OCI”), AOCI and earnings:</w:t>
      </w:r>
    </w:p>
    <w:p>
      <w:pPr>
        <w:pStyle w:val="TextBody"/>
        <w:bidi w:val="0"/>
        <w:spacing w:before="0" w:after="0"/>
        <w:ind w:left="0" w:right="0" w:hanging="0"/>
        <w:jc w:val="center"/>
        <w:rPr/>
      </w:pPr>
      <w:r>
        <w:rPr/>
        <w:t>​</w:t>
      </w:r>
    </w:p>
    <w:tbl>
      <w:tblPr>
        <w:tblW w:w="8391" w:type="dxa"/>
        <w:jc w:val="left"/>
        <w:tblInd w:w="0" w:type="dxa"/>
        <w:tblLayout w:type="fixed"/>
        <w:tblCellMar>
          <w:top w:w="0" w:type="dxa"/>
          <w:left w:w="0" w:type="dxa"/>
          <w:bottom w:w="0" w:type="dxa"/>
          <w:right w:w="0" w:type="dxa"/>
        </w:tblCellMar>
      </w:tblPr>
      <w:tblGrid>
        <w:gridCol w:w="2191"/>
        <w:gridCol w:w="326"/>
        <w:gridCol w:w="444"/>
        <w:gridCol w:w="1206"/>
        <w:gridCol w:w="326"/>
        <w:gridCol w:w="1936"/>
        <w:gridCol w:w="326"/>
        <w:gridCol w:w="387"/>
        <w:gridCol w:w="1249"/>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91285" cy="175260"/>
                      <wp:effectExtent l="0" t="0" r="0" b="0"/>
                      <wp:wrapNone/>
                      <wp:docPr id="188" name="Frame188"/>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81940" cy="175260"/>
                      <wp:effectExtent l="0" t="0" r="0" b="0"/>
                      <wp:wrapNone/>
                      <wp:docPr id="190" name="Frame190"/>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65810" cy="175260"/>
                      <wp:effectExtent l="0" t="0" r="0" b="0"/>
                      <wp:wrapNone/>
                      <wp:docPr id="191" name="Frame191"/>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29360" cy="175260"/>
                      <wp:effectExtent l="0" t="0" r="0" b="0"/>
                      <wp:wrapNone/>
                      <wp:docPr id="193" name="Frame193"/>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45745" cy="175260"/>
                      <wp:effectExtent l="0" t="0" r="0" b="0"/>
                      <wp:wrapNone/>
                      <wp:docPr id="195" name="Frame195"/>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793115" cy="175260"/>
                      <wp:effectExtent l="0" t="0" r="0" b="0"/>
                      <wp:wrapNone/>
                      <wp:docPr id="196" name="Frame196"/>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391"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March 31, 2025</w:t>
            </w:r>
          </w:p>
        </w:tc>
      </w:tr>
      <w:tr>
        <w:trPr/>
        <w:tc>
          <w:tcPr>
            <w:tcW w:w="21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44" w:type="dxa"/>
            <w:tcBorders/>
            <w:vAlign w:val="center"/>
          </w:tcPr>
          <w:p>
            <w:pPr>
              <w:pStyle w:val="TableContents"/>
              <w:bidi w:val="0"/>
              <w:spacing w:before="0" w:after="0"/>
              <w:ind w:left="0" w:right="0" w:hanging="0"/>
              <w:jc w:val="center"/>
              <w:rPr/>
            </w:pPr>
            <w:r>
              <w:rPr/>
              <w:t>​</w:t>
            </w:r>
          </w:p>
        </w:tc>
        <w:tc>
          <w:tcPr>
            <w:tcW w:w="12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r>
      <w:tr>
        <w:trPr/>
        <w:tc>
          <w:tcPr>
            <w:tcW w:w="21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designated as</w:t>
            </w:r>
          </w:p>
        </w:tc>
        <w:tc>
          <w:tcPr>
            <w:tcW w:w="326"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c>
          <w:tcPr>
            <w:tcW w:w="326"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reclassified from</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recognized in OCI</w:t>
            </w:r>
          </w:p>
        </w:tc>
        <w:tc>
          <w:tcPr>
            <w:tcW w:w="326" w:type="dxa"/>
            <w:tcBorders/>
            <w:vAlign w:val="center"/>
          </w:tcPr>
          <w:p>
            <w:pPr>
              <w:pStyle w:val="TableContents"/>
              <w:bidi w:val="0"/>
              <w:spacing w:before="0" w:after="0"/>
              <w:ind w:left="0" w:right="0" w:hanging="0"/>
              <w:jc w:val="center"/>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AOCI into income</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4,312</w:t>
            </w:r>
          </w:p>
        </w:tc>
        <w:tc>
          <w:tcPr>
            <w:tcW w:w="326" w:type="dxa"/>
            <w:tcBorders/>
            <w:shd w:fill="CCEEFF" w:val="clear"/>
            <w:vAlign w:val="center"/>
          </w:tcPr>
          <w:p>
            <w:pPr>
              <w:pStyle w:val="TableContents"/>
              <w:bidi w:val="0"/>
              <w:spacing w:before="0" w:after="0"/>
              <w:ind w:left="0" w:right="0" w:hanging="0"/>
              <w:jc w:val="left"/>
              <w:rPr/>
            </w:pPr>
            <w:r>
              <w:rPr/>
              <w:t> </w:t>
            </w:r>
          </w:p>
        </w:tc>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3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1,742</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1062" w:name="Tc_dyJ6TkLb5EaHQjaxb6kVBQ_6_7"/>
      <w:bookmarkStart w:id="1063" w:name="Tc_ZRrV3O8--EGCGMqjIvsHBQ_6_4"/>
      <w:bookmarkStart w:id="1064" w:name="Tc_-nJboGh-vk2JPxHXkty7_A_6_0"/>
      <w:bookmarkStart w:id="1065" w:name="Tc_Hx2Wuw4Lj0iDcLWcZDdRJA_5_7"/>
      <w:bookmarkStart w:id="1066" w:name="Tc_m8mnA0Oci0WYPzZ1q5vMiw_5_4"/>
      <w:bookmarkStart w:id="1067" w:name="Tc_cb0fq6rF1kWPlkttaq0riw_5_2"/>
      <w:bookmarkStart w:id="1068" w:name="Tc_uGZzuJbUxUyEQ51zf0Ykwg_5_0"/>
      <w:bookmarkStart w:id="1069" w:name="Tc_KiErZ6Jh70usRzBth0Nf8g_4_7"/>
      <w:bookmarkStart w:id="1070" w:name="Tc_oZ3PZms86022oFcAfqDDIw_4_4"/>
      <w:bookmarkStart w:id="1071" w:name="Tc_vnW5UwwIYkWWVKflixC0Ng_4_2"/>
      <w:bookmarkStart w:id="1072" w:name="Tc_g68jrzV9x0u1f-DBtjU4Hg_4_0"/>
      <w:bookmarkStart w:id="1073" w:name="Tc_lBbHpcBmPEqiVbstS1v4ZA_3_4"/>
      <w:bookmarkStart w:id="1074" w:name="Tc_Id_fatZcu0SPqtBqn7JixQ_2_4"/>
      <w:bookmarkStart w:id="1075" w:name="Tc_Gd89zzg6KUCb4lIg-S8PAw_1_4"/>
      <w:bookmarkStart w:id="1076" w:name="_fe83bb76_20e3_4f62_b5ff_dbe234cd7ee6"/>
      <w:bookmarkStart w:id="1077" w:name="Tc_64qG8DmaCkalf_QqsHP35g_5_12"/>
      <w:bookmarkStart w:id="1078" w:name="Tc_1cmE-9aIXUyWgcPVBfzq3w_5_11"/>
      <w:bookmarkStart w:id="1079" w:name="Tc_ESUl4h71TE6HLbRsTd9qXA_5_8"/>
      <w:bookmarkStart w:id="1080" w:name="Tc_gAbSBtfzd0uM3mG6QQbgWQ_5_6"/>
      <w:bookmarkStart w:id="1081" w:name="Tc_eLff6fnLI0y94YqXsoj_Tw_5_5"/>
      <w:bookmarkStart w:id="1082" w:name="Tc_PX18_Uat-ECKqvQz88fcLQ_5_2"/>
      <w:bookmarkStart w:id="1083" w:name="Tc_ERNwGSrvPk6USsHwxYd8KQ_5_0"/>
      <w:bookmarkStart w:id="1084" w:name="Tc_G_kuT47pi0CHfxnWFzKQHw_4_11"/>
      <w:bookmarkStart w:id="1085" w:name="Tc_AMKcvfWazUOZjpUHy0cddw_4_8"/>
      <w:bookmarkStart w:id="1086" w:name="Tc_fe6I5if70k6yHocUKjDyJA_4_5"/>
      <w:bookmarkStart w:id="1087" w:name="Tc_JfCdp9b3ikmv1wiLoAepLQ_4_2"/>
      <w:bookmarkStart w:id="1088" w:name="Tc_t7avM-uKg0iz1yVJbKZDcw_4_0"/>
      <w:bookmarkStart w:id="1089" w:name="Tc_gWN4EcLszEuGQRIWXE-mbA_3_11"/>
      <w:bookmarkStart w:id="1090" w:name="Tc_VXkQKaOnXUao4ealFbTaaQ_3_8"/>
      <w:bookmarkStart w:id="1091" w:name="Tc_-wBL8y-vGES92mCIpXWusg_3_5"/>
      <w:bookmarkStart w:id="1092" w:name="Tc_Xur0i-7l9EC43pzKQvC8Fw_3_2"/>
      <w:bookmarkStart w:id="1093" w:name="Tc_RiZzhv3EukGlgUc1-tsEYQ_3_0"/>
      <w:bookmarkStart w:id="1094" w:name="Tc_j3jUflqyxkmQQHKaDsm3Qw_2_8"/>
      <w:bookmarkStart w:id="1095" w:name="Tc_MkmLkZzwoUidhZKl0WYUYA_2_2"/>
      <w:bookmarkStart w:id="1096" w:name="Tc_l7pxx6AUlUG_CWucioiDGg_1_8"/>
      <w:bookmarkStart w:id="1097" w:name="Tc_1q49GTi--EykSfdnVQQRWA_1_2"/>
      <w:bookmarkStart w:id="1098" w:name="Tc_EPIQOesHHUSbS8fhrCdPTg_5_7"/>
      <w:bookmarkStart w:id="1099" w:name="Tc_jlym8Mne-ECM02bcyFTuUg_5_5"/>
      <w:bookmarkStart w:id="1100" w:name="Tc_qLLKZE81tEuaOt0Z_27DmQ_5_2"/>
      <w:bookmarkStart w:id="1101" w:name="Tc_d5gfdbTXb0WF4yASbGuk4Q_5_0"/>
      <w:bookmarkStart w:id="1102" w:name="Tc_2QiLvZPnB0Co94pPD1JuGw_4_7"/>
      <w:bookmarkStart w:id="1103" w:name="Tc_8zfY5ki-LUq2Ly2kDVK4rg_4_5"/>
      <w:bookmarkStart w:id="1104" w:name="Tc_NLSdueWgeE23KFMeBD8xoA_4_2"/>
      <w:bookmarkStart w:id="1105" w:name="Tc_o14hIhv5wUmDsNgbfpTwiA_4_0"/>
      <w:bookmarkStart w:id="1106" w:name="Tc_A3tDriwLmEa4tpjtZqTmhQ_3_7"/>
      <w:bookmarkStart w:id="1107" w:name="Tc_GGu7htRWY0eTOOW0ioTsiA_3_5"/>
      <w:bookmarkStart w:id="1108" w:name="Tc_Ud_w_wJH1kihuH8hRVZ67Q_3_2"/>
      <w:bookmarkStart w:id="1109" w:name="Tc_3mGec_JTeEuRaoSDHEp1aA_3_0"/>
      <w:bookmarkStart w:id="1110" w:name="Tc_HoyrIDGBGUWgea_eBbrgvw_2_7"/>
      <w:bookmarkStart w:id="1111" w:name="Tc_cYEAciH8LU2TniPnOxyIUQ_1_0"/>
      <w:bookmarkStart w:id="1112" w:name="_7fc23abd_66fe_4e78_9e93_6917ad6fb497"/>
      <w:bookmarkStart w:id="1113" w:name="Tc_dyJ6TkLb5EaHQjaxb6kVBQ_6_7"/>
      <w:bookmarkStart w:id="1114" w:name="Tc_ZRrV3O8--EGCGMqjIvsHBQ_6_4"/>
      <w:bookmarkStart w:id="1115" w:name="Tc_-nJboGh-vk2JPxHXkty7_A_6_0"/>
      <w:bookmarkStart w:id="1116" w:name="Tc_Hx2Wuw4Lj0iDcLWcZDdRJA_5_7"/>
      <w:bookmarkStart w:id="1117" w:name="Tc_m8mnA0Oci0WYPzZ1q5vMiw_5_4"/>
      <w:bookmarkStart w:id="1118" w:name="Tc_cb0fq6rF1kWPlkttaq0riw_5_2"/>
      <w:bookmarkStart w:id="1119" w:name="Tc_uGZzuJbUxUyEQ51zf0Ykwg_5_0"/>
      <w:bookmarkStart w:id="1120" w:name="Tc_KiErZ6Jh70usRzBth0Nf8g_4_7"/>
      <w:bookmarkStart w:id="1121" w:name="Tc_oZ3PZms86022oFcAfqDDIw_4_4"/>
      <w:bookmarkStart w:id="1122" w:name="Tc_vnW5UwwIYkWWVKflixC0Ng_4_2"/>
      <w:bookmarkStart w:id="1123" w:name="Tc_g68jrzV9x0u1f-DBtjU4Hg_4_0"/>
      <w:bookmarkStart w:id="1124" w:name="Tc_lBbHpcBmPEqiVbstS1v4ZA_3_4"/>
      <w:bookmarkStart w:id="1125" w:name="Tc_Id_fatZcu0SPqtBqn7JixQ_2_4"/>
      <w:bookmarkStart w:id="1126" w:name="Tc_Gd89zzg6KUCb4lIg-S8PAw_1_4"/>
      <w:bookmarkStart w:id="1127" w:name="_fe83bb76_20e3_4f62_b5ff_dbe234cd7ee6"/>
      <w:bookmarkStart w:id="1128" w:name="Tc_64qG8DmaCkalf_QqsHP35g_5_12"/>
      <w:bookmarkStart w:id="1129" w:name="Tc_1cmE-9aIXUyWgcPVBfzq3w_5_11"/>
      <w:bookmarkStart w:id="1130" w:name="Tc_ESUl4h71TE6HLbRsTd9qXA_5_8"/>
      <w:bookmarkStart w:id="1131" w:name="Tc_gAbSBtfzd0uM3mG6QQbgWQ_5_6"/>
      <w:bookmarkStart w:id="1132" w:name="Tc_eLff6fnLI0y94YqXsoj_Tw_5_5"/>
      <w:bookmarkStart w:id="1133" w:name="Tc_PX18_Uat-ECKqvQz88fcLQ_5_2"/>
      <w:bookmarkStart w:id="1134" w:name="Tc_ERNwGSrvPk6USsHwxYd8KQ_5_0"/>
      <w:bookmarkStart w:id="1135" w:name="Tc_G_kuT47pi0CHfxnWFzKQHw_4_11"/>
      <w:bookmarkStart w:id="1136" w:name="Tc_AMKcvfWazUOZjpUHy0cddw_4_8"/>
      <w:bookmarkStart w:id="1137" w:name="Tc_fe6I5if70k6yHocUKjDyJA_4_5"/>
      <w:bookmarkStart w:id="1138" w:name="Tc_JfCdp9b3ikmv1wiLoAepLQ_4_2"/>
      <w:bookmarkStart w:id="1139" w:name="Tc_t7avM-uKg0iz1yVJbKZDcw_4_0"/>
      <w:bookmarkStart w:id="1140" w:name="Tc_gWN4EcLszEuGQRIWXE-mbA_3_11"/>
      <w:bookmarkStart w:id="1141" w:name="Tc_VXkQKaOnXUao4ealFbTaaQ_3_8"/>
      <w:bookmarkStart w:id="1142" w:name="Tc_-wBL8y-vGES92mCIpXWusg_3_5"/>
      <w:bookmarkStart w:id="1143" w:name="Tc_Xur0i-7l9EC43pzKQvC8Fw_3_2"/>
      <w:bookmarkStart w:id="1144" w:name="Tc_RiZzhv3EukGlgUc1-tsEYQ_3_0"/>
      <w:bookmarkStart w:id="1145" w:name="Tc_j3jUflqyxkmQQHKaDsm3Qw_2_8"/>
      <w:bookmarkStart w:id="1146" w:name="Tc_MkmLkZzwoUidhZKl0WYUYA_2_2"/>
      <w:bookmarkStart w:id="1147" w:name="Tc_l7pxx6AUlUG_CWucioiDGg_1_8"/>
      <w:bookmarkStart w:id="1148" w:name="Tc_1q49GTi--EykSfdnVQQRWA_1_2"/>
      <w:bookmarkStart w:id="1149" w:name="Tc_EPIQOesHHUSbS8fhrCdPTg_5_7"/>
      <w:bookmarkStart w:id="1150" w:name="Tc_jlym8Mne-ECM02bcyFTuUg_5_5"/>
      <w:bookmarkStart w:id="1151" w:name="Tc_qLLKZE81tEuaOt0Z_27DmQ_5_2"/>
      <w:bookmarkStart w:id="1152" w:name="Tc_d5gfdbTXb0WF4yASbGuk4Q_5_0"/>
      <w:bookmarkStart w:id="1153" w:name="Tc_2QiLvZPnB0Co94pPD1JuGw_4_7"/>
      <w:bookmarkStart w:id="1154" w:name="Tc_8zfY5ki-LUq2Ly2kDVK4rg_4_5"/>
      <w:bookmarkStart w:id="1155" w:name="Tc_NLSdueWgeE23KFMeBD8xoA_4_2"/>
      <w:bookmarkStart w:id="1156" w:name="Tc_o14hIhv5wUmDsNgbfpTwiA_4_0"/>
      <w:bookmarkStart w:id="1157" w:name="Tc_A3tDriwLmEa4tpjtZqTmhQ_3_7"/>
      <w:bookmarkStart w:id="1158" w:name="Tc_GGu7htRWY0eTOOW0ioTsiA_3_5"/>
      <w:bookmarkStart w:id="1159" w:name="Tc_Ud_w_wJH1kihuH8hRVZ67Q_3_2"/>
      <w:bookmarkStart w:id="1160" w:name="Tc_3mGec_JTeEuRaoSDHEp1aA_3_0"/>
      <w:bookmarkStart w:id="1161" w:name="Tc_HoyrIDGBGUWgea_eBbrgvw_2_7"/>
      <w:bookmarkStart w:id="1162" w:name="Tc_cYEAciH8LU2TniPnOxyIUQ_1_0"/>
      <w:bookmarkStart w:id="1163" w:name="_7fc23abd_66fe_4e78_9e93_6917ad6fb497"/>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p>
    <w:tbl>
      <w:tblPr>
        <w:tblW w:w="8391" w:type="dxa"/>
        <w:jc w:val="left"/>
        <w:tblInd w:w="0" w:type="dxa"/>
        <w:tblLayout w:type="fixed"/>
        <w:tblCellMar>
          <w:top w:w="0" w:type="dxa"/>
          <w:left w:w="0" w:type="dxa"/>
          <w:bottom w:w="0" w:type="dxa"/>
          <w:right w:w="0" w:type="dxa"/>
        </w:tblCellMar>
      </w:tblPr>
      <w:tblGrid>
        <w:gridCol w:w="2191"/>
        <w:gridCol w:w="326"/>
        <w:gridCol w:w="444"/>
        <w:gridCol w:w="1206"/>
        <w:gridCol w:w="326"/>
        <w:gridCol w:w="1936"/>
        <w:gridCol w:w="326"/>
        <w:gridCol w:w="467"/>
        <w:gridCol w:w="1169"/>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91285" cy="175260"/>
                      <wp:effectExtent l="0" t="0" r="0" b="0"/>
                      <wp:wrapNone/>
                      <wp:docPr id="197" name="Frame197"/>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81940" cy="175260"/>
                      <wp:effectExtent l="0" t="0" r="0" b="0"/>
                      <wp:wrapNone/>
                      <wp:docPr id="199" name="Frame199"/>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765810" cy="175260"/>
                      <wp:effectExtent l="0" t="0" r="0" b="0"/>
                      <wp:wrapNone/>
                      <wp:docPr id="200" name="Frame200"/>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229360" cy="175260"/>
                      <wp:effectExtent l="0" t="0" r="0" b="0"/>
                      <wp:wrapNone/>
                      <wp:docPr id="202" name="Frame202"/>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96545" cy="175260"/>
                      <wp:effectExtent l="0" t="0" r="0" b="0"/>
                      <wp:wrapNone/>
                      <wp:docPr id="204" name="Frame204"/>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42315" cy="175260"/>
                      <wp:effectExtent l="0" t="0" r="0" b="0"/>
                      <wp:wrapNone/>
                      <wp:docPr id="205" name="Frame205"/>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391"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March 31, 2024</w:t>
            </w:r>
          </w:p>
        </w:tc>
      </w:tr>
      <w:tr>
        <w:trPr/>
        <w:tc>
          <w:tcPr>
            <w:tcW w:w="21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44" w:type="dxa"/>
            <w:tcBorders/>
            <w:vAlign w:val="center"/>
          </w:tcPr>
          <w:p>
            <w:pPr>
              <w:pStyle w:val="TableContents"/>
              <w:bidi w:val="0"/>
              <w:spacing w:before="0" w:after="0"/>
              <w:ind w:left="0" w:right="0" w:hanging="0"/>
              <w:jc w:val="center"/>
              <w:rPr/>
            </w:pPr>
            <w:r>
              <w:rPr/>
              <w:t>​</w:t>
            </w:r>
          </w:p>
        </w:tc>
        <w:tc>
          <w:tcPr>
            <w:tcW w:w="12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r>
      <w:tr>
        <w:trPr/>
        <w:tc>
          <w:tcPr>
            <w:tcW w:w="21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designated as</w:t>
            </w:r>
          </w:p>
        </w:tc>
        <w:tc>
          <w:tcPr>
            <w:tcW w:w="326"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w:t>
            </w:r>
          </w:p>
        </w:tc>
        <w:tc>
          <w:tcPr>
            <w:tcW w:w="326"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reclassified from</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recognized in OCI</w:t>
            </w:r>
          </w:p>
        </w:tc>
        <w:tc>
          <w:tcPr>
            <w:tcW w:w="326" w:type="dxa"/>
            <w:tcBorders/>
            <w:vAlign w:val="center"/>
          </w:tcPr>
          <w:p>
            <w:pPr>
              <w:pStyle w:val="TableContents"/>
              <w:bidi w:val="0"/>
              <w:spacing w:before="0" w:after="0"/>
              <w:ind w:left="0" w:right="0" w:hanging="0"/>
              <w:jc w:val="center"/>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w:t>
            </w:r>
          </w:p>
        </w:tc>
        <w:tc>
          <w:tcPr>
            <w:tcW w:w="326" w:type="dxa"/>
            <w:tcBorders/>
            <w:vAlign w:val="center"/>
          </w:tcPr>
          <w:p>
            <w:pPr>
              <w:pStyle w:val="TableContents"/>
              <w:bidi w:val="0"/>
              <w:spacing w:before="0" w:after="0"/>
              <w:ind w:left="0" w:right="0" w:hanging="0"/>
              <w:jc w:val="center"/>
              <w:rPr/>
            </w:pPr>
            <w:r>
              <w:rPr/>
              <w:t>​</w:t>
            </w:r>
          </w:p>
        </w:tc>
        <w:tc>
          <w:tcPr>
            <w:tcW w:w="1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AOCI into income</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w:t>
            </w:r>
          </w:p>
        </w:tc>
        <w:tc>
          <w:tcPr>
            <w:tcW w:w="326" w:type="dxa"/>
            <w:tcBorders/>
            <w:shd w:fill="CCEEFF" w:val="clear"/>
            <w:vAlign w:val="center"/>
          </w:tcPr>
          <w:p>
            <w:pPr>
              <w:pStyle w:val="TableContents"/>
              <w:bidi w:val="0"/>
              <w:spacing w:before="0" w:after="0"/>
              <w:ind w:left="0" w:right="0" w:hanging="0"/>
              <w:jc w:val="left"/>
              <w:rPr/>
            </w:pPr>
            <w:r>
              <w:rPr/>
              <w:t> </w:t>
            </w:r>
          </w:p>
        </w:tc>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4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r>
    </w:tbl>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of March 31, 2025, the Company estimates that it will reclassify into earnings net gains (losses) of $3.1 million from the amount recorded in AOCI as the anticipated cash flows occur during the next 12 months.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Hedges of Net Investments in Foreign Operations Strategy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uses forward contracts to protect the value of our net investments in a number of foreign operations. For derivative financial instruments that are designated and qualify as hedges of net investments in foreign operations, the changes in the fair values of the derivative financial instruments are recognized in net foreign currency translation adjustments, a component of AOCI, to offset the changes in the values of the net investments being hedged. Any ineffective portions of net investment hedges are reclassified from AOCI into earnings during the period of change.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notional values and pretax impact of changes in the fair values of instruments designated as net investment hedges:</w:t>
      </w:r>
    </w:p>
    <w:p>
      <w:pPr>
        <w:pStyle w:val="TextBody"/>
        <w:bidi w:val="0"/>
        <w:spacing w:before="0" w:after="0"/>
        <w:ind w:left="0" w:right="0" w:hanging="0"/>
        <w:jc w:val="left"/>
        <w:rPr/>
      </w:pPr>
      <w:r>
        <w:rPr/>
        <w:t>​</w:t>
      </w:r>
    </w:p>
    <w:tbl>
      <w:tblPr>
        <w:tblW w:w="8778" w:type="dxa"/>
        <w:jc w:val="left"/>
        <w:tblInd w:w="0" w:type="dxa"/>
        <w:tblLayout w:type="fixed"/>
        <w:tblCellMar>
          <w:top w:w="0" w:type="dxa"/>
          <w:left w:w="0" w:type="dxa"/>
          <w:bottom w:w="0" w:type="dxa"/>
          <w:right w:w="0" w:type="dxa"/>
        </w:tblCellMar>
      </w:tblPr>
      <w:tblGrid>
        <w:gridCol w:w="3106"/>
        <w:gridCol w:w="326"/>
        <w:gridCol w:w="221"/>
        <w:gridCol w:w="709"/>
        <w:gridCol w:w="326"/>
        <w:gridCol w:w="459"/>
        <w:gridCol w:w="756"/>
        <w:gridCol w:w="326"/>
        <w:gridCol w:w="329"/>
        <w:gridCol w:w="680"/>
        <w:gridCol w:w="508"/>
        <w:gridCol w:w="329"/>
        <w:gridCol w:w="703"/>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972310" cy="175260"/>
                      <wp:effectExtent l="0" t="0" r="0" b="0"/>
                      <wp:wrapNone/>
                      <wp:docPr id="206" name="Frame206"/>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40335" cy="175260"/>
                      <wp:effectExtent l="0" t="0" r="0" b="0"/>
                      <wp:wrapNone/>
                      <wp:docPr id="208" name="Frame20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50215" cy="175260"/>
                      <wp:effectExtent l="0" t="0" r="0" b="0"/>
                      <wp:wrapNone/>
                      <wp:docPr id="209" name="Frame209"/>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91465" cy="175260"/>
                      <wp:effectExtent l="0" t="0" r="0" b="0"/>
                      <wp:wrapNone/>
                      <wp:docPr id="211" name="Frame211"/>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80060" cy="175260"/>
                      <wp:effectExtent l="0" t="0" r="0" b="0"/>
                      <wp:wrapNone/>
                      <wp:docPr id="212" name="Frame212"/>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8915" cy="175260"/>
                      <wp:effectExtent l="0" t="0" r="0" b="0"/>
                      <wp:wrapNone/>
                      <wp:docPr id="214" name="Frame214"/>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31800" cy="175260"/>
                      <wp:effectExtent l="0" t="0" r="0" b="0"/>
                      <wp:wrapNone/>
                      <wp:docPr id="215" name="Frame215"/>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22580" cy="175260"/>
                      <wp:effectExtent l="0" t="0" r="0" b="0"/>
                      <wp:wrapNone/>
                      <wp:docPr id="216" name="Frame216"/>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8915" cy="175260"/>
                      <wp:effectExtent l="0" t="0" r="0" b="0"/>
                      <wp:wrapNone/>
                      <wp:docPr id="217" name="Frame217"/>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46405" cy="175260"/>
                      <wp:effectExtent l="0" t="0" r="0" b="0"/>
                      <wp:wrapNone/>
                      <wp:docPr id="218" name="Frame21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71"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Notional Values</w:t>
            </w:r>
          </w:p>
        </w:tc>
        <w:tc>
          <w:tcPr>
            <w:tcW w:w="326" w:type="dxa"/>
            <w:tcBorders/>
            <w:vAlign w:val="center"/>
          </w:tcPr>
          <w:p>
            <w:pPr>
              <w:pStyle w:val="TableContents"/>
              <w:bidi w:val="0"/>
              <w:spacing w:before="0" w:after="0"/>
              <w:ind w:left="0" w:right="0" w:hanging="0"/>
              <w:jc w:val="center"/>
              <w:rPr/>
            </w:pPr>
            <w:r>
              <w:rPr/>
              <w:t>    </w:t>
            </w:r>
          </w:p>
        </w:tc>
        <w:tc>
          <w:tcPr>
            <w:tcW w:w="25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 recognized in OCI</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of</w:t>
            </w:r>
          </w:p>
        </w:tc>
        <w:tc>
          <w:tcPr>
            <w:tcW w:w="326" w:type="dxa"/>
            <w:tcBorders/>
            <w:vAlign w:val="center"/>
          </w:tcPr>
          <w:p>
            <w:pPr>
              <w:pStyle w:val="TableContents"/>
              <w:bidi w:val="0"/>
              <w:spacing w:before="0" w:after="0"/>
              <w:ind w:left="0" w:right="0" w:hanging="0"/>
              <w:jc w:val="center"/>
              <w:rPr/>
            </w:pPr>
            <w:r>
              <w:rPr/>
              <w:t>    </w:t>
            </w:r>
          </w:p>
        </w:tc>
        <w:tc>
          <w:tcPr>
            <w:tcW w:w="25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r>
      <w:tr>
        <w:trPr/>
        <w:tc>
          <w:tcPr>
            <w:tcW w:w="31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designated as</w:t>
            </w:r>
          </w:p>
        </w:tc>
        <w:tc>
          <w:tcPr>
            <w:tcW w:w="326" w:type="dxa"/>
            <w:tcBorders/>
            <w:vAlign w:val="center"/>
          </w:tcPr>
          <w:p>
            <w:pPr>
              <w:pStyle w:val="TableContents"/>
              <w:bidi w:val="0"/>
              <w:spacing w:before="0" w:after="0"/>
              <w:ind w:left="0" w:right="0" w:hanging="0"/>
              <w:jc w:val="center"/>
              <w:rPr/>
            </w:pPr>
            <w:r>
              <w:rPr/>
              <w:t>    </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w:t>
            </w:r>
          </w:p>
        </w:tc>
        <w:tc>
          <w:tcPr>
            <w:tcW w:w="326" w:type="dxa"/>
            <w:tcBorders/>
            <w:vAlign w:val="center"/>
          </w:tcPr>
          <w:p>
            <w:pPr>
              <w:pStyle w:val="TableContents"/>
              <w:bidi w:val="0"/>
              <w:spacing w:before="0" w:after="0"/>
              <w:ind w:left="0" w:right="0" w:hanging="0"/>
              <w:jc w:val="center"/>
              <w:rPr/>
            </w:pPr>
            <w:r>
              <w:rPr/>
              <w:t>    </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26" w:type="dxa"/>
            <w:tcBorders/>
            <w:vAlign w:val="center"/>
          </w:tcPr>
          <w:p>
            <w:pPr>
              <w:pStyle w:val="TableContents"/>
              <w:bidi w:val="0"/>
              <w:spacing w:before="0" w:after="0"/>
              <w:ind w:left="0" w:right="0" w:hanging="0"/>
              <w:jc w:val="center"/>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w:t>
            </w:r>
          </w:p>
        </w:tc>
        <w:tc>
          <w:tcPr>
            <w:tcW w:w="508" w:type="dxa"/>
            <w:tcBorders/>
            <w:vAlign w:val="center"/>
          </w:tcPr>
          <w:p>
            <w:pPr>
              <w:pStyle w:val="TableContents"/>
              <w:bidi w:val="0"/>
              <w:spacing w:before="0" w:after="0"/>
              <w:ind w:left="0" w:right="0" w:hanging="0"/>
              <w:jc w:val="center"/>
              <w:rPr/>
            </w:pPr>
            <w:r>
              <w:rPr/>
              <w:t>    </w:t>
            </w:r>
          </w:p>
        </w:tc>
        <w:tc>
          <w:tcPr>
            <w:tcW w:w="103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508" w:type="dxa"/>
            <w:tcBorders/>
            <w:vAlign w:val="center"/>
          </w:tcPr>
          <w:p>
            <w:pPr>
              <w:pStyle w:val="TableContents"/>
              <w:bidi w:val="0"/>
              <w:spacing w:before="0" w:after="0"/>
              <w:ind w:left="0" w:right="0" w:hanging="0"/>
              <w:jc w:val="center"/>
              <w:rPr/>
            </w:pPr>
            <w:r>
              <w:rPr/>
              <w:t>​</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25,940</w:t>
            </w:r>
          </w:p>
        </w:tc>
        <w:tc>
          <w:tcPr>
            <w:tcW w:w="326" w:type="dxa"/>
            <w:tcBorders/>
            <w:shd w:fill="CCEEFF" w:val="clear"/>
            <w:vAlign w:val="center"/>
          </w:tcPr>
          <w:p>
            <w:pPr>
              <w:pStyle w:val="TableContents"/>
              <w:bidi w:val="0"/>
              <w:spacing w:before="0" w:after="0"/>
              <w:ind w:left="0" w:right="0" w:hanging="0"/>
              <w:jc w:val="left"/>
              <w:rPr/>
            </w:pPr>
            <w:r>
              <w:rPr/>
              <w:t>​</w:t>
            </w:r>
          </w:p>
        </w:tc>
        <w:tc>
          <w:tcPr>
            <w:tcW w:w="4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508"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Economic (Non-Designated) Hedging Strategy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is exposed to foreign currency exchange rate risks related primarily to its foreign business operations. During the three-months ended March 31, 2025 and 2024,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March 31, 2025 have terms of approximately one month or less. The Company does not enter into forward currency exchange contracts for speculation or trading purposes.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Company has not designated its foreign currency exchange contracts as hedge transactions. Therefore, gains and losses on the Company’s foreign currency exchange contracts are recognized in interest and other income, net, in the condensed consolidated statements of income, and are largely offset by the changes in the fair value of the underlying economically hedged item. The total notional values of derivatives related to our foreign currency economic hedges were $385.6 million and $342.4 million as of March 31, 2025 and December 31, 2024, respectively.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net gains (losses) on derivatives not designated as hedging instruments in the condensed consolidated statements of income were as follows:</w:t>
      </w:r>
    </w:p>
    <w:p>
      <w:pPr>
        <w:pStyle w:val="TextBody"/>
        <w:bidi w:val="0"/>
        <w:spacing w:before="0" w:after="0"/>
        <w:ind w:left="0" w:right="0" w:firstLine="720"/>
        <w:jc w:val="both"/>
        <w:rPr/>
      </w:pPr>
      <w:r>
        <w:rPr/>
        <w:t>​</w:t>
      </w:r>
    </w:p>
    <w:tbl>
      <w:tblPr>
        <w:tblW w:w="9147" w:type="dxa"/>
        <w:jc w:val="left"/>
        <w:tblInd w:w="0" w:type="dxa"/>
        <w:tblLayout w:type="fixed"/>
        <w:tblCellMar>
          <w:top w:w="0" w:type="dxa"/>
          <w:left w:w="0" w:type="dxa"/>
          <w:bottom w:w="0" w:type="dxa"/>
          <w:right w:w="0" w:type="dxa"/>
        </w:tblCellMar>
      </w:tblPr>
      <w:tblGrid>
        <w:gridCol w:w="3106"/>
        <w:gridCol w:w="326"/>
        <w:gridCol w:w="3061"/>
        <w:gridCol w:w="326"/>
        <w:gridCol w:w="227"/>
        <w:gridCol w:w="748"/>
        <w:gridCol w:w="333"/>
        <w:gridCol w:w="242"/>
        <w:gridCol w:w="778"/>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972310" cy="175260"/>
                      <wp:effectExtent l="0" t="0" r="0" b="0"/>
                      <wp:wrapNone/>
                      <wp:docPr id="219" name="Frame219"/>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943735" cy="175260"/>
                      <wp:effectExtent l="0" t="0" r="0" b="0"/>
                      <wp:wrapNone/>
                      <wp:docPr id="221" name="Frame221"/>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44145" cy="175260"/>
                      <wp:effectExtent l="0" t="0" r="0" b="0"/>
                      <wp:wrapNone/>
                      <wp:docPr id="223" name="Frame223"/>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74980" cy="175260"/>
                      <wp:effectExtent l="0" t="0" r="0" b="0"/>
                      <wp:wrapNone/>
                      <wp:docPr id="224" name="Frame224"/>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1455" cy="175260"/>
                      <wp:effectExtent l="0" t="0" r="0" b="0"/>
                      <wp:wrapNone/>
                      <wp:docPr id="225" name="Frame225"/>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53670" cy="175260"/>
                      <wp:effectExtent l="0" t="0" r="0" b="0"/>
                      <wp:wrapNone/>
                      <wp:docPr id="226" name="Frame22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94030" cy="175260"/>
                      <wp:effectExtent l="0" t="0" r="0" b="0"/>
                      <wp:wrapNone/>
                      <wp:docPr id="227" name="Frame227"/>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28"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 recognized</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income on derivatives</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r>
      <w:tr>
        <w:trPr/>
        <w:tc>
          <w:tcPr>
            <w:tcW w:w="31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32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33" w:type="dxa"/>
            <w:tcBorders/>
            <w:vAlign w:val="center"/>
          </w:tcPr>
          <w:p>
            <w:pPr>
              <w:pStyle w:val="TableContents"/>
              <w:bidi w:val="0"/>
              <w:spacing w:before="0" w:after="0"/>
              <w:ind w:left="0" w:right="0" w:hanging="0"/>
              <w:jc w:val="center"/>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r>
      <w:tr>
        <w:trPr/>
        <w:tc>
          <w:tcPr>
            <w:tcW w:w="3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left"/>
              <w:rPr/>
            </w:pPr>
            <w:r>
              <w:rPr/>
              <w:t>    </w:t>
            </w:r>
          </w:p>
        </w:tc>
        <w:tc>
          <w:tcPr>
            <w:tcW w:w="3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 derivatives</w:t>
            </w:r>
          </w:p>
        </w:tc>
        <w:tc>
          <w:tcPr>
            <w:tcW w:w="326" w:type="dxa"/>
            <w:tcBorders/>
            <w:vAlign w:val="center"/>
          </w:tcPr>
          <w:p>
            <w:pPr>
              <w:pStyle w:val="TableContents"/>
              <w:bidi w:val="0"/>
              <w:spacing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33" w:type="dxa"/>
            <w:tcBorders/>
            <w:vAlign w:val="center"/>
          </w:tcPr>
          <w:p>
            <w:pPr>
              <w:pStyle w:val="TableContents"/>
              <w:bidi w:val="0"/>
              <w:spacing w:before="0" w:after="0"/>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CCEEFF" w:val="clear"/>
            <w:vAlign w:val="center"/>
          </w:tcPr>
          <w:p>
            <w:pPr>
              <w:pStyle w:val="TableContents"/>
              <w:bidi w:val="0"/>
              <w:spacing w:before="0" w:after="0"/>
              <w:ind w:left="0" w:right="0" w:hanging="0"/>
              <w:jc w:val="left"/>
              <w:rPr/>
            </w:pPr>
            <w:r>
              <w:rPr/>
              <w:t> </w:t>
            </w:r>
          </w:p>
        </w:tc>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(3,833)</w:t>
            </w:r>
          </w:p>
        </w:tc>
        <w:tc>
          <w:tcPr>
            <w:tcW w:w="333"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5,343</w:t>
            </w:r>
          </w:p>
        </w:tc>
      </w:tr>
    </w:tbl>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Certain of the Company’s counterparty agreements contain provisions that require the Company to post collateral on derivative instruments in a net liability position. As of March 31, 2025, $4.7 million was held as collateral and $0.1 million was posted as collateral.</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w:t>
      </w:r>
    </w:p>
    <w:p>
      <w:pPr>
        <w:pStyle w:val="Normal"/>
        <w:bidi w:val="0"/>
        <w:spacing w:before="0" w:after="0"/>
        <w:jc w:val="left"/>
        <w:rPr>
          <w:sz w:val="4"/>
          <w:szCs w:val="4"/>
        </w:rPr>
      </w:pPr>
      <w:r>
        <w:rPr>
          <w:sz w:val="4"/>
          <w:szCs w:val="4"/>
        </w:rPr>
      </w:r>
      <w:bookmarkStart w:id="1164" w:name="Tc_j-iLZU-uxUOu43cS-9ayYg_6_5"/>
      <w:bookmarkStart w:id="1165" w:name="Tc_UtA4V42nAUqw_mXcoJnB2g_6_2"/>
      <w:bookmarkStart w:id="1166" w:name="Tc_LAExOe2o4kaB_ejiqDZMOw_5_0"/>
      <w:bookmarkStart w:id="1167" w:name="Tc_BBvrKm__GUCNwwFvXRW7GQ_4_0"/>
      <w:bookmarkStart w:id="1168" w:name="Tc_l4zqd6WiAUqcuYyCBdJmwQ_3_5"/>
      <w:bookmarkStart w:id="1169" w:name="Tc_5IUd6l9NV0G2NR6e6eHpcQ_3_2"/>
      <w:bookmarkStart w:id="1170" w:name="Tc_Xs6GWTi5-k-JihdKHxV6Fw_3_0"/>
      <w:bookmarkStart w:id="1171" w:name="Tc_nPvFakb3mUSawxOeTHBj3A_2_5"/>
      <w:bookmarkStart w:id="1172" w:name="Tc_jivYoTV1NkulbNhDwDZXtQ_2_2"/>
      <w:bookmarkStart w:id="1173" w:name="Tc_AjVU8gu0zEif3KAAlL0v4Q_1_5"/>
      <w:bookmarkStart w:id="1174" w:name="Tc_cIapzaZfGEGq6ME2Cg3_qQ_1_2"/>
      <w:bookmarkStart w:id="1175" w:name="Tc_j-iLZU-uxUOu43cS-9ayYg_6_5"/>
      <w:bookmarkStart w:id="1176" w:name="Tc_UtA4V42nAUqw_mXcoJnB2g_6_2"/>
      <w:bookmarkStart w:id="1177" w:name="Tc_LAExOe2o4kaB_ejiqDZMOw_5_0"/>
      <w:bookmarkStart w:id="1178" w:name="Tc_BBvrKm__GUCNwwFvXRW7GQ_4_0"/>
      <w:bookmarkStart w:id="1179" w:name="Tc_l4zqd6WiAUqcuYyCBdJmwQ_3_5"/>
      <w:bookmarkStart w:id="1180" w:name="Tc_5IUd6l9NV0G2NR6e6eHpcQ_3_2"/>
      <w:bookmarkStart w:id="1181" w:name="Tc_Xs6GWTi5-k-JihdKHxV6Fw_3_0"/>
      <w:bookmarkStart w:id="1182" w:name="Tc_nPvFakb3mUSawxOeTHBj3A_2_5"/>
      <w:bookmarkStart w:id="1183" w:name="Tc_jivYoTV1NkulbNhDwDZXtQ_2_2"/>
      <w:bookmarkStart w:id="1184" w:name="Tc_AjVU8gu0zEif3KAAlL0v4Q_1_5"/>
      <w:bookmarkStart w:id="1185" w:name="Tc_cIapzaZfGEGq6ME2Cg3_qQ_1_2"/>
      <w:bookmarkEnd w:id="1175"/>
      <w:bookmarkEnd w:id="1176"/>
      <w:bookmarkEnd w:id="1177"/>
      <w:bookmarkEnd w:id="1178"/>
      <w:bookmarkEnd w:id="1179"/>
      <w:bookmarkEnd w:id="1180"/>
      <w:bookmarkEnd w:id="1181"/>
      <w:bookmarkEnd w:id="1182"/>
      <w:bookmarkEnd w:id="1183"/>
      <w:bookmarkEnd w:id="1184"/>
      <w:bookmarkEnd w:id="1185"/>
    </w:p>
    <w:tbl>
      <w:tblPr>
        <w:tblW w:w="1682" w:type="dxa"/>
        <w:jc w:val="left"/>
        <w:tblInd w:w="0" w:type="dxa"/>
        <w:tblLayout w:type="fixed"/>
        <w:tblCellMar>
          <w:top w:w="0" w:type="dxa"/>
          <w:left w:w="0" w:type="dxa"/>
          <w:bottom w:w="0" w:type="dxa"/>
          <w:right w:w="0" w:type="dxa"/>
        </w:tblCellMar>
      </w:tblPr>
      <w:tblGrid>
        <w:gridCol w:w="271"/>
        <w:gridCol w:w="1411"/>
      </w:tblGrid>
      <w:tr>
        <w:trPr/>
        <w:tc>
          <w:tcPr>
            <w:tcW w:w="27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6.</w:t>
            </w:r>
          </w:p>
        </w:tc>
        <w:tc>
          <w:tcPr>
            <w:tcW w:w="141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INVENTORIES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Inventories consist of the following at:</w:t>
      </w:r>
    </w:p>
    <w:p>
      <w:pPr>
        <w:pStyle w:val="TextBody"/>
        <w:bidi w:val="0"/>
        <w:spacing w:before="0" w:after="0"/>
        <w:ind w:left="0" w:right="0" w:firstLine="720"/>
        <w:jc w:val="both"/>
        <w:rPr/>
      </w:pPr>
      <w:r>
        <w:rPr/>
        <w:t>​</w:t>
      </w:r>
    </w:p>
    <w:tbl>
      <w:tblPr>
        <w:tblW w:w="4375" w:type="dxa"/>
        <w:jc w:val="left"/>
        <w:tblInd w:w="0" w:type="dxa"/>
        <w:tblLayout w:type="fixed"/>
        <w:tblCellMar>
          <w:top w:w="0" w:type="dxa"/>
          <w:left w:w="0" w:type="dxa"/>
          <w:bottom w:w="0" w:type="dxa"/>
          <w:right w:w="0" w:type="dxa"/>
        </w:tblCellMar>
      </w:tblPr>
      <w:tblGrid>
        <w:gridCol w:w="1426"/>
        <w:gridCol w:w="326"/>
        <w:gridCol w:w="211"/>
        <w:gridCol w:w="781"/>
        <w:gridCol w:w="326"/>
        <w:gridCol w:w="250"/>
        <w:gridCol w:w="1055"/>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905510" cy="175260"/>
                      <wp:effectExtent l="0" t="0" r="0" b="0"/>
                      <wp:wrapNone/>
                      <wp:docPr id="228" name="Frame228"/>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95935" cy="175260"/>
                      <wp:effectExtent l="0" t="0" r="0" b="0"/>
                      <wp:wrapNone/>
                      <wp:docPr id="231" name="Frame2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8750" cy="175260"/>
                      <wp:effectExtent l="0" t="0" r="0" b="0"/>
                      <wp:wrapNone/>
                      <wp:docPr id="233" name="Frame23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69925" cy="175260"/>
                      <wp:effectExtent l="0" t="0" r="0" b="0"/>
                      <wp:wrapNone/>
                      <wp:docPr id="234" name="Frame234"/>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240,110</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232,698</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483,657</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503,209</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725,129</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737,107</w:t>
            </w:r>
          </w:p>
        </w:tc>
      </w:tr>
    </w:tbl>
    <w:p>
      <w:pPr>
        <w:pStyle w:val="TextBody"/>
        <w:pBdr/>
        <w:bidi w:val="0"/>
        <w:spacing w:before="0" w:after="0"/>
        <w:ind w:left="0" w:right="0" w:hanging="720"/>
        <w:jc w:val="both"/>
        <w:rPr/>
      </w:pPr>
      <w:r>
        <w:rPr/>
        <w:t>​</w:t>
      </w:r>
    </w:p>
    <w:p>
      <w:pPr>
        <w:pStyle w:val="TextBody"/>
        <w:pBdr/>
        <w:bidi w:val="0"/>
        <w:spacing w:before="0" w:after="0"/>
        <w:ind w:left="0" w:right="0" w:hanging="720"/>
        <w:jc w:val="both"/>
        <w:rPr/>
      </w:pPr>
      <w:r>
        <w:rPr/>
        <w: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186" w:name="Tc_Mb4x_W4JTkicUWPwyjjIWQ_13_5"/>
      <w:bookmarkStart w:id="1187" w:name="Tc_ewJQnFLcaUifL16gUuhFRw_13_2"/>
      <w:bookmarkStart w:id="1188" w:name="Tc_zGBoWId0gEOk4wa9u_Ba0Q_12_0"/>
      <w:bookmarkStart w:id="1189" w:name="Tc_1xJmpSFH-EOfc1Jo-aW5rg_10_0"/>
      <w:bookmarkStart w:id="1190" w:name="Tc_kmDctdfXkk6ovM_VvSNdtw_9_0"/>
      <w:bookmarkStart w:id="1191" w:name="Tc_bkchulpackqLu2n2bYYYLA_8_0"/>
      <w:bookmarkStart w:id="1192" w:name="Tc_adb2bIiL20i7qjw4lNVmtA_7_0"/>
      <w:bookmarkStart w:id="1193" w:name="Tc_jXrVDZFgok-dT8araQr5Pw_6_0"/>
      <w:bookmarkStart w:id="1194" w:name="Tc_EawdaRL4q02FUYYAnLvbRg_5_0"/>
      <w:bookmarkStart w:id="1195" w:name="Tc_kRiy_EZHY0iY6ajvekfjHg_4_0"/>
      <w:bookmarkStart w:id="1196" w:name="Tc_toe14x431E2WVjLKSXlTpA_3_5"/>
      <w:bookmarkStart w:id="1197" w:name="Tc_VVNgna_TxEGfglMrtmt83g_3_2"/>
      <w:bookmarkStart w:id="1198" w:name="Tc_6UHOTi9fxkmr421sqRxBtQ_3_0"/>
      <w:bookmarkStart w:id="1199" w:name="Tc_gYchRNpR-kSetpiNuqxTWw_2_5"/>
      <w:bookmarkStart w:id="1200" w:name="Tc_BWIz38jUqk-_kHBcaibyVg_2_2"/>
      <w:bookmarkStart w:id="1201" w:name="Tc_B-ULaSTWmk-WhZ1RZnBRoA_1_5"/>
      <w:bookmarkStart w:id="1202" w:name="Tc_2r4C_xJQJ0mG1vG9BJ1lcQ_1_2"/>
      <w:bookmarkStart w:id="1203" w:name="Tc_Mb4x_W4JTkicUWPwyjjIWQ_13_5"/>
      <w:bookmarkStart w:id="1204" w:name="Tc_ewJQnFLcaUifL16gUuhFRw_13_2"/>
      <w:bookmarkStart w:id="1205" w:name="Tc_zGBoWId0gEOk4wa9u_Ba0Q_12_0"/>
      <w:bookmarkStart w:id="1206" w:name="Tc_1xJmpSFH-EOfc1Jo-aW5rg_10_0"/>
      <w:bookmarkStart w:id="1207" w:name="Tc_kmDctdfXkk6ovM_VvSNdtw_9_0"/>
      <w:bookmarkStart w:id="1208" w:name="Tc_bkchulpackqLu2n2bYYYLA_8_0"/>
      <w:bookmarkStart w:id="1209" w:name="Tc_adb2bIiL20i7qjw4lNVmtA_7_0"/>
      <w:bookmarkStart w:id="1210" w:name="Tc_jXrVDZFgok-dT8araQr5Pw_6_0"/>
      <w:bookmarkStart w:id="1211" w:name="Tc_EawdaRL4q02FUYYAnLvbRg_5_0"/>
      <w:bookmarkStart w:id="1212" w:name="Tc_kRiy_EZHY0iY6ajvekfjHg_4_0"/>
      <w:bookmarkStart w:id="1213" w:name="Tc_toe14x431E2WVjLKSXlTpA_3_5"/>
      <w:bookmarkStart w:id="1214" w:name="Tc_VVNgna_TxEGfglMrtmt83g_3_2"/>
      <w:bookmarkStart w:id="1215" w:name="Tc_6UHOTi9fxkmr421sqRxBtQ_3_0"/>
      <w:bookmarkStart w:id="1216" w:name="Tc_gYchRNpR-kSetpiNuqxTWw_2_5"/>
      <w:bookmarkStart w:id="1217" w:name="Tc_BWIz38jUqk-_kHBcaibyVg_2_2"/>
      <w:bookmarkStart w:id="1218" w:name="Tc_B-ULaSTWmk-WhZ1RZnBRoA_1_5"/>
      <w:bookmarkStart w:id="1219" w:name="Tc_2r4C_xJQJ0mG1vG9BJ1lcQ_1_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p>
    <w:tbl>
      <w:tblPr>
        <w:tblW w:w="3482" w:type="dxa"/>
        <w:jc w:val="left"/>
        <w:tblInd w:w="0" w:type="dxa"/>
        <w:tblLayout w:type="fixed"/>
        <w:tblCellMar>
          <w:top w:w="0" w:type="dxa"/>
          <w:left w:w="0" w:type="dxa"/>
          <w:bottom w:w="0" w:type="dxa"/>
          <w:right w:w="0" w:type="dxa"/>
        </w:tblCellMar>
      </w:tblPr>
      <w:tblGrid>
        <w:gridCol w:w="271"/>
        <w:gridCol w:w="321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3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PROPERTY AND EQUIPMENT, NET</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Property and equipment consist of the following at:</w:t>
      </w:r>
    </w:p>
    <w:p>
      <w:pPr>
        <w:pStyle w:val="TextBody"/>
        <w:bidi w:val="0"/>
        <w:spacing w:before="0" w:after="0"/>
        <w:ind w:left="0" w:right="0" w:firstLine="720"/>
        <w:jc w:val="both"/>
        <w:rPr/>
      </w:pPr>
      <w:r>
        <w:rPr/>
        <w:t>​</w:t>
      </w:r>
    </w:p>
    <w:tbl>
      <w:tblPr>
        <w:tblW w:w="7210" w:type="dxa"/>
        <w:jc w:val="left"/>
        <w:tblInd w:w="0" w:type="dxa"/>
        <w:tblLayout w:type="fixed"/>
        <w:tblCellMar>
          <w:top w:w="0" w:type="dxa"/>
          <w:left w:w="0" w:type="dxa"/>
          <w:bottom w:w="0" w:type="dxa"/>
          <w:right w:w="0" w:type="dxa"/>
        </w:tblCellMar>
      </w:tblPr>
      <w:tblGrid>
        <w:gridCol w:w="4111"/>
        <w:gridCol w:w="326"/>
        <w:gridCol w:w="211"/>
        <w:gridCol w:w="931"/>
        <w:gridCol w:w="326"/>
        <w:gridCol w:w="220"/>
        <w:gridCol w:w="1085"/>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610485" cy="175260"/>
                      <wp:effectExtent l="0" t="0" r="0" b="0"/>
                      <wp:wrapNone/>
                      <wp:docPr id="235" name="Frame235"/>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91185" cy="175260"/>
                      <wp:effectExtent l="0" t="0" r="0" b="0"/>
                      <wp:wrapNone/>
                      <wp:docPr id="238" name="Frame2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9700" cy="175260"/>
                      <wp:effectExtent l="0" t="0" r="0" b="0"/>
                      <wp:wrapNone/>
                      <wp:docPr id="240" name="Frame24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88975" cy="175260"/>
                      <wp:effectExtent l="0" t="0" r="0" b="0"/>
                      <wp:wrapNone/>
                      <wp:docPr id="241" name="Frame241"/>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178,360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178,056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31,928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31,132</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28,297</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573,486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561,408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278,071</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280,663</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77,575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72,564</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under construction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195,029</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178,980</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1,375,753</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1,342,248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(311,745)</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(295,224)</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1,064,008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1,047,024</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depreciation and amortization expense was $20.5 million and $19.2 million for the three-months ended March 31, 2025 and 2024,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220" w:name="Tc_pQVrTEwauEaQkEd4D8bgCw_7_2"/>
      <w:bookmarkStart w:id="1221" w:name="Tc_dLR4Z6PR7ke1k6D_B_vcMg_6_0"/>
      <w:bookmarkStart w:id="1222" w:name="Tc_8WVsDnx6QEKd83BfQD9e-w_5_0"/>
      <w:bookmarkStart w:id="1223" w:name="Tc_NoIyjdrtUEeRotO812J9PA_4_0"/>
      <w:bookmarkStart w:id="1224" w:name="Tc_dFdkts_JvEWsm9UPN1YI-Q_3_0"/>
      <w:bookmarkStart w:id="1225" w:name="Tc_ZTaagfPd4UaTbnf16ZrJ3A_2_0"/>
      <w:bookmarkStart w:id="1226" w:name="Tc_-k8AQ_iWAECn7bLn0mmsTQ_1_2"/>
      <w:bookmarkStart w:id="1227" w:name="Tc__8p7hAORTEK2c6Ony9uYDA_1_0"/>
      <w:bookmarkStart w:id="1228" w:name="_c27ba24a_7ddb_4d6a_a102_b6fe1838e1eb_3"/>
      <w:bookmarkStart w:id="1229" w:name="_c27ba24a_7ddb_4d6a_a102_b6fe1838e1eb_2"/>
      <w:bookmarkStart w:id="1230" w:name="_c27ba24a_7ddb_4d6a_a102_b6fe1838e1eb"/>
      <w:bookmarkStart w:id="1231" w:name="Tc_U9yAfUBEdUmE3iudOX8fUw_7_5"/>
      <w:bookmarkStart w:id="1232" w:name="Tc_CD0uJpkzvka0SZhhrnnR7g_7_2"/>
      <w:bookmarkStart w:id="1233" w:name="Tc_rnesNljIIkavANt1_Yx8oA_6_0"/>
      <w:bookmarkStart w:id="1234" w:name="Tc_51TRQO__REy3zCcqhD0mkA_4_0"/>
      <w:bookmarkStart w:id="1235" w:name="Tc_GmCRSPb9Y0-LtKvsFyFalA_3_5"/>
      <w:bookmarkStart w:id="1236" w:name="Tc_bGRitTNXwkeAI6eFeK6MNA_3_2"/>
      <w:bookmarkStart w:id="1237" w:name="Tc_DkwLoGITRE2jOAVCPJqmZA_3_0"/>
      <w:bookmarkStart w:id="1238" w:name="Tc_O3K1sdU6QE6GFLjYcPisrg_2_5"/>
      <w:bookmarkStart w:id="1239" w:name="Tc_--OqriKUpEesI7PflP3rdA_2_2"/>
      <w:bookmarkStart w:id="1240" w:name="Tc_SST4WYrE1USz2-jiV02epw_1_5"/>
      <w:bookmarkStart w:id="1241" w:name="Tc_5TtUPGIQi0e_N5T3OA-55w_1_2"/>
      <w:bookmarkStart w:id="1242" w:name="_e9768743_e4a2_4b35_bdd8_e8f6ac51ab82"/>
      <w:bookmarkStart w:id="1243" w:name="Tc_BK2RVq2vFUKR8nMHAJtaFw_6_14"/>
      <w:bookmarkStart w:id="1244" w:name="Tc_-W8aVCKIR0-jeL0R9m0CCw_6_11"/>
      <w:bookmarkStart w:id="1245" w:name="Tc_GuO8IMveHUucX7ih7bsUbQ_6_8"/>
      <w:bookmarkStart w:id="1246" w:name="Tc_pxWq0-U_4E60Vel65ZC-aA_6_5"/>
      <w:bookmarkStart w:id="1247" w:name="Tc_BOvsZfnZ9UiCKBtPqhNARQ_6_2"/>
      <w:bookmarkStart w:id="1248" w:name="Tc_SaNib_lyf0CtOI9lk0i8_w_6_0"/>
      <w:bookmarkStart w:id="1249" w:name="Tc_3SGgFSc4R0mn-kCTuEY3pw_5_0"/>
      <w:bookmarkStart w:id="1250" w:name="Tc_Zc5ZIf5GuEefG5yhKypWPg_4_14"/>
      <w:bookmarkStart w:id="1251" w:name="Tc_YtQvNRhQmEKgqITFVlBM8g_4_11"/>
      <w:bookmarkStart w:id="1252" w:name="Tc_FrmzacBldEu4bk2xSjwhpg_4_8"/>
      <w:bookmarkStart w:id="1253" w:name="Tc_Kqr4u_b6iEG1BDxHBd_RCg_4_5"/>
      <w:bookmarkStart w:id="1254" w:name="Tc_s0Ke7wxJHkmU4yPKNg_CKA_4_2"/>
      <w:bookmarkStart w:id="1255" w:name="Tc_LPlzwueD2kC3Aykfppj9Zg_4_0"/>
      <w:bookmarkStart w:id="1256" w:name="Tc_AzEetvJoX0qixnA3TzpvBw_3_14"/>
      <w:bookmarkStart w:id="1257" w:name="Tc_doxmxtKcs0exUfWUrQWJUA_3_11"/>
      <w:bookmarkStart w:id="1258" w:name="Tc_3u8mNh-IQkegWgNgjxk4wg_3_8"/>
      <w:bookmarkStart w:id="1259" w:name="Tc_DvbsAgRVV0CWYU59Lv3IVw_3_5"/>
      <w:bookmarkStart w:id="1260" w:name="Tc_2kK3YSoS-kW3wevOtSpDwQ_3_2"/>
      <w:bookmarkStart w:id="1261" w:name="Tc_mD5X4UYZpkWnmtntemipXg_2_8"/>
      <w:bookmarkStart w:id="1262" w:name="Tc_arKuv7ziEE62Vsd3pHb2kw_2_5"/>
      <w:bookmarkStart w:id="1263" w:name="Tc_8EI7lTAxJkaaRtxSnoTJ6Q_2_2"/>
      <w:bookmarkStart w:id="1264" w:name="Tc_HEcr2vRh1km3JQ5FNff-vA_1_2"/>
      <w:bookmarkStart w:id="1265" w:name="_aed5bb4a_25e7_4df6_b4bb_6ba46d5c6895"/>
      <w:bookmarkStart w:id="1266" w:name="Tc_CoXO_HgNSk2ul8KjRRQ8kg_6_14"/>
      <w:bookmarkStart w:id="1267" w:name="Tc_UFFqQcq7r0uCXOqVJO1WKA_6_11"/>
      <w:bookmarkStart w:id="1268" w:name="Tc_eW-a3RLVTUOjC8VfsphGGQ_6_8"/>
      <w:bookmarkStart w:id="1269" w:name="Tc_ddmvewO3tU-2r4hACKXvGQ_6_5"/>
      <w:bookmarkStart w:id="1270" w:name="Tc_XFlLahNWf0C24aDSVc5xEQ_6_2"/>
      <w:bookmarkStart w:id="1271" w:name="Tc_x-rFEsI_Z0CAlbC9nkxUbQ_6_0"/>
      <w:bookmarkStart w:id="1272" w:name="Tc_yErUYnW08Uqw2ctLQ1guQg_5_0"/>
      <w:bookmarkStart w:id="1273" w:name="Tc_HmdMP18lh0iRYcDuIAdobw_4_14"/>
      <w:bookmarkStart w:id="1274" w:name="Tc_T3ozYfdEuk6qFwnoJ-yPoA_4_11"/>
      <w:bookmarkStart w:id="1275" w:name="Tc_rcZvLC6wBkeA2KoeBt2MnA_4_8"/>
      <w:bookmarkStart w:id="1276" w:name="Tc_UT6ufcGUy0qFNQJXEeGhVA_4_5"/>
      <w:bookmarkStart w:id="1277" w:name="Tc_hxLiZWHgXUmATW578EuE8g_4_2"/>
      <w:bookmarkStart w:id="1278" w:name="Tc_mAsXgTYVYUOMVz8RVghbnw_4_0"/>
      <w:bookmarkStart w:id="1279" w:name="Tc_KwaOunUwZEikeCyuNSX4oA_3_14"/>
      <w:bookmarkStart w:id="1280" w:name="Tc_ANVg_TQ9REqP8f9Lff1OWA_3_11"/>
      <w:bookmarkStart w:id="1281" w:name="Tc_Zg7vgMxyxUS4xQH8zjUkAg_3_8"/>
      <w:bookmarkStart w:id="1282" w:name="Tc_8MCvbAKmuEKcA9rvQU-74w_3_5"/>
      <w:bookmarkStart w:id="1283" w:name="Tc_wvgyU4964EiI1UNw7LWrqw_3_2"/>
      <w:bookmarkStart w:id="1284" w:name="Tc_qEzVz-GI3USpESCRbJZsAQ_2_8"/>
      <w:bookmarkStart w:id="1285" w:name="Tc_0OWXsEVUzk-oKIADQ5FM9A_2_5"/>
      <w:bookmarkStart w:id="1286" w:name="Tc_aHO7404pmkypgqDcrlw9Ig_2_2"/>
      <w:bookmarkStart w:id="1287" w:name="Tc_8t5D6NRPIk6p6aDqXwVlNg_1_2"/>
      <w:bookmarkStart w:id="1288" w:name="_2e69e3ea_1eb2_4ded_a12e_71cac5175567"/>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r>
        <w:rPr>
          <w:rFonts w:ascii="Times New Roman;Times;serif" w:hAnsi="Times New Roman;Times;serif"/>
          <w:b w:val="false"/>
          <w:i w:val="false"/>
          <w:caps w:val="false"/>
          <w:smallCaps w:val="false"/>
          <w:sz w:val="20"/>
        </w:rPr>
        <w:t>8.</w:t>
      </w:r>
      <w:r>
        <w:rPr>
          <w:rFonts w:ascii="Times New Roman;Times;serif" w:hAnsi="Times New Roman;Times;serif"/>
          <w:sz w:val="20"/>
        </w:rPr>
        <w:t xml:space="preserve">GOODWILL AND OTHER INTANGIBLE ASSETS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roll-forward of goodwill for the three-months ended March 31, 2025 and 2024 by reportable segment:</w:t>
      </w:r>
    </w:p>
    <w:p>
      <w:pPr>
        <w:pStyle w:val="TextBody"/>
        <w:bidi w:val="0"/>
        <w:spacing w:before="0" w:after="0"/>
        <w:ind w:left="0" w:right="0" w:firstLine="720"/>
        <w:jc w:val="both"/>
        <w:rPr/>
      </w:pPr>
      <w:r>
        <w:rPr/>
        <w:t>​</w:t>
      </w:r>
    </w:p>
    <w:tbl>
      <w:tblPr>
        <w:tblW w:w="8824" w:type="dxa"/>
        <w:jc w:val="left"/>
        <w:tblInd w:w="0" w:type="dxa"/>
        <w:tblLayout w:type="fixed"/>
        <w:tblCellMar>
          <w:top w:w="0" w:type="dxa"/>
          <w:left w:w="0" w:type="dxa"/>
          <w:bottom w:w="0" w:type="dxa"/>
          <w:right w:w="0" w:type="dxa"/>
        </w:tblCellMar>
      </w:tblPr>
      <w:tblGrid>
        <w:gridCol w:w="2596"/>
        <w:gridCol w:w="326"/>
        <w:gridCol w:w="211"/>
        <w:gridCol w:w="781"/>
        <w:gridCol w:w="326"/>
        <w:gridCol w:w="211"/>
        <w:gridCol w:w="781"/>
        <w:gridCol w:w="326"/>
        <w:gridCol w:w="307"/>
        <w:gridCol w:w="503"/>
        <w:gridCol w:w="326"/>
        <w:gridCol w:w="211"/>
        <w:gridCol w:w="346"/>
        <w:gridCol w:w="326"/>
        <w:gridCol w:w="211"/>
        <w:gridCol w:w="10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648460" cy="175260"/>
                      <wp:effectExtent l="0" t="0" r="0" b="0"/>
                      <wp:wrapNone/>
                      <wp:docPr id="242" name="Frame242"/>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95935" cy="175260"/>
                      <wp:effectExtent l="0" t="0" r="0" b="0"/>
                      <wp:wrapNone/>
                      <wp:docPr id="245" name="Frame2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95935" cy="175260"/>
                      <wp:effectExtent l="0" t="0" r="0" b="0"/>
                      <wp:wrapNone/>
                      <wp:docPr id="248" name="Frame2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94945" cy="175260"/>
                      <wp:effectExtent l="0" t="0" r="0" b="0"/>
                      <wp:wrapNone/>
                      <wp:docPr id="250" name="Frame250"/>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19405" cy="175260"/>
                      <wp:effectExtent l="0" t="0" r="0" b="0"/>
                      <wp:wrapNone/>
                      <wp:docPr id="251" name="Frame251"/>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57860" cy="175260"/>
                      <wp:effectExtent l="0" t="0" r="0" b="0"/>
                      <wp:wrapNone/>
                      <wp:docPr id="257" name="Frame2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1,331,643</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1,331,643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goodwill impairment balance at December 31, 2024 and March 31, 2025 was $86.3 million related entirely to Alcohol Brands.</w:t>
      </w:r>
    </w:p>
    <w:p>
      <w:pPr>
        <w:pStyle w:val="TextBody"/>
        <w:bidi w:val="0"/>
        <w:spacing w:before="0" w:after="0"/>
        <w:ind w:left="0" w:right="0" w:hanging="0"/>
        <w:jc w:val="left"/>
        <w:rPr/>
      </w:pPr>
      <w:r>
        <w:rPr/>
        <w:t>​</w:t>
      </w:r>
    </w:p>
    <w:tbl>
      <w:tblPr>
        <w:tblW w:w="8901" w:type="dxa"/>
        <w:jc w:val="left"/>
        <w:tblInd w:w="0" w:type="dxa"/>
        <w:tblLayout w:type="fixed"/>
        <w:tblCellMar>
          <w:top w:w="0" w:type="dxa"/>
          <w:left w:w="0" w:type="dxa"/>
          <w:bottom w:w="0" w:type="dxa"/>
          <w:right w:w="0" w:type="dxa"/>
        </w:tblCellMar>
      </w:tblPr>
      <w:tblGrid>
        <w:gridCol w:w="2596"/>
        <w:gridCol w:w="326"/>
        <w:gridCol w:w="211"/>
        <w:gridCol w:w="781"/>
        <w:gridCol w:w="326"/>
        <w:gridCol w:w="211"/>
        <w:gridCol w:w="781"/>
        <w:gridCol w:w="326"/>
        <w:gridCol w:w="211"/>
        <w:gridCol w:w="676"/>
        <w:gridCol w:w="326"/>
        <w:gridCol w:w="211"/>
        <w:gridCol w:w="346"/>
        <w:gridCol w:w="326"/>
        <w:gridCol w:w="211"/>
        <w:gridCol w:w="10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648460" cy="175260"/>
                      <wp:effectExtent l="0" t="0" r="0" b="0"/>
                      <wp:wrapNone/>
                      <wp:docPr id="258" name="Frame25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95935" cy="175260"/>
                      <wp:effectExtent l="0" t="0" r="0" b="0"/>
                      <wp:wrapNone/>
                      <wp:docPr id="261" name="Frame2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95935" cy="175260"/>
                      <wp:effectExtent l="0" t="0" r="0" b="0"/>
                      <wp:wrapNone/>
                      <wp:docPr id="264" name="Frame2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29260" cy="175260"/>
                      <wp:effectExtent l="0" t="0" r="0" b="0"/>
                      <wp:wrapNone/>
                      <wp:docPr id="267" name="Frame2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57860" cy="175260"/>
                      <wp:effectExtent l="0" t="0" r="0" b="0"/>
                      <wp:wrapNone/>
                      <wp:docPr id="273" name="Frame2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1,417,941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1,417,941</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Intangible assets consist of the following at:</w:t>
      </w:r>
    </w:p>
    <w:p>
      <w:pPr>
        <w:pStyle w:val="TextBody"/>
        <w:bidi w:val="0"/>
        <w:spacing w:before="0" w:after="0"/>
        <w:ind w:left="0" w:right="0" w:firstLine="720"/>
        <w:jc w:val="both"/>
        <w:rPr/>
      </w:pPr>
      <w:r>
        <w:rPr/>
        <w:t>​</w:t>
      </w:r>
    </w:p>
    <w:tbl>
      <w:tblPr>
        <w:tblW w:w="5470" w:type="dxa"/>
        <w:jc w:val="left"/>
        <w:tblInd w:w="0" w:type="dxa"/>
        <w:tblLayout w:type="fixed"/>
        <w:tblCellMar>
          <w:top w:w="0" w:type="dxa"/>
          <w:left w:w="0" w:type="dxa"/>
          <w:bottom w:w="0" w:type="dxa"/>
          <w:right w:w="0" w:type="dxa"/>
        </w:tblCellMar>
      </w:tblPr>
      <w:tblGrid>
        <w:gridCol w:w="2371"/>
        <w:gridCol w:w="326"/>
        <w:gridCol w:w="211"/>
        <w:gridCol w:w="931"/>
        <w:gridCol w:w="326"/>
        <w:gridCol w:w="220"/>
        <w:gridCol w:w="1085"/>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505585" cy="175260"/>
                      <wp:effectExtent l="0" t="0" r="0" b="0"/>
                      <wp:wrapNone/>
                      <wp:docPr id="274" name="Frame274"/>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91185" cy="175260"/>
                      <wp:effectExtent l="0" t="0" r="0" b="0"/>
                      <wp:wrapNone/>
                      <wp:docPr id="277" name="Frame2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9700" cy="175260"/>
                      <wp:effectExtent l="0" t="0" r="0" b="0"/>
                      <wp:wrapNone/>
                      <wp:docPr id="279" name="Frame27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88975" cy="175260"/>
                      <wp:effectExtent l="0" t="0" r="0" b="0"/>
                      <wp:wrapNone/>
                      <wp:docPr id="280" name="Frame280"/>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Amortizing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186,221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183,800</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(91,402)</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(86,703)</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94,819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97,097</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Non-amortizing intangibles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1,321,139</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1,317,155</w:t>
            </w:r>
          </w:p>
        </w:tc>
      </w:tr>
      <w:tr>
        <w:trPr/>
        <w:tc>
          <w:tcPr>
            <w:tcW w:w="23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1,415,958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1,414,252</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three to ten years. Total amortization expense was $4.3 million and $1.3 million for the three-months ended March 31, 2025 and 2024, respectively. For the three-months ended March 31, 2025 and 2024, no impairment charges were recorded to intangible assets.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the future estimated amortization expense related to amortizing intangibles as of March 31, 2025:</w:t>
      </w:r>
    </w:p>
    <w:p>
      <w:pPr>
        <w:pStyle w:val="TextBody"/>
        <w:bidi w:val="0"/>
        <w:spacing w:before="0" w:after="0"/>
        <w:ind w:left="0" w:right="0" w:firstLine="720"/>
        <w:jc w:val="both"/>
        <w:rPr/>
      </w:pPr>
      <w:r>
        <w:rPr/>
        <w:t>​</w:t>
      </w:r>
    </w:p>
    <w:tbl>
      <w:tblPr>
        <w:tblW w:w="5354" w:type="dxa"/>
        <w:jc w:val="left"/>
        <w:tblInd w:w="0" w:type="dxa"/>
        <w:tblLayout w:type="fixed"/>
        <w:tblCellMar>
          <w:top w:w="0" w:type="dxa"/>
          <w:left w:w="0" w:type="dxa"/>
          <w:bottom w:w="0" w:type="dxa"/>
          <w:right w:w="0" w:type="dxa"/>
        </w:tblCellMar>
      </w:tblPr>
      <w:tblGrid>
        <w:gridCol w:w="4036"/>
        <w:gridCol w:w="326"/>
        <w:gridCol w:w="211"/>
        <w:gridCol w:w="78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562860" cy="175260"/>
                      <wp:effectExtent l="0" t="0" r="0" b="0"/>
                      <wp:wrapNone/>
                      <wp:docPr id="281" name="Frame281"/>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95935" cy="175260"/>
                      <wp:effectExtent l="0" t="0" r="0" b="0"/>
                      <wp:wrapNone/>
                      <wp:docPr id="284" name="Frame2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(from April 1, 2025 to December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12,413</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16,967</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15,429</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14,300</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14,265</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21,445</w:t>
            </w:r>
          </w:p>
        </w:tc>
      </w:tr>
      <w:tr>
        <w:trPr/>
        <w:tc>
          <w:tcPr>
            <w:tcW w:w="4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94,819</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tbl>
      <w:tblPr>
        <w:tblW w:w="3107" w:type="dxa"/>
        <w:jc w:val="left"/>
        <w:tblInd w:w="0" w:type="dxa"/>
        <w:tblLayout w:type="fixed"/>
        <w:tblCellMar>
          <w:top w:w="0" w:type="dxa"/>
          <w:left w:w="0" w:type="dxa"/>
          <w:bottom w:w="0" w:type="dxa"/>
          <w:right w:w="0" w:type="dxa"/>
        </w:tblCellMar>
      </w:tblPr>
      <w:tblGrid>
        <w:gridCol w:w="271"/>
        <w:gridCol w:w="2836"/>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w:t>
            </w:r>
          </w:p>
        </w:tc>
        <w:tc>
          <w:tcPr>
            <w:tcW w:w="28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DISTRIBUTION AGREEMENTS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$9.9 million for both the three-months ended March 31, 2025 and 2024.</w:t>
      </w:r>
    </w:p>
    <w:p>
      <w:pPr>
        <w:pStyle w:val="TextBody"/>
        <w:bidi w:val="0"/>
        <w:spacing w:before="0" w:after="0"/>
        <w:ind w:left="0" w:right="0" w:firstLine="720"/>
        <w:jc w:val="both"/>
        <w:rPr/>
      </w:pPr>
      <w:r>
        <w:rPr/>
        <w:t>​</w:t>
      </w:r>
    </w:p>
    <w:p>
      <w:pPr>
        <w:pStyle w:val="Normal"/>
        <w:bidi w:val="0"/>
        <w:spacing w:before="0" w:after="0"/>
        <w:jc w:val="left"/>
        <w:rPr>
          <w:sz w:val="4"/>
          <w:szCs w:val="4"/>
        </w:rPr>
      </w:pPr>
      <w:r>
        <w:rPr>
          <w:sz w:val="4"/>
          <w:szCs w:val="4"/>
        </w:rPr>
      </w:r>
      <w:bookmarkStart w:id="1289" w:name="Tc_z1I6b9JXIUmXierUgXz45Q_9_5"/>
      <w:bookmarkStart w:id="1290" w:name="Tc_TOR-QHoDPEaeCNuUC1qT7Q_9_2"/>
      <w:bookmarkStart w:id="1291" w:name="Tc_WEtREj-sOUWUOLuQqz5R2A_9_0"/>
      <w:bookmarkStart w:id="1292" w:name="Tc_qPBXjtxgeUuz3YWQ-f7Arw_8_0"/>
      <w:bookmarkStart w:id="1293" w:name="Tc_mmFvt0QUX0CG-AhM7u8DmA_7_0"/>
      <w:bookmarkStart w:id="1294" w:name="Tc_GBb4872Oek6gu1cpFzWqcQ_6_0"/>
      <w:bookmarkStart w:id="1295" w:name="Tc_k2SH2n45V0yy-Rn8p-REpA_5_0"/>
      <w:bookmarkStart w:id="1296" w:name="Tc_PCRqNyJ7rkWW0_GJc_0hPg_4_0"/>
      <w:bookmarkStart w:id="1297" w:name="Tc_xOan9LPYQ0y0UoFaMIv0Ng_3_5"/>
      <w:bookmarkStart w:id="1298" w:name="Tc_h_pWgBHXM06JOGgv2gx0_A_3_2"/>
      <w:bookmarkStart w:id="1299" w:name="Tc__X8nQClDOU2-gZnw0xOmrw_3_0"/>
      <w:bookmarkStart w:id="1300" w:name="Tc_k-mzWEudv0KhMdgGObD36w_2_5"/>
      <w:bookmarkStart w:id="1301" w:name="Tc_00_lczjpdkee33lEaGemTw_2_2"/>
      <w:bookmarkStart w:id="1302" w:name="Tc_HLGSYVWYsEOhsbx1usn73w_1_5"/>
      <w:bookmarkStart w:id="1303" w:name="Tc_U99zzEvNb0ectmE88-2vcA_1_2"/>
      <w:bookmarkStart w:id="1304" w:name="Tc_z1I6b9JXIUmXierUgXz45Q_9_5"/>
      <w:bookmarkStart w:id="1305" w:name="Tc_TOR-QHoDPEaeCNuUC1qT7Q_9_2"/>
      <w:bookmarkStart w:id="1306" w:name="Tc_WEtREj-sOUWUOLuQqz5R2A_9_0"/>
      <w:bookmarkStart w:id="1307" w:name="Tc_qPBXjtxgeUuz3YWQ-f7Arw_8_0"/>
      <w:bookmarkStart w:id="1308" w:name="Tc_mmFvt0QUX0CG-AhM7u8DmA_7_0"/>
      <w:bookmarkStart w:id="1309" w:name="Tc_GBb4872Oek6gu1cpFzWqcQ_6_0"/>
      <w:bookmarkStart w:id="1310" w:name="Tc_k2SH2n45V0yy-Rn8p-REpA_5_0"/>
      <w:bookmarkStart w:id="1311" w:name="Tc_PCRqNyJ7rkWW0_GJc_0hPg_4_0"/>
      <w:bookmarkStart w:id="1312" w:name="Tc_xOan9LPYQ0y0UoFaMIv0Ng_3_5"/>
      <w:bookmarkStart w:id="1313" w:name="Tc_h_pWgBHXM06JOGgv2gx0_A_3_2"/>
      <w:bookmarkStart w:id="1314" w:name="Tc__X8nQClDOU2-gZnw0xOmrw_3_0"/>
      <w:bookmarkStart w:id="1315" w:name="Tc_k-mzWEudv0KhMdgGObD36w_2_5"/>
      <w:bookmarkStart w:id="1316" w:name="Tc_00_lczjpdkee33lEaGemTw_2_2"/>
      <w:bookmarkStart w:id="1317" w:name="Tc_HLGSYVWYsEOhsbx1usn73w_1_5"/>
      <w:bookmarkStart w:id="1318" w:name="Tc_U99zzEvNb0ectmE88-2vcA_1_2"/>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p>
    <w:tbl>
      <w:tblPr>
        <w:tblW w:w="1037" w:type="dxa"/>
        <w:jc w:val="left"/>
        <w:tblInd w:w="0" w:type="dxa"/>
        <w:tblLayout w:type="fixed"/>
        <w:tblCellMar>
          <w:top w:w="0" w:type="dxa"/>
          <w:left w:w="0" w:type="dxa"/>
          <w:bottom w:w="0" w:type="dxa"/>
          <w:right w:w="0" w:type="dxa"/>
        </w:tblCellMar>
      </w:tblPr>
      <w:tblGrid>
        <w:gridCol w:w="376"/>
        <w:gridCol w:w="66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w:t>
            </w:r>
          </w:p>
        </w:tc>
        <w:tc>
          <w:tcPr>
            <w:tcW w:w="6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DEBT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long-term debt consisted of the following:</w:t>
      </w:r>
    </w:p>
    <w:p>
      <w:pPr>
        <w:pStyle w:val="TextBody"/>
        <w:bidi w:val="0"/>
        <w:spacing w:before="0" w:after="0"/>
        <w:ind w:left="0" w:right="0" w:hanging="0"/>
        <w:jc w:val="left"/>
        <w:rPr/>
      </w:pPr>
      <w:r>
        <w:rPr/>
        <w:t>​</w:t>
      </w:r>
    </w:p>
    <w:tbl>
      <w:tblPr>
        <w:tblW w:w="7075" w:type="dxa"/>
        <w:jc w:val="left"/>
        <w:tblInd w:w="0" w:type="dxa"/>
        <w:tblLayout w:type="fixed"/>
        <w:tblCellMar>
          <w:top w:w="0" w:type="dxa"/>
          <w:left w:w="0" w:type="dxa"/>
          <w:bottom w:w="0" w:type="dxa"/>
          <w:right w:w="0" w:type="dxa"/>
        </w:tblCellMar>
      </w:tblPr>
      <w:tblGrid>
        <w:gridCol w:w="4171"/>
        <w:gridCol w:w="326"/>
        <w:gridCol w:w="211"/>
        <w:gridCol w:w="781"/>
        <w:gridCol w:w="326"/>
        <w:gridCol w:w="242"/>
        <w:gridCol w:w="1018"/>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648585" cy="175260"/>
                      <wp:effectExtent l="0" t="0" r="0" b="0"/>
                      <wp:wrapNone/>
                      <wp:docPr id="285" name="Frame285"/>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95935" cy="175260"/>
                      <wp:effectExtent l="0" t="0" r="0" b="0"/>
                      <wp:wrapNone/>
                      <wp:docPr id="288" name="Frame2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53670" cy="175260"/>
                      <wp:effectExtent l="0" t="0" r="0" b="0"/>
                      <wp:wrapNone/>
                      <wp:docPr id="290" name="Frame29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6430" cy="175260"/>
                      <wp:effectExtent l="0" t="0" r="0" b="0"/>
                      <wp:wrapNone/>
                      <wp:docPr id="291" name="Frame291"/>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w:t>
            </w:r>
          </w:p>
        </w:tc>
        <w:tc>
          <w:tcPr>
            <w:tcW w:w="326"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375,000</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375,000</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net of unamortized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199,059</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373,951</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199,059</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373,951</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May 2024, the Company entered into a credit agreement with JPMorgan Chase Bank, N.A., as administrative agent, and certain other lenders, which provides for senior unsecured credit facilities in an aggregate principal amount of $1.50 billion (collectively, the “Credit Facilities”). The Credit Facilities consist of a $750.0 million term loan (the “Term Loan”) and up to $750.0 million in multicurrency revolving loan commitments (the “Revolving Credit Facility”). The Term Loan matures May 2027 and the Revolving Credit Facility matures May 2029. As of March 31, 2025, the Company was in compliance with all covenants under the Credit Facilities.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Borrowings under the Credit Facilities bear interest at a variable rate per annum equal to the applicable rate plus margin (as defined in the Credit Facilities). The interest rate in effect on the Term Loan was 5.30% as of March 31, 2025. No borrowings were outstanding under the Revolving Credit Facility as of March 31, 2025. In April 2025, the Company repaid the remaining outstanding balance of $200.0 million on the Term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Borrowings under the Credit Facilities are due on the respective maturity date. Borrowings may be repaid at any time during the term of the Credit Facilities and, in the case of the Revolving Credit Facility, may be reborrowed prior to the maturity date.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the Company has a line of credit of up to $15.0 million with HSBC Bank (China) Company Limited, Shanghai Branch. At March 31, 2025, the interest rate on borrowings under the line of credit was 5.5%. As of March 31, 2025, no amount was outstanding on this line of credit.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Level 2 inputs, the carrying value of the Company’s debt approximates fair value, as borrowings are subject to variable interest rates that adjust with changes in market rates and market conditions and the current interest rate approximates that which would be available under similar financial arrangements.</w:t>
      </w:r>
    </w:p>
    <w:tbl>
      <w:tblPr>
        <w:tblW w:w="4022" w:type="dxa"/>
        <w:jc w:val="left"/>
        <w:tblInd w:w="0" w:type="dxa"/>
        <w:tblLayout w:type="fixed"/>
        <w:tblCellMar>
          <w:top w:w="0" w:type="dxa"/>
          <w:left w:w="0" w:type="dxa"/>
          <w:bottom w:w="0" w:type="dxa"/>
          <w:right w:w="0" w:type="dxa"/>
        </w:tblCellMar>
      </w:tblPr>
      <w:tblGrid>
        <w:gridCol w:w="376"/>
        <w:gridCol w:w="36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11.</w:t>
            </w:r>
          </w:p>
        </w:tc>
        <w:tc>
          <w:tcPr>
            <w:tcW w:w="36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COMMITMENTS AND CONTINGENCIES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purchase commitments aggregating approximately $316.5 million at March 31, 2025, which represented commitments made by the Company and its subsidiaries to various suppliers of raw materials for the production of its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contractual obligations aggregating approximately $506.4 million at March 31, 2025, which related primarily to sponsorships and other marketing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Litigation — </w:t>
      </w:r>
      <w:r>
        <w:rPr>
          <w:rFonts w:ascii="Times New Roman;Times;serif" w:hAnsi="Times New Roman;Times;serif"/>
          <w:sz w:val="20"/>
        </w:rPr>
        <w:t xml:space="preserve">From time to time in the normal course of business, the Company is named in litigation, including labor 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evaluates, on a quarterly basis, developments in legal proceedings and other matters that could cause an increase or decrease in the amount of the liability that is accrued, if any, and any related insurance reimbursements. As of March 31, 2025 and December 31, 2024, $16.8 million of loss contingencies were included in the Company’s accompanying condensed consolidated balance sheets.</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319" w:name="Tc_PbROVD6tKUOa4h2PmKMZUw_8_11"/>
      <w:bookmarkStart w:id="1320" w:name="Tc_vzLasVB6Iky5kkAFwRCs_w_8_8"/>
      <w:bookmarkStart w:id="1321" w:name="Tc_mfou8bBvTkGJMP_H9DkRLQ_8_5"/>
      <w:bookmarkStart w:id="1322" w:name="Tc_fWB4n4fudkuqsyphJl4eTw_8_2"/>
      <w:bookmarkStart w:id="1323" w:name="Tc_orDVP8SA-0OA166ORPuHnQ_8_0"/>
      <w:bookmarkStart w:id="1324" w:name="Tc_7fTQUcEuxU2nbti_R00XlQ_7_0"/>
      <w:bookmarkStart w:id="1325" w:name="Tc_rZLL_l6FPE6T-Q_c5JK3_g_6_0"/>
      <w:bookmarkStart w:id="1326" w:name="Tc_zMALcnq4pUa018JMoGS8nw_5_11"/>
      <w:bookmarkStart w:id="1327" w:name="Tc_oGaY6SomZUKDzEupUg11_A_5_8"/>
      <w:bookmarkStart w:id="1328" w:name="Tc_JhyeGc7i90-9jVxOIhbUQw_5_5"/>
      <w:bookmarkStart w:id="1329" w:name="Tc_r3ZB9S6Z3kSbFB18hKJTdw_5_2"/>
      <w:bookmarkStart w:id="1330" w:name="Tc_cl1tiJY4F0K8bKuqZEkWjg_5_0"/>
      <w:bookmarkStart w:id="1331" w:name="Tc_YnocYhl-Kku69mXIlFvc1w_4_11"/>
      <w:bookmarkStart w:id="1332" w:name="Tc_bfGg-V3_q06GgZ8nTt6thg_4_8"/>
      <w:bookmarkStart w:id="1333" w:name="Tc_kfOf694sV0qLADdjpkrj-g_4_5"/>
      <w:bookmarkStart w:id="1334" w:name="Tc_QpK07GFcLk-ItP0bXgS46A_4_2"/>
      <w:bookmarkStart w:id="1335" w:name="Tc_JCoUXGUrMEOaJNu9xXISJg_3_8"/>
      <w:bookmarkStart w:id="1336" w:name="Tc_Z94Mn5ZLUkKC-qZkn8cgGA_3_5"/>
      <w:bookmarkStart w:id="1337" w:name="Tc_ZcVHF6OtykagS2Po0s9fYA_3_2"/>
      <w:bookmarkStart w:id="1338" w:name="Tc_nRISRICV_kOmclT-JMILtw_2_8"/>
      <w:bookmarkStart w:id="1339" w:name="Tc_VBzk4AkyQEK_SellBz_NLw_2_5"/>
      <w:bookmarkStart w:id="1340" w:name="Tc_u2t3SMP9tkWFntfm6WftMw_2_2"/>
      <w:bookmarkStart w:id="1341" w:name="Tc_CCOu2RpN0EmbWeb4Fc0dsw_1_8"/>
      <w:bookmarkStart w:id="1342" w:name="Tc_xqe9MtEwwUWtJZSwv30Ffg_1_5"/>
      <w:bookmarkStart w:id="1343" w:name="Tc_zTCeoaqGpkq4EPXuKgxlYQ_1_2"/>
      <w:bookmarkStart w:id="1344" w:name="_54819f0d_37fa_4553_ae63_2f683f059320"/>
      <w:bookmarkStart w:id="1345" w:name="Tc_exijt9yAJkOSlgdr94haZA_8_11"/>
      <w:bookmarkStart w:id="1346" w:name="Tc_Mri68SRFhUSLcwum-dmc9g_8_8"/>
      <w:bookmarkStart w:id="1347" w:name="Tc_9MCJjQbFU0Cx1RpMMhKpIA_8_5"/>
      <w:bookmarkStart w:id="1348" w:name="Tc_4h_m6EJg30CXyF5Yab4CdA_8_2"/>
      <w:bookmarkStart w:id="1349" w:name="Tc_LrVRYBWcfkqD-dPKHjQvUg_8_0"/>
      <w:bookmarkStart w:id="1350" w:name="Tc_VZ73yOzc60-UsjW8dVSF6g_7_0"/>
      <w:bookmarkStart w:id="1351" w:name="Tc_atJd4uxZ40iPDlGOy5DCGA_6_0"/>
      <w:bookmarkStart w:id="1352" w:name="Tc_5rd9UN0TcUWDKfWfeDtzog_5_11"/>
      <w:bookmarkStart w:id="1353" w:name="Tc_YjbZ4EcdFEaJUzPYyMFG1w_5_8"/>
      <w:bookmarkStart w:id="1354" w:name="Tc_TEbDLWoU_0Kekrzgda7NLw_5_5"/>
      <w:bookmarkStart w:id="1355" w:name="Tc_ojDpO5Vq7kyEnJ0xKUYmlA_5_2"/>
      <w:bookmarkStart w:id="1356" w:name="Tc_2dlgo4-_KkS9oWoTkhhTlQ_5_0"/>
      <w:bookmarkStart w:id="1357" w:name="Tc_QCM1wExXYk-QvwjAhLizZA_4_11"/>
      <w:bookmarkStart w:id="1358" w:name="Tc_9WogWqKuxU2hEJ7pqNMDrw_4_8"/>
      <w:bookmarkStart w:id="1359" w:name="Tc_9OeoaAvWREKv5BDc4jJdFw_4_5"/>
      <w:bookmarkStart w:id="1360" w:name="Tc_itC2W2lDsEuU60us2TCfcQ_4_2"/>
      <w:bookmarkStart w:id="1361" w:name="Tc_D0eTSeijG0ievURrR_s5Kw_3_8"/>
      <w:bookmarkStart w:id="1362" w:name="Tc_8qBuN_3siEuSZ0Fbbhwj9g_3_5"/>
      <w:bookmarkStart w:id="1363" w:name="Tc_bDOL1dF1O0eLYj2DxaBY0Q_3_2"/>
      <w:bookmarkStart w:id="1364" w:name="Tc_y76sL4URBUivkd5NME_77w_2_8"/>
      <w:bookmarkStart w:id="1365" w:name="Tc_YSAq1AB0nUexgD3Kn0cRtQ_2_5"/>
      <w:bookmarkStart w:id="1366" w:name="Tc_gR2sVAPO60u60a9HfDR_gw_2_2"/>
      <w:bookmarkStart w:id="1367" w:name="Tc_uc5Jr90M602CdOB2nejpSQ_1_8"/>
      <w:bookmarkStart w:id="1368" w:name="Tc_6FEBCjva6kSKbIw_IvOdBA_1_5"/>
      <w:bookmarkStart w:id="1369" w:name="Tc_NOxhBbfro068CPIW78HhDA_1_2"/>
      <w:bookmarkStart w:id="1370" w:name="_ce60d7f1_6680_451d_83ad_c274debf5c64"/>
      <w:bookmarkStart w:id="1371" w:name="Tc_PbROVD6tKUOa4h2PmKMZUw_8_11"/>
      <w:bookmarkStart w:id="1372" w:name="Tc_vzLasVB6Iky5kkAFwRCs_w_8_8"/>
      <w:bookmarkStart w:id="1373" w:name="Tc_mfou8bBvTkGJMP_H9DkRLQ_8_5"/>
      <w:bookmarkStart w:id="1374" w:name="Tc_fWB4n4fudkuqsyphJl4eTw_8_2"/>
      <w:bookmarkStart w:id="1375" w:name="Tc_orDVP8SA-0OA166ORPuHnQ_8_0"/>
      <w:bookmarkStart w:id="1376" w:name="Tc_7fTQUcEuxU2nbti_R00XlQ_7_0"/>
      <w:bookmarkStart w:id="1377" w:name="Tc_rZLL_l6FPE6T-Q_c5JK3_g_6_0"/>
      <w:bookmarkStart w:id="1378" w:name="Tc_zMALcnq4pUa018JMoGS8nw_5_11"/>
      <w:bookmarkStart w:id="1379" w:name="Tc_oGaY6SomZUKDzEupUg11_A_5_8"/>
      <w:bookmarkStart w:id="1380" w:name="Tc_JhyeGc7i90-9jVxOIhbUQw_5_5"/>
      <w:bookmarkStart w:id="1381" w:name="Tc_r3ZB9S6Z3kSbFB18hKJTdw_5_2"/>
      <w:bookmarkStart w:id="1382" w:name="Tc_cl1tiJY4F0K8bKuqZEkWjg_5_0"/>
      <w:bookmarkStart w:id="1383" w:name="Tc_YnocYhl-Kku69mXIlFvc1w_4_11"/>
      <w:bookmarkStart w:id="1384" w:name="Tc_bfGg-V3_q06GgZ8nTt6thg_4_8"/>
      <w:bookmarkStart w:id="1385" w:name="Tc_kfOf694sV0qLADdjpkrj-g_4_5"/>
      <w:bookmarkStart w:id="1386" w:name="Tc_QpK07GFcLk-ItP0bXgS46A_4_2"/>
      <w:bookmarkStart w:id="1387" w:name="Tc_JCoUXGUrMEOaJNu9xXISJg_3_8"/>
      <w:bookmarkStart w:id="1388" w:name="Tc_Z94Mn5ZLUkKC-qZkn8cgGA_3_5"/>
      <w:bookmarkStart w:id="1389" w:name="Tc_ZcVHF6OtykagS2Po0s9fYA_3_2"/>
      <w:bookmarkStart w:id="1390" w:name="Tc_nRISRICV_kOmclT-JMILtw_2_8"/>
      <w:bookmarkStart w:id="1391" w:name="Tc_VBzk4AkyQEK_SellBz_NLw_2_5"/>
      <w:bookmarkStart w:id="1392" w:name="Tc_u2t3SMP9tkWFntfm6WftMw_2_2"/>
      <w:bookmarkStart w:id="1393" w:name="Tc_CCOu2RpN0EmbWeb4Fc0dsw_1_8"/>
      <w:bookmarkStart w:id="1394" w:name="Tc_xqe9MtEwwUWtJZSwv30Ffg_1_5"/>
      <w:bookmarkStart w:id="1395" w:name="Tc_zTCeoaqGpkq4EPXuKgxlYQ_1_2"/>
      <w:bookmarkStart w:id="1396" w:name="_54819f0d_37fa_4553_ae63_2f683f059320"/>
      <w:bookmarkStart w:id="1397" w:name="Tc_exijt9yAJkOSlgdr94haZA_8_11"/>
      <w:bookmarkStart w:id="1398" w:name="Tc_Mri68SRFhUSLcwum-dmc9g_8_8"/>
      <w:bookmarkStart w:id="1399" w:name="Tc_9MCJjQbFU0Cx1RpMMhKpIA_8_5"/>
      <w:bookmarkStart w:id="1400" w:name="Tc_4h_m6EJg30CXyF5Yab4CdA_8_2"/>
      <w:bookmarkStart w:id="1401" w:name="Tc_LrVRYBWcfkqD-dPKHjQvUg_8_0"/>
      <w:bookmarkStart w:id="1402" w:name="Tc_VZ73yOzc60-UsjW8dVSF6g_7_0"/>
      <w:bookmarkStart w:id="1403" w:name="Tc_atJd4uxZ40iPDlGOy5DCGA_6_0"/>
      <w:bookmarkStart w:id="1404" w:name="Tc_5rd9UN0TcUWDKfWfeDtzog_5_11"/>
      <w:bookmarkStart w:id="1405" w:name="Tc_YjbZ4EcdFEaJUzPYyMFG1w_5_8"/>
      <w:bookmarkStart w:id="1406" w:name="Tc_TEbDLWoU_0Kekrzgda7NLw_5_5"/>
      <w:bookmarkStart w:id="1407" w:name="Tc_ojDpO5Vq7kyEnJ0xKUYmlA_5_2"/>
      <w:bookmarkStart w:id="1408" w:name="Tc_2dlgo4-_KkS9oWoTkhhTlQ_5_0"/>
      <w:bookmarkStart w:id="1409" w:name="Tc_QCM1wExXYk-QvwjAhLizZA_4_11"/>
      <w:bookmarkStart w:id="1410" w:name="Tc_9WogWqKuxU2hEJ7pqNMDrw_4_8"/>
      <w:bookmarkStart w:id="1411" w:name="Tc_9OeoaAvWREKv5BDc4jJdFw_4_5"/>
      <w:bookmarkStart w:id="1412" w:name="Tc_itC2W2lDsEuU60us2TCfcQ_4_2"/>
      <w:bookmarkStart w:id="1413" w:name="Tc_D0eTSeijG0ievURrR_s5Kw_3_8"/>
      <w:bookmarkStart w:id="1414" w:name="Tc_8qBuN_3siEuSZ0Fbbhwj9g_3_5"/>
      <w:bookmarkStart w:id="1415" w:name="Tc_bDOL1dF1O0eLYj2DxaBY0Q_3_2"/>
      <w:bookmarkStart w:id="1416" w:name="Tc_y76sL4URBUivkd5NME_77w_2_8"/>
      <w:bookmarkStart w:id="1417" w:name="Tc_YSAq1AB0nUexgD3Kn0cRtQ_2_5"/>
      <w:bookmarkStart w:id="1418" w:name="Tc_gR2sVAPO60u60a9HfDR_gw_2_2"/>
      <w:bookmarkStart w:id="1419" w:name="Tc_uc5Jr90M602CdOB2nejpSQ_1_8"/>
      <w:bookmarkStart w:id="1420" w:name="Tc_6FEBCjva6kSKbIw_IvOdBA_1_5"/>
      <w:bookmarkStart w:id="1421" w:name="Tc_NOxhBbfro068CPIW78HhDA_1_2"/>
      <w:bookmarkStart w:id="1422" w:name="_ce60d7f1_6680_451d_83ad_c274debf5c64"/>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p>
    <w:tbl>
      <w:tblPr>
        <w:tblW w:w="4877" w:type="dxa"/>
        <w:jc w:val="left"/>
        <w:tblInd w:w="0" w:type="dxa"/>
        <w:tblLayout w:type="fixed"/>
        <w:tblCellMar>
          <w:top w:w="0" w:type="dxa"/>
          <w:left w:w="0" w:type="dxa"/>
          <w:bottom w:w="0" w:type="dxa"/>
          <w:right w:w="0" w:type="dxa"/>
        </w:tblCellMar>
      </w:tblPr>
      <w:tblGrid>
        <w:gridCol w:w="376"/>
        <w:gridCol w:w="450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12.</w:t>
            </w:r>
          </w:p>
        </w:tc>
        <w:tc>
          <w:tcPr>
            <w:tcW w:w="45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ACCUMULATED OTHER COMPREHENSIVE LOSS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Changes in accumulated other comprehensive loss by component, after tax, for the three-months ended March 31, 2025 and 2024 are as follows: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3860"/>
        <w:gridCol w:w="326"/>
        <w:gridCol w:w="380"/>
        <w:gridCol w:w="1029"/>
        <w:gridCol w:w="326"/>
        <w:gridCol w:w="211"/>
        <w:gridCol w:w="881"/>
        <w:gridCol w:w="326"/>
        <w:gridCol w:w="545"/>
        <w:gridCol w:w="854"/>
        <w:gridCol w:w="326"/>
        <w:gridCol w:w="211"/>
        <w:gridCol w:w="930"/>
      </w:tblGrid>
      <w:tr>
        <w:trPr/>
        <w:tc>
          <w:tcPr>
            <w:tcW w:w="3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451100" cy="175260"/>
                      <wp:effectExtent l="0" t="0" r="0" b="0"/>
                      <wp:wrapNone/>
                      <wp:docPr id="292" name="Frame292"/>
                      <a:graphic xmlns:a="http://schemas.openxmlformats.org/drawingml/2006/main">
                        <a:graphicData uri="http://schemas.microsoft.com/office/word/2010/wordprocessingShape">
                          <wps:wsp>
                            <wps:cNvSpPr txBox="1"/>
                            <wps:spPr>
                              <a:xfrm>
                                <a:off x="0" y="0"/>
                                <a:ext cx="2451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53415" cy="175260"/>
                      <wp:effectExtent l="0" t="0" r="0" b="0"/>
                      <wp:wrapNone/>
                      <wp:docPr id="293" name="Frame293"/>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59435" cy="175260"/>
                      <wp:effectExtent l="0" t="0" r="0" b="0"/>
                      <wp:wrapNone/>
                      <wp:docPr id="296" name="Frame296"/>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46075" cy="175260"/>
                      <wp:effectExtent l="0" t="0" r="0" b="0"/>
                      <wp:wrapNone/>
                      <wp:docPr id="298" name="Frame298"/>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42290" cy="175260"/>
                      <wp:effectExtent l="0" t="0" r="0" b="0"/>
                      <wp:wrapNone/>
                      <wp:docPr id="299" name="Frame299"/>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90550" cy="175260"/>
                      <wp:effectExtent l="0" t="0" r="0" b="0"/>
                      <wp:wrapNone/>
                      <wp:docPr id="302" name="Frame302"/>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Accumulated Net</w:t>
            </w:r>
          </w:p>
        </w:tc>
        <w:tc>
          <w:tcPr>
            <w:tcW w:w="326" w:type="dxa"/>
            <w:tcBorders/>
            <w:vAlign w:val="center"/>
          </w:tcPr>
          <w:p>
            <w:pPr>
              <w:pStyle w:val="TableContents"/>
              <w:bidi w:val="0"/>
              <w:spacing w:before="0" w:after="0"/>
              <w:ind w:left="0" w:right="0" w:hanging="0"/>
              <w:jc w:val="left"/>
              <w:rPr/>
            </w:pPr>
            <w:r>
              <w:rPr/>
              <w:t>    </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vAlign w:val="center"/>
          </w:tcPr>
          <w:p>
            <w:pPr>
              <w:pStyle w:val="TableContents"/>
              <w:bidi w:val="0"/>
              <w:spacing w:before="0" w:after="0"/>
              <w:ind w:left="0" w:right="0" w:hanging="0"/>
              <w:jc w:val="left"/>
              <w:rPr/>
            </w:pPr>
            <w:r>
              <w:rPr/>
              <w:t>    </w:t>
            </w:r>
          </w:p>
        </w:tc>
        <w:tc>
          <w:tcPr>
            <w:tcW w:w="139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center"/>
              <w:rPr/>
            </w:pPr>
            <w:r>
              <w:rPr/>
              <w:t>​</w:t>
            </w:r>
          </w:p>
        </w:tc>
      </w:tr>
      <w:tr>
        <w:trPr/>
        <w:tc>
          <w:tcPr>
            <w:tcW w:w="38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Gains (Losses) </w:t>
            </w:r>
          </w:p>
        </w:tc>
        <w:tc>
          <w:tcPr>
            <w:tcW w:w="326" w:type="dxa"/>
            <w:tcBorders/>
            <w:vAlign w:val="center"/>
          </w:tcPr>
          <w:p>
            <w:pPr>
              <w:pStyle w:val="TableContents"/>
              <w:bidi w:val="0"/>
              <w:spacing w:before="0" w:after="0"/>
              <w:ind w:left="0" w:right="0" w:hanging="0"/>
              <w:jc w:val="left"/>
              <w:rPr/>
            </w:pPr>
            <w:r>
              <w:rPr/>
              <w:t>​</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vAlign w:val="center"/>
          </w:tcPr>
          <w:p>
            <w:pPr>
              <w:pStyle w:val="TableContents"/>
              <w:bidi w:val="0"/>
              <w:spacing w:before="0" w:after="0"/>
              <w:ind w:left="0" w:right="0" w:hanging="0"/>
              <w:jc w:val="left"/>
              <w:rPr/>
            </w:pPr>
            <w:r>
              <w:rPr/>
              <w:t>​</w:t>
            </w:r>
          </w:p>
        </w:tc>
        <w:tc>
          <w:tcPr>
            <w:tcW w:w="139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Gains (Losses)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center"/>
              <w:rPr/>
            </w:pPr>
            <w:r>
              <w:rPr/>
              <w:t>​</w:t>
            </w:r>
          </w:p>
        </w:tc>
      </w:tr>
      <w:tr>
        <w:trPr/>
        <w:tc>
          <w:tcPr>
            <w:tcW w:w="38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on Commodity </w:t>
            </w:r>
          </w:p>
        </w:tc>
        <w:tc>
          <w:tcPr>
            <w:tcW w:w="326" w:type="dxa"/>
            <w:tcBorders/>
            <w:vAlign w:val="center"/>
          </w:tcPr>
          <w:p>
            <w:pPr>
              <w:pStyle w:val="TableContents"/>
              <w:bidi w:val="0"/>
              <w:spacing w:before="0" w:after="0"/>
              <w:ind w:left="0" w:right="0" w:hanging="0"/>
              <w:jc w:val="left"/>
              <w:rPr/>
            </w:pPr>
            <w:r>
              <w:rPr/>
              <w:t>​</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center"/>
              <w:rPr/>
            </w:pPr>
            <w:r>
              <w:rPr/>
              <w:t>​</w:t>
            </w:r>
          </w:p>
        </w:tc>
        <w:tc>
          <w:tcPr>
            <w:tcW w:w="139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 Available-for-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center"/>
              <w:rPr/>
            </w:pPr>
            <w:r>
              <w:rPr/>
              <w:t>​</w:t>
            </w:r>
          </w:p>
        </w:tc>
      </w:tr>
      <w:tr>
        <w:trPr/>
        <w:tc>
          <w:tcPr>
            <w:tcW w:w="38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26" w:type="dxa"/>
            <w:tcBorders/>
            <w:vAlign w:val="center"/>
          </w:tcPr>
          <w:p>
            <w:pPr>
              <w:pStyle w:val="TableContents"/>
              <w:bidi w:val="0"/>
              <w:spacing w:before="0" w:after="0"/>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(269,930)</w:t>
            </w:r>
          </w:p>
        </w:tc>
        <w:tc>
          <w:tcPr>
            <w:tcW w:w="326" w:type="dxa"/>
            <w:tcBorders/>
            <w:shd w:fill="CCEEFF" w:val="clear"/>
            <w:vAlign w:val="center"/>
          </w:tcPr>
          <w:p>
            <w:pPr>
              <w:pStyle w:val="TableContents"/>
              <w:bidi w:val="0"/>
              <w:spacing w:before="0" w:after="0"/>
              <w:ind w:left="0" w:right="0" w:hanging="0"/>
              <w:jc w:val="right"/>
              <w:rPr/>
            </w:pPr>
            <w:r>
              <w:rPr/>
              <w:t>​</w:t>
            </w:r>
          </w:p>
        </w:tc>
        <w:tc>
          <w:tcPr>
            <w:tcW w:w="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(269,487)</w:t>
            </w:r>
          </w:p>
        </w:tc>
      </w:tr>
      <w:tr>
        <w:trPr/>
        <w:tc>
          <w:tcPr>
            <w:tcW w:w="3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63,971</w:t>
            </w:r>
          </w:p>
        </w:tc>
        <w:tc>
          <w:tcPr>
            <w:tcW w:w="326" w:type="dxa"/>
            <w:tcBorders/>
            <w:vAlign w:val="center"/>
          </w:tcPr>
          <w:p>
            <w:pPr>
              <w:pStyle w:val="TableContents"/>
              <w:bidi w:val="0"/>
              <w:spacing w:before="0" w:after="0"/>
              <w:ind w:left="0" w:right="0" w:hanging="0"/>
              <w:jc w:val="right"/>
              <w:rPr/>
            </w:pPr>
            <w:r>
              <w:rPr/>
              <w:t>​</w:t>
            </w:r>
          </w:p>
        </w:tc>
        <w:tc>
          <w:tcPr>
            <w:tcW w:w="5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66,541</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63,971</w:t>
            </w:r>
          </w:p>
        </w:tc>
        <w:tc>
          <w:tcPr>
            <w:tcW w:w="326" w:type="dxa"/>
            <w:tcBorders/>
            <w:shd w:fill="CCEEFF" w:val="clear"/>
            <w:vAlign w:val="center"/>
          </w:tcPr>
          <w:p>
            <w:pPr>
              <w:pStyle w:val="TableContents"/>
              <w:bidi w:val="0"/>
              <w:spacing w:before="0" w:after="0"/>
              <w:ind w:left="0" w:right="0" w:hanging="0"/>
              <w:jc w:val="righ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66,541</w:t>
            </w:r>
          </w:p>
        </w:tc>
      </w:tr>
      <w:tr>
        <w:trPr/>
        <w:tc>
          <w:tcPr>
            <w:tcW w:w="3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(205,959)</w:t>
            </w:r>
          </w:p>
        </w:tc>
        <w:tc>
          <w:tcPr>
            <w:tcW w:w="326" w:type="dxa"/>
            <w:tcBorders/>
            <w:vAlign w:val="center"/>
          </w:tcPr>
          <w:p>
            <w:pPr>
              <w:pStyle w:val="TableContents"/>
              <w:bidi w:val="0"/>
              <w:spacing w:before="0" w:after="0"/>
              <w:ind w:left="0" w:right="0" w:hanging="0"/>
              <w:jc w:val="righ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(202,946)</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60"/>
        <w:gridCol w:w="326"/>
        <w:gridCol w:w="352"/>
        <w:gridCol w:w="1057"/>
        <w:gridCol w:w="326"/>
        <w:gridCol w:w="211"/>
        <w:gridCol w:w="881"/>
        <w:gridCol w:w="326"/>
        <w:gridCol w:w="439"/>
        <w:gridCol w:w="960"/>
        <w:gridCol w:w="326"/>
        <w:gridCol w:w="211"/>
        <w:gridCol w:w="930"/>
      </w:tblGrid>
      <w:tr>
        <w:trPr/>
        <w:tc>
          <w:tcPr>
            <w:tcW w:w="3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451100" cy="175260"/>
                      <wp:effectExtent l="0" t="0" r="0" b="0"/>
                      <wp:wrapNone/>
                      <wp:docPr id="303" name="Frame303"/>
                      <a:graphic xmlns:a="http://schemas.openxmlformats.org/drawingml/2006/main">
                        <a:graphicData uri="http://schemas.microsoft.com/office/word/2010/wordprocessingShape">
                          <wps:wsp>
                            <wps:cNvSpPr txBox="1"/>
                            <wps:spPr>
                              <a:xfrm>
                                <a:off x="0" y="0"/>
                                <a:ext cx="2451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23520" cy="175260"/>
                      <wp:effectExtent l="0" t="0" r="0" b="0"/>
                      <wp:wrapNone/>
                      <wp:docPr id="305" name="Frame305"/>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71195" cy="175260"/>
                      <wp:effectExtent l="0" t="0" r="0" b="0"/>
                      <wp:wrapNone/>
                      <wp:docPr id="306" name="Frame306"/>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59435" cy="175260"/>
                      <wp:effectExtent l="0" t="0" r="0" b="0"/>
                      <wp:wrapNone/>
                      <wp:docPr id="309" name="Frame309"/>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78765" cy="175260"/>
                      <wp:effectExtent l="0" t="0" r="0" b="0"/>
                      <wp:wrapNone/>
                      <wp:docPr id="311" name="Frame311"/>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09600" cy="175260"/>
                      <wp:effectExtent l="0" t="0" r="0" b="0"/>
                      <wp:wrapNone/>
                      <wp:docPr id="312" name="Frame312"/>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90550" cy="175260"/>
                      <wp:effectExtent l="0" t="0" r="0" b="0"/>
                      <wp:wrapNone/>
                      <wp:docPr id="315" name="Frame315"/>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Accumulated Net</w:t>
            </w:r>
          </w:p>
        </w:tc>
        <w:tc>
          <w:tcPr>
            <w:tcW w:w="326" w:type="dxa"/>
            <w:tcBorders/>
            <w:vAlign w:val="center"/>
          </w:tcPr>
          <w:p>
            <w:pPr>
              <w:pStyle w:val="TableContents"/>
              <w:bidi w:val="0"/>
              <w:spacing w:before="0" w:after="0"/>
              <w:ind w:left="0" w:right="0" w:hanging="0"/>
              <w:jc w:val="left"/>
              <w:rPr/>
            </w:pPr>
            <w:r>
              <w:rPr/>
              <w:t>    </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vAlign w:val="center"/>
          </w:tcPr>
          <w:p>
            <w:pPr>
              <w:pStyle w:val="TableContents"/>
              <w:bidi w:val="0"/>
              <w:spacing w:before="0" w:after="0"/>
              <w:ind w:left="0" w:right="0" w:hanging="0"/>
              <w:jc w:val="center"/>
              <w:rPr/>
            </w:pPr>
            <w:r>
              <w:rPr/>
              <w:t>​</w:t>
            </w:r>
          </w:p>
        </w:tc>
        <w:tc>
          <w:tcPr>
            <w:tcW w:w="139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center"/>
              <w:rPr/>
            </w:pPr>
            <w:r>
              <w:rPr/>
              <w:t>​</w:t>
            </w:r>
          </w:p>
        </w:tc>
      </w:tr>
      <w:tr>
        <w:trPr/>
        <w:tc>
          <w:tcPr>
            <w:tcW w:w="38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Gains (Losses) </w:t>
            </w:r>
          </w:p>
        </w:tc>
        <w:tc>
          <w:tcPr>
            <w:tcW w:w="326" w:type="dxa"/>
            <w:tcBorders/>
            <w:vAlign w:val="center"/>
          </w:tcPr>
          <w:p>
            <w:pPr>
              <w:pStyle w:val="TableContents"/>
              <w:bidi w:val="0"/>
              <w:spacing w:before="0" w:after="0"/>
              <w:ind w:left="0" w:right="0" w:hanging="0"/>
              <w:jc w:val="left"/>
              <w:rPr/>
            </w:pPr>
            <w:r>
              <w:rPr/>
              <w:t>​</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vAlign w:val="center"/>
          </w:tcPr>
          <w:p>
            <w:pPr>
              <w:pStyle w:val="TableContents"/>
              <w:bidi w:val="0"/>
              <w:spacing w:before="0" w:after="0"/>
              <w:ind w:left="0" w:right="0" w:hanging="0"/>
              <w:jc w:val="center"/>
              <w:rPr/>
            </w:pPr>
            <w:r>
              <w:rPr/>
              <w:t>​</w:t>
            </w:r>
          </w:p>
        </w:tc>
        <w:tc>
          <w:tcPr>
            <w:tcW w:w="139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Gains (Losses)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center"/>
              <w:rPr/>
            </w:pPr>
            <w:r>
              <w:rPr/>
              <w:t>​</w:t>
            </w:r>
          </w:p>
        </w:tc>
      </w:tr>
      <w:tr>
        <w:trPr/>
        <w:tc>
          <w:tcPr>
            <w:tcW w:w="38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on Commodity </w:t>
            </w:r>
          </w:p>
        </w:tc>
        <w:tc>
          <w:tcPr>
            <w:tcW w:w="326" w:type="dxa"/>
            <w:tcBorders/>
            <w:vAlign w:val="center"/>
          </w:tcPr>
          <w:p>
            <w:pPr>
              <w:pStyle w:val="TableContents"/>
              <w:bidi w:val="0"/>
              <w:spacing w:before="0" w:after="0"/>
              <w:ind w:left="0" w:right="0" w:hanging="0"/>
              <w:jc w:val="left"/>
              <w:rPr/>
            </w:pPr>
            <w:r>
              <w:rPr/>
              <w:t>    </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left"/>
              <w:rPr/>
            </w:pPr>
            <w:r>
              <w:rPr/>
              <w:t>    </w:t>
            </w:r>
          </w:p>
        </w:tc>
        <w:tc>
          <w:tcPr>
            <w:tcW w:w="139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 Available-for-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center"/>
              <w:rPr/>
            </w:pPr>
            <w:r>
              <w:rPr/>
              <w:t>​</w:t>
            </w:r>
          </w:p>
        </w:tc>
      </w:tr>
      <w:tr>
        <w:trPr/>
        <w:tc>
          <w:tcPr>
            <w:tcW w:w="38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26" w:type="dxa"/>
            <w:tcBorders/>
            <w:vAlign w:val="center"/>
          </w:tcPr>
          <w:p>
            <w:pPr>
              <w:pStyle w:val="TableContents"/>
              <w:bidi w:val="0"/>
              <w:spacing w:before="0" w:after="0"/>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(128,989)</w:t>
            </w:r>
          </w:p>
        </w:tc>
        <w:tc>
          <w:tcPr>
            <w:tcW w:w="326" w:type="dxa"/>
            <w:tcBorders/>
            <w:shd w:fill="CCEEFF" w:val="clear"/>
            <w:vAlign w:val="center"/>
          </w:tcPr>
          <w:p>
            <w:pPr>
              <w:pStyle w:val="TableContents"/>
              <w:bidi w:val="0"/>
              <w:spacing w:before="0" w:after="0"/>
              <w:ind w:left="0" w:right="0" w:hanging="0"/>
              <w:jc w:val="right"/>
              <w:rPr/>
            </w:pPr>
            <w:r>
              <w:rPr/>
              <w:t>​</w:t>
            </w:r>
          </w:p>
        </w:tc>
        <w:tc>
          <w:tcPr>
            <w:tcW w:w="4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(125,337)</w:t>
            </w:r>
          </w:p>
        </w:tc>
      </w:tr>
      <w:tr>
        <w:trPr/>
        <w:tc>
          <w:tcPr>
            <w:tcW w:w="3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(30,695)</w:t>
            </w:r>
          </w:p>
        </w:tc>
        <w:tc>
          <w:tcPr>
            <w:tcW w:w="326" w:type="dxa"/>
            <w:tcBorders/>
            <w:vAlign w:val="center"/>
          </w:tcPr>
          <w:p>
            <w:pPr>
              <w:pStyle w:val="TableContents"/>
              <w:bidi w:val="0"/>
              <w:spacing w:before="0" w:after="0"/>
              <w:ind w:left="0" w:right="0" w:hanging="0"/>
              <w:jc w:val="right"/>
              <w:rPr/>
            </w:pPr>
            <w:r>
              <w:rPr/>
              <w:t>​</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(32,603)</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(30,695)</w:t>
            </w:r>
          </w:p>
        </w:tc>
        <w:tc>
          <w:tcPr>
            <w:tcW w:w="326" w:type="dxa"/>
            <w:tcBorders/>
            <w:shd w:fill="CCEEFF" w:val="clear"/>
            <w:vAlign w:val="center"/>
          </w:tcPr>
          <w:p>
            <w:pPr>
              <w:pStyle w:val="TableContents"/>
              <w:bidi w:val="0"/>
              <w:spacing w:before="0" w:after="0"/>
              <w:ind w:left="0" w:right="0" w:hanging="0"/>
              <w:jc w:val="righ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(32,603)</w:t>
            </w:r>
          </w:p>
        </w:tc>
      </w:tr>
      <w:tr>
        <w:trPr/>
        <w:tc>
          <w:tcPr>
            <w:tcW w:w="3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326"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(159,684)</w:t>
            </w:r>
          </w:p>
        </w:tc>
        <w:tc>
          <w:tcPr>
            <w:tcW w:w="326" w:type="dxa"/>
            <w:tcBorders/>
            <w:vAlign w:val="center"/>
          </w:tcPr>
          <w:p>
            <w:pPr>
              <w:pStyle w:val="TableContents"/>
              <w:bidi w:val="0"/>
              <w:spacing w:before="0" w:after="0"/>
              <w:ind w:left="0" w:right="0" w:hanging="0"/>
              <w:jc w:val="right"/>
              <w:rPr/>
            </w:pPr>
            <w:r>
              <w:rPr/>
              <w:t>​</w:t>
            </w:r>
          </w:p>
        </w:tc>
        <w:tc>
          <w:tcPr>
            <w:tcW w:w="4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(157,940)</w:t>
            </w:r>
          </w:p>
        </w:tc>
      </w:tr>
    </w:tbl>
    <w:p>
      <w:pPr>
        <w:pStyle w:val="TextBody"/>
        <w:pBdr/>
        <w:bidi w:val="0"/>
        <w:spacing w:before="0" w:after="0"/>
        <w:ind w:left="0" w:right="0" w:hanging="720"/>
        <w:jc w:val="left"/>
        <w:rPr/>
      </w:pPr>
      <w:r>
        <w:rPr/>
        <w:t>​</w:t>
      </w:r>
    </w:p>
    <w:p>
      <w:pPr>
        <w:pStyle w:val="TextBody"/>
        <w:pBdr/>
        <w:bidi w:val="0"/>
        <w:spacing w:before="0" w:after="0"/>
        <w:ind w:left="0" w:right="0" w:hanging="720"/>
        <w:jc w:val="left"/>
        <w:rPr/>
      </w:pPr>
      <w:r>
        <w:rPr/>
        <w:t>​</w:t>
      </w:r>
    </w:p>
    <w:tbl>
      <w:tblPr>
        <w:tblW w:w="2222" w:type="dxa"/>
        <w:jc w:val="left"/>
        <w:tblInd w:w="0" w:type="dxa"/>
        <w:tblLayout w:type="fixed"/>
        <w:tblCellMar>
          <w:top w:w="0" w:type="dxa"/>
          <w:left w:w="0" w:type="dxa"/>
          <w:bottom w:w="0" w:type="dxa"/>
          <w:right w:w="0" w:type="dxa"/>
        </w:tblCellMar>
      </w:tblPr>
      <w:tblGrid>
        <w:gridCol w:w="376"/>
        <w:gridCol w:w="18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13.</w:t>
            </w:r>
          </w:p>
        </w:tc>
        <w:tc>
          <w:tcPr>
            <w:tcW w:w="18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TREASURY STOCK</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19, 2024, the Company’s Board of Directors authorized a share repurchase program for the purchase of up to an additional $500.0 million of the Company’s outstanding common stock (the “August 2024 Repurchase Plan”). During the three-months ended March 31, 2025, no shares were repurchased under the August 2024 Repurchase Plan. As of May 8, 2025, $500.0 million remained available for repurchase under the August 2024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$500.0 million as of May 8,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three-months ended March 31, 2025, 0.3 million shares of common stock were purchased from employees in lieu of cash payments for options exercised or withholding taxes due for a total amount of $16.6 million. While such purchases are considered common stock repurchases, they are not counted as purchases against the Company’s authorized share repurchase programs. Such shares are included in common stock in treasury in the accompanying condensed consolidated balance sheet at March 31, 2025.</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1423" w:name="Tc_yGQXi1mDKEGWvbH-gCXKrA_6_5"/>
      <w:bookmarkStart w:id="1424" w:name="Tc_a1-T0i4kFE-ZQtGSC4LeeA_6_3"/>
      <w:bookmarkStart w:id="1425" w:name="Tc_Dd34DsGlD0W285iQXlFPcw_6_0"/>
      <w:bookmarkStart w:id="1426" w:name="Tc__mZMCa03VEWHIUICo-SnXA_5_5"/>
      <w:bookmarkStart w:id="1427" w:name="Tc_xFymAw0oJEKAoXXW2TC2Yg_5_3"/>
      <w:bookmarkStart w:id="1428" w:name="Tc_1K4cD7S-0E-TRlzfNKuIhg_5_0"/>
      <w:bookmarkStart w:id="1429" w:name="Tc_u_iwKiX_4Em9VFYZNycAxQ_4_5"/>
      <w:bookmarkStart w:id="1430" w:name="Tc_9ND5i7skQ0myG9Y8iOiHug_4_3"/>
      <w:bookmarkStart w:id="1431" w:name="Tc_sk8dXRkvjU2Fvkq9Viinhw_4_0"/>
      <w:bookmarkStart w:id="1432" w:name="Tc_C4BtWdOqhkCHeZJXK5sqBQ_3_5"/>
      <w:bookmarkStart w:id="1433" w:name="Tc_C4dnXg7W0UeOXrC_6CfHcg_3_3"/>
      <w:bookmarkStart w:id="1434" w:name="Tc_z3ERTn257kCTjsVAH0Rygw_3_0"/>
      <w:bookmarkStart w:id="1435" w:name="Tc_HCxbT0NyJ0uE38doLE4onQ_2_4"/>
      <w:bookmarkStart w:id="1436" w:name="Tc_C6dyQKswUUOKZL9H43OrQw_2_2"/>
      <w:bookmarkStart w:id="1437" w:name="Tc_W6rHr9677UqKSX6JXsn3IQ_1_2"/>
      <w:bookmarkStart w:id="1438" w:name="Tc_yGQXi1mDKEGWvbH-gCXKrA_6_5"/>
      <w:bookmarkStart w:id="1439" w:name="Tc_a1-T0i4kFE-ZQtGSC4LeeA_6_3"/>
      <w:bookmarkStart w:id="1440" w:name="Tc_Dd34DsGlD0W285iQXlFPcw_6_0"/>
      <w:bookmarkStart w:id="1441" w:name="Tc__mZMCa03VEWHIUICo-SnXA_5_5"/>
      <w:bookmarkStart w:id="1442" w:name="Tc_xFymAw0oJEKAoXXW2TC2Yg_5_3"/>
      <w:bookmarkStart w:id="1443" w:name="Tc_1K4cD7S-0E-TRlzfNKuIhg_5_0"/>
      <w:bookmarkStart w:id="1444" w:name="Tc_u_iwKiX_4Em9VFYZNycAxQ_4_5"/>
      <w:bookmarkStart w:id="1445" w:name="Tc_9ND5i7skQ0myG9Y8iOiHug_4_3"/>
      <w:bookmarkStart w:id="1446" w:name="Tc_sk8dXRkvjU2Fvkq9Viinhw_4_0"/>
      <w:bookmarkStart w:id="1447" w:name="Tc_C4BtWdOqhkCHeZJXK5sqBQ_3_5"/>
      <w:bookmarkStart w:id="1448" w:name="Tc_C4dnXg7W0UeOXrC_6CfHcg_3_3"/>
      <w:bookmarkStart w:id="1449" w:name="Tc_z3ERTn257kCTjsVAH0Rygw_3_0"/>
      <w:bookmarkStart w:id="1450" w:name="Tc_HCxbT0NyJ0uE38doLE4onQ_2_4"/>
      <w:bookmarkStart w:id="1451" w:name="Tc_C6dyQKswUUOKZL9H43OrQw_2_2"/>
      <w:bookmarkStart w:id="1452" w:name="Tc_W6rHr9677UqKSX6JXsn3IQ_1_2"/>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p>
    <w:tbl>
      <w:tblPr>
        <w:tblW w:w="3392" w:type="dxa"/>
        <w:jc w:val="left"/>
        <w:tblInd w:w="0" w:type="dxa"/>
        <w:tblLayout w:type="fixed"/>
        <w:tblCellMar>
          <w:top w:w="0" w:type="dxa"/>
          <w:left w:w="0" w:type="dxa"/>
          <w:bottom w:w="0" w:type="dxa"/>
          <w:right w:w="0" w:type="dxa"/>
        </w:tblCellMar>
      </w:tblPr>
      <w:tblGrid>
        <w:gridCol w:w="376"/>
        <w:gridCol w:w="301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14.</w:t>
            </w:r>
          </w:p>
        </w:tc>
        <w:tc>
          <w:tcPr>
            <w:tcW w:w="30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STOCK-BASED COMPENSATION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two stock-based compensation plans under which shares were available for grant at March 31, 2025: (i) the Monster Beverage Corporation 2020 Omnibus Incentive Plan, including the Monster Beverage Corporation Deferred Compensation Plan as a sub-plan thereunder, and (ii) the Monster Beverage Corporation 2017 Compensation Plan for Non-Employee Directors as Amended and Restated on February 23, 2022, including the Monster Beverage Corporation Deferred Compensation Plan for Non-Employee Directors as a sub-plan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$20.7 million and $22.5 million of compensation expense relating to outstanding options, restricted stock units, performance share units and other share-based awards during the three-months ended March 31,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tax benefit for tax deductions from non-qualified stock option exercises, disqualifying dispositions of incentive stock options and vesting of restricted stock units and performance share units for the three-months ended March 31, 2025 and 2024 was $7.2 million and $7.5 million,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Company’s stock-based compensation plans, all stock options granted as of March 31, 2025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weighted-average assumptions were used to estimate the fair value of options granted during:</w:t>
      </w:r>
    </w:p>
    <w:p>
      <w:pPr>
        <w:pStyle w:val="TextBody"/>
        <w:bidi w:val="0"/>
        <w:spacing w:before="0" w:after="0"/>
        <w:ind w:left="0" w:right="0" w:firstLine="720"/>
        <w:jc w:val="both"/>
        <w:rPr/>
      </w:pPr>
      <w:r>
        <w:rPr/>
        <w:t>​</w:t>
      </w:r>
    </w:p>
    <w:tbl>
      <w:tblPr>
        <w:tblW w:w="5488" w:type="dxa"/>
        <w:jc w:val="left"/>
        <w:tblInd w:w="0" w:type="dxa"/>
        <w:tblLayout w:type="fixed"/>
        <w:tblCellMar>
          <w:top w:w="0" w:type="dxa"/>
          <w:left w:w="0" w:type="dxa"/>
          <w:bottom w:w="0" w:type="dxa"/>
          <w:right w:w="0" w:type="dxa"/>
        </w:tblCellMar>
      </w:tblPr>
      <w:tblGrid>
        <w:gridCol w:w="1846"/>
        <w:gridCol w:w="326"/>
        <w:gridCol w:w="915"/>
        <w:gridCol w:w="915"/>
        <w:gridCol w:w="915"/>
        <w:gridCol w:w="5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172210" cy="175260"/>
                      <wp:effectExtent l="0" t="0" r="0" b="0"/>
                      <wp:wrapNone/>
                      <wp:docPr id="316" name="Frame316"/>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81025" cy="175260"/>
                      <wp:effectExtent l="0" t="0" r="0" b="0"/>
                      <wp:wrapNone/>
                      <wp:docPr id="318" name="Frame318"/>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81025" cy="175260"/>
                      <wp:effectExtent l="0" t="0" r="0" b="0"/>
                      <wp:wrapNone/>
                      <wp:docPr id="319" name="Frame319"/>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81025" cy="175260"/>
                      <wp:effectExtent l="0" t="0" r="0" b="0"/>
                      <wp:wrapNone/>
                      <wp:docPr id="320" name="Frame320"/>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62585" cy="175260"/>
                      <wp:effectExtent l="0" t="0" r="0" b="0"/>
                      <wp:wrapNone/>
                      <wp:docPr id="321" name="Frame3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4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March 31, </w:t>
            </w:r>
          </w:p>
        </w:tc>
        <w:tc>
          <w:tcPr>
            <w:tcW w:w="5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915" w:type="dxa"/>
            <w:tcBorders/>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571"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26"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The Company uses historical volatility as it provides a reasonable estimate of the expected volatility. Historical volatility is based on the most recent volatility of the stock price over a period of time equivalent to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The risk-free interest rate is based on the U.S. treasury zero-coupon yield curve in effect at the time of grant for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The Company’s expected term represents the weighted-average period that the Company’s stock options are 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453" w:name="Tc_VoCf5xnRHEKDfYvO2EfEoQ_7_4"/>
      <w:bookmarkStart w:id="1454" w:name="Tc_Swgw7p56ckS_0YmvdIebig_7_0"/>
      <w:bookmarkStart w:id="1455" w:name="Tc_evu1KL_cdk-RgTfvja1Uqg_6_4"/>
      <w:bookmarkStart w:id="1456" w:name="Tc_HrVPXUON9kK8hChlPSKTqA_6_0"/>
      <w:bookmarkStart w:id="1457" w:name="Tc_CFN6AsnZEEuYDKjLHU0xNg_5_4"/>
      <w:bookmarkStart w:id="1458" w:name="Tc_WGBeB1YgNkiXIEb-AVlN_Q_5_0"/>
      <w:bookmarkStart w:id="1459" w:name="Tc_H6fVIwpDDUmiqKghewD5aQ_4_4"/>
      <w:bookmarkStart w:id="1460" w:name="Tc_qAff1sNX5kGUg5LkanEr4Q_4_0"/>
      <w:bookmarkStart w:id="1461" w:name="Tc_T8M20dM3SUKegzwu8xvN2A_3_4"/>
      <w:bookmarkStart w:id="1462" w:name="Tc_Wi5G48pKdES9hR6c9_19JQ_3_0"/>
      <w:bookmarkStart w:id="1463" w:name="Tc_yvkPXkz7_Uag2jx8H1THow_2_4"/>
      <w:bookmarkStart w:id="1464" w:name="Tc_uoauMgrKHE-6P-3qOkbYYQ_2_2"/>
      <w:bookmarkStart w:id="1465" w:name="Tc_dgTs0p9FRUWplNdMlYmlQw_1_4"/>
      <w:bookmarkStart w:id="1466" w:name="Tc_LTObyRmMf0yJrO1bE0ricA_1_2"/>
      <w:bookmarkStart w:id="1467" w:name="_ca0314b6_f814_41ad_8c96_66c4002846ac"/>
      <w:bookmarkStart w:id="1468" w:name="Tc_WN6pv2_8H0SGVdCOflXL0w_13_9"/>
      <w:bookmarkStart w:id="1469" w:name="Tc_IBZyBgy3sEyIOfnAfg2pfw_13_4"/>
      <w:bookmarkStart w:id="1470" w:name="Tc_Lmz63eE-xUaqS1PJUCBK8A_13_0"/>
      <w:bookmarkStart w:id="1471" w:name="Tc_b1T6RhCicU-_4I7KEA4TwQ_12_9"/>
      <w:bookmarkStart w:id="1472" w:name="Tc_KBRgjuyWkUOoZRbyHnJsng_12_4"/>
      <w:bookmarkStart w:id="1473" w:name="Tc_UcSx9l7_VEShYPPg06LP3Q_12_0"/>
      <w:bookmarkStart w:id="1474" w:name="Tc_7cgX0WsRRkuzYF-ruwn6Dg_11_9"/>
      <w:bookmarkStart w:id="1475" w:name="Tc_qWVT2Io2w0udvi_zrblEtA_11_4"/>
      <w:bookmarkStart w:id="1476" w:name="Tc_VRdL0ljYkk65cSxLY9KgjQ_11_0"/>
      <w:bookmarkStart w:id="1477" w:name="Tc_FFy1JcilX0S0oMeNWwEAHg_10_4"/>
      <w:bookmarkStart w:id="1478" w:name="Tc_Nq0PjUDj5UmbjRHBryDoHA_10_0"/>
      <w:bookmarkStart w:id="1479" w:name="Tc_nv1RyulkNUi5pwj9mG02YQ_9_4"/>
      <w:bookmarkStart w:id="1480" w:name="Tc_JcGAL0_4302k3-gR0ijjMQ_9_0"/>
      <w:bookmarkStart w:id="1481" w:name="Tc_-wWDrsX7tk6l_sDXNo7v2A_8_4"/>
      <w:bookmarkStart w:id="1482" w:name="Tc__8z1WQVpZEeL0x1ve7q0KA_8_0"/>
      <w:bookmarkStart w:id="1483" w:name="Tc_t4yQOhfbT06eklK1-vhXZA_7_9"/>
      <w:bookmarkStart w:id="1484" w:name="Tc_FWioU-eObU2k2YomKanwPg_7_4"/>
      <w:bookmarkStart w:id="1485" w:name="Tc_Nqg-oFG640qbuebFMtjTPQ_7_0"/>
      <w:bookmarkStart w:id="1486" w:name="Tc_6wYeeLFJzkCkPCq33kG31A_6_9"/>
      <w:bookmarkStart w:id="1487" w:name="Tc_6vlEO4xVgESsXrMwSgLqJA_6_7"/>
      <w:bookmarkStart w:id="1488" w:name="Tc_1IGO8iwsJ0O-3F-vUSEXbg_6_4"/>
      <w:bookmarkStart w:id="1489" w:name="Tc_6421TeP910yn1jnBwq-XGg_6_2"/>
      <w:bookmarkStart w:id="1490" w:name="Tc_4LDm70qgLUSF4eorGNVYdg_6_0"/>
      <w:bookmarkStart w:id="1491" w:name="Tc_1j6LiG1UdUeKGl3ekrmrcw_5_9"/>
      <w:bookmarkStart w:id="1492" w:name="Tc_jDp6yI-slUaMdl0gfJLa2A_5_7"/>
      <w:bookmarkStart w:id="1493" w:name="Tc_xRGhJN8Ipk-rYcTlzl3AKg_5_4"/>
      <w:bookmarkStart w:id="1494" w:name="Tc_bOpJlWStOUOZaUG7ah5iCw_5_2"/>
      <w:bookmarkStart w:id="1495" w:name="Tc_aUbcxg4JRUSafgD0vBxhuQ_4_7"/>
      <w:bookmarkStart w:id="1496" w:name="Tc_1y4g7ATcL061-b8C4MfWhw_4_4"/>
      <w:bookmarkStart w:id="1497" w:name="Tc_a7WN8tZLPU6lUNFLyGO-5w_4_2"/>
      <w:bookmarkStart w:id="1498" w:name="Tc_2ux2WxUxvkSp3G9-_du4eQ_3_7"/>
      <w:bookmarkStart w:id="1499" w:name="Tc_nUsHINldBEuCBH_eCbM-CA_3_4"/>
      <w:bookmarkStart w:id="1500" w:name="Tc_P2n1kInuJ0-zNcA7XCP5Zg_2_7"/>
      <w:bookmarkStart w:id="1501" w:name="Tc_Uou3gSbcj0iuvpVEpAD32w_1_7"/>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r>
        <w:rPr>
          <w:rFonts w:ascii="Times New Roman;Times;serif" w:hAnsi="Times New Roman;Times;serif"/>
          <w:sz w:val="20"/>
        </w:rPr>
        <w:t>The following table summarizes the Company’s activities with respect to its stock option plans as follows: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4168"/>
        <w:gridCol w:w="326"/>
        <w:gridCol w:w="1193"/>
        <w:gridCol w:w="326"/>
        <w:gridCol w:w="316"/>
        <w:gridCol w:w="857"/>
        <w:gridCol w:w="326"/>
        <w:gridCol w:w="1066"/>
        <w:gridCol w:w="326"/>
        <w:gridCol w:w="249"/>
        <w:gridCol w:w="1052"/>
      </w:tblGrid>
      <w:tr>
        <w:trPr/>
        <w:tc>
          <w:tcPr>
            <w:tcW w:w="4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646680" cy="175260"/>
                      <wp:effectExtent l="0" t="0" r="0" b="0"/>
                      <wp:wrapNone/>
                      <wp:docPr id="322" name="Frame322"/>
                      <a:graphic xmlns:a="http://schemas.openxmlformats.org/drawingml/2006/main">
                        <a:graphicData uri="http://schemas.microsoft.com/office/word/2010/wordprocessingShape">
                          <wps:wsp>
                            <wps:cNvSpPr txBox="1"/>
                            <wps:spPr>
                              <a:xfrm>
                                <a:off x="0" y="0"/>
                                <a:ext cx="2646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757555" cy="175260"/>
                      <wp:effectExtent l="0" t="0" r="0" b="0"/>
                      <wp:wrapNone/>
                      <wp:docPr id="324" name="Frame324"/>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0660" cy="175260"/>
                      <wp:effectExtent l="0" t="0" r="0" b="0"/>
                      <wp:wrapNone/>
                      <wp:docPr id="326" name="Frame32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44195" cy="175260"/>
                      <wp:effectExtent l="0" t="0" r="0" b="0"/>
                      <wp:wrapNone/>
                      <wp:docPr id="327" name="Frame327"/>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76910" cy="175260"/>
                      <wp:effectExtent l="0" t="0" r="0" b="0"/>
                      <wp:wrapNone/>
                      <wp:docPr id="329" name="Frame32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58115" cy="175260"/>
                      <wp:effectExtent l="0" t="0" r="0" b="0"/>
                      <wp:wrapNone/>
                      <wp:docPr id="331" name="Frame33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68020" cy="175260"/>
                      <wp:effectExtent l="0" t="0" r="0" b="0"/>
                      <wp:wrapNone/>
                      <wp:docPr id="332" name="Frame332"/>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center"/>
              <w:rPr/>
            </w:pPr>
            <w:r>
              <w:rPr/>
              <w:t>​</w:t>
            </w:r>
          </w:p>
        </w:tc>
      </w:tr>
      <w:tr>
        <w:trPr/>
        <w:tc>
          <w:tcPr>
            <w:tcW w:w="41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73"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center"/>
              <w:rPr/>
            </w:pPr>
            <w:r>
              <w:rPr/>
              <w:t>​</w:t>
            </w:r>
          </w:p>
        </w:tc>
      </w:tr>
      <w:tr>
        <w:trPr/>
        <w:tc>
          <w:tcPr>
            <w:tcW w:w="41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7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Remaining</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center"/>
              <w:rPr/>
            </w:pPr>
            <w:r>
              <w:rPr/>
              <w:t>​</w:t>
            </w:r>
          </w:p>
        </w:tc>
      </w:tr>
      <w:tr>
        <w:trPr/>
        <w:tc>
          <w:tcPr>
            <w:tcW w:w="41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vAlign w:val="center"/>
          </w:tcPr>
          <w:p>
            <w:pPr>
              <w:pStyle w:val="TableContents"/>
              <w:bidi w:val="0"/>
              <w:spacing w:before="0" w:after="0"/>
              <w:ind w:left="0" w:right="0" w:hanging="0"/>
              <w:jc w:val="left"/>
              <w:rPr/>
            </w:pPr>
            <w:r>
              <w:rPr/>
              <w:t>​</w:t>
            </w:r>
          </w:p>
        </w:tc>
        <w:tc>
          <w:tcPr>
            <w:tcW w:w="117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Contractual</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center"/>
              <w:rPr/>
            </w:pPr>
            <w:r>
              <w:rPr/>
              <w:t>​</w:t>
            </w:r>
          </w:p>
        </w:tc>
        <w:tc>
          <w:tcPr>
            <w:tcW w:w="1052" w:type="dxa"/>
            <w:tcBorders/>
            <w:vAlign w:val="center"/>
          </w:tcPr>
          <w:p>
            <w:pPr>
              <w:pStyle w:val="TableContents"/>
              <w:bidi w:val="0"/>
              <w:spacing w:before="0" w:after="0"/>
              <w:ind w:left="0" w:right="0" w:hanging="0"/>
              <w:jc w:val="center"/>
              <w:rPr/>
            </w:pPr>
            <w:r>
              <w:rPr/>
              <w:t>​</w:t>
            </w:r>
          </w:p>
        </w:tc>
      </w:tr>
      <w:tr>
        <w:trPr/>
        <w:tc>
          <w:tcPr>
            <w:tcW w:w="41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w:t>
            </w:r>
          </w:p>
        </w:tc>
        <w:tc>
          <w:tcPr>
            <w:tcW w:w="326" w:type="dxa"/>
            <w:tcBorders/>
            <w:vAlign w:val="center"/>
          </w:tcPr>
          <w:p>
            <w:pPr>
              <w:pStyle w:val="TableContents"/>
              <w:bidi w:val="0"/>
              <w:spacing w:before="0" w:after="0"/>
              <w:ind w:left="0" w:right="0" w:hanging="0"/>
              <w:jc w:val="left"/>
              <w:rPr/>
            </w:pPr>
            <w:r>
              <w:rPr/>
              <w:t>​</w:t>
            </w:r>
          </w:p>
        </w:tc>
        <w:tc>
          <w:tcPr>
            <w:tcW w:w="117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w:t>
            </w:r>
          </w:p>
        </w:tc>
        <w:tc>
          <w:tcPr>
            <w:tcW w:w="326" w:type="dxa"/>
            <w:tcBorders/>
            <w:vAlign w:val="center"/>
          </w:tcPr>
          <w:p>
            <w:pPr>
              <w:pStyle w:val="TableContents"/>
              <w:bidi w:val="0"/>
              <w:spacing w:before="0" w:after="0"/>
              <w:ind w:left="0" w:right="0" w:hanging="0"/>
              <w:jc w:val="left"/>
              <w:rPr/>
            </w:pPr>
            <w:r>
              <w:rPr/>
              <w:t>​</w:t>
            </w:r>
          </w:p>
        </w:tc>
        <w:tc>
          <w:tcPr>
            <w:tcW w:w="13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41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Options</w:t>
            </w:r>
          </w:p>
        </w:tc>
        <w:tc>
          <w:tcPr>
            <w:tcW w:w="326" w:type="dxa"/>
            <w:tcBorders/>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left"/>
              <w:rPr/>
            </w:pPr>
            <w:r>
              <w:rPr/>
              <w:t>    </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 Share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years)</w:t>
            </w:r>
          </w:p>
        </w:tc>
        <w:tc>
          <w:tcPr>
            <w:tcW w:w="326" w:type="dxa"/>
            <w:tcBorders/>
            <w:vAlign w:val="center"/>
          </w:tcPr>
          <w:p>
            <w:pPr>
              <w:pStyle w:val="TableContents"/>
              <w:bidi w:val="0"/>
              <w:spacing w:before="0" w:after="0"/>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Intrinsic Value</w:t>
            </w:r>
          </w:p>
        </w:tc>
      </w:tr>
      <w:tr>
        <w:trPr/>
        <w:tc>
          <w:tcPr>
            <w:tcW w:w="4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2025</w:t>
            </w:r>
          </w:p>
        </w:tc>
        <w:tc>
          <w:tcPr>
            <w:tcW w:w="32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27,088</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400,207</w:t>
            </w:r>
          </w:p>
        </w:tc>
      </w:tr>
      <w:tr>
        <w:trPr/>
        <w:tc>
          <w:tcPr>
            <w:tcW w:w="4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01/01/25 - 03/31/25</w:t>
            </w:r>
          </w:p>
        </w:tc>
        <w:tc>
          <w:tcPr>
            <w:tcW w:w="326"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left"/>
              <w:rPr/>
            </w:pPr>
            <w:r>
              <w:rPr/>
              <w:t>​</w:t>
            </w:r>
          </w:p>
        </w:tc>
      </w:tr>
      <w:tr>
        <w:trPr/>
        <w:tc>
          <w:tcPr>
            <w:tcW w:w="4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27.42</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left"/>
              <w:rPr/>
            </w:pPr>
            <w:r>
              <w:rPr/>
              <w:t>​</w:t>
            </w:r>
          </w:p>
        </w:tc>
      </w:tr>
      <w:tr>
        <w:trPr/>
        <w:tc>
          <w:tcPr>
            <w:tcW w:w="4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 or forfeited</w:t>
            </w:r>
          </w:p>
        </w:tc>
        <w:tc>
          <w:tcPr>
            <w:tcW w:w="326" w:type="dxa"/>
            <w:tcBorders/>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50.99</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left"/>
              <w:rPr/>
            </w:pPr>
            <w:r>
              <w:rPr/>
              <w:t>​</w:t>
            </w:r>
          </w:p>
        </w:tc>
      </w:tr>
      <w:tr>
        <w:trPr/>
        <w:tc>
          <w:tcPr>
            <w:tcW w:w="4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26,541</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485,790</w:t>
            </w:r>
          </w:p>
        </w:tc>
      </w:tr>
      <w:tr>
        <w:trPr/>
        <w:tc>
          <w:tcPr>
            <w:tcW w:w="4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in the future at March 31, 2025</w:t>
            </w:r>
          </w:p>
        </w:tc>
        <w:tc>
          <w:tcPr>
            <w:tcW w:w="32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25,610</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40.05</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479,783</w:t>
            </w:r>
          </w:p>
        </w:tc>
      </w:tr>
      <w:tr>
        <w:trPr/>
        <w:tc>
          <w:tcPr>
            <w:tcW w:w="4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15,128</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397,032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options granted during the three-months ended March 31, 2025 and 2024 was $19.83 per share and $22.69 per share,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total intrinsic value of options exercised during the three-months ended March 31, 2025 and 2024 was $48.1 million and $47.6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received from option exercises under all plans for the three-months ended March 31, 2025 and 2024 was $48.1 million and $38.4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March 31, 2025, there was $162.1 million of total unrecognized compensation expense related to non-vested options granted to employees under the Company’s stock-based compensation plans. That cost is expected to be recognized over a weighted-average period of 3.2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Stock Units and Performance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activities with respect to non-vested restricted stock units and performance share units as follows:</w:t>
      </w:r>
    </w:p>
    <w:p>
      <w:pPr>
        <w:pStyle w:val="TextBody"/>
        <w:bidi w:val="0"/>
        <w:spacing w:before="0" w:after="0"/>
        <w:ind w:left="0" w:right="0" w:firstLine="720"/>
        <w:jc w:val="both"/>
        <w:rPr/>
      </w:pPr>
      <w:r>
        <w:rPr/>
        <w:t>​</w:t>
      </w:r>
    </w:p>
    <w:tbl>
      <w:tblPr>
        <w:tblW w:w="6999" w:type="dxa"/>
        <w:jc w:val="left"/>
        <w:tblInd w:w="0" w:type="dxa"/>
        <w:tblLayout w:type="fixed"/>
        <w:tblCellMar>
          <w:top w:w="0" w:type="dxa"/>
          <w:left w:w="0" w:type="dxa"/>
          <w:bottom w:w="0" w:type="dxa"/>
          <w:right w:w="0" w:type="dxa"/>
        </w:tblCellMar>
      </w:tblPr>
      <w:tblGrid>
        <w:gridCol w:w="2581"/>
        <w:gridCol w:w="326"/>
        <w:gridCol w:w="1531"/>
        <w:gridCol w:w="326"/>
        <w:gridCol w:w="530"/>
        <w:gridCol w:w="1705"/>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638935" cy="175260"/>
                      <wp:effectExtent l="0" t="0" r="0" b="0"/>
                      <wp:wrapNone/>
                      <wp:docPr id="333" name="Frame333"/>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972185" cy="175260"/>
                      <wp:effectExtent l="0" t="0" r="0" b="0"/>
                      <wp:wrapNone/>
                      <wp:docPr id="335" name="Frame335"/>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36550" cy="175260"/>
                      <wp:effectExtent l="0" t="0" r="0" b="0"/>
                      <wp:wrapNone/>
                      <wp:docPr id="337" name="Frame337"/>
                      <a:graphic xmlns:a="http://schemas.openxmlformats.org/drawingml/2006/main">
                        <a:graphicData uri="http://schemas.microsoft.com/office/word/2010/wordprocessingShape">
                          <wps:wsp>
                            <wps:cNvSpPr txBox="1"/>
                            <wps:spPr>
                              <a:xfrm>
                                <a:off x="0" y="0"/>
                                <a:ext cx="336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082675" cy="175260"/>
                      <wp:effectExtent l="0" t="0" r="0" b="0"/>
                      <wp:wrapNone/>
                      <wp:docPr id="338" name="Frame338"/>
                      <a:graphic xmlns:a="http://schemas.openxmlformats.org/drawingml/2006/main">
                        <a:graphicData uri="http://schemas.microsoft.com/office/word/2010/wordprocessingShape">
                          <wps:wsp>
                            <wps:cNvSpPr txBox="1"/>
                            <wps:spPr>
                              <a:xfrm>
                                <a:off x="0" y="0"/>
                                <a:ext cx="1082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 Shares</w:t>
            </w:r>
          </w:p>
        </w:tc>
        <w:tc>
          <w:tcPr>
            <w:tcW w:w="326" w:type="dxa"/>
            <w:tcBorders/>
            <w:vAlign w:val="center"/>
          </w:tcPr>
          <w:p>
            <w:pPr>
              <w:pStyle w:val="TableContents"/>
              <w:bidi w:val="0"/>
              <w:spacing w:before="0" w:after="0"/>
              <w:ind w:left="0" w:right="0" w:hanging="0"/>
              <w:jc w:val="left"/>
              <w:rPr/>
            </w:pPr>
            <w:r>
              <w:rPr/>
              <w:t>​</w:t>
            </w:r>
          </w:p>
        </w:tc>
        <w:tc>
          <w:tcPr>
            <w:tcW w:w="223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Weighted-Average Grant-</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left"/>
              <w:rPr/>
            </w:pPr>
            <w:r>
              <w:rPr/>
              <w:t>    </w:t>
            </w:r>
          </w:p>
        </w:tc>
        <w:tc>
          <w:tcPr>
            <w:tcW w:w="2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Fair Value</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46.16</w:t>
            </w:r>
          </w:p>
        </w:tc>
      </w:tr>
      <w:tr>
        <w:trPr/>
        <w:tc>
          <w:tcPr>
            <w:tcW w:w="25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Granted 01/01/25 - 03/31/25</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326"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55.08</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326"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Forfeited/cancelled </w:t>
            </w:r>
          </w:p>
        </w:tc>
        <w:tc>
          <w:tcPr>
            <w:tcW w:w="326" w:type="dxa"/>
            <w:tcBorders/>
            <w:vAlign w:val="center"/>
          </w:tcPr>
          <w:p>
            <w:pPr>
              <w:pStyle w:val="TableContents"/>
              <w:bidi w:val="0"/>
              <w:spacing w:before="0" w:after="0"/>
              <w:ind w:left="0" w:right="0" w:hanging="0"/>
              <w:jc w:val="left"/>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36.62</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w:t>
            </w:r>
          </w:p>
        </w:tc>
        <w:tc>
          <w:tcPr>
            <w:tcW w:w="326" w:type="dxa"/>
            <w:tcBorders/>
            <w:shd w:fill="CCEEFF" w:val="clear"/>
            <w:vAlign w:val="center"/>
          </w:tcPr>
          <w:p>
            <w:pPr>
              <w:pStyle w:val="TableContents"/>
              <w:bidi w:val="0"/>
              <w:spacing w:before="0" w:after="0"/>
              <w:ind w:left="0" w:right="0" w:hanging="0"/>
              <w:jc w:val="left"/>
              <w:rPr/>
            </w:pPr>
            <w:r>
              <w:rPr/>
              <w:t>​</w:t>
            </w:r>
          </w:p>
        </w:tc>
        <w:tc>
          <w:tcPr>
            <w:tcW w:w="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0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52.92</w:t>
            </w:r>
          </w:p>
        </w:tc>
      </w:tr>
    </w:tbl>
    <w:p>
      <w:pPr>
        <w:pStyle w:val="TextBody"/>
        <w:bidi w:val="0"/>
        <w:spacing w:before="0" w:after="0"/>
        <w:ind w:left="0" w:right="0" w:hanging="0"/>
        <w:jc w:val="left"/>
        <w:rPr/>
      </w:pPr>
      <w:r>
        <w:rPr/>
        <w:t>​</w:t>
      </w:r>
    </w:p>
    <w:p>
      <w:pPr>
        <w:pStyle w:val="TextBody"/>
        <w:bidi w:val="0"/>
        <w:spacing w:lineRule="auto" w:line="240" w:before="0" w:after="240"/>
        <w:ind w:left="108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The grant activity for performance share units is recorded based on the target performance level earning 100%</w:t>
      </w:r>
      <w:r>
        <w:rPr>
          <w:rFonts w:ascii="Times New Roman;Times;serif" w:hAnsi="Times New Roman;Times;serif"/>
          <w:sz w:val="18"/>
        </w:rPr>
        <w:t xml:space="preserve"> </w:t>
      </w:r>
      <w:r>
        <w:rPr>
          <w:rFonts w:ascii="Times New Roman;Times;serif" w:hAnsi="Times New Roman;Times;serif"/>
          <w:i/>
          <w:sz w:val="18"/>
        </w:rPr>
        <w:t>of target performance share units. The actual number of performance share units earned could range from 0%</w:t>
      </w:r>
      <w:r>
        <w:rPr>
          <w:rFonts w:ascii="Times New Roman;Times;serif" w:hAnsi="Times New Roman;Times;serif"/>
          <w:sz w:val="18"/>
        </w:rPr>
        <w:t xml:space="preserve"> </w:t>
      </w:r>
      <w:r>
        <w:rPr>
          <w:rFonts w:ascii="Times New Roman;Times;serif" w:hAnsi="Times New Roman;Times;serif"/>
          <w:i/>
          <w:sz w:val="18"/>
        </w:rPr>
        <w:t>to 200%</w:t>
      </w:r>
      <w:r>
        <w:rPr>
          <w:rFonts w:ascii="Times New Roman;Times;serif" w:hAnsi="Times New Roman;Times;serif"/>
          <w:sz w:val="18"/>
        </w:rPr>
        <w:t xml:space="preserve"> </w:t>
      </w:r>
      <w:r>
        <w:rPr>
          <w:rFonts w:ascii="Times New Roman;Times;serif" w:hAnsi="Times New Roman;Times;serif"/>
          <w:i/>
          <w:sz w:val="18"/>
        </w:rPr>
        <w:t>of target depending on the achievement of pre-established performance goals.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restricted stock units and/or performance share units granted during the three-months ended March 31, 2025 and 2024 was $55.08 and $60.27 per share,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2025, 1.9 million of restricted stock units and performance share units are expected to vest over their respective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March 31, 2025, total unrecognized compensation expense relating to non-vested restricted stock units and performance share units was $81.0 million, which is expected to be recognized over a weighted-average period of 2.5 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Share-Based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March 31, 2025, other share-based awards outstanding included grants that vest over three years payable in the first quarters of 2026, 2027 and 2028.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March 31, 2025, there was no unrecognized compensation expense related to nonvested other share-based awards granted to employees under the Company’s stock-based compensation plans.</w:t>
      </w:r>
    </w:p>
    <w:p>
      <w:pPr>
        <w:pStyle w:val="Normal"/>
        <w:bidi w:val="0"/>
        <w:spacing w:before="0" w:after="0"/>
        <w:jc w:val="left"/>
        <w:rPr>
          <w:sz w:val="4"/>
          <w:szCs w:val="4"/>
        </w:rPr>
      </w:pPr>
      <w:r>
        <w:rPr>
          <w:sz w:val="4"/>
          <w:szCs w:val="4"/>
        </w:rPr>
      </w:r>
      <w:bookmarkStart w:id="1502" w:name="Tc_ixCswnn77E2WLcuTzS5YXg_7_2"/>
      <w:bookmarkStart w:id="1503" w:name="Tc_HlhXkeUZJk-nEsd_ceCxmQ_7_0"/>
      <w:bookmarkStart w:id="1504" w:name="Tc_z8NUdfReAkuD45bxDRlMUA_6_0"/>
      <w:bookmarkStart w:id="1505" w:name="Tc_VO76zfkVmkCeC8S-NGeESA_5_0"/>
      <w:bookmarkStart w:id="1506" w:name="Tc_HB3Wt8ECE0S4qPsadDl0wA_4_0"/>
      <w:bookmarkStart w:id="1507" w:name="Tc_9gKdcP81aU6jH4m90Z5IgQ_3_2"/>
      <w:bookmarkStart w:id="1508" w:name="Tc_u7KE-n8KBE2XfMb-vkq4qg_3_0"/>
      <w:bookmarkStart w:id="1509" w:name="Tc_yrWKhbJSkEWy-_5aXVxsSw_2_2"/>
      <w:bookmarkStart w:id="1510" w:name="Tc_MglS4rl4dU-0lVkRmFR7eQ_1_2"/>
      <w:bookmarkStart w:id="1511" w:name="Tc_ixCswnn77E2WLcuTzS5YXg_7_2"/>
      <w:bookmarkStart w:id="1512" w:name="Tc_HlhXkeUZJk-nEsd_ceCxmQ_7_0"/>
      <w:bookmarkStart w:id="1513" w:name="Tc_z8NUdfReAkuD45bxDRlMUA_6_0"/>
      <w:bookmarkStart w:id="1514" w:name="Tc_VO76zfkVmkCeC8S-NGeESA_5_0"/>
      <w:bookmarkStart w:id="1515" w:name="Tc_HB3Wt8ECE0S4qPsadDl0wA_4_0"/>
      <w:bookmarkStart w:id="1516" w:name="Tc_9gKdcP81aU6jH4m90Z5IgQ_3_2"/>
      <w:bookmarkStart w:id="1517" w:name="Tc_u7KE-n8KBE2XfMb-vkq4qg_3_0"/>
      <w:bookmarkStart w:id="1518" w:name="Tc_yrWKhbJSkEWy-_5aXVxsSw_2_2"/>
      <w:bookmarkStart w:id="1519" w:name="Tc_MglS4rl4dU-0lVkRmFR7eQ_1_2"/>
      <w:bookmarkEnd w:id="1511"/>
      <w:bookmarkEnd w:id="1512"/>
      <w:bookmarkEnd w:id="1513"/>
      <w:bookmarkEnd w:id="1514"/>
      <w:bookmarkEnd w:id="1515"/>
      <w:bookmarkEnd w:id="1516"/>
      <w:bookmarkEnd w:id="1517"/>
      <w:bookmarkEnd w:id="1518"/>
      <w:bookmarkEnd w:id="1519"/>
    </w:p>
    <w:tbl>
      <w:tblPr>
        <w:tblW w:w="1952" w:type="dxa"/>
        <w:jc w:val="left"/>
        <w:tblInd w:w="0" w:type="dxa"/>
        <w:tblLayout w:type="fixed"/>
        <w:tblCellMar>
          <w:top w:w="0" w:type="dxa"/>
          <w:left w:w="0" w:type="dxa"/>
          <w:bottom w:w="0" w:type="dxa"/>
          <w:right w:w="0" w:type="dxa"/>
        </w:tblCellMar>
      </w:tblPr>
      <w:tblGrid>
        <w:gridCol w:w="376"/>
        <w:gridCol w:w="157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15.</w:t>
            </w:r>
          </w:p>
        </w:tc>
        <w:tc>
          <w:tcPr>
            <w:tcW w:w="15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INCOME TAXES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roll-forward of the Company’s total gross unrecognized tax benefits, not including interest and penalties, for the three-months ended March 31, 2025:</w:t>
      </w:r>
    </w:p>
    <w:p>
      <w:pPr>
        <w:pStyle w:val="TextBody"/>
        <w:bidi w:val="0"/>
        <w:spacing w:before="0" w:after="0"/>
        <w:ind w:left="0" w:right="0" w:firstLine="720"/>
        <w:jc w:val="both"/>
        <w:rPr/>
      </w:pPr>
      <w:r>
        <w:rPr/>
        <w:t>​</w:t>
      </w:r>
    </w:p>
    <w:tbl>
      <w:tblPr>
        <w:tblW w:w="6568" w:type="dxa"/>
        <w:jc w:val="left"/>
        <w:tblInd w:w="0" w:type="dxa"/>
        <w:tblLayout w:type="fixed"/>
        <w:tblCellMar>
          <w:top w:w="0" w:type="dxa"/>
          <w:left w:w="0" w:type="dxa"/>
          <w:bottom w:w="0" w:type="dxa"/>
          <w:right w:w="0" w:type="dxa"/>
        </w:tblCellMar>
      </w:tblPr>
      <w:tblGrid>
        <w:gridCol w:w="4411"/>
        <w:gridCol w:w="326"/>
        <w:gridCol w:w="435"/>
        <w:gridCol w:w="139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800985" cy="175260"/>
                      <wp:effectExtent l="0" t="0" r="0" b="0"/>
                      <wp:wrapNone/>
                      <wp:docPr id="339" name="Frame339"/>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76225" cy="175260"/>
                      <wp:effectExtent l="0" t="0" r="0" b="0"/>
                      <wp:wrapNone/>
                      <wp:docPr id="341" name="Frame341"/>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886460" cy="175260"/>
                      <wp:effectExtent l="0" t="0" r="0" b="0"/>
                      <wp:wrapNone/>
                      <wp:docPr id="342" name="Frame342"/>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3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 Unrecognized </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Tax Benefits</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2,626</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2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prior years</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for tax positions related to the prior years</w:t>
            </w:r>
          </w:p>
        </w:tc>
        <w:tc>
          <w:tcPr>
            <w:tcW w:w="326" w:type="dxa"/>
            <w:tcBorders/>
            <w:vAlign w:val="center"/>
          </w:tcPr>
          <w:p>
            <w:pPr>
              <w:pStyle w:val="TableContents"/>
              <w:bidi w:val="0"/>
              <w:spacing w:before="0" w:after="0"/>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2,626</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accrued interest and penalties related to unrecognized tax benefits in the provision for income taxes in the Company’s condensed consolidated financial statements. As of March 31, 2025, the Company had approximately $0.7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subject to U.S. federal income tax as well as to income tax in multiple state and foreign jurisdictions.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in various stages of examination with certain states and certain foreign jurisdictions. The Company’s 2021 through 2024 U.S. federal income tax returns are subject to examination by the IRS. The Company’s state income tax returns are subject to examination for the 2019 through 2024 tax years. The United Kingdom and Ireland income tax returns are subject to examination for the 2020 through 2024 tax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1520" w:name="Tc_a9nXzTRbIkyHxoD2NB9BLw_7_0"/>
      <w:bookmarkStart w:id="1521" w:name="Tc_XRBiv5E1KUa0UbsCc5e2qg_6_0"/>
      <w:bookmarkStart w:id="1522" w:name="Tc_BWJKS7NfXEmXHDzSDAJxYA_5_0"/>
      <w:bookmarkStart w:id="1523" w:name="Tc_0v6G8wWfIUae9hd4jFaaaw_4_0"/>
      <w:bookmarkStart w:id="1524" w:name="Tc_daUohE3RKUeCbdlX3HrDcQ_3_4"/>
      <w:bookmarkStart w:id="1525" w:name="Tc_BJ1PSWJodkGD1MVS-94RuA_3_2"/>
      <w:bookmarkStart w:id="1526" w:name="Tc_rgLsxjVFLUGZrKzDnmgT-A_2_2"/>
      <w:bookmarkStart w:id="1527" w:name="Tc_KTjbMcuDO0yr3mAvAV14oA_1_2"/>
      <w:bookmarkStart w:id="1528" w:name="_eddd514f_331a_4132_8b29_0f5b0858f646"/>
      <w:bookmarkStart w:id="1529" w:name="Tc_a9nXzTRbIkyHxoD2NB9BLw_7_0"/>
      <w:bookmarkStart w:id="1530" w:name="Tc_XRBiv5E1KUa0UbsCc5e2qg_6_0"/>
      <w:bookmarkStart w:id="1531" w:name="Tc_BWJKS7NfXEmXHDzSDAJxYA_5_0"/>
      <w:bookmarkStart w:id="1532" w:name="Tc_0v6G8wWfIUae9hd4jFaaaw_4_0"/>
      <w:bookmarkStart w:id="1533" w:name="Tc_daUohE3RKUeCbdlX3HrDcQ_3_4"/>
      <w:bookmarkStart w:id="1534" w:name="Tc_BJ1PSWJodkGD1MVS-94RuA_3_2"/>
      <w:bookmarkStart w:id="1535" w:name="Tc_rgLsxjVFLUGZrKzDnmgT-A_2_2"/>
      <w:bookmarkStart w:id="1536" w:name="Tc_KTjbMcuDO0yr3mAvAV14oA_1_2"/>
      <w:bookmarkStart w:id="1537" w:name="_eddd514f_331a_4132_8b29_0f5b0858f646"/>
      <w:bookmarkEnd w:id="1529"/>
      <w:bookmarkEnd w:id="1530"/>
      <w:bookmarkEnd w:id="1531"/>
      <w:bookmarkEnd w:id="1532"/>
      <w:bookmarkEnd w:id="1533"/>
      <w:bookmarkEnd w:id="1534"/>
      <w:bookmarkEnd w:id="1535"/>
      <w:bookmarkEnd w:id="1536"/>
      <w:bookmarkEnd w:id="1537"/>
    </w:p>
    <w:tbl>
      <w:tblPr>
        <w:tblW w:w="2567" w:type="dxa"/>
        <w:jc w:val="left"/>
        <w:tblInd w:w="0" w:type="dxa"/>
        <w:tblLayout w:type="fixed"/>
        <w:tblCellMar>
          <w:top w:w="0" w:type="dxa"/>
          <w:left w:w="0" w:type="dxa"/>
          <w:bottom w:w="0" w:type="dxa"/>
          <w:right w:w="0" w:type="dxa"/>
        </w:tblCellMar>
      </w:tblPr>
      <w:tblGrid>
        <w:gridCol w:w="376"/>
        <w:gridCol w:w="219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16.</w:t>
            </w:r>
          </w:p>
        </w:tc>
        <w:tc>
          <w:tcPr>
            <w:tcW w:w="21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EARNINGS PER SHARE</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reconciliation of the weighted-average shares used in the basic and diluted earnings per common share computations is presented below (in thousands):</w:t>
      </w:r>
    </w:p>
    <w:p>
      <w:pPr>
        <w:pStyle w:val="TextBody"/>
        <w:bidi w:val="0"/>
        <w:spacing w:before="0" w:after="0"/>
        <w:ind w:left="0" w:right="0" w:firstLine="720"/>
        <w:jc w:val="both"/>
        <w:rPr/>
      </w:pPr>
      <w:r>
        <w:rPr/>
        <w:t>​</w:t>
      </w:r>
    </w:p>
    <w:tbl>
      <w:tblPr>
        <w:tblW w:w="5695" w:type="dxa"/>
        <w:jc w:val="left"/>
        <w:tblInd w:w="0" w:type="dxa"/>
        <w:tblLayout w:type="fixed"/>
        <w:tblCellMar>
          <w:top w:w="0" w:type="dxa"/>
          <w:left w:w="0" w:type="dxa"/>
          <w:bottom w:w="0" w:type="dxa"/>
          <w:right w:w="0" w:type="dxa"/>
        </w:tblCellMar>
      </w:tblPr>
      <w:tblGrid>
        <w:gridCol w:w="3226"/>
        <w:gridCol w:w="326"/>
        <w:gridCol w:w="781"/>
        <w:gridCol w:w="326"/>
        <w:gridCol w:w="103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48510" cy="175260"/>
                      <wp:effectExtent l="0" t="0" r="0" b="0"/>
                      <wp:wrapNone/>
                      <wp:docPr id="343" name="Frame343"/>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95935" cy="175260"/>
                      <wp:effectExtent l="0" t="0" r="0" b="0"/>
                      <wp:wrapNone/>
                      <wp:docPr id="345" name="Frame3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57860" cy="175260"/>
                      <wp:effectExtent l="0" t="0" r="0" b="0"/>
                      <wp:wrapNone/>
                      <wp:docPr id="347" name="Frame34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973,622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1,041,081</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10,201</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981,282</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1,051,282</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three-months ended March 31, 2025 and 2024, options and awards outstanding totaling 9.7 million shares and 5.0 million shares, respectively, were excluded from the calculations as their effect would have been antidilutive.</w:t>
      </w:r>
    </w:p>
    <w:p>
      <w:pPr>
        <w:pStyle w:val="TextBody"/>
        <w:bidi w:val="0"/>
        <w:spacing w:before="0" w:after="0"/>
        <w:ind w:left="0" w:right="0" w:firstLine="720"/>
        <w:jc w:val="both"/>
        <w:rPr/>
      </w:pPr>
      <w:r>
        <w:rPr/>
        <w:t>​</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17.</w:t>
            </w:r>
          </w:p>
        </w:tc>
        <w:tc>
          <w:tcPr>
            <w:tcW w:w="24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SEGMENT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four operating and reportable segments: (i) Monster Energy® Drinks segment, which is primarily comprised of the Company’s Monster Energy® drinks, Reign Total Body Fuel® high performance energy drinks, Reign Storm® total wellness energy drinks and Bang Energy® drinks, (ii) Strategic Brands segment, which is primarily comprised of the various energy drink brands acquired from TCCC in 2015 as well as the Company’s affordable energy brands, Predator® and Fury®, (iii) Alcohol Brands segment, which is comprised of various craft beers, FMBs and hard seltzers and (iv) Other segment, which is comprised of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Monster Energy® Drinks segment generates higher per case net operating revenues, but lower per case gross profit margin percentages than the Strategic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Alcohol Brands segment has lower gross profit margin percentages than the Monster Energy® Drinks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538" w:name="Tc_0fzp8c4yPUmtwP0CDLHM3g_20_17"/>
      <w:bookmarkStart w:id="1539" w:name="Tc_w0Ensp0bI0O52_Ct4hnTQw_20_14"/>
      <w:bookmarkStart w:id="1540" w:name="Tc__64Quv6bm0KTGH8XgTaHgQ_20_11"/>
      <w:bookmarkStart w:id="1541" w:name="Tc_1kBZ5yeDAEaGG4uUemt5zg_20_8"/>
      <w:bookmarkStart w:id="1542" w:name="Tc_5evbyrouw0WTpht2EYkgvw_20_5"/>
      <w:bookmarkStart w:id="1543" w:name="Tc_TQzmBzDzik-2Nvr_bzGDJQ_20_2"/>
      <w:bookmarkStart w:id="1544" w:name="Tc_QlL4kzhIYE6ooEjNfz1jXg_20_0"/>
      <w:bookmarkStart w:id="1545" w:name="Tc_O_RWlLx8UkajYDzEPDd1Kg_17_17"/>
      <w:bookmarkStart w:id="1546" w:name="Tc_lytkR5eSsUi_aJqpjbGGKQ_17_0"/>
      <w:bookmarkStart w:id="1547" w:name="Tc_qlxvlZ7g-kiyJ8qScd40zQ_15_0"/>
      <w:bookmarkStart w:id="1548" w:name="Tc_SaX_MxfqT0m7gt-S9v_35A_13_0"/>
      <w:bookmarkStart w:id="1549" w:name="Tc_O2ityPRPDEuu4VlUwdQd4w_12_0"/>
      <w:bookmarkStart w:id="1550" w:name="Tc_gJSAPsdBzkiEXOKPq5rKPQ_11_0"/>
      <w:bookmarkStart w:id="1551" w:name="Tc_dVcRjxiR8EqBRL9dGXPGWQ_10_15"/>
      <w:bookmarkStart w:id="1552" w:name="Tc_R3jwPxudKEmbCmCEprd6nA_10_0"/>
      <w:bookmarkStart w:id="1553" w:name="Tc_sVVCTMv1LUq0-nZvF8vOMA_9_15"/>
      <w:bookmarkStart w:id="1554" w:name="Tc_pwxzl8ZaUkeYwvRNWDHAUg_9_12"/>
      <w:bookmarkStart w:id="1555" w:name="Tc_Dl4YRKDJzkGqzJyk6IQOgg_9_0"/>
      <w:bookmarkStart w:id="1556" w:name="Tc_qBjljQ-Q1kikHQ0M9QhFkg_7_15"/>
      <w:bookmarkStart w:id="1557" w:name="Tc_6Sx8zJ1JokSiRouwtrQMRg_7_0"/>
      <w:bookmarkStart w:id="1558" w:name="Tc_n2Zo8ZEyEkOV5PwmAEEyog_6_15"/>
      <w:bookmarkStart w:id="1559" w:name="Tc_q4wbfvRtZUuCETM2PSEqBw_6_0"/>
      <w:bookmarkStart w:id="1560" w:name="Tc_RwbkRxMJY0aC2LTpryRgMg_4_17"/>
      <w:bookmarkStart w:id="1561" w:name="Tc_Lo55VwGGz0icpNeJleD1cw_4_15"/>
      <w:bookmarkStart w:id="1562" w:name="Tc_2f-Z3vrjLUm2wpp4L63Dvg_4_14"/>
      <w:bookmarkStart w:id="1563" w:name="Tc_fLkbotR-5Uat-udd09lQ1Q_4_11"/>
      <w:bookmarkStart w:id="1564" w:name="Tc_EFPEKu4zJ0aN02qDDnbMjA_4_8"/>
      <w:bookmarkStart w:id="1565" w:name="Tc_9wn-NsIxlUOA8Ra4F3D7UA_4_5"/>
      <w:bookmarkStart w:id="1566" w:name="Tc_AZfGZR5UOEaitog07FTvdA_4_2"/>
      <w:bookmarkStart w:id="1567" w:name="Tc_gcL1tlmctU62vrgh43BZGg_4_0"/>
      <w:bookmarkStart w:id="1568" w:name="Tc_Axkc6K0uYk288U62yc3QaQ_3_17"/>
      <w:bookmarkStart w:id="1569" w:name="Tc_0gqsFEfgE0aLMDdUpYej4g_3_14"/>
      <w:bookmarkStart w:id="1570" w:name="Tc_-eUl7V7VrUuPJ_w2MHdqdA_3_11"/>
      <w:bookmarkStart w:id="1571" w:name="Tc_B_O5HxJinEOB8eO9sEcCbw_3_8"/>
      <w:bookmarkStart w:id="1572" w:name="Tc_mWf4ZIdPHUOIfpmi8twEPQ_3_5"/>
      <w:bookmarkStart w:id="1573" w:name="Tc_B-d_cbqk8UKdp70VHR_j7Q_3_2"/>
      <w:bookmarkStart w:id="1574" w:name="Tc_IPFwc1I64EqOu_H_7CCYqw_2_14"/>
      <w:bookmarkStart w:id="1575" w:name="Tc_6FLMPY-qw0mYCRWa9viGmQ_2_8"/>
      <w:bookmarkStart w:id="1576" w:name="Tc_bcPFQwYxz0uxhq3tMlDhTg_2_5"/>
      <w:bookmarkStart w:id="1577" w:name="Tc_t84bMCFv8k-r0lBT0E3wig_2_2"/>
      <w:bookmarkStart w:id="1578" w:name="Tc_V-_VyRzqNk2riT3IhaSAqw_1_2"/>
      <w:bookmarkStart w:id="1579" w:name="_dde2e7e6_9afc_434f_913b_af5a2c3abdeb"/>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r>
        <w:rPr>
          <w:rFonts w:ascii="Times New Roman;Times;serif" w:hAnsi="Times New Roman;Times;serif"/>
          <w:sz w:val="20"/>
        </w:rPr>
        <w:t>The Company’s chief operating decision makers are the co-chief executive officers (the “Executive Committee”). The Executive Committee assesses segments’ performance by using each segments’ operating income and considers budget-to-actual variances on a periodic basis (at least quarterly) when making decisions about operational planning, including whether to invest resources into the segments or into other parts of the Company. Further, the Executive Committee uses segments’ operating income when comparing the results of each segment with one another.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tables below provide information about the Company’s reportable segments, including the corporate and unallocated category.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Three-Months Ended March 31, 2025</w:t>
      </w:r>
    </w:p>
    <w:tbl>
      <w:tblPr>
        <w:tblW w:w="10205" w:type="dxa"/>
        <w:jc w:val="left"/>
        <w:tblInd w:w="0" w:type="dxa"/>
        <w:tblLayout w:type="fixed"/>
        <w:tblCellMar>
          <w:top w:w="0" w:type="dxa"/>
          <w:left w:w="0" w:type="dxa"/>
          <w:bottom w:w="0" w:type="dxa"/>
          <w:right w:w="0" w:type="dxa"/>
        </w:tblCellMar>
      </w:tblPr>
      <w:tblGrid>
        <w:gridCol w:w="1973"/>
        <w:gridCol w:w="326"/>
        <w:gridCol w:w="211"/>
        <w:gridCol w:w="931"/>
        <w:gridCol w:w="326"/>
        <w:gridCol w:w="211"/>
        <w:gridCol w:w="676"/>
        <w:gridCol w:w="326"/>
        <w:gridCol w:w="211"/>
        <w:gridCol w:w="746"/>
        <w:gridCol w:w="326"/>
        <w:gridCol w:w="211"/>
        <w:gridCol w:w="571"/>
        <w:gridCol w:w="326"/>
        <w:gridCol w:w="252"/>
        <w:gridCol w:w="1009"/>
        <w:gridCol w:w="326"/>
        <w:gridCol w:w="221"/>
        <w:gridCol w:w="1026"/>
      </w:tblGrid>
      <w:tr>
        <w:trPr/>
        <w:tc>
          <w:tcPr>
            <w:tcW w:w="1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252855" cy="175260"/>
                      <wp:effectExtent l="0" t="0" r="0" b="0"/>
                      <wp:wrapNone/>
                      <wp:docPr id="348" name="Frame348"/>
                      <a:graphic xmlns:a="http://schemas.openxmlformats.org/drawingml/2006/main">
                        <a:graphicData uri="http://schemas.microsoft.com/office/word/2010/wordprocessingShape">
                          <wps:wsp>
                            <wps:cNvSpPr txBox="1"/>
                            <wps:spPr>
                              <a:xfrm>
                                <a:off x="0" y="0"/>
                                <a:ext cx="1252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91185" cy="175260"/>
                      <wp:effectExtent l="0" t="0" r="0" b="0"/>
                      <wp:wrapNone/>
                      <wp:docPr id="351" name="Frame3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29260" cy="175260"/>
                      <wp:effectExtent l="0" t="0" r="0" b="0"/>
                      <wp:wrapNone/>
                      <wp:docPr id="354" name="Frame3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73710" cy="175260"/>
                      <wp:effectExtent l="0" t="0" r="0" b="0"/>
                      <wp:wrapNone/>
                      <wp:docPr id="357" name="Frame357"/>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362585" cy="175260"/>
                      <wp:effectExtent l="0" t="0" r="0" b="0"/>
                      <wp:wrapNone/>
                      <wp:docPr id="360" name="Frame3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60020" cy="175260"/>
                      <wp:effectExtent l="0" t="0" r="0" b="0"/>
                      <wp:wrapNone/>
                      <wp:docPr id="362" name="Frame36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0715" cy="175260"/>
                      <wp:effectExtent l="0" t="0" r="0" b="0"/>
                      <wp:wrapNone/>
                      <wp:docPr id="363" name="Frame363"/>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40335" cy="175260"/>
                      <wp:effectExtent l="0" t="0" r="0" b="0"/>
                      <wp:wrapNone/>
                      <wp:docPr id="365" name="Frame36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51510" cy="175260"/>
                      <wp:effectExtent l="0" t="0" r="0" b="0"/>
                      <wp:wrapNone/>
                      <wp:docPr id="366" name="Frame366"/>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6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1"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r>
      <w:tr>
        <w:trPr/>
        <w:tc>
          <w:tcPr>
            <w:tcW w:w="19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lineRule="auto" w:line="240" w:before="0" w:after="0"/>
              <w:ind w:left="0" w:right="0" w:hanging="0"/>
              <w:jc w:val="center"/>
              <w:rPr/>
            </w:pPr>
            <w:r>
              <w:rPr/>
              <w:t> </w:t>
            </w:r>
            <w:r>
              <w:rPr>
                <w:rFonts w:ascii="Times New Roman;Times;serif" w:hAnsi="Times New Roman;Times;serif"/>
                <w:sz w:val="20"/>
              </w:rPr>
              <w:t>Energy® </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center"/>
              <w:rPr/>
            </w:pPr>
            <w:r>
              <w:rPr/>
              <w:t>​</w:t>
            </w:r>
          </w:p>
        </w:tc>
        <w:tc>
          <w:tcPr>
            <w:tcW w:w="95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w:t>
            </w:r>
          </w:p>
        </w:tc>
        <w:tc>
          <w:tcPr>
            <w:tcW w:w="32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r>
      <w:tr>
        <w:trPr/>
        <w:tc>
          <w:tcPr>
            <w:tcW w:w="19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w:t>
            </w:r>
          </w:p>
        </w:tc>
      </w:tr>
      <w:tr>
        <w:trPr/>
        <w:tc>
          <w:tcPr>
            <w:tcW w:w="197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1,715,548</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98,332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5,975</w:t>
            </w:r>
          </w:p>
        </w:tc>
        <w:tc>
          <w:tcPr>
            <w:tcW w:w="32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1,854,558</w:t>
            </w:r>
          </w:p>
        </w:tc>
      </w:tr>
      <w:tr>
        <w:trPr/>
        <w:tc>
          <w:tcPr>
            <w:tcW w:w="19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left"/>
              <w:rPr/>
            </w:pPr>
            <w:r>
              <w:rPr/>
              <w:t>​</w:t>
            </w:r>
          </w:p>
        </w:tc>
      </w:tr>
      <w:tr>
        <w:trPr/>
        <w:tc>
          <w:tcPr>
            <w:tcW w:w="19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745,696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30,687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4,777</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9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969,852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67,645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1,047,962</w:t>
            </w:r>
          </w:p>
        </w:tc>
      </w:tr>
      <w:tr>
        <w:trPr/>
        <w:tc>
          <w:tcPr>
            <w:tcW w:w="19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19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pPr>
            <w:r>
              <w:rPr/>
              <w:t>  </w:t>
            </w:r>
          </w:p>
        </w:tc>
      </w:tr>
      <w:tr>
        <w:trPr/>
        <w:tc>
          <w:tcPr>
            <w:tcW w:w="19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154,534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10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right"/>
              <w:rPr/>
            </w:pPr>
            <w:r>
              <w:rPr/>
              <w:t>​</w:t>
            </w:r>
          </w:p>
        </w:tc>
        <w:tc>
          <w:tcPr>
            <w:tcW w:w="1026" w:type="dxa"/>
            <w:tcBorders/>
            <w:shd w:fill="CCEEFF" w:val="clear"/>
            <w:vAlign w:val="center"/>
          </w:tcPr>
          <w:p>
            <w:pPr>
              <w:pStyle w:val="TableContents"/>
              <w:bidi w:val="0"/>
              <w:spacing w:before="0" w:after="0"/>
              <w:ind w:left="0" w:right="0" w:hanging="0"/>
              <w:jc w:val="right"/>
              <w:rPr/>
            </w:pPr>
            <w:r>
              <w:rPr/>
              <w:t>  </w:t>
            </w:r>
          </w:p>
        </w:tc>
      </w:tr>
      <w:tr>
        <w:trPr/>
        <w:tc>
          <w:tcPr>
            <w:tcW w:w="19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42,807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97,101</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pPr>
            <w:r>
              <w:rPr/>
              <w:t>  </w:t>
            </w:r>
          </w:p>
        </w:tc>
      </w:tr>
      <w:tr>
        <w:trPr/>
        <w:tc>
          <w:tcPr>
            <w:tcW w:w="197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44,148</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97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680,352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(141,249)</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569,745</w:t>
            </w:r>
          </w:p>
        </w:tc>
      </w:tr>
      <w:tr>
        <w:trPr/>
        <w:tc>
          <w:tcPr>
            <w:tcW w:w="19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19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8,272</w:t>
            </w:r>
          </w:p>
        </w:tc>
      </w:tr>
      <w:tr>
        <w:trPr/>
        <w:tc>
          <w:tcPr>
            <w:tcW w:w="19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9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4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100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578,017</w:t>
            </w:r>
          </w:p>
        </w:tc>
      </w:tr>
      <w:tr>
        <w:trPr/>
        <w:tc>
          <w:tcPr>
            <w:tcW w:w="19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r>
      <w:tr>
        <w:trPr/>
        <w:tc>
          <w:tcPr>
            <w:tcW w:w="19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left"/>
              <w:rPr/>
            </w:pPr>
            <w:r>
              <w:rPr/>
              <w:t>​</w:t>
            </w:r>
          </w:p>
        </w:tc>
      </w:tr>
      <w:tr>
        <w:trPr/>
        <w:tc>
          <w:tcPr>
            <w:tcW w:w="19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2,746</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24,848</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i/>
          <w:sz w:val="15"/>
        </w:rPr>
        <w:t>1</w:t>
      </w:r>
      <w:r>
        <w:rPr>
          <w:rFonts w:ascii="Times New Roman;Times;serif" w:hAnsi="Times New Roman;Times;serif"/>
          <w:sz w:val="20"/>
        </w:rPr>
        <w:t xml:space="preserve"> </w:t>
      </w:r>
      <w:r>
        <w:rPr>
          <w:rFonts w:ascii="Times New Roman;Times;serif" w:hAnsi="Times New Roman;Times;serif"/>
          <w:i/>
          <w:sz w:val="20"/>
        </w:rPr>
        <w:t>For the Monster Energy® Drinks segment, includes $9.9</w:t>
      </w:r>
      <w:r>
        <w:rPr>
          <w:rFonts w:ascii="Times New Roman;Times;serif" w:hAnsi="Times New Roman;Times;serif"/>
          <w:sz w:val="20"/>
        </w:rPr>
        <w:t xml:space="preserve"> </w:t>
      </w:r>
      <w:r>
        <w:rPr>
          <w:rFonts w:ascii="Times New Roman;Times;serif" w:hAnsi="Times New Roman;Times;serif"/>
          <w:i/>
          <w:sz w:val="20"/>
        </w:rPr>
        <w:t>million related to the recognition of deferred revenue.</w:t>
        <w:br/>
      </w:r>
      <w:r>
        <w:rPr>
          <w:rFonts w:ascii="Times New Roman;Times;serif" w:hAnsi="Times New Roman;Times;serif"/>
          <w:sz w:val="20"/>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i/>
          <w:sz w:val="15"/>
        </w:rPr>
        <w:t>2</w:t>
      </w:r>
      <w:r>
        <w:rPr>
          <w:rFonts w:ascii="Times New Roman;Times;serif" w:hAnsi="Times New Roman;Times;serif"/>
          <w:sz w:val="20"/>
        </w:rPr>
        <w:t xml:space="preserve"> </w:t>
      </w:r>
      <w:r>
        <w:rPr>
          <w:rFonts w:ascii="Times New Roman;Times;serif" w:hAnsi="Times New Roman;Times;serif"/>
          <w:i/>
          <w:sz w:val="20"/>
        </w:rPr>
        <w:t>Other segment items for each reportable segment include:</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Monster Energy® Drinks - travel and entertainment expense, professional services expense, and certain overhead expenses</w:t>
      </w:r>
    </w:p>
    <w:p>
      <w:pPr>
        <w:pStyle w:val="TextBody"/>
        <w:bidi w:val="0"/>
        <w:spacing w:before="0" w:after="0"/>
        <w:ind w:left="360" w:right="0" w:hanging="0"/>
        <w:jc w:val="both"/>
        <w:rPr>
          <w:rFonts w:ascii="Times New Roman;Times;serif" w:hAnsi="Times New Roman;Times;serif"/>
          <w:i/>
          <w:sz w:val="20"/>
        </w:rPr>
      </w:pPr>
      <w:r>
        <w:rPr>
          <w:rFonts w:ascii="Times New Roman;Times;serif" w:hAnsi="Times New Roman;Times;serif"/>
          <w:i/>
          <w:sz w:val="20"/>
        </w:rPr>
        <w:t>Strategic Brands - travel and entertainment expense, and certain overhead expenses</w:t>
        <w:br/>
        <w:t>Alcohol Brands - depreciation and amortization expense, travel and entertainment expense, property and equipment impairment, and certain overhead expenses</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Other - certain overhead expenses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580" w:name="Tc_clKH1EZAm0yaxXZ0GqAPag_20_17"/>
      <w:bookmarkStart w:id="1581" w:name="Tc_XtsxevY24k2HnzZq8Ai2cA_20_14"/>
      <w:bookmarkStart w:id="1582" w:name="Tc_PRpaObrqTkyhAWNDl6TJnA_20_11"/>
      <w:bookmarkStart w:id="1583" w:name="Tc_gWjkXirYbUqffx668JQDVQ_20_8"/>
      <w:bookmarkStart w:id="1584" w:name="Tc_ylQR83M_-ka-ZXOav4TOlw_20_5"/>
      <w:bookmarkStart w:id="1585" w:name="Tc_e5kgCU49oUqWyeRtSL1E9w_20_2"/>
      <w:bookmarkStart w:id="1586" w:name="Tc_tR_pNoWKa0mGdll_7W5icw_20_0"/>
      <w:bookmarkStart w:id="1587" w:name="Tc_Rwk3Jb1N1EWbyop5A2uZEQ_17_17"/>
      <w:bookmarkStart w:id="1588" w:name="Tc_Mo634gemNEWa9bRWgnoWXQ_17_0"/>
      <w:bookmarkStart w:id="1589" w:name="Tc_nCrbJ6pOz0q4ZSAw_xEGrQ_15_0"/>
      <w:bookmarkStart w:id="1590" w:name="Tc_eZvQS3df1EW8fSR7jYDB6w_13_0"/>
      <w:bookmarkStart w:id="1591" w:name="Tc_it85taA1UEKpceS-GjWw6g_12_0"/>
      <w:bookmarkStart w:id="1592" w:name="Tc_1Dl-ElyoPkyb7ciLDZTuBw_11_0"/>
      <w:bookmarkStart w:id="1593" w:name="Tc_uCKdt06A8kCUOlf21u3heQ_10_15"/>
      <w:bookmarkStart w:id="1594" w:name="Tc_M8JrEPPwEUaGKx0xlOw8Ew_10_0"/>
      <w:bookmarkStart w:id="1595" w:name="Tc_hOFQW1mOO0Cz0-hk4t3Qjg_9_15"/>
      <w:bookmarkStart w:id="1596" w:name="Tc_rj_DXffLW0m_ghi5EuUIeQ_9_0"/>
      <w:bookmarkStart w:id="1597" w:name="Tc_tpdu_HFP1ECXLRJ126lXHg_7_15"/>
      <w:bookmarkStart w:id="1598" w:name="Tc_VDDdfuKCvEexg23JhFzn2A_7_0"/>
      <w:bookmarkStart w:id="1599" w:name="Tc_CCQY-Y2CR0SLD7h2AmmwBw_6_15"/>
      <w:bookmarkStart w:id="1600" w:name="Tc_PoNnchARFkaTqRBlsE1Reg_6_0"/>
      <w:bookmarkStart w:id="1601" w:name="Tc_p-jFdZy8rk2BGy4XEv7s1g_4_17"/>
      <w:bookmarkStart w:id="1602" w:name="Tc_pJjcUmzywk-S1fR0ebIF2A_4_15"/>
      <w:bookmarkStart w:id="1603" w:name="Tc_61ZPCG29VUu6DRe9JSKodQ_4_14"/>
      <w:bookmarkStart w:id="1604" w:name="Tc__BKI0GmVU0q5ums5cp7RLg_4_11"/>
      <w:bookmarkStart w:id="1605" w:name="Tc_VIX4CUxsv0qoHXFpZI87uQ_4_8"/>
      <w:bookmarkStart w:id="1606" w:name="Tc_3znjz88cLUm-2HtYCN5BEA_4_5"/>
      <w:bookmarkStart w:id="1607" w:name="Tc_FT67k5goYk-qmGNxvIfVSA_4_2"/>
      <w:bookmarkStart w:id="1608" w:name="Tc_IFo-f3rQS0iWuPCV4-VcEg_4_0"/>
      <w:bookmarkStart w:id="1609" w:name="Tc_4pPr6AhCTU2EZ0P9Yl3Yjg_3_17"/>
      <w:bookmarkStart w:id="1610" w:name="Tc_iWdE-MFkvki95OcBShefbA_3_14"/>
      <w:bookmarkStart w:id="1611" w:name="Tc__TGKuSXoVUmpGI5R_x-lqQ_3_11"/>
      <w:bookmarkStart w:id="1612" w:name="Tc_4sIiR9LXZk2LjSd-zVROZA_3_8"/>
      <w:bookmarkStart w:id="1613" w:name="Tc_FLwRh0URZkmzqG0uu7JqaA_3_5"/>
      <w:bookmarkStart w:id="1614" w:name="Tc_oVns4kTrE0eqGlTup3Ny2Q_3_2"/>
      <w:bookmarkStart w:id="1615" w:name="Tc_nbjFHNZ6v0GRjWFBdW-4EQ_2_14"/>
      <w:bookmarkStart w:id="1616" w:name="Tc_vw4IPIc1e0CPRY90nRD0Ig_2_8"/>
      <w:bookmarkStart w:id="1617" w:name="Tc_Unq4zoronUSRSOYnLjdpZA_2_5"/>
      <w:bookmarkStart w:id="1618" w:name="Tc_T52_hNiE-kq3vEDq1gjUsw_2_2"/>
      <w:bookmarkStart w:id="1619" w:name="Tc_chrmBvvG106mX8DjPbMLrQ_1_2"/>
      <w:bookmarkStart w:id="1620" w:name="_9d172c6c_b8f5_43a0_8c87_cd4315f3b884"/>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r>
        <w:rPr>
          <w:rFonts w:ascii="Times New Roman;Times;serif" w:hAnsi="Times New Roman;Times;serif"/>
          <w:sz w:val="20"/>
        </w:rPr>
        <w:t>Three-Months Ended March 31, 2024</w:t>
      </w:r>
    </w:p>
    <w:tbl>
      <w:tblPr>
        <w:tblW w:w="10205" w:type="dxa"/>
        <w:jc w:val="left"/>
        <w:tblInd w:w="0" w:type="dxa"/>
        <w:tblLayout w:type="fixed"/>
        <w:tblCellMar>
          <w:top w:w="0" w:type="dxa"/>
          <w:left w:w="0" w:type="dxa"/>
          <w:bottom w:w="0" w:type="dxa"/>
          <w:right w:w="0" w:type="dxa"/>
        </w:tblCellMar>
      </w:tblPr>
      <w:tblGrid>
        <w:gridCol w:w="2063"/>
        <w:gridCol w:w="326"/>
        <w:gridCol w:w="211"/>
        <w:gridCol w:w="931"/>
        <w:gridCol w:w="326"/>
        <w:gridCol w:w="211"/>
        <w:gridCol w:w="781"/>
        <w:gridCol w:w="326"/>
        <w:gridCol w:w="211"/>
        <w:gridCol w:w="679"/>
        <w:gridCol w:w="326"/>
        <w:gridCol w:w="211"/>
        <w:gridCol w:w="571"/>
        <w:gridCol w:w="326"/>
        <w:gridCol w:w="239"/>
        <w:gridCol w:w="893"/>
        <w:gridCol w:w="326"/>
        <w:gridCol w:w="221"/>
        <w:gridCol w:w="1027"/>
      </w:tblGrid>
      <w:tr>
        <w:trPr/>
        <w:tc>
          <w:tcPr>
            <w:tcW w:w="2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10005" cy="175260"/>
                      <wp:effectExtent l="0" t="0" r="0" b="0"/>
                      <wp:wrapNone/>
                      <wp:docPr id="367" name="Frame367"/>
                      <a:graphic xmlns:a="http://schemas.openxmlformats.org/drawingml/2006/main">
                        <a:graphicData uri="http://schemas.microsoft.com/office/word/2010/wordprocessingShape">
                          <wps:wsp>
                            <wps:cNvSpPr txBox="1"/>
                            <wps:spPr>
                              <a:xfrm>
                                <a:off x="0" y="0"/>
                                <a:ext cx="1310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91185" cy="175260"/>
                      <wp:effectExtent l="0" t="0" r="0" b="0"/>
                      <wp:wrapNone/>
                      <wp:docPr id="370" name="Frame3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95935" cy="175260"/>
                      <wp:effectExtent l="0" t="0" r="0" b="0"/>
                      <wp:wrapNone/>
                      <wp:docPr id="373" name="Frame3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31165" cy="175260"/>
                      <wp:effectExtent l="0" t="0" r="0" b="0"/>
                      <wp:wrapNone/>
                      <wp:docPr id="376" name="Frame376"/>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62585" cy="175260"/>
                      <wp:effectExtent l="0" t="0" r="0" b="0"/>
                      <wp:wrapNone/>
                      <wp:docPr id="379" name="Frame3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51765" cy="175260"/>
                      <wp:effectExtent l="0" t="0" r="0" b="0"/>
                      <wp:wrapNone/>
                      <wp:docPr id="381" name="Frame38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67055" cy="175260"/>
                      <wp:effectExtent l="0" t="0" r="0" b="0"/>
                      <wp:wrapNone/>
                      <wp:docPr id="382" name="Frame382"/>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40335" cy="175260"/>
                      <wp:effectExtent l="0" t="0" r="0" b="0"/>
                      <wp:wrapNone/>
                      <wp:docPr id="384" name="Frame38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52145" cy="175260"/>
                      <wp:effectExtent l="0" t="0" r="0" b="0"/>
                      <wp:wrapNone/>
                      <wp:docPr id="385" name="Frame385"/>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Monster </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3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1"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before="0" w:after="0"/>
              <w:ind w:left="0" w:right="0" w:hanging="0"/>
              <w:jc w:val="center"/>
              <w:rPr/>
            </w:pPr>
            <w:r>
              <w:rPr/>
              <w:t>​</w:t>
            </w:r>
          </w:p>
        </w:tc>
      </w:tr>
      <w:tr>
        <w:trPr/>
        <w:tc>
          <w:tcPr>
            <w:tcW w:w="20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Energy® </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center"/>
              <w:rPr/>
            </w:pPr>
            <w:r>
              <w:rPr/>
              <w:t>​</w:t>
            </w:r>
          </w:p>
        </w:tc>
        <w:tc>
          <w:tcPr>
            <w:tcW w:w="8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and</w:t>
            </w:r>
          </w:p>
        </w:tc>
        <w:tc>
          <w:tcPr>
            <w:tcW w:w="32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before="0" w:after="0"/>
              <w:ind w:left="0" w:right="0" w:hanging="0"/>
              <w:jc w:val="center"/>
              <w:rPr/>
            </w:pPr>
            <w:r>
              <w:rPr/>
              <w:t>​</w:t>
            </w:r>
          </w:p>
        </w:tc>
      </w:tr>
      <w:tr>
        <w:trPr/>
        <w:tc>
          <w:tcPr>
            <w:tcW w:w="20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center"/>
              <w:rPr/>
            </w:pPr>
            <w:r>
              <w:rPr/>
              <w:t>    </w:t>
            </w:r>
          </w:p>
        </w:tc>
        <w:tc>
          <w:tcPr>
            <w:tcW w:w="12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w:t>
            </w:r>
          </w:p>
        </w:tc>
      </w:tr>
      <w:tr>
        <w:trPr/>
        <w:tc>
          <w:tcPr>
            <w:tcW w:w="206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1,729,051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108,444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56,070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w:t>
            </w:r>
          </w:p>
        </w:tc>
        <w:tc>
          <w:tcPr>
            <w:tcW w:w="326"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1,899,098</w:t>
            </w:r>
          </w:p>
        </w:tc>
      </w:tr>
      <w:tr>
        <w:trPr/>
        <w:tc>
          <w:tcPr>
            <w:tcW w:w="20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before="0" w:after="0"/>
              <w:ind w:left="0" w:right="0" w:hanging="0"/>
              <w:jc w:val="center"/>
              <w:rPr/>
            </w:pPr>
            <w:r>
              <w:rPr/>
              <w:t>​</w:t>
            </w:r>
          </w:p>
        </w:tc>
      </w:tr>
      <w:tr>
        <w:trPr/>
        <w:tc>
          <w:tcPr>
            <w:tcW w:w="20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797,691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3,876</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2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931,360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76,339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1,027,129</w:t>
            </w:r>
          </w:p>
        </w:tc>
      </w:tr>
      <w:tr>
        <w:trPr/>
        <w:tc>
          <w:tcPr>
            <w:tcW w:w="206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2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88,303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20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159,494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righ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right"/>
              <w:rPr/>
            </w:pPr>
            <w:r>
              <w:rPr/>
              <w:t>​</w:t>
            </w:r>
          </w:p>
        </w:tc>
        <w:tc>
          <w:tcPr>
            <w:tcW w:w="1027" w:type="dxa"/>
            <w:tcBorders/>
            <w:shd w:fill="CCEEFF" w:val="clear"/>
            <w:vAlign w:val="center"/>
          </w:tcPr>
          <w:p>
            <w:pPr>
              <w:pStyle w:val="TableContents"/>
              <w:bidi w:val="0"/>
              <w:spacing w:before="0" w:after="0"/>
              <w:ind w:left="0" w:right="0" w:hanging="0"/>
              <w:jc w:val="right"/>
              <w:rPr/>
            </w:pPr>
            <w:r>
              <w:rPr/>
              <w:t>  </w:t>
            </w:r>
          </w:p>
        </w:tc>
      </w:tr>
      <w:tr>
        <w:trPr/>
        <w:tc>
          <w:tcPr>
            <w:tcW w:w="2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98,584</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206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44,550</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2063"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628,122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62,019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(143,134)</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541,991</w:t>
            </w:r>
          </w:p>
        </w:tc>
      </w:tr>
      <w:tr>
        <w:trPr/>
        <w:tc>
          <w:tcPr>
            <w:tcW w:w="206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2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9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35,754</w:t>
            </w:r>
          </w:p>
        </w:tc>
      </w:tr>
      <w:tr>
        <w:trPr/>
        <w:tc>
          <w:tcPr>
            <w:tcW w:w="206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2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89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577,745</w:t>
            </w:r>
          </w:p>
        </w:tc>
      </w:tr>
      <w:tr>
        <w:trPr/>
        <w:tc>
          <w:tcPr>
            <w:tcW w:w="206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20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r>
      <w:tr>
        <w:trPr/>
        <w:tc>
          <w:tcPr>
            <w:tcW w:w="20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20,475</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i/>
          <w:sz w:val="15"/>
        </w:rPr>
        <w:t>1</w:t>
      </w:r>
      <w:r>
        <w:rPr>
          <w:rFonts w:ascii="Times New Roman;Times;serif" w:hAnsi="Times New Roman;Times;serif"/>
          <w:sz w:val="20"/>
        </w:rPr>
        <w:t xml:space="preserve"> </w:t>
      </w:r>
      <w:r>
        <w:rPr>
          <w:rFonts w:ascii="Times New Roman;Times;serif" w:hAnsi="Times New Roman;Times;serif"/>
          <w:i/>
          <w:sz w:val="20"/>
        </w:rPr>
        <w:t>For the Monster Energy® Drinks segment, includes $9.9</w:t>
      </w:r>
      <w:r>
        <w:rPr>
          <w:rFonts w:ascii="Times New Roman;Times;serif" w:hAnsi="Times New Roman;Times;serif"/>
          <w:sz w:val="20"/>
        </w:rPr>
        <w:t xml:space="preserve"> </w:t>
      </w:r>
      <w:r>
        <w:rPr>
          <w:rFonts w:ascii="Times New Roman;Times;serif" w:hAnsi="Times New Roman;Times;serif"/>
          <w:i/>
          <w:sz w:val="20"/>
        </w:rPr>
        <w:t>million related to the recognition of deferred revenue.</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i/>
          <w:sz w:val="15"/>
        </w:rPr>
        <w:t>2</w:t>
      </w:r>
      <w:r>
        <w:rPr>
          <w:rFonts w:ascii="Times New Roman;Times;serif" w:hAnsi="Times New Roman;Times;serif"/>
          <w:sz w:val="20"/>
        </w:rPr>
        <w:t xml:space="preserve"> </w:t>
      </w:r>
      <w:r>
        <w:rPr>
          <w:rFonts w:ascii="Times New Roman;Times;serif" w:hAnsi="Times New Roman;Times;serif"/>
          <w:i/>
          <w:sz w:val="20"/>
        </w:rPr>
        <w:t>Other segment items for each reportable segment include:</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Monster Energy® Drinks - travel and entertainment expense, and certain overhead expenses</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Strategic Brands - travel and entertainment expense, and certain overhead expenses</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Alcohol Brands - depreciation and amortization expense, travel and entertainment expense, and certain overhead expenses</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Other - certain overhead expenses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and unallocated expenses for the three-months ended March 31, 2025 include $97.1 million of payroll costs, of which $19.9 million was attributable to stock-based compensation expenses (see Note 14 “Stock-Based Compensation”), as well as $19.1 million attributable to professional service expenses, including accounting and legal costs, and $25.0 million of other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expenses for the three-months ended March 31, 2024 include $98.6 million of payroll costs, of which $22.0 million was attributable to stock-based compensation expenses (see Note 14 “Stock-Based Compensation”), as well as $20.0 million attributable to professional service expenses, including accounting and legal costs, and $24.5 million of other operating expenses.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14% of the Company’s net sales for both the three-months ended March 31,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10% of the Company’s net sales for both the three-months ended March 31,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9% of the Company’s net sales for both the three-months ended March 31,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621" w:name="Tc_ETYtvTTy3U2rSgAwH4bLcw_8_5"/>
      <w:bookmarkStart w:id="1622" w:name="Tc_hy3As7l9QkCjK9uXYeffbg_8_2"/>
      <w:bookmarkStart w:id="1623" w:name="Tc_B8OubYpDxk2DPGOcYSrEqg_7_6"/>
      <w:bookmarkStart w:id="1624" w:name="Tc_Zzvw9bBY3UWmb5lPRVik4w_7_3"/>
      <w:bookmarkStart w:id="1625" w:name="Tc_EBtbgeBotk-BMqC0zQUsOg_7_0"/>
      <w:bookmarkStart w:id="1626" w:name="Tc_JaxoRytiVEC0txVcfWGeJQ_6_0"/>
      <w:bookmarkStart w:id="1627" w:name="Tc_l2wkLRh0O0e0B4QGifbhzA_5_0"/>
      <w:bookmarkStart w:id="1628" w:name="Tc_EKMO7ojdY0mpM5hC9lGH2Q_4_5"/>
      <w:bookmarkStart w:id="1629" w:name="Tc_R1TurDAUTkKAw2JdAc3obw_4_2"/>
      <w:bookmarkStart w:id="1630" w:name="Tc_2XiRL2hQaUCrH3vfoHVN7A_4_0"/>
      <w:bookmarkStart w:id="1631" w:name="Tc_bFzVIhNsQEOonavB1F0K1Q_3_0"/>
      <w:bookmarkStart w:id="1632" w:name="Tc_4f45xw9Ck0-bYDRKg1bwWg_2_5"/>
      <w:bookmarkStart w:id="1633" w:name="Tc_t-ikkhYxeEmD-3Pg1W_A2Q_2_2"/>
      <w:bookmarkStart w:id="1634" w:name="Tc__B2AVNQPc0GDFfuJ87c3_g_1_5"/>
      <w:bookmarkStart w:id="1635" w:name="Tc_1h1Wu7JtV0ef7UuZO3ueGQ_1_2"/>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r>
        <w:rPr>
          <w:rFonts w:ascii="Times New Roman;Times;serif" w:hAnsi="Times New Roman;Times;serif"/>
          <w:sz w:val="20"/>
        </w:rPr>
        <w:t>Net sales to customers outside the United States amounted to $733.2 million and $744.1 million for the three-months ended March 31, 2025 and 2024, respectively. Such sales were approximately 40% and 39% of net sales for the three-months ended March 31, 2025 and 2024,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Goodwill and other intangible assets for the Company’s reportable segments were as follows at:</w:t>
      </w:r>
    </w:p>
    <w:p>
      <w:pPr>
        <w:pStyle w:val="TextBody"/>
        <w:bidi w:val="0"/>
        <w:spacing w:before="0" w:after="0"/>
        <w:ind w:left="0" w:right="0" w:firstLine="720"/>
        <w:jc w:val="both"/>
        <w:rPr/>
      </w:pPr>
      <w:r>
        <w:rPr/>
        <w:t>​</w:t>
      </w:r>
    </w:p>
    <w:tbl>
      <w:tblPr>
        <w:tblW w:w="6250" w:type="dxa"/>
        <w:jc w:val="left"/>
        <w:tblInd w:w="0" w:type="dxa"/>
        <w:tblLayout w:type="fixed"/>
        <w:tblCellMar>
          <w:top w:w="0" w:type="dxa"/>
          <w:left w:w="0" w:type="dxa"/>
          <w:bottom w:w="0" w:type="dxa"/>
          <w:right w:w="0" w:type="dxa"/>
        </w:tblCellMar>
      </w:tblPr>
      <w:tblGrid>
        <w:gridCol w:w="3151"/>
        <w:gridCol w:w="326"/>
        <w:gridCol w:w="211"/>
        <w:gridCol w:w="931"/>
        <w:gridCol w:w="326"/>
        <w:gridCol w:w="220"/>
        <w:gridCol w:w="1085"/>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00885" cy="175260"/>
                      <wp:effectExtent l="0" t="0" r="0" b="0"/>
                      <wp:wrapNone/>
                      <wp:docPr id="386" name="Frame386"/>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91185" cy="175260"/>
                      <wp:effectExtent l="0" t="0" r="0" b="0"/>
                      <wp:wrapNone/>
                      <wp:docPr id="389" name="Frame3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9700" cy="175260"/>
                      <wp:effectExtent l="0" t="0" r="0" b="0"/>
                      <wp:wrapNone/>
                      <wp:docPr id="391" name="Frame39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88975" cy="175260"/>
                      <wp:effectExtent l="0" t="0" r="0" b="0"/>
                      <wp:wrapNone/>
                      <wp:docPr id="392" name="Frame392"/>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other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1,707,947</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1,703,256</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981,889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982,035</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57,765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60,604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2,747,601</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2,745,895</w:t>
            </w:r>
          </w:p>
        </w:tc>
      </w:tr>
    </w:tbl>
    <w:p>
      <w:pPr>
        <w:pStyle w:val="TextBody"/>
        <w:pBdr/>
        <w:bidi w:val="0"/>
        <w:spacing w:before="0" w:after="0"/>
        <w:ind w:left="0" w:right="0" w:hanging="720"/>
        <w:jc w:val="left"/>
        <w:rPr/>
      </w:pPr>
      <w:r>
        <w:rPr/>
        <w:t>​</w:t>
      </w:r>
    </w:p>
    <w:p>
      <w:pPr>
        <w:pStyle w:val="TextBody"/>
        <w:pBdr/>
        <w:bidi w:val="0"/>
        <w:spacing w:before="0" w:after="0"/>
        <w:ind w:left="0" w:right="0" w:hanging="720"/>
        <w:jc w:val="left"/>
        <w:rPr/>
      </w:pPr>
      <w:r>
        <w:rPr/>
        <w:t>​</w:t>
      </w:r>
    </w:p>
    <w:p>
      <w:pPr>
        <w:pStyle w:val="Normal"/>
        <w:bidi w:val="0"/>
        <w:spacing w:before="0" w:after="0"/>
        <w:jc w:val="left"/>
        <w:rPr>
          <w:sz w:val="4"/>
          <w:szCs w:val="4"/>
        </w:rPr>
      </w:pPr>
      <w:r>
        <w:rPr>
          <w:sz w:val="4"/>
          <w:szCs w:val="4"/>
        </w:rPr>
      </w:r>
      <w:bookmarkStart w:id="1636" w:name="Tc_IPNlQQwogEyj3XykiSDUzw_6_5"/>
      <w:bookmarkStart w:id="1637" w:name="Tc_Uh6o_S_2SEWuaJJaP2MVqw_6_2"/>
      <w:bookmarkStart w:id="1638" w:name="Tc_2fjKv55mXUql4tJ0yAQBgg_6_0"/>
      <w:bookmarkStart w:id="1639" w:name="Tc_TNUZ4cvO6Eu-5d36SzUjWA_5_5"/>
      <w:bookmarkStart w:id="1640" w:name="Tc_Dh7Die_P8kKS2Ne3B_0a8Q_5_2"/>
      <w:bookmarkStart w:id="1641" w:name="Tc_OfCZFjlLdEGfFjRIwxSPcQ_5_0"/>
      <w:bookmarkStart w:id="1642" w:name="Tc_2WMqCDtNPkC1Sw1HfDOU4Q_4_5"/>
      <w:bookmarkStart w:id="1643" w:name="Tc_eLbmcIEMiEavT1VFQqg1sw_4_2"/>
      <w:bookmarkStart w:id="1644" w:name="Tc_0HWS014pX0Sj-Wy391OPHw_4_0"/>
      <w:bookmarkStart w:id="1645" w:name="Tc_wzJ6dOJEykiX8JuVJbhW0A_3_5"/>
      <w:bookmarkStart w:id="1646" w:name="Tc_lr7Jgx-HOkK0rsrQLvDztg_3_2"/>
      <w:bookmarkStart w:id="1647" w:name="Tc_Hxs5-2gIdE24f_YHhQfP-A_3_0"/>
      <w:bookmarkStart w:id="1648" w:name="Tc_SoqcuSZ3Fk28ZXkR-U7ZKQ_2_5"/>
      <w:bookmarkStart w:id="1649" w:name="Tc_tql68oLv10KeHmtSLLeiwA_2_2"/>
      <w:bookmarkStart w:id="1650" w:name="Tc__PnF7TZ_skSb1XQfGr1mRw_1_5"/>
      <w:bookmarkStart w:id="1651" w:name="Tc_P3-BPNa4ZkatOm4d-RU0iA_1_2"/>
      <w:bookmarkStart w:id="1652" w:name="Tc_IPNlQQwogEyj3XykiSDUzw_6_5"/>
      <w:bookmarkStart w:id="1653" w:name="Tc_Uh6o_S_2SEWuaJJaP2MVqw_6_2"/>
      <w:bookmarkStart w:id="1654" w:name="Tc_2fjKv55mXUql4tJ0yAQBgg_6_0"/>
      <w:bookmarkStart w:id="1655" w:name="Tc_TNUZ4cvO6Eu-5d36SzUjWA_5_5"/>
      <w:bookmarkStart w:id="1656" w:name="Tc_Dh7Die_P8kKS2Ne3B_0a8Q_5_2"/>
      <w:bookmarkStart w:id="1657" w:name="Tc_OfCZFjlLdEGfFjRIwxSPcQ_5_0"/>
      <w:bookmarkStart w:id="1658" w:name="Tc_2WMqCDtNPkC1Sw1HfDOU4Q_4_5"/>
      <w:bookmarkStart w:id="1659" w:name="Tc_eLbmcIEMiEavT1VFQqg1sw_4_2"/>
      <w:bookmarkStart w:id="1660" w:name="Tc_0HWS014pX0Sj-Wy391OPHw_4_0"/>
      <w:bookmarkStart w:id="1661" w:name="Tc_wzJ6dOJEykiX8JuVJbhW0A_3_5"/>
      <w:bookmarkStart w:id="1662" w:name="Tc_lr7Jgx-HOkK0rsrQLvDztg_3_2"/>
      <w:bookmarkStart w:id="1663" w:name="Tc_Hxs5-2gIdE24f_YHhQfP-A_3_0"/>
      <w:bookmarkStart w:id="1664" w:name="Tc_SoqcuSZ3Fk28ZXkR-U7ZKQ_2_5"/>
      <w:bookmarkStart w:id="1665" w:name="Tc_tql68oLv10KeHmtSLLeiwA_2_2"/>
      <w:bookmarkStart w:id="1666" w:name="Tc__PnF7TZ_skSb1XQfGr1mRw_1_5"/>
      <w:bookmarkStart w:id="1667" w:name="Tc_P3-BPNa4ZkatOm4d-RU0iA_1_2"/>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p>
    <w:tbl>
      <w:tblPr>
        <w:tblW w:w="3587" w:type="dxa"/>
        <w:jc w:val="left"/>
        <w:tblInd w:w="0" w:type="dxa"/>
        <w:tblLayout w:type="fixed"/>
        <w:tblCellMar>
          <w:top w:w="0" w:type="dxa"/>
          <w:left w:w="0" w:type="dxa"/>
          <w:bottom w:w="0" w:type="dxa"/>
          <w:right w:w="0" w:type="dxa"/>
        </w:tblCellMar>
      </w:tblPr>
      <w:tblGrid>
        <w:gridCol w:w="376"/>
        <w:gridCol w:w="3211"/>
      </w:tblGrid>
      <w:tr>
        <w:trPr/>
        <w:tc>
          <w:tcPr>
            <w:tcW w:w="3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18.</w:t>
            </w:r>
          </w:p>
        </w:tc>
        <w:tc>
          <w:tcPr>
            <w:tcW w:w="3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RELATED PARTY TRANSACTIONS</w:t>
            </w:r>
          </w:p>
        </w:tc>
      </w:tr>
    </w:tbl>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TCCC controls approximately 20.9%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the TCCC Subsidiaries and the TCCC Related Parties, were $25.8 million and $22.5 million for the three-months ended March 31, 2025 and 2024, respectively, and are included as a reduction to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TCCC independent bottlers, were $9.4 million and $9.7 million for the three-months ended March 31, 2025 and 2024, respectively, and are included 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the TCCC Subsidiaries for the three-months ended March 31, 2025 and 2024 were $58.1 million and $41.7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purchases concentrates from TCCC which are then sold to certain of the Company’s bottlers/distributors. Concentrate purchases from TCCC were $6.4 million and $8.0 million for the three-months ended March 31, 2025 and 2024,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TCCC Subsidiaries also contract manufacture certain of the Company’s energy drinks. Such contract manufacturing expenses were $11.7 million and $9.0 million for the three-months ended March 31, 2025 and 2024,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Accounts receivable, accounts payable, accrued promotional allowances and accrued liabilities related to the TCCC Subsidiaries were as follows at:</w:t>
      </w:r>
    </w:p>
    <w:p>
      <w:pPr>
        <w:pStyle w:val="TextBody"/>
        <w:bidi w:val="0"/>
        <w:spacing w:before="0" w:after="0"/>
        <w:ind w:left="0" w:right="0" w:firstLine="720"/>
        <w:jc w:val="both"/>
        <w:rPr/>
      </w:pPr>
      <w:r>
        <w:rPr/>
        <w:t>​</w:t>
      </w:r>
    </w:p>
    <w:tbl>
      <w:tblPr>
        <w:tblW w:w="5755" w:type="dxa"/>
        <w:jc w:val="left"/>
        <w:tblInd w:w="0" w:type="dxa"/>
        <w:tblLayout w:type="fixed"/>
        <w:tblCellMar>
          <w:top w:w="0" w:type="dxa"/>
          <w:left w:w="0" w:type="dxa"/>
          <w:bottom w:w="0" w:type="dxa"/>
          <w:right w:w="0" w:type="dxa"/>
        </w:tblCellMar>
      </w:tblPr>
      <w:tblGrid>
        <w:gridCol w:w="2791"/>
        <w:gridCol w:w="326"/>
        <w:gridCol w:w="211"/>
        <w:gridCol w:w="796"/>
        <w:gridCol w:w="326"/>
        <w:gridCol w:w="265"/>
        <w:gridCol w:w="1040"/>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772285" cy="175260"/>
                      <wp:effectExtent l="0" t="0" r="0" b="0"/>
                      <wp:wrapNone/>
                      <wp:docPr id="393" name="Frame393"/>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5" name="Frame3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05460" cy="175260"/>
                      <wp:effectExtent l="0" t="0" r="0" b="0"/>
                      <wp:wrapNone/>
                      <wp:docPr id="396" name="Frame3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07010" cy="175260"/>
                      <wp:effectExtent l="0" t="0" r="0" b="0"/>
                      <wp:wrapNone/>
                      <wp:docPr id="397"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68275" cy="175260"/>
                      <wp:effectExtent l="0" t="0" r="0" b="0"/>
                      <wp:wrapNone/>
                      <wp:docPr id="398" name="Frame39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60400" cy="175260"/>
                      <wp:effectExtent l="0" t="0" r="0" b="0"/>
                      <wp:wrapNone/>
                      <wp:docPr id="399" name="Frame399"/>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137,442</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112,686</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(34,303)</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(29,095)</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(19,346)</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(16,914)</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(32,532)</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(22,595)</w:t>
            </w:r>
          </w:p>
        </w:tc>
      </w:tr>
    </w:tbl>
    <w:p>
      <w:pPr>
        <w:pStyle w:val="TextBody"/>
        <w:pBdr/>
        <w:bidi w:val="0"/>
        <w:spacing w:before="0" w:after="0"/>
        <w:ind w:left="0" w:right="0" w:hanging="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One director of the Company through certain trusts, and a family member of one director are the principal owners of a company that provides promotional materials to the Company. Expenses incurred with such company in connection with promotional materials purchased during the three-months ended March 31, 2025 and 2024 were $1.6 million and $1.9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occasionally charters a private aircraft that is indirectly owned by Mr. Rodney C. Sacks, Co-Chief Executive Officer and Chairman of the Board of Directors. On certain occasions, Mr. Sacks is accompanied by guests and other Company personnel when using such aircraft for business travel. During the three-months ended March 31, 2025 the Company incurred expenses of $0.04 million, in relation to the aircraft. During the three-months ended March 31, 2024, the Company incurred no expenses in relation to the aircraft.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2018, the Company and a director of the Company entered into a 50-50 partnership that purchased land, and real property thereon, in Kona, Hawaii for the purpose of producing coffee products. In October 2023, the partnership made a special, one-time distribution to each of the partners, reflecting the amount of their initial capital contributions. This partnership meets the definition of a Variable Interest Entity (“VIE”) for which the Company has determined that it is the primary beneficiary. Therefore, the Company consolidates the VIE in the accompanying consolidated financial statements. The aggregate carrying values of the VIE’s assets and liabilities, after elimination of any intercompany transactions and balances, as well as the results of operations for all periods presented, are not material to the Company’s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668" w:name="ITEM2MANAGEMENTSDISCUSSIONANDANALYSIS_40"/>
      <w:bookmarkStart w:id="1669" w:name="_72415580_ac10_4c5c_a1fa_f2020bb429b4"/>
      <w:bookmarkEnd w:id="1668"/>
      <w:bookmarkEnd w:id="1669"/>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hard seltzers and flavored malt beverages (“FMBs”).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Pricing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implemented price increases in the fourth quarter of 2024 (for core brands and packages) in the United States and at various times in certain international markets during 2024 and 2025 (collectively, the “Pricing Actions”). The Pricing Actions positively impacted gross profit margins in 2025 as compared to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develop, market, sell and distribute energy drink beverages and concentrates for energy drink beverages, primarily under the following brand names:</w:t>
      </w:r>
    </w:p>
    <w:p>
      <w:pPr>
        <w:pStyle w:val="TextBody"/>
        <w:bidi w:val="0"/>
        <w:spacing w:before="0" w:after="0"/>
        <w:ind w:left="0" w:right="0" w:firstLine="720"/>
        <w:jc w:val="both"/>
        <w:rPr/>
      </w:pPr>
      <w:r>
        <w:rPr/>
        <w:t>​</w:t>
      </w:r>
    </w:p>
    <w:tbl>
      <w:tblPr>
        <w:tblW w:w="6857" w:type="dxa"/>
        <w:jc w:val="left"/>
        <w:tblInd w:w="0" w:type="dxa"/>
        <w:tblLayout w:type="fixed"/>
        <w:tblCellMar>
          <w:top w:w="0" w:type="dxa"/>
          <w:left w:w="0" w:type="dxa"/>
          <w:bottom w:w="0" w:type="dxa"/>
          <w:right w:w="0" w:type="dxa"/>
        </w:tblCellMar>
      </w:tblPr>
      <w:tblGrid>
        <w:gridCol w:w="3436"/>
        <w:gridCol w:w="3421"/>
      </w:tblGrid>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Monster Energy®</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Burn®</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Monster Energy Ultra®</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Mother®</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Rehab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Nalu®</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Monster Energy® Nitro</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Ultra Energy®</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Java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Play® and Power Play® (stylized)</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Punch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Relentless®</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Juice Monster®</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BPM®</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Reign Total Body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BU®</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Reign Inferno® Thermogenic Fuel</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Samurai®</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Reign Storm®</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Live+®</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Bang Energy®</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Predator®</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NOS®</w:t>
            </w:r>
          </w:p>
        </w:tc>
        <w:tc>
          <w:tcPr>
            <w:tcW w:w="34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Fury®</w:t>
            </w:r>
          </w:p>
        </w:tc>
      </w:tr>
      <w:tr>
        <w:trPr/>
        <w:tc>
          <w:tcPr>
            <w:tcW w:w="343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Full Throttle®</w:t>
            </w:r>
          </w:p>
        </w:tc>
        <w:tc>
          <w:tcPr>
            <w:tcW w:w="34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craft beers, FMBs and hard seltzers under a number of brands, including Jai Alai® IPA, Florida Man® IPA, Dale’s Pale Ale®, Wild Basin®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 Black Ale, Hop Rising® Double IPA, Wasatch® Apricot Hefeweizen, The Beast</w:t>
      </w:r>
      <w:r>
        <w:rPr>
          <w:rFonts w:ascii="Times New Roman;Times;serif" w:hAnsi="Times New Roman;Times;serif"/>
          <w:sz w:val="15"/>
        </w:rPr>
        <w:t>TM</w:t>
      </w:r>
      <w:r>
        <w:rPr>
          <w:rFonts w:ascii="Times New Roman;Times;serif" w:hAnsi="Times New Roman;Times;serif"/>
          <w:sz w:val="20"/>
        </w:rPr>
        <w:t>, Nasty Beast® Hard Tea and a host of other brands.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still and sparkling waters under the Monster Tour Water® brand name.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four operating and reportable segments: (i) Monster Energy® Drinks segment (“Monster Energy® Drinks”), which is primarily comprised of our Monster Energy® drinks, Reign Total Body Fuel® high performance energy drinks, Reign Storm® total wellness energy drinks and Bang Energy® drinks, (ii) Strategic Brands segment (“Strategic Brands”), which is primarily comprised of the various energy drink brands acquired from The Coca-Cola Company (“TCCC”) in 2015 as well as our affordable energy brands, Predator® and Fury®, (iii) Alcohol Brands segment (“Alcohol Brands”), which is comprised of various craft beers, FMBs and hard seltzers and (iv) Other segment (“Other”), which is comprised of certain products sold by American Fruits and Flavors LLC, a wholly-owned subsidiary of the Company, to independent third-party customers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March 31, 2025, we continued to expand our existing drink portfolio by adding additional products to our portfolio in a number of countries and further developed our distribution markets. During the three-months ended March 31, 2025, we sold the following new products to our customers:</w:t>
      </w:r>
    </w:p>
    <w:tbl>
      <w:tblPr>
        <w:tblW w:w="3351" w:type="dxa"/>
        <w:jc w:val="left"/>
        <w:tblInd w:w="0" w:type="dxa"/>
        <w:tblLayout w:type="fixed"/>
        <w:tblCellMar>
          <w:top w:w="28" w:type="dxa"/>
          <w:left w:w="28" w:type="dxa"/>
          <w:bottom w:w="28" w:type="dxa"/>
          <w:right w:w="28" w:type="dxa"/>
        </w:tblCellMar>
      </w:tblPr>
      <w:tblGrid>
        <w:gridCol w:w="124"/>
        <w:gridCol w:w="256"/>
        <w:gridCol w:w="2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 Any Means Orange</w:t>
            </w:r>
          </w:p>
        </w:tc>
      </w:tr>
    </w:tbl>
    <w:tbl>
      <w:tblPr>
        <w:tblW w:w="1716" w:type="dxa"/>
        <w:jc w:val="left"/>
        <w:tblInd w:w="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Burn® Orange</w:t>
            </w:r>
          </w:p>
        </w:tc>
      </w:tr>
    </w:tbl>
    <w:tbl>
      <w:tblPr>
        <w:tblW w:w="2166" w:type="dxa"/>
        <w:jc w:val="left"/>
        <w:tblInd w:w="0" w:type="dxa"/>
        <w:tblLayout w:type="fixed"/>
        <w:tblCellMar>
          <w:top w:w="28" w:type="dxa"/>
          <w:left w:w="28" w:type="dxa"/>
          <w:bottom w:w="28" w:type="dxa"/>
          <w:right w:w="28" w:type="dxa"/>
        </w:tblCellMar>
      </w:tblPr>
      <w:tblGrid>
        <w:gridCol w:w="124"/>
        <w:gridCol w:w="256"/>
        <w:gridCol w:w="1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Burn® White Citrus</w:t>
            </w:r>
          </w:p>
        </w:tc>
      </w:tr>
    </w:tbl>
    <w:tbl>
      <w:tblPr>
        <w:tblW w:w="2601" w:type="dxa"/>
        <w:jc w:val="left"/>
        <w:tblInd w:w="0" w:type="dxa"/>
        <w:tblLayout w:type="fixed"/>
        <w:tblCellMar>
          <w:top w:w="28" w:type="dxa"/>
          <w:left w:w="28" w:type="dxa"/>
          <w:bottom w:w="28" w:type="dxa"/>
          <w:right w:w="28" w:type="dxa"/>
        </w:tblCellMar>
      </w:tblPr>
      <w:tblGrid>
        <w:gridCol w:w="124"/>
        <w:gridCol w:w="256"/>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Fury® Mango Mayhem®</w:t>
            </w:r>
          </w:p>
        </w:tc>
      </w:tr>
    </w:tbl>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Nalu® Zero Sugar Original</w:t>
            </w:r>
          </w:p>
        </w:tc>
      </w:tr>
    </w:tbl>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Total Body Fuel® White Haze</w:t>
            </w:r>
          </w:p>
        </w:tc>
      </w:tr>
    </w:tbl>
    <w:tbl>
      <w:tblPr>
        <w:tblW w:w="2091" w:type="dxa"/>
        <w:jc w:val="left"/>
        <w:tblInd w:w="0" w:type="dxa"/>
        <w:tblLayout w:type="fixed"/>
        <w:tblCellMar>
          <w:top w:w="28" w:type="dxa"/>
          <w:left w:w="28" w:type="dxa"/>
          <w:bottom w:w="28" w:type="dxa"/>
          <w:right w:w="28" w:type="dxa"/>
        </w:tblCellMar>
      </w:tblPr>
      <w:tblGrid>
        <w:gridCol w:w="124"/>
        <w:gridCol w:w="256"/>
        <w:gridCol w:w="1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Relentless® Guava</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Ultra Energy® White Citrus</w:t>
            </w:r>
          </w:p>
        </w:tc>
      </w:tr>
    </w:tbl>
    <w:tbl>
      <w:tblPr>
        <w:tblW w:w="2211" w:type="dxa"/>
        <w:jc w:val="left"/>
        <w:tblInd w:w="0" w:type="dxa"/>
        <w:tblLayout w:type="fixed"/>
        <w:tblCellMar>
          <w:top w:w="28" w:type="dxa"/>
          <w:left w:w="28" w:type="dxa"/>
          <w:bottom w:w="28" w:type="dxa"/>
          <w:right w:w="28" w:type="dxa"/>
        </w:tblCellMar>
      </w:tblPr>
      <w:tblGrid>
        <w:gridCol w:w="124"/>
        <w:gridCol w:w="256"/>
        <w:gridCol w:w="1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 Lime Chelada</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 Tomato Michelada</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discontinue certain products and/or product lines. Those products or product lines discontinued in the three-months ended March 31, 2025, either individually or in aggregate, did not have a material adverse impact on our financial position, results of operations or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sales were $1.85 billion for the three-months ended March 31, 2025. Net changes in foreign currency exchange rates had an unfavorable impact on net sales of approximately $57.3 million for the three-months ended March 31, 2025. Net sales on a foreign currency adjusted basis increased 0.7% for the three-months ended March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2025 first quarter were negatively impacted by bottler/distributor ordering patterns in the United States and EMEA, adverse changes in foreign currency exchange rates, decreased sales in the Alcohol Brands segment, adverse weather, one less selling day in the 2025 first quarter, as well as uncertain economic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vast majority of our net sales are derived from our Monster Energy® Drinks segment. Net sales of our Monster Energy® Drinks segment were $1.72 billion for the three-months ended March 31, 2025. Net sales of our Strategic Brands segment were $98.3 million for the three-months ended March 31, 2025. Net sales of our Alcohol Brands segment were $34.7 million for the three-months ended March 31, 2025. Net sales of our Other segment were $6.0 million for the three-months ended March 31, 2025.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Monster Energy® Drinks segment represented 92.5% and 91.0% of our net sales for the three-months ended March 31, 2025 and 2024, respectively. Our Strategic Brands segment represented 5.3% and 5.7% of our net sales for the three-months ended March 31, 2025 and 2024, respectively. Our Alcohol Brands segment represented 1.9% and 3.0% of our net sales for the three-months ended March 31, 2025 and 2024, respectively. Our Other segment represented 0.3% of our net sales for both the three-months ended March 31,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growth strategy includes further developing our domestic markets, expanding our international business and growing our business into new sectors, such as the alcohol beverage sector. Net sales to customers outside the United States were $733.2 million for the three-months ended March 31, 2025, a decrease of approximately $10.9 million, or 1.5% lower than net sales to customers outside of the United States of $744.1 million for the three-months ended March 31, 2024. Such sales were approximately 40% and 39% of net sales for the three-months ended March 31, 2025 and 2024, respectively. Net changes in foreign currency exchange rates had an unfavorable impact on net sales to customers outside of the United States of approximately $57.3 million for the three-months ended March 31, 2025. Net sales to customers outside the United States, on a foreign currency adjusted basis, increased 6.2% for the three-months ended March 31,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non-alcohol customers are primarily full service beverage bottlers/distributors, retail grocery and specialty chains, wholesalers, club stores, mass merchandisers, convenience and gas chains, drug stores, foodservice customers, value stores, e-commerce retailers and the military. Our alcohol customers are primarily beer distributors who in turn sell to retailers within the alcohol distribution system. Percentages of our gross billings to our various customer types for the three-months ended March 31, 2025 and 2024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tbl>
      <w:tblPr>
        <w:tblW w:w="8248" w:type="dxa"/>
        <w:jc w:val="left"/>
        <w:tblInd w:w="0" w:type="dxa"/>
        <w:tblLayout w:type="fixed"/>
        <w:tblCellMar>
          <w:top w:w="0" w:type="dxa"/>
          <w:left w:w="0" w:type="dxa"/>
          <w:bottom w:w="0" w:type="dxa"/>
          <w:right w:w="0" w:type="dxa"/>
        </w:tblCellMar>
      </w:tblPr>
      <w:tblGrid>
        <w:gridCol w:w="5641"/>
        <w:gridCol w:w="326"/>
        <w:gridCol w:w="698"/>
        <w:gridCol w:w="479"/>
        <w:gridCol w:w="698"/>
        <w:gridCol w:w="406"/>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582035" cy="175260"/>
                      <wp:effectExtent l="0" t="0" r="0" b="0"/>
                      <wp:wrapNone/>
                      <wp:docPr id="400" name="Frame400"/>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43230" cy="175260"/>
                      <wp:effectExtent l="0" t="0" r="0" b="0"/>
                      <wp:wrapNone/>
                      <wp:docPr id="402" name="Frame402"/>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04165" cy="175260"/>
                      <wp:effectExtent l="0" t="0" r="0" b="0"/>
                      <wp:wrapNone/>
                      <wp:docPr id="403" name="Frame403"/>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43230" cy="175260"/>
                      <wp:effectExtent l="0" t="0" r="0" b="0"/>
                      <wp:wrapNone/>
                      <wp:docPr id="404" name="Frame404"/>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57810" cy="175260"/>
                      <wp:effectExtent l="0" t="0" r="0" b="0"/>
                      <wp:wrapNone/>
                      <wp:docPr id="405" name="Frame40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7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c>
          <w:tcPr>
            <w:tcW w:w="406"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7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406"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479" w:type="dxa"/>
            <w:tcBorders/>
            <w:vAlign w:val="center"/>
          </w:tcPr>
          <w:p>
            <w:pPr>
              <w:pStyle w:val="TableContents"/>
              <w:bidi w:val="0"/>
              <w:spacing w:before="0" w:after="0"/>
              <w:ind w:left="0" w:right="0" w:hanging="0"/>
              <w:jc w:val="left"/>
              <w:rPr/>
            </w:pPr>
            <w:r>
              <w:rPr/>
              <w:t>    </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406" w:type="dxa"/>
            <w:tcBorders/>
            <w:vAlign w:val="center"/>
          </w:tcPr>
          <w:p>
            <w:pPr>
              <w:pStyle w:val="TableContents"/>
              <w:bidi w:val="0"/>
              <w:spacing w:before="0" w:after="0"/>
              <w:ind w:left="0" w:right="0" w:hanging="0"/>
              <w:jc w:val="left"/>
              <w:rPr/>
            </w:pPr>
            <w:r>
              <w:rPr/>
              <w:t>​</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full service bottlers/distributors</w:t>
            </w:r>
          </w:p>
        </w:tc>
        <w:tc>
          <w:tcPr>
            <w:tcW w:w="326" w:type="dxa"/>
            <w:tcBorders/>
            <w:shd w:fill="CCEEFF" w:val="clear"/>
            <w:vAlign w:val="center"/>
          </w:tcPr>
          <w:p>
            <w:pPr>
              <w:pStyle w:val="TableContents"/>
              <w:bidi w:val="0"/>
              <w:spacing w:before="0" w:after="0"/>
              <w:ind w:left="0" w:right="0" w:hanging="0"/>
              <w:jc w:val="left"/>
              <w:rPr/>
            </w:pPr>
            <w:r>
              <w:rPr/>
              <w:t> </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full service bottlers/distributors</w:t>
            </w:r>
          </w:p>
        </w:tc>
        <w:tc>
          <w:tcPr>
            <w:tcW w:w="326"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stores and e-commerce retailers</w:t>
            </w:r>
          </w:p>
        </w:tc>
        <w:tc>
          <w:tcPr>
            <w:tcW w:w="326" w:type="dxa"/>
            <w:tcBorders/>
            <w:shd w:fill="CCEEFF" w:val="clear"/>
            <w:vAlign w:val="center"/>
          </w:tcPr>
          <w:p>
            <w:pPr>
              <w:pStyle w:val="TableContents"/>
              <w:bidi w:val="0"/>
              <w:spacing w:before="0" w:after="0"/>
              <w:ind w:left="0" w:right="0" w:hanging="0"/>
              <w:jc w:val="left"/>
              <w:rPr/>
            </w:pPr>
            <w:r>
              <w:rPr/>
              <w:t> </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26"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value stores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non-alcohol customers include Coca-Cola Canada Bottling Limited, Coca-Cola Consolidated, Inc., Coca-Cola Bottling Company United, Inc., Reyes Holdings, LLC, Coca-Cola Southwest Beverages LLC, The Coca-Cola Bottling Company of Northern New England, Inc., Swire Pacific Holdings, Inc. (USA), Liberty Coca-Cola Beverages, LLC, Coca-Cola Europacific Partners, Coca-Cola Hellenic, Coca-Cola FEMSA, Swire Coca-Cola (China), COFCO Coca-Cola, Coca-Cola Beverages Africa, Coca-Cola İçecek and certain other TCCC network bottlers, Asahi Soft Drinks, Co., Ltd., Wal-Mart, Inc. (including Sam’s Club), Costco Wholesale Corporation and Amazon.com, Inc.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alcohol customers include Reyes Beverage Group, Ben E. Keith Company, J.J. Taylor Distributing and Admiral Beverage Corporation.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decision by any large customer to decrease amounts purchased from us or to cease carrying our products could have a material adverse effect on our financial condition and consolidated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14% of our net sales for both the three-months ended March 31,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10% of our net sales for both the three-months ended March 31, 2025 and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9% of our net sales for both the three-months ended March 31,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key statistics for the three-months ended March 31, 2025 and 2024.</w:t>
      </w:r>
    </w:p>
    <w:p>
      <w:pPr>
        <w:pStyle w:val="TextBody"/>
        <w:bidi w:val="0"/>
        <w:spacing w:before="0" w:after="0"/>
        <w:ind w:left="0" w:right="0" w:firstLine="720"/>
        <w:jc w:val="left"/>
        <w:rPr/>
      </w:pPr>
      <w:r>
        <w:rPr/>
        <w:t>​</w:t>
      </w:r>
    </w:p>
    <w:tbl>
      <w:tblPr>
        <w:tblW w:w="9290" w:type="dxa"/>
        <w:jc w:val="left"/>
        <w:tblInd w:w="0" w:type="dxa"/>
        <w:tblLayout w:type="fixed"/>
        <w:tblCellMar>
          <w:top w:w="0" w:type="dxa"/>
          <w:left w:w="0" w:type="dxa"/>
          <w:bottom w:w="0" w:type="dxa"/>
          <w:right w:w="0" w:type="dxa"/>
        </w:tblCellMar>
      </w:tblPr>
      <w:tblGrid>
        <w:gridCol w:w="5026"/>
        <w:gridCol w:w="326"/>
        <w:gridCol w:w="196"/>
        <w:gridCol w:w="826"/>
        <w:gridCol w:w="331"/>
        <w:gridCol w:w="196"/>
        <w:gridCol w:w="826"/>
        <w:gridCol w:w="331"/>
        <w:gridCol w:w="856"/>
        <w:gridCol w:w="37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191510" cy="175260"/>
                      <wp:effectExtent l="0" t="0" r="0" b="0"/>
                      <wp:wrapNone/>
                      <wp:docPr id="406" name="Frame406"/>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24460" cy="175260"/>
                      <wp:effectExtent l="0" t="0" r="0" b="0"/>
                      <wp:wrapNone/>
                      <wp:docPr id="408" name="Frame4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24510" cy="175260"/>
                      <wp:effectExtent l="0" t="0" r="0" b="0"/>
                      <wp:wrapNone/>
                      <wp:docPr id="409" name="Frame40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0185" cy="175260"/>
                      <wp:effectExtent l="0" t="0" r="0" b="0"/>
                      <wp:wrapNone/>
                      <wp:docPr id="410" name="Frame41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24460" cy="175260"/>
                      <wp:effectExtent l="0" t="0" r="0" b="0"/>
                      <wp:wrapNone/>
                      <wp:docPr id="411" name="Frame4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524510" cy="175260"/>
                      <wp:effectExtent l="0" t="0" r="0" b="0"/>
                      <wp:wrapNone/>
                      <wp:docPr id="412" name="Frame41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0185" cy="175260"/>
                      <wp:effectExtent l="0" t="0" r="0" b="0"/>
                      <wp:wrapNone/>
                      <wp:docPr id="413" name="Frame41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43560" cy="175260"/>
                      <wp:effectExtent l="0" t="0" r="0" b="0"/>
                      <wp:wrapNone/>
                      <wp:docPr id="414" name="Frame41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38760" cy="175260"/>
                      <wp:effectExtent l="0" t="0" r="0" b="0"/>
                      <wp:wrapNone/>
                      <wp:docPr id="415" name="Frame41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Three-Months Ended</w:t>
            </w:r>
          </w:p>
        </w:tc>
        <w:tc>
          <w:tcPr>
            <w:tcW w:w="3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376"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except per share amounts)</w:t>
            </w:r>
          </w:p>
        </w:tc>
        <w:tc>
          <w:tcPr>
            <w:tcW w:w="32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March 31, </w:t>
            </w:r>
          </w:p>
        </w:tc>
        <w:tc>
          <w:tcPr>
            <w:tcW w:w="331"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376"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31"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331"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25 vs. 24</w:t>
            </w:r>
          </w:p>
        </w:tc>
        <w:tc>
          <w:tcPr>
            <w:tcW w:w="376" w:type="dxa"/>
            <w:tcBorders/>
            <w:vAlign w:val="center"/>
          </w:tcPr>
          <w:p>
            <w:pPr>
              <w:pStyle w:val="TableContents"/>
              <w:bidi w:val="0"/>
              <w:spacing w:before="0" w:after="0"/>
              <w:ind w:left="0" w:right="0" w:hanging="0"/>
              <w:jc w:val="left"/>
              <w:rPr/>
            </w:pPr>
            <w:r>
              <w:rPr/>
              <w:t>    </w:t>
            </w:r>
          </w:p>
        </w:tc>
      </w:tr>
      <w:tr>
        <w:trPr/>
        <w:tc>
          <w:tcPr>
            <w:tcW w:w="50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Net sales</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1,854,558</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1,899,098</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806,596</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871,969</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50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Gross profit*</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1,047,962</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1,027,129</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 as a percentage of net sales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478,217</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485,138</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569,745</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541,991</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 as a percentage of net sales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and other income,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8,272</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35,754</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50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Income before provision for income taxes</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578,017</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577,745</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50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135,024</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135,696</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50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as a percentage of income before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442,993</w:t>
            </w:r>
          </w:p>
        </w:tc>
        <w:tc>
          <w:tcPr>
            <w:tcW w:w="331"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442,049</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as a percentage of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0.45</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0.42</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0.45</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0.42</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5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Energy drink case sales (in thousands) (in 192</w:t>
              <w:noBreakHyphen/>
              <w:t>ounce case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213,100</w:t>
            </w:r>
          </w:p>
        </w:tc>
        <w:tc>
          <w:tcPr>
            <w:tcW w:w="331"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211,430</w:t>
            </w:r>
          </w:p>
        </w:tc>
        <w:tc>
          <w:tcPr>
            <w:tcW w:w="33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bl>
    <w:p>
      <w:pPr>
        <w:pStyle w:val="TextBody"/>
        <w:bidi w:val="0"/>
        <w:spacing w:before="0" w:after="0"/>
        <w:ind w:left="0" w:right="0" w:hanging="0"/>
        <w:jc w:val="left"/>
        <w:rPr/>
      </w:pPr>
      <w:r>
        <w:rPr/>
        <w:t>​</w:t>
      </w:r>
    </w:p>
    <w:p>
      <w:pPr>
        <w:pStyle w:val="TextBody"/>
        <w:bidi w:val="0"/>
        <w:spacing w:lineRule="auto" w:line="240" w:before="0" w:after="20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Includes $9.9 million for both the three-months ended March 31, 2025 and 2024, related to the recognition of deferred revenue.</w:t>
      </w:r>
    </w:p>
    <w:p>
      <w:pPr>
        <w:pStyle w:val="TextBody"/>
        <w:bidi w:val="0"/>
        <w:spacing w:before="0" w:after="200"/>
        <w:ind w:left="0" w:right="0" w:hanging="0"/>
        <w:jc w:val="both"/>
        <w:rPr>
          <w:rFonts w:ascii="Times New Roman;Times;serif" w:hAnsi="Times New Roman;Times;serif"/>
          <w:i/>
          <w:sz w:val="18"/>
        </w:rPr>
      </w:pPr>
      <w:r>
        <w:rPr>
          <w:rFonts w:ascii="Times New Roman;Times;serif" w:hAnsi="Times New Roman;Times;serif"/>
          <w:i/>
          <w:sz w:val="18"/>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Three-Months Ended March 31, 2025 Compared to the Three-Months Ended March 31, 2024</w:t>
      </w:r>
      <w:r>
        <w:rPr>
          <w:rFonts w:ascii="Times New Roman;Times;serif" w:hAnsi="Times New Roman;Times;serif"/>
          <w:b/>
          <w:sz w:val="20"/>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Net Sales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Net sales were $1.85 billion for the three-months ended March 31, 2025, a decrease of approximately $44.5 million, or 2.3% lower than net sales of $1.90 billion for the three-months ended March 31, 2024. Net changes in foreign currency exchange rates had an unfavorable impact on net sales of approximately $57.3 million for the three-months ended March 31, 2025. Net sales on a foreign currency adjusted basis increased 0.7% for the three-months ended March 31, 2025.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Net sales were $689.9 million for the three-months ended March 31, 2025, a decrease of $3.1 million, or 0.4% lower than net sales of $693.0 million for the three-months ended March 31, 2024, in EMEA, Asia Pacific (including Oceania), Latin America and the Caribbean. Net changes in foreign currency exchange rates had an unfavorable impact on net sales to customers in EMEA, Asia Pacific (including Oceania), Latin America and the Caribbean of approximately $54.6 million for the three-months ended March 31, 2025. Net sales on a foreign currency adjusted basis in EMEA, Asia Pacific (including Oceania), Latin America and the Caribbean increased 7.4% for the three-months ended March 31, 2025.</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Net sales for the Monster Energy® Drinks segment were $1.72 billion for the three-months ended March 31, 2025, a decrease of approximately $13.5 million, or 0.8% lower than net sales of $1.73 billion for the three-months ended March 31, 2024. Net changes in foreign currency exchange rates had an unfavorable impact on net sales for the Monster Energy® Drinks segment of approximately $50.8 million for the three-months ended March 31, 2025. Net sales for the Monster Energy® Drinks segment on a foreign currency adjusted basis increased 2.2% for the three-months ended March 31,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$98.3 million for the three-months ended March 31, 2025, a decrease of approximately $10.1 million, or 9.3% lower than net sales of $108.4 million for the three-months ended March 31, 2024. Net sales for the Strategic Brands segment decreased primarily due to decreased sales by volume of our Fury® and NOS® brand energy drinks. Net changes in foreign currency exchange rates had an unfavorable impact on net sales of approximately $6.6 million for the Strategic Brands segment for the three-months ended March 31, 2025. Net sales for the Strategic Brands segment on a foreign currency adjusted basis decreased 3.3% for the three-months ended March 31, 2025. Net sales of concentrates within the Strategic Brands segment tend to have more pronounced fluctuations from period to period as compared to net sales of our finished goods within the Monster Energy® Drinks segment primarily as a result of bottler production schedules.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$34.7 million for the three-months ended March 31, 2025, a decrease of approximately $21.4 million, or 38.1% lower than net sales of $56.1 million for the three-months ended March 31, 2024. The decrease in net sales for the three-months ended March 31, 2025 was primarily due to decreased sales by volume of Nasty Beast® Hard Tea, which was launched during the three-months ended March 31, 2024, as well as decreased sales by volume of The Beast</w:t>
      </w:r>
      <w:r>
        <w:rPr>
          <w:rFonts w:ascii="Times New Roman;Times;serif" w:hAnsi="Times New Roman;Times;serif"/>
          <w:sz w:val="15"/>
        </w:rPr>
        <w:t>TM</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for the Other segment were $6.0 million for the three-months ended March 31, 2025, an increase of approximately $0.5 million, or 8.0% higher than net sales of $5.5 million for the three-months ended March 31,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Case sales for our energy drink products, in 192-ounce case equivalents, were 213.1 million cases for the three-months ended March 31, 2025, an increase of approximately 1.7 million cases or 0.8% higher than case sales of 211.4 million cases for the three-months ended March 31, 2024. The overall average net sales per case for our energy drink products (excluding net sales of Alcohol Brands and Other segments) decreased to $8.51 for the three-months ended March 31, 2025, which was 2.1% lower than the average net sales per case of $8.69 for the three-months ended March 31, 2024. The decrease in overall average net sales per case for our energy drink products for the three-months ended March 31, 2025 compared to the three-months ended March 31, 2024 was primarily due to adverse changes in foreign currency exchange rates as well as geographical/product sales mix.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craft beers, FMBs and hard seltzers, in 192-ounce equivalents, were 2.4 million cases for the three-months ended March 31, 2025, a decrease of approximately 1.7 million cases or 41.4% lower than case sales of 4.1 million cases for the three-months ended March 31, 2024. Barrel sales for our craft beers, FMBs and hard seltzers, in 31 U.S. gallon equivalents, were 0.12 million barrels for the three-months ended March 31, 2025, a decrease of approximately 0.08 million barrels or 41.4% lower than barrel sales of 0.20 million barrels for the three-months ended March 31,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was $1.05 billion for the three-months ended March 31, 2025, an increase of approximately $20.8 million, or 2.0% higher than the gross profit of $1.03 billion for the three-months ended March 31, 2024. The increase in gross profit dollars was primarily the result of the $65.4 million decrease in cost of sales, partially offset by the decrease in net sales for the three-months ended March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increased to 56.5% for the three-months ended March 31, 2025 from 54.1% for the three-months ended March 31, 2024. The increase in gross profit as a percentage of net sales for the three-months ended March 31, 2025 was primarily the result of the Pricing Actions as well as supply chain optimization.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operating expenses were $478.2 million for the three-months ended March 31, 2025, a decrease of approximately $6.9 million, or 1.4% lower than total operating expenses of $485.1 million for the three-months ended March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decrease in operating expenses was primarily due to decreased distribution expenses of $16.9 million partially offset by an increase in general administrative expenses of $8.5 million. Operating expenses as a percentage of net sales for the three-months ended March 31, 2025 were 25.8% as compared to 25.5% for the three-months ended March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income was $569.7 million for the three-months ended March 31, 2025, an increase of approximately $27.8 million, or 5.1% higher than operating income of $542.0 million for the three-months ended March 31, 2024. Operating income as a percentage of net sales increased to 30.7% for the three-months ended March 31, 2025 from 28.5% for the three-months ended March 31,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income was $142.6 million and $138.0 million for the three-months ended March 31, 2025 and 2024, respectively, for our operations in EMEA, Asia Pacific (including Oceania), Latin America and the Caribbean.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$680.4 million for the three-months ended March 31, 2025, an increase of approximately $52.2 million, or 8.3% higher than operating income of $628.1 million for the three-months ended March 31, 2024. The increase in operating income for the Monster Energy® Drinks segment was primarily the result of an increase in 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$51.9 million for the three-months ended March 31, 2025, a decrease of approximately $10.1 million, or 16.3% lower than operating income of $62.0 million for the three-months ended March 31, 2024. The decrease in operating income for the Strategic Brands segment was primarily the result of a decrease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loss for the Alcohol Brands segment, exclusive of corporate and unallocated expenses, was $21.5 million for the three-months ended March 31, 2025, an increase of approximately $15.5 million, or 257.2% higher than the operating loss of $6.0 million for the three-months ended March 31, 2024. The increase in operating loss for the three-months ended March 31, 2025 was primarily due to a decrease in net sales.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Other segment, exclusive of corporate and unallocated expenses, was $0.2 million for the three-months ended March 31, 2025, as compared to operating income of $1.0 million for the three-months ended March 31,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and Other 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and other income, net, was $8.3 million for the three-months ended March 31, 2025, as compared to interest and other income, net, of $35.8 million for the three-months ended March 31, 2024. Interest income was $16.8 million and $41.2 million for the three-months ended March 31, 2025 and 2024, respectively. Interest expense was $4.0 million and $0.1 million for the three-months ended March 31, 2025 and 2024, respectively. Foreign currency transaction losses were $3.7 million and $6.0 million for the three-months ended March 31, 2025 and 2024,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$135.0 million for the three-months ended March 31, 2025, a decrease of $0.7 million, or 0.5% lower than the provision for income taxes of $135.7 million for the three-months ended March 31, 2024. The effective combined federal, state and foreign tax rate decreased to 23.4% from 23.5% for the three-months ended March 31, 2025 and 2024,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income was $443.0 million for the three-months ended March 31, 2025, an increase of $0.9 million, or 0.2% higher than net income of $442.0 million for the three-months ended March 31,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Non-GAAP Financial Measures and Other Key Metrics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Gross Billings**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were $2.16 billion for the three-months ended March 31, 2025, a decrease of approximately $26.7 million, or 1.2% lower than gross billings of $2.19 billion for the three-months ended March 31, 2024. Net changes in foreign currency exchange rates had an unfavorable impact on gross billings of approximately $63.3 million for the three-months ended March 31, 2025. Gross billings on a foreign currency adjusted basis increased 1.7% for the three-months ended March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$2.01 billion for the three-months ended March 31, 2025, an increase of approximately $2.4 million, or 0.1% higher than gross billings of $2.00 billion for the three-months ended March 31, 2024. Net changes in foreign currency exchange rates had an unfavorable impact on gross billings for the Monster Energy® Drinks segment of approximately $56.8 million for the three-months ended March 31, 2025. Gross billings for the Monster Energy® Drinks segment on a foreign currency adjusted basis increased 3.0% for the three-months ended March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Strategic Brands segment were $113.8 million for the three-months ended March 31, 2025, a decrease of $8.8 million, or 7.2% lower than gross billings of $122.6 million for the three-months ended March 31, 2024. Gross billings for the Strategic Brands segment decreased primarily due to decreased sales by volume of our Fury® and NOS® brand energy drinks. Net changes in foreign currency exchange rates had an unfavorable impact on gross billings in the Strategic Brands segment of approximately $6.5 million for the three-months ended March 31, 2025. Gross billings for the Strategic Brands segment on a foreign currency adjusted basis decreased 1.9% for the three-months ended March 31, 2025.</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$36.2 million for the three-months ended March 31, 2025, a decrease of approximately $20.8 million, or 36.5% lower than gross billings of $57.0 million for the three-months ended March 31, 2024. The decrease in gross billings for the three-months ended March 31, 2025 was primarily due to decreased sales by volume of Nasty Beast® Hard Tea, which was launched during the three-months ended March 31, 2024, as well as decreased sales by volume of The Beast</w:t>
      </w:r>
      <w:r>
        <w:rPr>
          <w:rFonts w:ascii="Times New Roman;Times;serif" w:hAnsi="Times New Roman;Times;serif"/>
          <w:sz w:val="15"/>
        </w:rPr>
        <w:t>TM</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Other segment were $6.1 million for the three-months ended March 31, 2025, an increase of $0.5 million, or 9.2% higher than gross billings of $5.6 million for the three-months ended March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$317.5 million for the three-months ended March 31, 2025, an increase of $17.8 million, or 5.9% higher than promotional allowances, commissions and other expenses of $299.7 million for the three-months ended March 31, 2024. Promotional allowances, commissions and other expenses as a percentage of gross billings increased to 14.7% from 13.7% for the three-months ended March 31, 2025 and 2024, respectively.</w:t>
      </w:r>
    </w:p>
    <w:p>
      <w:pPr>
        <w:pStyle w:val="TextBody"/>
        <w:bidi w:val="0"/>
        <w:spacing w:before="0" w:after="240"/>
        <w:ind w:left="0" w:right="0" w:hanging="0"/>
        <w:jc w:val="both"/>
        <w:rPr>
          <w:rFonts w:ascii="Times New Roman;Times;serif" w:hAnsi="Times New Roman;Times;serif"/>
          <w:i/>
          <w:sz w:val="18"/>
        </w:rPr>
      </w:pPr>
      <w:r>
        <w:rPr>
          <w:rFonts w:ascii="Times New Roman;Times;serif" w:hAnsi="Times New Roman;Times;serif"/>
          <w:i/>
          <w:sz w:val="18"/>
        </w:rPr>
        <w:t>**Gross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reconciles the non-GAAP financial measure of gross billings with the most directly comparable GAAP financial measure of net sales:</w:t>
      </w:r>
    </w:p>
    <w:tbl>
      <w:tblPr>
        <w:tblW w:w="10205" w:type="dxa"/>
        <w:jc w:val="left"/>
        <w:tblInd w:w="0" w:type="dxa"/>
        <w:tblLayout w:type="fixed"/>
        <w:tblCellMar>
          <w:top w:w="0" w:type="dxa"/>
          <w:left w:w="0" w:type="dxa"/>
          <w:bottom w:w="0" w:type="dxa"/>
          <w:right w:w="0" w:type="dxa"/>
        </w:tblCellMar>
      </w:tblPr>
      <w:tblGrid>
        <w:gridCol w:w="5546"/>
        <w:gridCol w:w="326"/>
        <w:gridCol w:w="211"/>
        <w:gridCol w:w="931"/>
        <w:gridCol w:w="326"/>
        <w:gridCol w:w="211"/>
        <w:gridCol w:w="931"/>
        <w:gridCol w:w="326"/>
        <w:gridCol w:w="991"/>
        <w:gridCol w:w="406"/>
      </w:tblGrid>
      <w:tr>
        <w:trPr/>
        <w:tc>
          <w:tcPr>
            <w:tcW w:w="5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417" name="Frame4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91185" cy="175260"/>
                      <wp:effectExtent l="0" t="0" r="0" b="0"/>
                      <wp:wrapNone/>
                      <wp:docPr id="418" name="Frame4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20"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91185" cy="175260"/>
                      <wp:effectExtent l="0" t="0" r="0" b="0"/>
                      <wp:wrapNone/>
                      <wp:docPr id="421" name="Frame4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29285" cy="175260"/>
                      <wp:effectExtent l="0" t="0" r="0" b="0"/>
                      <wp:wrapNone/>
                      <wp:docPr id="423" name="Frame42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57810" cy="175260"/>
                      <wp:effectExtent l="0" t="0" r="0" b="0"/>
                      <wp:wrapNone/>
                      <wp:docPr id="424" name="Frame42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406" w:type="dxa"/>
            <w:tcBorders/>
            <w:vAlign w:val="center"/>
          </w:tcPr>
          <w:p>
            <w:pPr>
              <w:pStyle w:val="TableContents"/>
              <w:bidi w:val="0"/>
              <w:spacing w:before="0" w:after="0"/>
              <w:ind w:left="0" w:right="0" w:hanging="0"/>
              <w:jc w:val="left"/>
              <w:rPr/>
            </w:pPr>
            <w:r>
              <w:rPr/>
              <w:t>    </w:t>
            </w:r>
          </w:p>
        </w:tc>
      </w:tr>
      <w:tr>
        <w:trPr/>
        <w:tc>
          <w:tcPr>
            <w:tcW w:w="55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406" w:type="dxa"/>
            <w:tcBorders/>
            <w:vAlign w:val="center"/>
          </w:tcPr>
          <w:p>
            <w:pPr>
              <w:pStyle w:val="TableContents"/>
              <w:bidi w:val="0"/>
              <w:spacing w:before="0" w:after="0"/>
              <w:ind w:left="0" w:right="0" w:hanging="0"/>
              <w:jc w:val="left"/>
              <w:rPr/>
            </w:pPr>
            <w:r>
              <w:rPr/>
              <w:t>​</w:t>
            </w:r>
          </w:p>
        </w:tc>
      </w:tr>
      <w:tr>
        <w:trPr/>
        <w:tc>
          <w:tcPr>
            <w:tcW w:w="5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 vs. 24</w:t>
            </w:r>
          </w:p>
        </w:tc>
        <w:tc>
          <w:tcPr>
            <w:tcW w:w="406" w:type="dxa"/>
            <w:tcBorders/>
            <w:vAlign w:val="center"/>
          </w:tcPr>
          <w:p>
            <w:pPr>
              <w:pStyle w:val="TableContents"/>
              <w:bidi w:val="0"/>
              <w:spacing w:before="0" w:after="0"/>
              <w:ind w:left="0" w:right="0" w:hanging="0"/>
              <w:jc w:val="left"/>
              <w:rPr/>
            </w:pPr>
            <w:r>
              <w:rPr/>
              <w:t>​</w:t>
            </w:r>
          </w:p>
        </w:tc>
      </w:tr>
      <w:tr>
        <w:trPr/>
        <w:tc>
          <w:tcPr>
            <w:tcW w:w="55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Billings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2,162,190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2,188,933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5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9,875</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55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Promotional allowances, commissions and other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317,542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299,710</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1,854,558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1,899,098</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18"/>
        </w:rPr>
      </w:pPr>
      <w:r>
        <w:rPr>
          <w:rFonts w:ascii="Times New Roman;Times;serif" w:hAnsi="Times New Roman;Times;serif"/>
          <w:i/>
          <w:sz w:val="18"/>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Promotional and other allowances for our Alcohol Brands segment primarily include price promotions where permitted.</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discloses selected quarterly data regarding sales for the three-months ended March 31, 2025 and 2024, respectively. Data from any one or more quarters or periods is not necessarily indicative of annual results or continuing trends.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987" w:type="dxa"/>
        <w:jc w:val="left"/>
        <w:tblInd w:w="0" w:type="dxa"/>
        <w:tblLayout w:type="fixed"/>
        <w:tblCellMar>
          <w:top w:w="0" w:type="dxa"/>
          <w:left w:w="0" w:type="dxa"/>
          <w:bottom w:w="0" w:type="dxa"/>
          <w:right w:w="0" w:type="dxa"/>
        </w:tblCellMar>
      </w:tblPr>
      <w:tblGrid>
        <w:gridCol w:w="4006"/>
        <w:gridCol w:w="326"/>
        <w:gridCol w:w="211"/>
        <w:gridCol w:w="931"/>
        <w:gridCol w:w="326"/>
        <w:gridCol w:w="211"/>
        <w:gridCol w:w="976"/>
      </w:tblGrid>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91185" cy="175260"/>
                      <wp:effectExtent l="0" t="0" r="0" b="0"/>
                      <wp:wrapNone/>
                      <wp:docPr id="427" name="Frame4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19760" cy="175260"/>
                      <wp:effectExtent l="0" t="0" r="0" b="0"/>
                      <wp:wrapNone/>
                      <wp:docPr id="430" name="Frame43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Three-Months Ended </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1,854,558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1,899,098</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Alcohol Brands segment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(56,070)</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Adjusted net sales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1,813,880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1,837,495</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Case sales by segment:</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166,639</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44,791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case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211,430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8.69</w:t>
            </w:r>
          </w:p>
        </w:tc>
      </w:tr>
    </w:tbl>
    <w:p>
      <w:pPr>
        <w:pStyle w:val="TextBody"/>
        <w:bidi w:val="0"/>
        <w:spacing w:before="0" w:after="0"/>
        <w:ind w:left="0" w:right="0" w:hanging="0"/>
        <w:jc w:val="left"/>
        <w:rPr/>
      </w:pPr>
      <w:r>
        <w:rPr/>
        <w:t>​</w:t>
      </w:r>
    </w:p>
    <w:p>
      <w:pPr>
        <w:pStyle w:val="TextBody"/>
        <w:bidi w:val="0"/>
        <w:spacing w:lineRule="auto" w:line="240" w:before="0" w:after="240"/>
        <w:ind w:left="108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Excludes Alcohol Brands segment and Other segment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changes in foreign currency exchange rates had an unfavorable impact on the overall average net sales per case for the three-months ended March 31,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represents case sales for our craft beers, FMBs and hard seltzers, in 192-ounce equivalents:</w:t>
      </w:r>
    </w:p>
    <w:p>
      <w:pPr>
        <w:pStyle w:val="TextBody"/>
        <w:bidi w:val="0"/>
        <w:spacing w:before="0" w:after="0"/>
        <w:ind w:left="0" w:right="0" w:hanging="0"/>
        <w:jc w:val="left"/>
        <w:rPr/>
      </w:pPr>
      <w:r>
        <w:rPr/>
        <w:t>​</w:t>
      </w:r>
    </w:p>
    <w:tbl>
      <w:tblPr>
        <w:tblW w:w="6477" w:type="dxa"/>
        <w:jc w:val="left"/>
        <w:tblInd w:w="0" w:type="dxa"/>
        <w:tblLayout w:type="fixed"/>
        <w:tblCellMar>
          <w:top w:w="0" w:type="dxa"/>
          <w:left w:w="0" w:type="dxa"/>
          <w:bottom w:w="0" w:type="dxa"/>
          <w:right w:w="0" w:type="dxa"/>
        </w:tblCellMar>
      </w:tblPr>
      <w:tblGrid>
        <w:gridCol w:w="4006"/>
        <w:gridCol w:w="326"/>
        <w:gridCol w:w="211"/>
        <w:gridCol w:w="676"/>
        <w:gridCol w:w="326"/>
        <w:gridCol w:w="211"/>
        <w:gridCol w:w="721"/>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543810" cy="175260"/>
                      <wp:effectExtent l="0" t="0" r="0" b="0"/>
                      <wp:wrapNone/>
                      <wp:docPr id="431" name="Frame431"/>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32" name="Frame4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33"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29260" cy="175260"/>
                      <wp:effectExtent l="0" t="0" r="0" b="0"/>
                      <wp:wrapNone/>
                      <wp:docPr id="434" name="Frame4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35" name="Frame4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57835" cy="175260"/>
                      <wp:effectExtent l="0" t="0" r="0" b="0"/>
                      <wp:wrapNone/>
                      <wp:docPr id="437" name="Frame43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4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vAlign w:val="center"/>
          </w:tcPr>
          <w:p>
            <w:pPr>
              <w:pStyle w:val="TableContents"/>
              <w:bidi w:val="0"/>
              <w:spacing w:before="0" w:after="0"/>
              <w:ind w:left="0" w:right="0" w:hanging="0"/>
              <w:jc w:val="center"/>
              <w:rPr/>
            </w:pPr>
            <w:r>
              <w:rPr/>
              <w:t>​</w:t>
            </w:r>
          </w:p>
        </w:tc>
        <w:tc>
          <w:tcPr>
            <w:tcW w:w="21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righ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 segment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56,070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Case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13.68</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2, “Management’s Discussion and Analysis of Financial Condition and Results of Operations – Results of Operations” for additional information related to net sales.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and cash equivalents. </w:t>
      </w:r>
      <w:r>
        <w:rPr>
          <w:rFonts w:ascii="Times New Roman;Times;serif" w:hAnsi="Times New Roman;Times;serif"/>
          <w:sz w:val="20"/>
        </w:rPr>
        <w:t>At March 31, 2025, we had $1.90 billion in cash and cash equivalents. Of our $1.90 billion of cash and cash equivalents held at March 31, 2025, $1.25 billion was held by our foreign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Long-term debt.</w:t>
      </w:r>
      <w:r>
        <w:rPr>
          <w:rFonts w:ascii="Times New Roman;Times;serif" w:hAnsi="Times New Roman;Times;serif"/>
          <w:sz w:val="20"/>
        </w:rPr>
        <w:t xml:space="preserve"> In May 2024, the Company entered into a credit agreement with JPMorgan Chase Bank, N.A., as administrative agent, and certain other lenders, which provides for senior unsecured credit facilities in an aggregate principal amount of $1.50 billion (collectively, the “Credit Facilities”). The Credit Facilities consist of a $750.0 million term loan (the “Term Loan”) and up to $750.0 million in multicurrency revolving loan commitments (the “Revolving Credit Facility”). The Term Loan matures May 2027 and the Revolving Credit Facility matures May 2029. Borrowings under the Credit Facilities may be repaid at any time during the term of the Credit Facilities and, in the case of the Revolving Credit Facility, may be reborrowed prior to the maturity date. As of March 31, 2025, the Revolving Credit Facility had remaining availability of $750.0 million. In April 2025, the Company repaid the remaining outstanding balance of $200.0 million on the Term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requirements, purchases of capital assets, purchases of equipment, purchases of real property and purchases of shares of our common stock, through at least the next 12 months. Based on our current plans, we estimate that capital expenditures (exclusive of common stock repurchases) are likely to be less than $500.0 million through March 31, 2026. However, future business opportunities may cause a change in this estimate.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Purchases of inventories, increases in accounts receivable and other assets, acquisition of property and equipment (including real property, personal property, plant and manufacturing equipment,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summarizes our cash flows for the three-months ended March 31, 2025 and 2024 (in thousands):</w:t>
      </w:r>
    </w:p>
    <w:tbl>
      <w:tblPr>
        <w:tblW w:w="5472" w:type="dxa"/>
        <w:jc w:val="left"/>
        <w:tblInd w:w="0" w:type="dxa"/>
        <w:tblLayout w:type="fixed"/>
        <w:tblCellMar>
          <w:top w:w="0" w:type="dxa"/>
          <w:left w:w="0" w:type="dxa"/>
          <w:bottom w:w="0" w:type="dxa"/>
          <w:right w:w="0" w:type="dxa"/>
        </w:tblCellMar>
      </w:tblPr>
      <w:tblGrid>
        <w:gridCol w:w="2656"/>
        <w:gridCol w:w="326"/>
        <w:gridCol w:w="211"/>
        <w:gridCol w:w="901"/>
        <w:gridCol w:w="326"/>
        <w:gridCol w:w="211"/>
        <w:gridCol w:w="84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686560" cy="175260"/>
                      <wp:effectExtent l="0" t="0" r="0" b="0"/>
                      <wp:wrapNone/>
                      <wp:docPr id="438" name="Frame438"/>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40"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72135" cy="175260"/>
                      <wp:effectExtent l="0" t="0" r="0" b="0"/>
                      <wp:wrapNone/>
                      <wp:docPr id="441" name="Frame44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34035" cy="175260"/>
                      <wp:effectExtent l="0" t="0" r="0" b="0"/>
                      <wp:wrapNone/>
                      <wp:docPr id="444" name="Frame44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412,142</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(35,322)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(84,749)</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provided by operating activities. </w:t>
      </w:r>
      <w:r>
        <w:rPr>
          <w:rFonts w:ascii="Times New Roman;Times;serif" w:hAnsi="Times New Roman;Times;serif"/>
          <w:sz w:val="20"/>
        </w:rPr>
        <w:t>Cash provided by operating activities was $507.6 million for the three-months ended March 31, 2025, as compared with cash provided by operating activities of $412.1 million for the three-months ended March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the three-months ended March 31, 2025, cash provided by operating activities was primarily attributable to net income earned of $443.0 million and adjustments for certain non-cash expenses, consisting primarily of $28.9 million of depreciation and amortization and non-cash lease expense and $20.7 million of stock-based compensation. For the three-months ended March 31, 2025, cash provided by operating activities also increased due to a $61.7 million increase in income taxes payable, a $33.7 million increase in accrued liabilities, a $30.8 million increase in accrued promotional allowances, a $19.6 million decrease in inventories, an $11.9 million decrease in prepaid income taxes, and an $11.8 million increase in accounts payable. For the three-months ended March 31, 2025, cash used in operating activities was primarily attributable to a $109.6 million increase in accounts receivable, a $37.3 million decrease in accrued compensation, a $4.3 million decrease in deferred revenue, and a $4.0 million increase in prepaid expenses and other assets.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three-months ended March 31, 2024, cash provided by operating activities was primarily attributable to net income earned of $442.0 million and adjustments for certain non-cash expenses, consisting primarily of $23.7 million of depreciation and amortization and non-cash lease expense and $22.5 million of stock-based compensation. For the three-months ended March 31, 2024, cash provided by operating activities also increased due to a $60.5 million increase in income taxes payable, a $52.8 million increase in accrued promotional allowances, a $28.3 million increase in accrued liabilities, a $22.7 million decrease in inventories and an $11.8 million decrease in prepaid income taxes. For the three-months ended March 31, 2024, cash used in operating activities was primarily attributable to a $195.1 million increase in accounts receivable, a $35.7 million decrease in accrued compensation, a $9.5 million increase in prepaid expenses and other assets, a $9.1 million decrease in accounts payable and a $3.0 million decrease in deferred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flows used in investing activities</w:t>
      </w:r>
      <w:r>
        <w:rPr>
          <w:rFonts w:ascii="Times New Roman;Times;serif" w:hAnsi="Times New Roman;Times;serif"/>
          <w:sz w:val="20"/>
        </w:rPr>
        <w:t xml:space="preserve">. Cash used in investing activities was $30.9 million for the three-months ended March 31, 2025, as compared to cash used in investing activities of $35.3 million for the three-months ended March 31,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three-months ended March 31, 2024, cash provided by investing activities was primarily attributable to sales of available-for-sale investments. For the three-months ended March 31, 2024, cash used in investing activities was primarily attributable to purchases of available-for-sale investments. To a lesser extent, for both the three-months ended March 31, 2025 and 2024,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construction of and/or improvements to real property. We expect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flows used in financing activities</w:t>
      </w:r>
      <w:r>
        <w:rPr>
          <w:rFonts w:ascii="Times New Roman;Times;serif" w:hAnsi="Times New Roman;Times;serif"/>
          <w:sz w:val="20"/>
        </w:rPr>
        <w:t>. Cash used in financing activities was $145.6 million for the three-months ended March 31, 2025, as compared to cash used in financing activities of $84.7 million for the three-months ended March 31, 2024. The cash used in financing activities for the three-months ended March 31, 2025 was primarily due to repayments on the Credit Facilities. The cash used in financing activities for the three-months ended March 31, 2024 was primarily the result of repurchases of our common stock. The cash provided by financing activities for both the three-months ended March 31, 2025 and 2024 was primarily attributable to the issuance of our common stock under our stock-based compensation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a summary of the Company’s contractual commitments and related scheduled maturities as of March 31, 2025:</w:t>
      </w:r>
    </w:p>
    <w:tbl>
      <w:tblPr>
        <w:tblW w:w="8901"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11"/>
        <w:gridCol w:w="781"/>
        <w:gridCol w:w="326"/>
        <w:gridCol w:w="211"/>
        <w:gridCol w:w="781"/>
        <w:gridCol w:w="326"/>
        <w:gridCol w:w="211"/>
        <w:gridCol w:w="78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72235" cy="175260"/>
                      <wp:effectExtent l="0" t="0" r="0" b="0"/>
                      <wp:wrapNone/>
                      <wp:docPr id="445" name="Frame445"/>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47" name="Frame4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91185" cy="175260"/>
                      <wp:effectExtent l="0" t="0" r="0" b="0"/>
                      <wp:wrapNone/>
                      <wp:docPr id="448" name="Frame4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9"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95935" cy="175260"/>
                      <wp:effectExtent l="0" t="0" r="0" b="0"/>
                      <wp:wrapNone/>
                      <wp:docPr id="451" name="Frame4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3985" cy="175260"/>
                      <wp:effectExtent l="0" t="0" r="0" b="0"/>
                      <wp:wrapNone/>
                      <wp:docPr id="453" name="Frame4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95935" cy="175260"/>
                      <wp:effectExtent l="0" t="0" r="0" b="0"/>
                      <wp:wrapNone/>
                      <wp:docPr id="454" name="Frame4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3985" cy="175260"/>
                      <wp:effectExtent l="0" t="0" r="0" b="0"/>
                      <wp:wrapNone/>
                      <wp:docPr id="456" name="Frame4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95935" cy="175260"/>
                      <wp:effectExtent l="0" t="0" r="0" b="0"/>
                      <wp:wrapNone/>
                      <wp:docPr id="457" name="Frame4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8" name="Frame4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33985" cy="175260"/>
                      <wp:effectExtent l="0" t="0" r="0" b="0"/>
                      <wp:wrapNone/>
                      <wp:docPr id="459" name="Frame4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95935" cy="175260"/>
                      <wp:effectExtent l="0" t="0" r="0" b="0"/>
                      <wp:wrapNone/>
                      <wp:docPr id="460" name="Frame4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1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Payments due by period (in thousands)</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noBreakHyphen/>
              <w:t>3 </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noBreakHyphen/>
              <w:t>5 </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 than</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Obligations</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year</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years</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Contractual Obligations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506,407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279,971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3,302</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10,307</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Purchase Commitments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316,502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1,092,063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618,544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13,609</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Contractual obligations include our obligations related to sponsorships and other commitments.</w:t>
      </w:r>
    </w:p>
    <w:p>
      <w:pPr>
        <w:pStyle w:val="TextBody"/>
        <w:pBdr/>
        <w:bidi w:val="0"/>
        <w:spacing w:lineRule="auto" w:line="240" w:before="0" w:after="240"/>
        <w:ind w:left="0" w:right="0" w:hanging="72"/>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Purchase commitments include obligations made by us and our subsidiaries to various suppliers for raw materials used in the production of our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approximately $2.6 million of unrecognized tax benefits have been recorded as liabilities as of March 31, 2025. It is expected that the amount of unrecognized tax benefits will not significantly change within the next 12 months. As of March 31, 2025, we had $0.7 million of accrued interest and penalties related to unrecognized tax benefits.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2024 (“Form 10-K”).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herein by reference to the Notes to Condensed Consolidated Financial Statements - Note 1. Recent Accounting Pronouncements, in Part I, Item 1, of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inflation did not have a significant impact on our results of operations for the three-months ended March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the Credit Facilities,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anticipated demand for our products in domestic and/or international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the current level of sales of and/or achieve growth for our Monster Energy®, Reign Total Body Fuel®, Reign Storm®, Bang Energy® and NOS® brand energy drinks and/or our other products, including our Strategic Brands and Alcohol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products resulting from changes in consumer preferences, including, but not limited to: changes in demand for different packages, sizes and configurations; changes due to perceived health concerns such as obesity, ingredients in our products or packaging, and alcohol abuse; changes due to product safety concerns; and/or changes due to decreased consumer discretionary spending power;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competitive products and pricing pressures and our ability to increase or maintain our market share as a result of actions by competitors, including unsubstantiated and/or misleading claims, false advertising claims and tortious interference, as well as competitors selling misbranded products;</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rationalize brands acquired from Monster Brewing Company;</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profitability within our Alcohol Brands segment;</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absorb, mitigate or pass on cost increases to our bottlers/distributors and/or customers and/or consumers;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rising costs, interest rates, and inflation on the discretionary income of our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the imposition of tariffs (including, but not limited to, U.S. tariffs threatened against or imposed on several countries and any resulting retaliatory tariffs) on, among other things, our supply chain, input costs, inflation or consumer demand for our products;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policies of the current U.S. presidential administration on our energy drinks as certain individuals have articulated concerns about sugar-sweetened beverages, and particular ingredients, such as food dyes, as well as the “generally recognized as safe” (GRAS) process for getting food ingredients to the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legislation that has been proposed and/or adopted at the U.S. federal, state and/or municipal level and proposed and/or adopted in certain foreign jurisdictions to limit or restrict the sale of energy drinks (including the prohibition of the sale of energy drinks to certain demographics, at certain establishments, in certain container sizes or pursuant to certain governmental programs, such as the Supplemental Nutrition Assistance Program (SNAP));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military conflicts, including supply chain disruptions, volatility in commodity and energy prices, increased economic uncertainty and escalating geopolitical tensions;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growth and/or growth rates (positive or negative) of the domestic and international energy drink categories generally, including in the convenience and gas channel (which is our largest channel) and the impact on demand for our products resulting from deteriorating economic conditions and/or financial uncertainties, including a slowdown in consumer spending generally or reduced demand for consumer goods;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temporary or permanent facility closures, production slowdowns and disruptions in operations experienced by our manufacturing facilities, our suppliers, bottlers/distributors, co-packers, and/or breweries, including any material disruptions on the production and distribution of our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our and/or our co-packers’ manufacturing facilities and operations due to severe weather, natural disasters, climate change, labor-related issues, production difficulties, capacity limitations, cybersecurity incidents or other causes, which could impair our ability to produce or deliver finished products, resulting in a negative impact on our operating results;</w:t>
            </w:r>
          </w:p>
        </w:tc>
      </w:tr>
    </w:tbl>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modify our manufacturing facilities to comply with safety, health, environmental, and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co-packers leading us to increasingly rely on fewer co-packing groups, certain of which account for a large percentage of our co-packing capacity for our Monster Energy® drinks;</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logistical issues and delays, including shortages of shipping containers and port of entry congestion;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extensive commercial arrangements with TCCC and, as a result, our future performance is substantially dependent on the success of our relationship with TCCC;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consequence of TCCC’s bottlers/distributors distributing Coca-Cola brand energy drinks, possible reductions in the number of our SKUs carried by such bottlers/distributors and/or such bottlers/distributors imposing limitations on distributing new product SKUs;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TCCC being one of our significant stockholders and the potential divergence of TCCC’s interests from those of our other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relationships with TCCC system bottlers/distributors and manage their ongoing commitment to focus on our non-alcohol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distribution channels and/or declines in sales due to the termination and/or insolvency of existing and/or new domestic and/or international bottlers/distributors;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inventory levels or those of our bottlers/distributors, planned or otherwise, and the resultant impact on our revenues;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regulations, including taxation, age restrictions imposed on the sale, purchase, or consumption of our products, marketing restrictions, product registration requirements, tariffs, trade restrictions, container size limitations and/or ingredient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inquiries from, and/or actions by, state attorneys general, the Federal Trade Commission (the “FTC”), the Food and Drug Administration (the “FDA”), the Bureau of Alcohol, Tobacco, Firearms and Explosives (the “ATF”), municipalities, city attorneys, other government agencies, quasi-government agencies, government officials (including members of the U.S. Congress) and/or analogous central and local agencies and other authorities in the foreign countries in which our products are manufactured and/or distributed into the advertising, marketing, promotion, ingredients, sale and/or consumption of our products, including voluntary and/or required changes to our business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laws, regulations and evolving industry standards regarding consumer privacy and data use and security, including, but not limited to, with respect to the General Data Protection Regulation and the California Consumer Privacy Act of 2018;</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profitability and/or repatriate cash from certain of our operations outside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produce our products in international markets in which they are sold, thereby reducing freight costs and/or product damages;</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our inventories and/or our accounts receivables;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foreign currency exchange rate risk with respect to our sales, expenses, profits, assets and liabilities denominated in currencies other than the U.S. dollar, which will continue to increase as foreign sales increase;</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may affect our reported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Implications of the Organization for Economic Cooperation and Development’s base erosion and profit shifting project;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proceedings that may be brought against us by the SEC, the FDA, the FTC, the ATF or other governmental or quasi-governmental agencies or bodies;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and/or possibility of future shareholder derivative actions or shareholder securities litigation that may be filed against us and/or against certain of our officers and directors, and the possibility of other private shareholder litigation;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product liability or consumer fraud litigation and/or class action litigation (or its analog in foreign jurisdictions) regarding the safety of our products and/or the ingredients in our products and/or claims made in connection with our products and/or alleging false advertising, marketing and/or promotion, and the possibility of future product liability and/or class action lawsuits;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significant liabilities due to litigation, legal or regulatory proceedings, including litigation directed at the energy and alcohol beverage industries generally or at the Company in particular;</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injunctions;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resolution of possible tax matters;</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and volatility in the domestic and global economies, including risk of counterparty default or failure;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address any significant deficiencies or material weakness in our internal controls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generate sufficient cash flows to support our expansion plans and general operating activities;</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sufficiency of our existing capital resources and credit facilities; </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anticipated use of our existing cash resources and our ability to obtain additional financing in the future;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surrounding obesity, alcohol consumption, and other health concerns related to our products, product safety and quality, water usage, environmental impact and sustainability, human rights, our culture, workforce and labor and workplace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or comply with sustainability-related expectations, standards, and regulations, including laws implemented by the California legislature and directives adopted by the European Commission;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demand that are weather or season related and/or for other reasons, including changes in product category and/or package consumption;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cost and availability of certain key ingredients including aluminum cans, as well as disruptions to the supply chain, as a result of climate change and poor or extreme weather conditions;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unstable political conditions, civil unrest, large scale terrorist acts, the outbreak or escalation of armed hostilities, major natural disasters and extreme weather conditions (such as wildfires or hurricanes), widespread outbreaks of infectious diseases (such as the COVID-19 pandemic), or unforeseen economic and political changes and local or international catastrophic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trademark and trade dress infringement proceedings brought against us relating to any of our brands, which could result in an injunction barring us from selling certain of our products and/or require changes to be made to our current trade dress;</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and/or maintain price increases, including through reductions in promotional allowances;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achieve volume growth through product and packaging initiatives;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growth strategy, including expanding our business in existing and new sectors, such as the alcohol beverage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inherent operational risks presented by the alcohol beverage industry that may not be adequately covered by insurance or lead to litigation relating to alcohol marketing, advertising, or distribution practices, alcohol abuse problems and other health consequences arising from excessive consumption of or other misuse of alcohol, including death;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inability to transition distribution agreements in our Alcohol Brands segment and/or the impact of higher costs to change distributors for our alcohol beverages;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criticism of our products and/or the energy drink and/or alcohol beverage markets generally and/or legislation enacted (whether as a result of such criticism or otherwise) that restricts the marketing or sale of energy drinks and/or alcohol beverages (including prohibiting the sale of energy and/or alcohol drinks at certain establishments or pursuant to certain governmental programs), limits caffeine or alcohol content in beverages, requires certain product labeling disclosures and/or warnings, imposes excise and/or sales taxes, limits product sizes and/or imposes age restrictions for the sale of energy and/or alcohol drinks;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and/or resulting lower consumer demand and/or lower profit margins for energy drinks and/or alcohol beverages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In addition, our business may be adversely impacted by changes in other food, drug or similar laws in the United States and internationally as well as laws and regulations or rules made or enforced by the ATF and/or the FTC or their foreign counterparts;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the timely import or export of our products and/or ingredients including flavors, flavor ingredients and supplement ingredients due to port congestion, strikes and related labor issues or otherwise;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all criteria set forth in any model energy and/or alcohol drink guidelines, including, without limitation, those adopted by the American Beverage Association, of which we are a member, and/or any international beverage associations and the impact that our failure to satisfy such guidelines may have on our business;</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unfavorable or adverse public relations, press, articles, comments and/or media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cost, quality and availability of containers, packaging materials, aluminum cans or kegs, the Midwest and other premiums, raw materials, including flavors and flavor ingredients, and other ingredients and juice concentrates, co-packing fees, and our ability to obtain and/or maintain favorable supply arrangements and relationships and procure timely and/or sufficient production of all or any of our products to meet customer demand;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shortages that may be experienced in the procurement of containers and/or other raw materials including, without limitation, water, flavors, flavor ingredients, supplement ingredients, aluminum cans generally, to a limited extent PET containers, 24-ounce aluminum cap cans, 19.2-ounce cans and 550ml BRE aluminum cans with resealable ends;</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secure and purify sufficient supplies of quality water;</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Limitations in procuring sufficient quantities of aluminum cans;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cost of sales of corporate activity among the limited number of suppliers from whom we purchase certain raw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pass on to our customers all or a portion of any increases in the costs of raw materials, ingredients, commodities and/or other cost inputs affecting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penetrate new domestic and/or international markets and/or gain approval or mitigate the delay in securing approval for the sale of our products in various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sales and/or marketing efforts by us and/or by the bottlers/distributors of our products, most of whom distribute products that may be regarded as competitive with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Unilateral decisions by bottlers/distributors, buying groups, convenience and gas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certain activities by competitors and others to persuade regulators and/or retailers and/or customers in certain countries to reduce the permitted or maximum container sizes for our products from those currently being sold and marketed by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possible trading disputes between our bottler/distributors and their customers and/or one or more buying groups which may result in the delisting of certain of our products, temporarily or otherwise;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retailer consolidation on our business and our ability to successfully adapt to the rapidly changing retail landscape, including, but not limited to, competition from new entrants, consolidations by competitors and retailers, and other competitive activities;</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adapt to the changing retail landscape with the rapid growth in e-commerce retailers;</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bottler/distributor consolidation on our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and/or effectiveness, now or in the future, of our sponsorships and endorsements, marketing and promotional strategies;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sports marketing, social media and other general marketing endeavors both domestically and internationally;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product recalls and/or reformulations of certain of our products and/or market withdrawals of certain of our products due to defective packaging and/or non-compliant formulas or production in one or more jurisdictions;</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our bottlers and/or co-packers to manufacture our products on a timely basis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for the timely procurement of non-defective raw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protect and/or the loss of our intellectual property rights and/or our inability to use our trademarks, trade names or designs and/or trade dress in certain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of stock prices which may restrict stock sales, stock purchases or other opportunities as well as negatively impact the motivation of equity award grantees;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organizational documents and/or control by insiders which may prevent changes in control even if such changes would be beneficial to other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 in and/or lack of effectiveness of our information technology systems, including a breach of cyber security, that disrupts our business or negatively impacts customer relationships, as well as cybersecurity incidents involving data shared with or by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Succession plans for and/or the recruitment and retention of senior management, other key employees and our employee base in general.</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foregoing list of important factors and other risks detailed from time to time in our reports filed with the SEC is not exhaustive. See “Part II,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pStyle w:val="TextBody"/>
        <w:bidi w:val="0"/>
        <w:spacing w:before="0" w:after="0"/>
        <w:ind w:left="0" w:right="0" w:hanging="0"/>
        <w:jc w:val="left"/>
        <w:rPr/>
      </w:pPr>
      <w:r>
        <w:rPr/>
        <w:t>​</w:t>
      </w:r>
    </w:p>
    <w:p>
      <w:pPr>
        <w:pStyle w:val="TextBody"/>
        <w:pBdr/>
        <w:bidi w:val="0"/>
        <w:spacing w:before="0" w:after="240"/>
        <w:ind w:left="0" w:right="0" w:hanging="1152"/>
        <w:jc w:val="both"/>
        <w:rPr>
          <w:rFonts w:ascii="Times New Roman;Times;serif" w:hAnsi="Times New Roman;Times;serif"/>
          <w:b/>
          <w:sz w:val="20"/>
        </w:rPr>
      </w:pPr>
      <w:bookmarkStart w:id="1670" w:name="ITEM3QUANTITATIVEANDQUALITATIVEDISCLOSUR"/>
      <w:bookmarkStart w:id="1671" w:name="_589d07ab_c681_41c4_87de_b0b380920b00"/>
      <w:bookmarkEnd w:id="1670"/>
      <w:bookmarkEnd w:id="1671"/>
      <w:r>
        <w:rPr>
          <w:rFonts w:ascii="Times New Roman;Times;serif" w:hAnsi="Times New Roman;Times;serif"/>
          <w:b/>
          <w:sz w:val="20"/>
        </w:rPr>
        <w:t>ITEM 3.    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in our market risks during the three-months ended March 31, 2025 compared with the disclosures in Part II, Item 7A of our Form 10-K.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bookmarkStart w:id="1672" w:name="ITEM4CONTROLSANDPROCEDURES_270637"/>
      <w:bookmarkStart w:id="1673" w:name="_8e9f0027_b516_49f1_9753_f1bef4020d92"/>
      <w:bookmarkEnd w:id="1672"/>
      <w:bookmarkEnd w:id="1673"/>
      <w:r>
        <w:rPr>
          <w:rFonts w:ascii="Times New Roman;Times;serif" w:hAnsi="Times New Roman;Times;serif"/>
          <w:b/>
          <w:sz w:val="20"/>
        </w:rPr>
        <w:t>ITEM 4.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 Under the supervision and with the participation of the Company’s 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xml:space="preserve"> – There were no changes in the Company’s internal controls over financial reporting during the quarter ended March 31, 2025,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bookmarkStart w:id="1674" w:name="PARTIIOTHERINFORMATION_669833"/>
      <w:bookmarkStart w:id="1675" w:name="_c445ab53_2266_410f_8413_0151ca3e508f"/>
      <w:bookmarkEnd w:id="1674"/>
      <w:bookmarkEnd w:id="1675"/>
      <w:r>
        <w:rPr>
          <w:rFonts w:ascii="Times New Roman;Times;serif" w:hAnsi="Times New Roman;Times;serif"/>
          <w:b/>
          <w:sz w:val="20"/>
        </w:rPr>
        <w:t>PART II - OTHER INFORMATION</w:t>
      </w:r>
    </w:p>
    <w:p>
      <w:pPr>
        <w:pStyle w:val="TextBody"/>
        <w:bidi w:val="0"/>
        <w:spacing w:before="0" w:after="240"/>
        <w:ind w:left="0" w:right="0" w:hanging="0"/>
        <w:jc w:val="both"/>
        <w:rPr>
          <w:rFonts w:ascii="Times New Roman;Times;serif" w:hAnsi="Times New Roman;Times;serif"/>
          <w:b/>
          <w:sz w:val="20"/>
        </w:rPr>
      </w:pPr>
      <w:bookmarkStart w:id="1676" w:name="ITEM1LEGALPROCEEDINGS_448899"/>
      <w:bookmarkEnd w:id="1676"/>
      <w:r>
        <w:rPr>
          <w:rFonts w:ascii="Times New Roman;Times;serif" w:hAnsi="Times New Roman;Times;serif"/>
          <w:b/>
          <w:sz w:val="20"/>
        </w:rPr>
        <w:t>ITEM 1.    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herein by reference to the Notes to Condensed Consolidated Financial Statements - Note 11. Commitments and Contingencies: Litigation in Part I, Item 1, of this Quarterly Report on Form 10-Q.</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1677" w:name="ITEM1ARISKFACTORS_609704"/>
      <w:bookmarkStart w:id="1678" w:name="_9245b969_1cbb_4687_a2f7_7c53596bf689"/>
      <w:bookmarkEnd w:id="1677"/>
      <w:bookmarkEnd w:id="1678"/>
      <w:r>
        <w:rPr>
          <w:rFonts w:ascii="Times New Roman;Times;serif" w:hAnsi="Times New Roman;Times;serif"/>
          <w:b/>
          <w:sz w:val="20"/>
        </w:rPr>
        <w:t>ITEM 1A. RISK FACTORS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If any of these risks occur or continue to occur, our business, reputation, financial condition and/or operating results could be materially adversely affected. We also note that the risk factors described in this report and our Form 10-K are not the only risks facing our Company, and such additional risks or uncertainties that we currently deem to be immaterial or are unknown to us could negatively impact our business, operations, or financial results.</w:t>
      </w:r>
    </w:p>
    <w:p>
      <w:pPr>
        <w:pStyle w:val="TextBody"/>
        <w:bidi w:val="0"/>
        <w:spacing w:before="0" w:after="0"/>
        <w:ind w:left="0" w:right="0" w:hanging="0"/>
        <w:jc w:val="left"/>
        <w:rPr/>
      </w:pPr>
      <w:r>
        <w:rPr/>
        <w:t>​</w:t>
      </w:r>
    </w:p>
    <w:p>
      <w:pPr>
        <w:pStyle w:val="TextBody"/>
        <w:pBdr/>
        <w:bidi w:val="0"/>
        <w:spacing w:before="0" w:after="200"/>
        <w:ind w:left="0" w:right="0" w:hanging="1440"/>
        <w:jc w:val="both"/>
        <w:rPr>
          <w:rFonts w:ascii="Times New Roman;Times;serif" w:hAnsi="Times New Roman;Times;serif"/>
          <w:sz w:val="20"/>
        </w:rPr>
      </w:pPr>
      <w:bookmarkStart w:id="1679" w:name="ITEM2UNREGISTEREDSALESOFEQUITY_417570"/>
      <w:bookmarkStart w:id="1680" w:name="_c5b24d81_b9fa_4354_96d1_a2b9836bf150"/>
      <w:bookmarkEnd w:id="1679"/>
      <w:bookmarkEnd w:id="1680"/>
      <w:r>
        <w:rPr>
          <w:rFonts w:ascii="Times New Roman;Times;serif" w:hAnsi="Times New Roman;Times;serif"/>
          <w:b/>
          <w:sz w:val="20"/>
        </w:rPr>
        <w:t>ITEM 2.</w:t>
      </w:r>
      <w:r>
        <w:rPr>
          <w:rFonts w:ascii="Times New Roman;Times;serif" w:hAnsi="Times New Roman;Times;serif"/>
          <w:sz w:val="20"/>
        </w:rPr>
        <w:t>    </w:t>
      </w:r>
      <w:r>
        <w:rPr>
          <w:rFonts w:ascii="Times New Roman;Times;serif" w:hAnsi="Times New Roman;Times;serif"/>
          <w:b/>
          <w:sz w:val="20"/>
        </w:rPr>
        <w:t>UNREGISTERED SALES OF EQUITY SECURITIES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19, 2024, the Company’s Board of Directors authorized a share repurchase program for the purchase of up to an additional $500.0 million of the Company’s outstanding common stock (the “August 2024 Repurchase Plan”). During the three-months ended March 31, 2025, no shares were repurchased under the August 2024 Repurchase Plan. As of May 8, 2025, $500.0 million remained available for repurchase under the August 2024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$500.0 million as of May 8,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March 31, 2025, 0.3 million shares of common stock were purchased from employees in lieu of cash payments for options exercised or withholding taxes due for a total amount of $16.6 million. While such purchases are considered common stock repurchases, they are not counted as purchases against the Company’s authorized share repurchase programs. Such shares are included in common stock in treasury in the accompanying condensed consolidated balance sheet at March 31,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tabular summary reflects the Company’s repurchase activity during the quarter ended March 31, 2025.</w:t>
      </w:r>
    </w:p>
    <w:p>
      <w:pPr>
        <w:pStyle w:val="TextBody"/>
        <w:bidi w:val="0"/>
        <w:spacing w:before="0" w:after="0"/>
        <w:ind w:left="0" w:right="0" w:hanging="0"/>
        <w:jc w:val="both"/>
        <w:rPr/>
      </w:pPr>
      <w:r>
        <w:rPr/>
        <w:t>​</w:t>
      </w:r>
    </w:p>
    <w:tbl>
      <w:tblPr>
        <w:tblW w:w="9227" w:type="dxa"/>
        <w:jc w:val="left"/>
        <w:tblInd w:w="0" w:type="dxa"/>
        <w:tblLayout w:type="fixed"/>
        <w:tblCellMar>
          <w:top w:w="0" w:type="dxa"/>
          <w:left w:w="0" w:type="dxa"/>
          <w:bottom w:w="0" w:type="dxa"/>
          <w:right w:w="0" w:type="dxa"/>
        </w:tblCellMar>
      </w:tblPr>
      <w:tblGrid>
        <w:gridCol w:w="1891"/>
        <w:gridCol w:w="326"/>
        <w:gridCol w:w="1231"/>
        <w:gridCol w:w="326"/>
        <w:gridCol w:w="464"/>
        <w:gridCol w:w="766"/>
        <w:gridCol w:w="326"/>
        <w:gridCol w:w="1576"/>
        <w:gridCol w:w="326"/>
        <w:gridCol w:w="383"/>
        <w:gridCol w:w="1612"/>
      </w:tblGrid>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1" name="Frame4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781685" cy="175260"/>
                      <wp:effectExtent l="0" t="0" r="0" b="0"/>
                      <wp:wrapNone/>
                      <wp:docPr id="462" name="Frame462"/>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94640" cy="175260"/>
                      <wp:effectExtent l="0" t="0" r="0" b="0"/>
                      <wp:wrapNone/>
                      <wp:docPr id="464" name="Frame464"/>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86410" cy="175260"/>
                      <wp:effectExtent l="0" t="0" r="0" b="0"/>
                      <wp:wrapNone/>
                      <wp:docPr id="465" name="Frame46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000760" cy="175260"/>
                      <wp:effectExtent l="0" t="0" r="0" b="0"/>
                      <wp:wrapNone/>
                      <wp:docPr id="467" name="Frame467"/>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8"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43205" cy="175260"/>
                      <wp:effectExtent l="0" t="0" r="0" b="0"/>
                      <wp:wrapNone/>
                      <wp:docPr id="469" name="Frame469"/>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023620" cy="175260"/>
                      <wp:effectExtent l="0" t="0" r="0" b="0"/>
                      <wp:wrapNone/>
                      <wp:docPr id="470" name="Frame470"/>
                      <a:graphic xmlns:a="http://schemas.openxmlformats.org/drawingml/2006/main">
                        <a:graphicData uri="http://schemas.microsoft.com/office/word/2010/wordprocessingShape">
                          <wps:wsp>
                            <wps:cNvSpPr txBox="1"/>
                            <wps:spPr>
                              <a:xfrm>
                                <a:off x="0" y="0"/>
                                <a:ext cx="1023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64"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Maximum Number (or</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Approximate Dollar</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 of</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 of Shares that</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Purchased</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Yet Be Purchased</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w:t>
            </w:r>
          </w:p>
        </w:tc>
        <w:tc>
          <w:tcPr>
            <w:tcW w:w="326"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Part of Publicly</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Under the Plans or</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Shares</w:t>
            </w:r>
          </w:p>
        </w:tc>
        <w:tc>
          <w:tcPr>
            <w:tcW w:w="326" w:type="dxa"/>
            <w:tcBorders/>
            <w:vAlign w:val="center"/>
          </w:tcPr>
          <w:p>
            <w:pPr>
              <w:pStyle w:val="TableContents"/>
              <w:bidi w:val="0"/>
              <w:spacing w:before="0" w:after="0"/>
              <w:ind w:left="0" w:right="0" w:hanging="0"/>
              <w:jc w:val="center"/>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Price</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Announced Plans</w:t>
            </w:r>
          </w:p>
        </w:tc>
        <w:tc>
          <w:tcPr>
            <w:tcW w:w="326" w:type="dxa"/>
            <w:tcBorders/>
            <w:vAlign w:val="center"/>
          </w:tcPr>
          <w:p>
            <w:pPr>
              <w:pStyle w:val="TableContents"/>
              <w:bidi w:val="0"/>
              <w:spacing w:before="0" w:after="0"/>
              <w:ind w:left="0" w:right="0" w:hanging="0"/>
              <w:jc w:val="center"/>
              <w:rPr/>
            </w:pPr>
            <w:r>
              <w:rPr/>
              <w:t>​</w:t>
            </w:r>
          </w:p>
        </w:tc>
        <w:tc>
          <w:tcPr>
            <w:tcW w:w="19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Programs</w:t>
            </w:r>
          </w:p>
        </w:tc>
      </w:tr>
      <w:tr>
        <w:trPr/>
        <w:tc>
          <w:tcPr>
            <w:tcW w:w="18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Period</w:t>
            </w:r>
          </w:p>
        </w:tc>
        <w:tc>
          <w:tcPr>
            <w:tcW w:w="326" w:type="dxa"/>
            <w:tcBorders/>
            <w:vAlign w:val="center"/>
          </w:tcPr>
          <w:p>
            <w:pPr>
              <w:pStyle w:val="TableContents"/>
              <w:bidi w:val="0"/>
              <w:spacing w:before="0" w:after="0"/>
              <w:ind w:left="0" w:right="0" w:hanging="0"/>
              <w:jc w:val="center"/>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Purchased</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 Share</w:t>
            </w:r>
          </w:p>
        </w:tc>
        <w:tc>
          <w:tcPr>
            <w:tcW w:w="326" w:type="dxa"/>
            <w:tcBorders/>
            <w:vAlign w:val="center"/>
          </w:tcPr>
          <w:p>
            <w:pPr>
              <w:pStyle w:val="TableContents"/>
              <w:bidi w:val="0"/>
              <w:spacing w:before="0" w:after="0"/>
              <w:ind w:left="0" w:right="0" w:hanging="0"/>
              <w:jc w:val="center"/>
              <w:rPr/>
            </w:pPr>
            <w:r>
              <w:rPr/>
              <w:t>    </w:t>
            </w:r>
          </w:p>
        </w:tc>
        <w:tc>
          <w:tcPr>
            <w:tcW w:w="157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or Programs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center"/>
              <w:rPr/>
            </w:pPr>
            <w:r>
              <w:rPr/>
              <w:t>    </w:t>
            </w:r>
          </w:p>
        </w:tc>
        <w:tc>
          <w:tcPr>
            <w:tcW w:w="1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 1 – Jan 31, 2025</w:t>
            </w:r>
          </w:p>
        </w:tc>
        <w:tc>
          <w:tcPr>
            <w:tcW w:w="32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 1 – Feb 28, 2025</w:t>
            </w:r>
          </w:p>
        </w:tc>
        <w:tc>
          <w:tcPr>
            <w:tcW w:w="32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 1 – Mar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2"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500,000</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 xml:space="preserve">1 </w:t>
      </w:r>
      <w:r>
        <w:rPr>
          <w:rFonts w:ascii="Times New Roman;Times;serif" w:hAnsi="Times New Roman;Times;serif"/>
          <w:i/>
          <w:sz w:val="18"/>
        </w:rPr>
        <w:t>On August 19, 2024, the Company publicly announced that its Board of Directors authorized the August 2024 Repurchase Plan. Board authorization of the repurchase plan remains in effect until shares in the amount authorized thereunder have been repurchased. See Item 2, “Unregistered Sales of Equity Securities and Use of Proceeds” above for more information.</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bookmarkStart w:id="1681" w:name="ITEM3DEFAULTSUPONSENIORSECURITIES_753663"/>
      <w:bookmarkStart w:id="1682" w:name="_1e588629_5eb7_4ab2_aba9_b925e09144ff"/>
      <w:bookmarkEnd w:id="1681"/>
      <w:bookmarkEnd w:id="1682"/>
      <w:r>
        <w:rPr>
          <w:rFonts w:ascii="Times New Roman;Times;serif" w:hAnsi="Times New Roman;Times;serif"/>
          <w:b/>
          <w:sz w:val="20"/>
        </w:rPr>
        <w:t>ITEM 3.    DEFAULTS UPON SENIOR SECURITIES</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683" w:name="ITEM4MINESAFETYDISCLOSURES_417702"/>
      <w:bookmarkStart w:id="1684" w:name="_6f330148_263f_4f59_8fc1_18576ee17241"/>
      <w:bookmarkEnd w:id="1683"/>
      <w:bookmarkEnd w:id="1684"/>
      <w:r>
        <w:rPr>
          <w:rFonts w:ascii="Times New Roman;Times;serif" w:hAnsi="Times New Roman;Times;serif"/>
          <w:b/>
          <w:sz w:val="20"/>
        </w:rPr>
        <w:t>ITEM 4.    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685" w:name="ITEM5OTHERINFORMATION_353440"/>
      <w:bookmarkStart w:id="1686" w:name="_98be6bf8_4159_4283_adf6_bc9cb29dde80"/>
      <w:bookmarkEnd w:id="1685"/>
      <w:bookmarkEnd w:id="1686"/>
      <w:r>
        <w:rPr>
          <w:rFonts w:ascii="Times New Roman;Times;serif" w:hAnsi="Times New Roman;Times;serif"/>
          <w:b/>
          <w:sz w:val="20"/>
        </w:rPr>
        <w:t>ITEM 5.    OTHER INFORMATION</w:t>
      </w:r>
    </w:p>
    <w:p>
      <w:pPr>
        <w:pStyle w:val="TextBody"/>
        <w:bidi w:val="0"/>
        <w:spacing w:before="0" w:after="0"/>
        <w:ind w:left="0" w:right="0" w:firstLine="726"/>
        <w:jc w:val="both"/>
        <w:rPr>
          <w:rFonts w:ascii="Times New Roman;Times;serif" w:hAnsi="Times New Roman;Times;serif"/>
          <w:sz w:val="20"/>
        </w:rPr>
      </w:pPr>
      <w:r>
        <w:rPr>
          <w:rFonts w:ascii="Times New Roman;Times;serif" w:hAnsi="Times New Roman;Times;serif"/>
          <w:sz w:val="20"/>
        </w:rPr>
        <w:t>During the three-months ended March 31, 2025, none of the Company’s directors or officers adopted, modified or terminated a Rule 10b5-1 trading arrangement or a non-Rule 10b5-1 trading arrangement (each as defined in Item 408 of Regulation S-K under the Securities Exchange Act of 1934, as amended).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1687" w:name="ITEM6EXHIBITS_20622"/>
      <w:bookmarkStart w:id="1688" w:name="_693949a0_949b_4c0a_af19_1ca0d5c2aede"/>
      <w:bookmarkEnd w:id="1687"/>
      <w:bookmarkEnd w:id="1688"/>
      <w:r>
        <w:rPr>
          <w:rFonts w:ascii="Times New Roman;Times;serif" w:hAnsi="Times New Roman;Times;serif"/>
          <w:b/>
          <w:sz w:val="20"/>
        </w:rPr>
        <w:t>ITEM 6.    EXHIBITS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06"/>
        <w:gridCol w:w="326"/>
        <w:gridCol w:w="9373"/>
      </w:tblGrid>
      <w:tr>
        <w:trPr/>
        <w:tc>
          <w:tcPr>
            <w:tcW w:w="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73" w:type="dxa"/>
            <w:tcBorders/>
            <w:vAlign w:val="center"/>
          </w:tcPr>
          <w:p>
            <w:pPr>
              <w:pStyle w:val="TableContents"/>
              <w:bidi w:val="0"/>
              <w:spacing w:before="0" w:after="0"/>
              <w:ind w:left="0" w:right="0" w:hanging="0"/>
              <w:jc w:val="left"/>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both"/>
              <w:rPr/>
            </w:pPr>
            <w:r>
              <w:rPr/>
              <w:t>    </w:t>
            </w:r>
          </w:p>
        </w:tc>
        <w:tc>
          <w:tcPr>
            <w:tcW w:w="9373"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Second Amended and Restated Certificate of Incorporation of the Company (incorporated by reference to Exhibit 3.1 to our Form 8-K dated June 27, 2023).</w:t>
              </w:r>
            </w:hyperlink>
          </w:p>
        </w:tc>
      </w:tr>
      <w:tr>
        <w:trPr/>
        <w:tc>
          <w:tcPr>
            <w:tcW w:w="5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Fourth Amended and Restated By-laws of the Company (incorporated by reference to Exhibit 3.2 to our Form 8-K dated November 7, 2024).</w:t>
              </w:r>
            </w:hyperlink>
          </w:p>
        </w:tc>
      </w:tr>
      <w:tr>
        <w:trPr/>
        <w:tc>
          <w:tcPr>
            <w:tcW w:w="5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Rodney C. Sacks Transition Letter, dated March 10, 2025 (incorporated by reference to Exhibit 10.1 to our Form 8-K dated March 10, 2025).</w:t>
              </w:r>
            </w:hyperlink>
          </w:p>
        </w:tc>
      </w:tr>
      <w:tr>
        <w:trPr/>
        <w:tc>
          <w:tcPr>
            <w:tcW w:w="5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hyperlink w:anchor="mnst-20250331xex10d2.htm">
              <w:r>
                <w:rPr>
                  <w:rStyle w:val="InternetLink"/>
                  <w:rFonts w:ascii="Times New Roman;Times;serif" w:hAnsi="Times New Roman;Times;serif"/>
                  <w:b w:val="false"/>
                  <w:i w:val="false"/>
                  <w:caps w:val="false"/>
                  <w:smallCaps w:val="false"/>
                  <w:sz w:val="20"/>
                </w:rPr>
                <w:t>Form of 2025 Stock Option Award Agreement for grants under the Monster Beverage Corporation 2020 Omnibus Incentive Plan.</w:t>
              </w:r>
            </w:hyperlink>
          </w:p>
        </w:tc>
      </w:tr>
      <w:tr>
        <w:trPr/>
        <w:tc>
          <w:tcPr>
            <w:tcW w:w="5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hyperlink w:anchor="mnst-20250331xex10d3.htm">
              <w:r>
                <w:rPr>
                  <w:rStyle w:val="InternetLink"/>
                  <w:rFonts w:ascii="Times New Roman;Times;serif" w:hAnsi="Times New Roman;Times;serif"/>
                  <w:b w:val="false"/>
                  <w:i w:val="false"/>
                  <w:caps w:val="false"/>
                  <w:smallCaps w:val="false"/>
                  <w:sz w:val="20"/>
                </w:rPr>
                <w:t>Form of 2025 Restricted Stock Unit Award Agreement for grants under the Monster Beverage Corporation 2020 Omnibus Incentive Plan.</w:t>
              </w:r>
            </w:hyperlink>
          </w:p>
        </w:tc>
      </w:tr>
      <w:tr>
        <w:trPr/>
        <w:tc>
          <w:tcPr>
            <w:tcW w:w="5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hyperlink w:anchor="mnst-20250331xex10d4.htm">
              <w:r>
                <w:rPr>
                  <w:rStyle w:val="InternetLink"/>
                  <w:rFonts w:ascii="Times New Roman;Times;serif" w:hAnsi="Times New Roman;Times;serif"/>
                  <w:b w:val="false"/>
                  <w:i w:val="false"/>
                  <w:caps w:val="false"/>
                  <w:smallCaps w:val="false"/>
                  <w:sz w:val="20"/>
                </w:rPr>
                <w:t>Form of 2025 Performance Share Unit Award Agreement for grants under the Monster Beverage Corporation 2020 Omnibus Incentive Plan.</w:t>
              </w:r>
            </w:hyperlink>
          </w:p>
        </w:tc>
      </w:tr>
      <w:tr>
        <w:trPr/>
        <w:tc>
          <w:tcPr>
            <w:tcW w:w="5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both"/>
              <w:rPr/>
            </w:pPr>
            <w:r>
              <w:rPr/>
              <w:t>   </w:t>
            </w:r>
          </w:p>
        </w:tc>
        <w:tc>
          <w:tcPr>
            <w:tcW w:w="9373" w:type="dxa"/>
            <w:tcBorders/>
            <w:vAlign w:val="center"/>
          </w:tcPr>
          <w:p>
            <w:pPr>
              <w:pStyle w:val="TableContents"/>
              <w:bidi w:val="0"/>
              <w:spacing w:before="0" w:after="0"/>
              <w:ind w:left="0" w:right="0" w:hanging="0"/>
              <w:jc w:val="both"/>
              <w:rPr/>
            </w:pPr>
            <w:hyperlink w:anchor="mnst-20250331xex31d1.htm">
              <w:r>
                <w:rPr>
                  <w:rStyle w:val="InternetLink"/>
                  <w:rFonts w:ascii="Times New Roman;Times;serif" w:hAnsi="Times New Roman;Times;serif"/>
                  <w:b w:val="false"/>
                  <w:i w:val="false"/>
                  <w:caps w:val="false"/>
                  <w:smallCaps w:val="false"/>
                  <w:sz w:val="20"/>
                </w:rPr>
                <w:t>Certification of Co-Chief Executive Officer Pursuant to Section 302 of the Sarbanes-Oxley Act of 2002</w:t>
              </w:r>
            </w:hyperlink>
          </w:p>
        </w:tc>
      </w:tr>
      <w:tr>
        <w:trPr/>
        <w:tc>
          <w:tcPr>
            <w:tcW w:w="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373" w:type="dxa"/>
            <w:tcBorders/>
            <w:vAlign w:val="center"/>
          </w:tcPr>
          <w:p>
            <w:pPr>
              <w:pStyle w:val="TableContents"/>
              <w:bidi w:val="0"/>
              <w:spacing w:before="0" w:after="0"/>
              <w:ind w:left="0" w:right="0" w:hanging="0"/>
              <w:jc w:val="left"/>
              <w:rPr/>
            </w:pPr>
            <w:hyperlink w:anchor="mnst-20250331xex31d2.htm">
              <w:r>
                <w:rPr>
                  <w:rStyle w:val="InternetLink"/>
                  <w:rFonts w:ascii="Times New Roman;Times;serif" w:hAnsi="Times New Roman;Times;serif"/>
                  <w:b w:val="false"/>
                  <w:i w:val="false"/>
                  <w:caps w:val="false"/>
                  <w:smallCaps w:val="false"/>
                  <w:sz w:val="20"/>
                </w:rPr>
                <w:t>Certification of Co-Chief Executive Officer Pursuant to Section 302 of the Sarbanes-Oxley Act of 2002</w:t>
              </w:r>
            </w:hyperlink>
          </w:p>
        </w:tc>
      </w:tr>
      <w:tr>
        <w:trPr/>
        <w:tc>
          <w:tcPr>
            <w:tcW w:w="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31.3*</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hyperlink w:anchor="mnst-20250331xex31d3.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hyperlink w:anchor="mnst-20250331xex32d1.htm">
              <w:r>
                <w:rPr>
                  <w:rStyle w:val="InternetLink"/>
                  <w:rFonts w:ascii="Times New Roman;Times;serif" w:hAnsi="Times New Roman;Times;serif"/>
                  <w:b w:val="false"/>
                  <w:i w:val="false"/>
                  <w:caps w:val="false"/>
                  <w:smallCaps w:val="false"/>
                  <w:sz w:val="20"/>
                </w:rPr>
                <w:t>Certification of Co-Chief Executive Officer Pursuant to 18 U.S.C. Section 1350, as Adopted Pursuant to Section 906 of the Sarbanes-Oxley Act of 2002</w:t>
              </w:r>
            </w:hyperlink>
          </w:p>
        </w:tc>
      </w:tr>
      <w:tr>
        <w:trPr/>
        <w:tc>
          <w:tcPr>
            <w:tcW w:w="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hyperlink w:anchor="mnst-20250331xex32d2.htm">
              <w:r>
                <w:rPr>
                  <w:rStyle w:val="InternetLink"/>
                  <w:rFonts w:ascii="Times New Roman;Times;serif" w:hAnsi="Times New Roman;Times;serif"/>
                  <w:b w:val="false"/>
                  <w:i w:val="false"/>
                  <w:caps w:val="false"/>
                  <w:smallCaps w:val="false"/>
                  <w:sz w:val="20"/>
                </w:rPr>
                <w:t>Certification of Co-Chief Executive Officer Pursuant to 18 U.S.C. Section 1350, as Adopted Pursuant to Section 906 of the Sarbanes-Oxley Act of 2002</w:t>
              </w:r>
            </w:hyperlink>
          </w:p>
        </w:tc>
      </w:tr>
      <w:tr>
        <w:trPr/>
        <w:tc>
          <w:tcPr>
            <w:tcW w:w="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32.3*</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hyperlink w:anchor="mnst-20250331xex32d3.htm">
              <w:r>
                <w:rPr>
                  <w:rStyle w:val="InternetLink"/>
                  <w:rFonts w:ascii="Times New Roman;Times;serif" w:hAnsi="Times New Roman;Times;serif"/>
                  <w:b w:val="false"/>
                  <w:i w:val="false"/>
                  <w:caps w:val="false"/>
                  <w:smallCaps w:val="false"/>
                  <w:sz w:val="20"/>
                </w:rPr>
                <w:t>Certification by Chief Financial Officer Pursuant to 18 U.S.C. Section 1350, as Adopted Pursuant to Section 906 of the Sarbanes-Oxley Act of 2002</w:t>
              </w:r>
            </w:hyperlink>
          </w:p>
        </w:tc>
      </w:tr>
      <w:tr>
        <w:trPr/>
        <w:tc>
          <w:tcPr>
            <w:tcW w:w="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information from Monster Beverage Corporation’s Quarterly Report on Form 10-Q for the quarter ended March 31, 2025, formatted in iXBRL (Inline eXtensible Business Reporting Language): (i) Condensed Consolidated Balance Sheets as of March 31, 2025 and December 31, 2024, (ii) Condensed Consolidated Statements of Income for the three-months ended March 31, 2025 and 2024, (iii) Condensed Consolidated Statements of Comprehensive Income for the three-months ended March 31, 2025 and 2024, (iv) Condensed Consolidated Statements of Stockholders’ Equity for the three-months ended March 31, 2025 and 2024, (v) Condensed Consolidated Statements of Cash Flows for the three-months ended March 31, 2025 and 2024, and (vi) the Notes to Condensed Consolidated Financial Statements.</w:t>
            </w:r>
          </w:p>
        </w:tc>
      </w:tr>
      <w:tr>
        <w:trPr/>
        <w:tc>
          <w:tcPr>
            <w:tcW w:w="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pPr>
            <w:r>
              <w:rPr/>
              <w:t>​</w:t>
            </w:r>
          </w:p>
        </w:tc>
      </w:tr>
      <w:tr>
        <w:trPr/>
        <w:tc>
          <w:tcPr>
            <w:tcW w:w="5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both"/>
              <w:rPr/>
            </w:pPr>
            <w:r>
              <w:rPr/>
              <w:t>​</w:t>
            </w:r>
          </w:p>
        </w:tc>
        <w:tc>
          <w:tcPr>
            <w:tcW w:w="93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cover page from Monster Beverage Corporation’s Quarterly Report on Form 10-Q for the quarter ended March 31, 2025, formatted in iXBRL (Inline eXtensible Business Reporting Language) and contained in Exhibit 101.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Management contract or compensatory plans or arrangements.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89" w:name="SIGNATURES_652864"/>
      <w:bookmarkStart w:id="1690" w:name="_6561db31_aedb_4b82_bb40_90fe1eb03f8f"/>
      <w:bookmarkEnd w:id="1689"/>
      <w:bookmarkEnd w:id="1690"/>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5207" w:type="dxa"/>
        <w:jc w:val="left"/>
        <w:tblInd w:w="0" w:type="dxa"/>
        <w:tblLayout w:type="fixed"/>
        <w:tblCellMar>
          <w:top w:w="0" w:type="dxa"/>
          <w:left w:w="0" w:type="dxa"/>
          <w:bottom w:w="0" w:type="dxa"/>
          <w:right w:w="0" w:type="dxa"/>
        </w:tblCellMar>
      </w:tblPr>
      <w:tblGrid>
        <w:gridCol w:w="1636"/>
        <w:gridCol w:w="3571"/>
      </w:tblGrid>
      <w:tr>
        <w:trPr/>
        <w:tc>
          <w:tcPr>
            <w:tcW w:w="163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CORPORATION</w:t>
            </w:r>
          </w:p>
        </w:tc>
      </w:tr>
      <w:tr>
        <w:trPr/>
        <w:tc>
          <w:tcPr>
            <w:tcW w:w="163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63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2025</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1636"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r>
      <w:tr>
        <w:trPr/>
        <w:tc>
          <w:tcPr>
            <w:tcW w:w="163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163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r>
        <w:trPr/>
        <w:tc>
          <w:tcPr>
            <w:tcW w:w="163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2025</w:t>
            </w:r>
          </w:p>
        </w:tc>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1636" w:type="dxa"/>
            <w:tcBorders/>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163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w:t>
            </w:r>
          </w:p>
        </w:tc>
      </w:tr>
      <w:tr>
        <w:trPr/>
        <w:tc>
          <w:tcPr>
            <w:tcW w:w="1636" w:type="dxa"/>
            <w:tcBorders/>
            <w:vAlign w:val="center"/>
          </w:tcPr>
          <w:p>
            <w:pPr>
              <w:pStyle w:val="TableContents"/>
              <w:bidi w:val="0"/>
              <w:spacing w:before="0" w:after="0"/>
              <w:ind w:left="0" w:right="0" w:hanging="0"/>
              <w:jc w:val="left"/>
              <w:rPr/>
            </w:pPr>
            <w:r>
              <w:rPr/>
              <w:t>​</w:t>
            </w:r>
          </w:p>
        </w:tc>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0"/>
        <w:ind w:left="0" w:right="0" w:hanging="0"/>
        <w:jc w:val="left"/>
        <w:rPr/>
      </w:pPr>
      <w:bookmarkStart w:id="1691" w:name="mnst-20250331xex10d2.htm"/>
      <w:bookmarkStart w:id="1692" w:name="ksmnst20250331xex10d2"/>
      <w:bookmarkEnd w:id="1691"/>
      <w:bookmarkEnd w:id="1692"/>
      <w:r>
        <w:rPr/>
        <w:t>​</w:t>
      </w:r>
      <w:r>
        <w:br w:type="page"/>
      </w:r>
    </w:p>
    <w:p>
      <w:pPr>
        <w:pStyle w:val="TextBody"/>
        <w:bidi w:val="0"/>
        <w:spacing w:before="0" w:after="0"/>
        <w:ind w:left="0" w:right="0" w:firstLine="450"/>
        <w:jc w:val="right"/>
        <w:rPr>
          <w:rFonts w:ascii="Times New Roman;Times;serif" w:hAnsi="Times New Roman;Times;serif"/>
          <w:b/>
          <w:sz w:val="20"/>
        </w:rPr>
      </w:pPr>
      <w:r>
        <w:rPr>
          <w:rFonts w:ascii="Times New Roman;Times;serif" w:hAnsi="Times New Roman;Times;serif"/>
          <w:b/>
          <w:sz w:val="20"/>
        </w:rPr>
        <w:t>EXHIBIT 10.2</w:t>
      </w:r>
    </w:p>
    <w:p>
      <w:pPr>
        <w:pStyle w:val="TextBody"/>
        <w:bidi w:val="0"/>
        <w:spacing w:before="0" w:after="0"/>
        <w:ind w:left="0" w:right="0" w:firstLine="450"/>
        <w:jc w:val="righ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OPTION AWARD AGREEMENT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Option Award Agreement (this “</w:t>
      </w:r>
      <w:r>
        <w:rPr>
          <w:rFonts w:ascii="Times New Roman;Times;serif" w:hAnsi="Times New Roman;Times;serif"/>
          <w:b/>
          <w:i/>
          <w:sz w:val="20"/>
        </w:rPr>
        <w:t>Agreement</w:t>
      </w:r>
      <w:r>
        <w:rPr>
          <w:rFonts w:ascii="Times New Roman;Times;serif" w:hAnsi="Times New Roman;Times;serif"/>
          <w:sz w:val="20"/>
        </w:rPr>
        <w:t>”) is made as of [__], 20[__] (the “</w:t>
      </w:r>
      <w:r>
        <w:rPr>
          <w:rFonts w:ascii="Times New Roman;Times;serif" w:hAnsi="Times New Roman;Times;serif"/>
          <w:b/>
          <w:i/>
          <w:sz w:val="20"/>
        </w:rPr>
        <w:t>Grant Date</w:t>
      </w:r>
      <w:r>
        <w:rPr>
          <w:rFonts w:ascii="Times New Roman;Times;serif" w:hAnsi="Times New Roman;Times;serif"/>
          <w:sz w:val="20"/>
        </w:rPr>
        <w:t>”) by and between Monster Beverage Corporation, a Delaware corporation (the “</w:t>
      </w:r>
      <w:r>
        <w:rPr>
          <w:rFonts w:ascii="Times New Roman;Times;serif" w:hAnsi="Times New Roman;Times;serif"/>
          <w:b/>
          <w:i/>
          <w:sz w:val="20"/>
        </w:rPr>
        <w:t>Company</w:t>
      </w:r>
      <w:r>
        <w:rPr>
          <w:rFonts w:ascii="Times New Roman;Times;serif" w:hAnsi="Times New Roman;Times;serif"/>
          <w:sz w:val="20"/>
        </w:rPr>
        <w:t>”), and [___________] (“</w:t>
      </w:r>
      <w:r>
        <w:rPr>
          <w:rFonts w:ascii="Times New Roman;Times;serif" w:hAnsi="Times New Roman;Times;serif"/>
          <w:b/>
          <w:i/>
          <w:sz w:val="20"/>
        </w:rPr>
        <w:t>Participant</w:t>
      </w:r>
      <w:r>
        <w:rPr>
          <w:rFonts w:ascii="Times New Roman;Times;serif" w:hAnsi="Times New Roman;Times;serif"/>
          <w:sz w:val="20"/>
        </w:rPr>
        <w:t>”).</w:t>
      </w:r>
    </w:p>
    <w:p>
      <w:pPr>
        <w:pStyle w:val="TextBody"/>
        <w:bidi w:val="0"/>
        <w:spacing w:before="0" w:after="0"/>
        <w:ind w:left="0" w:right="0" w:firstLine="720"/>
        <w:jc w:val="both"/>
        <w:rPr/>
      </w:pPr>
      <w:r>
        <w:rPr/>
        <w:t>​</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Preliminary Recitals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Participant is an Employee of the Company or its Subsidiaries.</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Pursuant to the Monster Beverage Corporation 2020 Omnibus Incentive Plan, as in effect and as amended from time to time (the “</w:t>
      </w:r>
      <w:r>
        <w:rPr>
          <w:rFonts w:ascii="Times New Roman;Times;serif" w:hAnsi="Times New Roman;Times;serif"/>
          <w:b/>
          <w:i/>
          <w:sz w:val="20"/>
        </w:rPr>
        <w:t>Plan</w:t>
      </w:r>
      <w:r>
        <w:rPr>
          <w:rFonts w:ascii="Times New Roman;Times;serif" w:hAnsi="Times New Roman;Times;serif"/>
          <w:sz w:val="20"/>
        </w:rPr>
        <w:t>”), the Company desires to grant Participant an Option to purchase Shares.</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Capitalized terms not otherwise defined in this Agreement shall have the meaning given to them in the Plan.</w:t>
      </w:r>
    </w:p>
    <w:p>
      <w:pPr>
        <w:pStyle w:val="TextBody"/>
        <w:bidi w:val="0"/>
        <w:spacing w:before="0" w:after="0"/>
        <w:ind w:left="72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NOW, THEREFORE, the Company and Participant agree as follows: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Grant of the Option Award</w:t>
      </w:r>
      <w:r>
        <w:rPr>
          <w:rFonts w:ascii="Times New Roman;Times;serif" w:hAnsi="Times New Roman;Times;serif"/>
          <w:sz w:val="20"/>
        </w:rPr>
        <w:t>. The Company hereby grants to Participant, subject to the terms and conditions set forth herein and in the Plan, an incentive stock option (“</w:t>
      </w:r>
      <w:r>
        <w:rPr>
          <w:rFonts w:ascii="Times New Roman;Times;serif" w:hAnsi="Times New Roman;Times;serif"/>
          <w:b/>
          <w:i/>
          <w:sz w:val="20"/>
        </w:rPr>
        <w:t>ISO</w:t>
      </w:r>
      <w:r>
        <w:rPr>
          <w:rFonts w:ascii="Times New Roman;Times;serif" w:hAnsi="Times New Roman;Times;serif"/>
          <w:sz w:val="20"/>
        </w:rPr>
        <w:t>”) to purchase [______] Shares, at the purchase price of $[_____] per Share, which price is equal to the Fair Market Value of the Shares on the Grant Date (the “</w:t>
      </w:r>
      <w:r>
        <w:rPr>
          <w:rFonts w:ascii="Times New Roman;Times;serif" w:hAnsi="Times New Roman;Times;serif"/>
          <w:b/>
          <w:i/>
          <w:sz w:val="20"/>
        </w:rPr>
        <w:t>Option Award</w:t>
      </w:r>
      <w:r>
        <w:rPr>
          <w:rFonts w:ascii="Times New Roman;Times;serif" w:hAnsi="Times New Roman;Times;serif"/>
          <w:sz w:val="20"/>
        </w:rPr>
        <w:t>”), such Option Award to be exercisable and exercised as hereinafter provided. If for any reason the Option Award or any portion of the Option Award shall not qualify as an ISO, then, to the extent of such nonqualification, the Option Award (or portion thereof) shall be regarded as a nonqualified stock option granted under the Plan, provided that such Option Award (or portion thereof) otherwise complies with the Plan’s requirements relating to nonqualified stock options. In no event shall any member of the Committee or the Company or its Subsidiaries (or their respective employees, officers or directors) have any liability to Participant (or any other person) due to the failure of an Option Award (or any portion thereof) to qualify for any reason as an ISO.</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Exercise Period</w:t>
      </w:r>
      <w:r>
        <w:rPr>
          <w:rFonts w:ascii="Times New Roman;Times;serif" w:hAnsi="Times New Roman;Times;serif"/>
          <w:sz w:val="20"/>
        </w:rPr>
        <w:t>.</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unvested portion of the Option Award shall expire upon the termination of Participant’s employment with, or services to, the Company or its Subsidiaries as an Employee or a Director (the “</w:t>
      </w:r>
      <w:r>
        <w:rPr>
          <w:rFonts w:ascii="Times New Roman;Times;serif" w:hAnsi="Times New Roman;Times;serif"/>
          <w:b/>
          <w:i/>
          <w:sz w:val="20"/>
        </w:rPr>
        <w:t>Services</w:t>
      </w:r>
      <w:r>
        <w:rPr>
          <w:rFonts w:ascii="Times New Roman;Times;serif" w:hAnsi="Times New Roman;Times;serif"/>
          <w:sz w:val="20"/>
        </w:rPr>
        <w:t>”) without consideration therefor; provided, however, that if the Services terminate by reason of (i) Participant’s Retirement (as defined below), the unvested portion of the Option Award shall not expire and instead shall continue to vest in accordance with Section 3(a) below on each applicable Vesting Date as if Participant continued providing the Services through such dates or (ii) Participant’s death or Disability, as applicable, the unvested portion of the Option Award shall not expire and instead the Option Award shall become immediately vested and exercisable on the effective date of the termination of the Services due to Participant’s death or Disability. The vested portion of the Option Award shall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remain exercisable for (i) five (5) years following the termination of the Services by reason of Participant’s Retirement, (ii) one (1) year following the termination of the Services by reason of Participant’s death or Disability or (iii) three (3) months following termination of the Services for any reason other than by reason of Participant’s Retirement, death, Disability, or a termination of the Services by the Company for Cause (as defined below); provided that, in each of the foregoing cases, the Option Award shall not remain exercisable any later than the expiration date specified in Section 3(b) below. If the Services are terminated by the Company for Cause, then both the unvested and the vested portion of the Option Award shall automatically expire upon the termination of the Services by the Company for Cause without consideration therefor.</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For the purposes of this Agreement, “</w:t>
      </w:r>
      <w:r>
        <w:rPr>
          <w:rFonts w:ascii="Times New Roman;Times;serif" w:hAnsi="Times New Roman;Times;serif"/>
          <w:b/>
          <w:i/>
          <w:sz w:val="20"/>
        </w:rPr>
        <w:t>Cause</w:t>
      </w:r>
      <w:r>
        <w:rPr>
          <w:rFonts w:ascii="Times New Roman;Times;serif" w:hAnsi="Times New Roman;Times;serif"/>
          <w:sz w:val="20"/>
        </w:rPr>
        <w:t>” means (i) the Company or an Affiliate having “cause” to terminate the Services, as defined in any employment or consulting agreement or similar services agreement between Participant and the Company or an Affiliate in effect at the time of such termination, or (ii) in the absence of any such employment, consulting or similar services agreement (or the absence of any definition of “Cause” contained therein), as determined by the Committee, Participant’s act(s) of fraud or dishonesty, knowing and material failure to comply with applicable laws or regulations or satisfactorily perform Participant’s services with the Company or its Affiliates, insubordination and/or drug or alcohol abuse that impairs Participant’s ability to perform the essential functions of Participant’s position with the Company. Additionally, for purposes of this Agreement, “</w:t>
      </w:r>
      <w:r>
        <w:rPr>
          <w:rFonts w:ascii="Times New Roman;Times;serif" w:hAnsi="Times New Roman;Times;serif"/>
          <w:b/>
          <w:i/>
          <w:sz w:val="20"/>
        </w:rPr>
        <w:t>Retirement</w:t>
      </w:r>
      <w:r>
        <w:rPr>
          <w:rFonts w:ascii="Times New Roman;Times;serif" w:hAnsi="Times New Roman;Times;serif"/>
          <w:sz w:val="20"/>
        </w:rPr>
        <w:t>” means the Services terminate due to the voluntary resignation by Participant on or after the date Participant has (i) attained age sixty five (65), (ii) completed ten (10) or more years of continuous Services, (iii) provided at least six (6) months’ written notice prior to the last day of the Services (unless determined otherwise by the Committee) and (iv) signed and delivered to the Company or one of its Subsidiaries a Confidential Information, Invention and Original Works Assignment Agreement (the “</w:t>
      </w:r>
      <w:r>
        <w:rPr>
          <w:rFonts w:ascii="Times New Roman;Times;serif" w:hAnsi="Times New Roman;Times;serif"/>
          <w:b/>
          <w:i/>
          <w:sz w:val="20"/>
        </w:rPr>
        <w:t>Confidentiality Agreement</w:t>
      </w:r>
      <w:r>
        <w:rPr>
          <w:rFonts w:ascii="Times New Roman;Times;serif" w:hAnsi="Times New Roman;Times;serif"/>
          <w:sz w:val="20"/>
        </w:rPr>
        <w:t>”).</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For the avoidance of doubt, if a consultant becomes an employee or a Director or an employee becomes a consultant or a Director, without a break in service to the Company, the “Services” shall include both employment as an employee and service as a consultant or a Director and no termination of Service shall occur.</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Vesting; Exercisability</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Subject to the other terms of this Agreement regarding the exercisability of the Option Award, provided that Participant is providing the Services to the Company or its Subsidiaries on the relevant “</w:t>
      </w:r>
      <w:r>
        <w:rPr>
          <w:rFonts w:ascii="Times New Roman;Times;serif" w:hAnsi="Times New Roman;Times;serif"/>
          <w:b/>
          <w:i/>
          <w:sz w:val="20"/>
        </w:rPr>
        <w:t>Vesting Date</w:t>
      </w:r>
      <w:r>
        <w:rPr>
          <w:rFonts w:ascii="Times New Roman;Times;serif" w:hAnsi="Times New Roman;Times;serif"/>
          <w:sz w:val="20"/>
        </w:rPr>
        <w:t>” set forth below, the Option Award may be exercised in respect of the number of Shares listed in Column “A” on the corresponding Vesting Date listed in Column “B,” as set forth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043" w:type="dxa"/>
        <w:jc w:val="center"/>
        <w:tblInd w:w="0" w:type="dxa"/>
        <w:tblLayout w:type="fixed"/>
        <w:tblCellMar>
          <w:top w:w="0" w:type="dxa"/>
          <w:left w:w="0" w:type="dxa"/>
          <w:bottom w:w="0" w:type="dxa"/>
          <w:right w:w="0" w:type="dxa"/>
        </w:tblCellMar>
      </w:tblPr>
      <w:tblGrid>
        <w:gridCol w:w="4996"/>
        <w:gridCol w:w="326"/>
        <w:gridCol w:w="3721"/>
      </w:tblGrid>
      <w:tr>
        <w:trPr/>
        <w:tc>
          <w:tcPr>
            <w:tcW w:w="4996" w:type="dxa"/>
            <w:tcBorders/>
            <w:vAlign w:val="center"/>
          </w:tcPr>
          <w:p>
            <w:pPr>
              <w:pStyle w:val="TableContents"/>
              <w:pBdr/>
              <w:bidi w:val="0"/>
              <w:spacing w:before="0" w:after="120"/>
              <w:ind w:left="0" w:right="0" w:hanging="144"/>
              <w:jc w:val="center"/>
              <w:rPr>
                <w:rFonts w:ascii="Times New Roman;Times;serif" w:hAnsi="Times New Roman;Times;serif"/>
                <w:sz w:val="20"/>
              </w:rPr>
            </w:pPr>
            <w:r>
              <w:rPr>
                <w:rFonts w:ascii="Times New Roman;Times;serif" w:hAnsi="Times New Roman;Times;serif"/>
                <w:sz w:val="20"/>
              </w:rPr>
              <w:t>Column “A”</w:t>
            </w:r>
          </w:p>
          <w:p>
            <w:pPr>
              <w:pStyle w:val="TableContents"/>
              <w:pBdr/>
              <w:bidi w:val="0"/>
              <w:spacing w:before="0" w:after="200"/>
              <w:ind w:left="0" w:right="0" w:hanging="0"/>
              <w:jc w:val="center"/>
              <w:rPr>
                <w:rFonts w:ascii="Times New Roman;Times;serif" w:hAnsi="Times New Roman;Times;serif"/>
                <w:sz w:val="20"/>
                <w:u w:val="single"/>
              </w:rPr>
            </w:pPr>
            <w:r>
              <w:rPr>
                <w:rFonts w:ascii="Times New Roman;Times;serif" w:hAnsi="Times New Roman;Times;serif"/>
                <w:sz w:val="20"/>
                <w:u w:val="single"/>
              </w:rPr>
              <w:t>Number of Shares</w:t>
            </w:r>
          </w:p>
        </w:tc>
        <w:tc>
          <w:tcPr>
            <w:tcW w:w="326" w:type="dxa"/>
            <w:tcBorders/>
            <w:vAlign w:val="center"/>
          </w:tcPr>
          <w:p>
            <w:pPr>
              <w:pStyle w:val="TableContents"/>
              <w:bidi w:val="0"/>
              <w:spacing w:before="0" w:after="0"/>
              <w:ind w:left="0" w:right="0" w:hanging="0"/>
              <w:jc w:val="center"/>
              <w:rPr/>
            </w:pPr>
            <w:r>
              <w:rPr/>
              <w:t>    </w:t>
            </w:r>
          </w:p>
        </w:tc>
        <w:tc>
          <w:tcPr>
            <w:tcW w:w="372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Column “B”</w:t>
            </w:r>
          </w:p>
          <w:p>
            <w:pPr>
              <w:pStyle w:val="TableContents"/>
              <w:bidi w:val="0"/>
              <w:spacing w:before="0" w:after="200"/>
              <w:ind w:left="0" w:right="0" w:hanging="0"/>
              <w:jc w:val="center"/>
              <w:rPr>
                <w:rFonts w:ascii="Times New Roman;Times;serif" w:hAnsi="Times New Roman;Times;serif"/>
                <w:sz w:val="20"/>
                <w:u w:val="single"/>
              </w:rPr>
            </w:pPr>
            <w:r>
              <w:rPr>
                <w:rFonts w:ascii="Times New Roman;Times;serif" w:hAnsi="Times New Roman;Times;serif"/>
                <w:sz w:val="20"/>
                <w:u w:val="single"/>
              </w:rPr>
              <w:t>Vesting Date</w:t>
            </w:r>
          </w:p>
        </w:tc>
      </w:tr>
      <w:tr>
        <w:trPr/>
        <w:tc>
          <w:tcPr>
            <w:tcW w:w="4996" w:type="dxa"/>
            <w:tcBorders/>
            <w:vAlign w:val="center"/>
          </w:tcPr>
          <w:p>
            <w:pPr>
              <w:pStyle w:val="TableContents"/>
              <w:pBd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[___]% of the number of Shares subject to the Option Award</w:t>
            </w:r>
          </w:p>
        </w:tc>
        <w:tc>
          <w:tcPr>
            <w:tcW w:w="326" w:type="dxa"/>
            <w:tcBorders/>
            <w:vAlign w:val="center"/>
          </w:tcPr>
          <w:p>
            <w:pPr>
              <w:pStyle w:val="TableContents"/>
              <w:bidi w:val="0"/>
              <w:spacing w:before="0" w:after="200"/>
              <w:ind w:left="0" w:right="0" w:hanging="0"/>
              <w:jc w:val="both"/>
              <w:rPr/>
            </w:pPr>
            <w:r>
              <w:rPr/>
              <w:t>​</w:t>
            </w:r>
          </w:p>
        </w:tc>
        <w:tc>
          <w:tcPr>
            <w:tcW w:w="3721"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the first anniversary of the Grant Date</w:t>
            </w:r>
          </w:p>
        </w:tc>
      </w:tr>
      <w:tr>
        <w:trPr/>
        <w:tc>
          <w:tcPr>
            <w:tcW w:w="4996" w:type="dxa"/>
            <w:tcBorders/>
            <w:vAlign w:val="center"/>
          </w:tcPr>
          <w:p>
            <w:pPr>
              <w:pStyle w:val="TableContents"/>
              <w:pBd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[___]% of the number of Shares subject to the Option Award</w:t>
            </w:r>
          </w:p>
        </w:tc>
        <w:tc>
          <w:tcPr>
            <w:tcW w:w="326" w:type="dxa"/>
            <w:tcBorders/>
            <w:vAlign w:val="center"/>
          </w:tcPr>
          <w:p>
            <w:pPr>
              <w:pStyle w:val="TableContents"/>
              <w:bidi w:val="0"/>
              <w:spacing w:before="0" w:after="200"/>
              <w:ind w:left="0" w:right="0" w:hanging="0"/>
              <w:jc w:val="both"/>
              <w:rPr/>
            </w:pPr>
            <w:r>
              <w:rPr/>
              <w:t>​</w:t>
            </w:r>
          </w:p>
        </w:tc>
        <w:tc>
          <w:tcPr>
            <w:tcW w:w="3721"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the second anniversary of the Grant Date</w:t>
            </w:r>
          </w:p>
        </w:tc>
      </w:tr>
      <w:tr>
        <w:trPr/>
        <w:tc>
          <w:tcPr>
            <w:tcW w:w="4996" w:type="dxa"/>
            <w:tcBorders/>
            <w:vAlign w:val="center"/>
          </w:tcPr>
          <w:p>
            <w:pPr>
              <w:pStyle w:val="TableContents"/>
              <w:pBd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[___]% of the number of Shares subject to the Option Award</w:t>
            </w:r>
          </w:p>
        </w:tc>
        <w:tc>
          <w:tcPr>
            <w:tcW w:w="326" w:type="dxa"/>
            <w:tcBorders/>
            <w:vAlign w:val="center"/>
          </w:tcPr>
          <w:p>
            <w:pPr>
              <w:pStyle w:val="TableContents"/>
              <w:bidi w:val="0"/>
              <w:spacing w:before="0" w:after="200"/>
              <w:ind w:left="0" w:right="0" w:hanging="0"/>
              <w:jc w:val="both"/>
              <w:rPr/>
            </w:pPr>
            <w:r>
              <w:rPr/>
              <w:t>​</w:t>
            </w:r>
          </w:p>
        </w:tc>
        <w:tc>
          <w:tcPr>
            <w:tcW w:w="3721"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the third anniversary of the Grant Date</w:t>
            </w:r>
          </w:p>
        </w:tc>
      </w:tr>
      <w:tr>
        <w:trPr/>
        <w:tc>
          <w:tcPr>
            <w:tcW w:w="4996" w:type="dxa"/>
            <w:tcBorders/>
            <w:vAlign w:val="center"/>
          </w:tcPr>
          <w:p>
            <w:pPr>
              <w:pStyle w:val="TableContents"/>
              <w:pBd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[___]% of the number of Shares subject to the Option Award</w:t>
            </w:r>
          </w:p>
        </w:tc>
        <w:tc>
          <w:tcPr>
            <w:tcW w:w="326" w:type="dxa"/>
            <w:tcBorders/>
            <w:vAlign w:val="center"/>
          </w:tcPr>
          <w:p>
            <w:pPr>
              <w:pStyle w:val="TableContents"/>
              <w:bidi w:val="0"/>
              <w:spacing w:before="0" w:after="200"/>
              <w:ind w:left="0" w:right="0" w:hanging="0"/>
              <w:jc w:val="both"/>
              <w:rPr/>
            </w:pPr>
            <w:r>
              <w:rPr/>
              <w:t>​</w:t>
            </w:r>
          </w:p>
        </w:tc>
        <w:tc>
          <w:tcPr>
            <w:tcW w:w="3721"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the fourth anniversary of the Grant Date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Subject to the earlier expiration of the Option Award pursuant to Section 2(a), the Option Award granted pursuant to this Agreement shall expire on the tenth anniversary of the Grant Date.</w:t>
      </w:r>
    </w:p>
    <w:p>
      <w:pPr>
        <w:pStyle w:val="TextBody"/>
        <w:bidi w:val="0"/>
        <w:spacing w:before="0" w:after="0"/>
        <w:ind w:left="144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Manner of Exercisability</w:t>
      </w:r>
      <w:r>
        <w:rPr>
          <w:rFonts w:ascii="Times New Roman;Times;serif" w:hAnsi="Times New Roman;Times;serif"/>
          <w:sz w:val="20"/>
        </w:rPr>
        <w:t>.</w:t>
      </w:r>
    </w:p>
    <w:p>
      <w:pPr>
        <w:pStyle w:val="TextBody"/>
        <w:bidi w:val="0"/>
        <w:spacing w:before="0" w:after="0"/>
        <w:ind w:left="144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Option Award may be exercised, to the extent exercisable by the terms of this Agreement and the Plan, as applicable, from time to time in whole or in part at any time prior to the expiration thereof. Any exercise shall be accompanied by a written notice to the Company specifying the number of Shares to which this Option Award is being exercised (the “</w:t>
      </w:r>
      <w:r>
        <w:rPr>
          <w:rFonts w:ascii="Times New Roman;Times;serif" w:hAnsi="Times New Roman;Times;serif"/>
          <w:b/>
          <w:i/>
          <w:sz w:val="20"/>
        </w:rPr>
        <w:t>Option Shares</w:t>
      </w:r>
      <w:r>
        <w:rPr>
          <w:rFonts w:ascii="Times New Roman;Times;serif" w:hAnsi="Times New Roman;Times;serif"/>
          <w:sz w:val="20"/>
        </w:rPr>
        <w:t>”). Notwithstanding the foregoing, any exercise shall also be permitted to be accompanied by an electronic notice to the brokerage firm designated or approved by the Company which will state Participant’s election to exercise the Option Award and the number of Option Shares. Notations of any partial exercise or installment exercise shall be made by the Company in its records.</w:t>
      </w:r>
    </w:p>
    <w:p>
      <w:pPr>
        <w:pStyle w:val="TextBody"/>
        <w:bidi w:val="0"/>
        <w:spacing w:before="0" w:after="0"/>
        <w:ind w:left="144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At the time of any exercise of all or a portion of the Option Award, the purchase price shall be paid in full to the Company in any of the following ways or in any combination of the following ways:</w:t>
      </w:r>
    </w:p>
    <w:p>
      <w:pPr>
        <w:pStyle w:val="TextBody"/>
        <w:bidi w:val="0"/>
        <w:spacing w:before="0" w:after="0"/>
        <w:ind w:left="1440" w:right="0" w:hanging="0"/>
        <w:jc w:val="both"/>
        <w:rPr/>
      </w:pPr>
      <w:r>
        <w:rPr/>
        <w:t>​</w:t>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(i)By cash, check or other immediately available funds;</w:t>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(ii)With property consisting of previously acquired Shares (provided that such Shares are not subject to any pledge or other security interest and are held for the applicable period as determined by the Company’s auditors to avoid adverse accounting charges); and/or</w:t>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(iii)By such other method as the Committee may permit in accordance with applicable law, in its sole discretion including by (A) a broker-assisted “cashless exercise” pursuant to which the Company is delivered a copy of irrevocable instructions to a broker to sell the Shares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deliverable upon the exercise of the Option Award and to deliver promptly to the Company an amount equal to the exercise price; or (B) by a “net exercise” method whereby the Company withholds from the delivery of the Option Shares for which the Option Award were exercised, that number of Shares having a Fair Market Value equal to the aggregate exercise price for the Shares for which the Option Award was exercised.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Purchase for Investment; Resale Restrictions</w:t>
      </w:r>
      <w:r>
        <w:rPr>
          <w:rFonts w:ascii="Times New Roman;Times;serif" w:hAnsi="Times New Roman;Times;serif"/>
          <w:sz w:val="20"/>
        </w:rPr>
        <w:t>. Unless at the time of exercise of the Option Award there shall be a valid and effective registration statement under the Securities Act and appropriate qualification and registration under applicable state securities laws relating to the Option Shares being acquired, Participant shall upon exercise of the Option Award, in whole or in part, give a representation that Participant is acquiring such Shares for Participant’s own account for investment and not with a view to, or for sale in connection with, the resale or distribution of any such Shares. In the absence of such registration statement, Participant (i) shall execute a written affirmation, in a form reasonably satisfactory to the Company, of such investment intent, and (ii) will not sell or transfer any Option Shares until (x) Participant requests and receives an opinion of the Company’s counsel or other counsel reasonably satisfactory to the Company to the effect that such proposed sale or transfer will not result in a violation of the Securities Act, or (y) a registration statement covering the sale or transfer of the Shares has been declared effective by the Securities and Exchange Commission, or (z) Participant obtains a no-action letter from the Securities and Exchange Commission with respect to the proposed transfer. Participant shall notify the Company in writing promptly after the date Participant makes a disqualifying disposition of any Shares acquired pursuant to the exercise of such ISO. A disqualifying disposition is any disposition (including any sale) of such Shares before the later of (i) two (2) years after the Grant Date; or (ii) one (1) year after the date of exercise of the ISO upon which such Shares were issued. The Company may, if determined by the Committee and in accordance with procedures established by the Committee, retain possession of any Shares acquired pursuant to the exercise of an ISO as agent for Participant until the end of the period described in the preceding sentence.</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Transferability</w:t>
      </w:r>
      <w:r>
        <w:rPr>
          <w:rFonts w:ascii="Times New Roman;Times;serif" w:hAnsi="Times New Roman;Times;serif"/>
          <w:sz w:val="20"/>
        </w:rPr>
        <w:t>. The Option Award may only be transferred pursuant to the requirements under Section 11.3 of the Plan.</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u w:val="single"/>
        </w:rPr>
        <w:t>Adjustments; Change in Control</w:t>
      </w:r>
      <w:r>
        <w:rPr>
          <w:rFonts w:ascii="Times New Roman;Times;serif" w:hAnsi="Times New Roman;Times;serif"/>
          <w:sz w:val="20"/>
        </w:rPr>
        <w:t>.</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Subject to Section 7(b) below and Section 11.2 of the Plan, in the event of any merger, reorganization, consolidation, recapitalization, dividend or distribution (whether in cash, shares or other property, other than a regular cash dividend), stock split, reverse stock split, spin-off or similar transaction or other change in corporate structure affecting the Shares or the value thereof, such adjustments and other substitutions shall be made to the Option Award as the Committee deems equitable or appropriate to prevent dilution or enlargement of the rights of Participants under the Plan, taking into consideration the accounting and tax consequences. Any adjustment under this Section 7(a) shall be made by the Committee, whose determination as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what adjustments shall be made, if any, and the extent thereof, will be final, binding and conclusive.</w:t>
      </w:r>
    </w:p>
    <w:p>
      <w:pPr>
        <w:pStyle w:val="TextBody"/>
        <w:bidi w:val="0"/>
        <w:spacing w:before="0" w:after="0"/>
        <w:ind w:left="144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anything else herein to the contrary, in the event of a Change in Control, the Option Award shall have the treatment set forth in Section 10.1 of the Plan.</w:t>
      </w:r>
    </w:p>
    <w:p>
      <w:pPr>
        <w:pStyle w:val="TextBody"/>
        <w:bidi w:val="0"/>
        <w:spacing w:before="0" w:after="0"/>
        <w:ind w:left="144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u w:val="single"/>
        </w:rPr>
        <w:t>No Rights as Stockholder</w:t>
      </w:r>
      <w:r>
        <w:rPr>
          <w:rFonts w:ascii="Times New Roman;Times;serif" w:hAnsi="Times New Roman;Times;serif"/>
          <w:sz w:val="20"/>
        </w:rPr>
        <w:t>. Participant shall have no rights as a stockholder with respect to any Shares subject to the Option Award prior to the date of issuance to Participant of a certificate or certificates for such Shares (or a corresponding book entry is made). Shares received upon exercise of the Option Award granted herein shall remain subject to the terms of the Plan and this Agreement.</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u w:val="single"/>
        </w:rPr>
        <w:t>No Right to Continue the Services</w:t>
      </w:r>
      <w:r>
        <w:rPr>
          <w:rFonts w:ascii="Times New Roman;Times;serif" w:hAnsi="Times New Roman;Times;serif"/>
          <w:sz w:val="20"/>
        </w:rPr>
        <w:t>. This Agreement shall not confer upon Participant any right with respect to continuance of the Services nor shall it interfere in any way with the right of the Company or its Subsidiaries to terminate the Services at any time.</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u w:val="single"/>
        </w:rPr>
        <w:t>Compliance with Law and Regulation</w:t>
      </w:r>
      <w:r>
        <w:rPr>
          <w:rFonts w:ascii="Times New Roman;Times;serif" w:hAnsi="Times New Roman;Times;serif"/>
          <w:sz w:val="20"/>
        </w:rPr>
        <w:t>. This Agreement and the obligation of the Company to sell and deliver Shares hereunder shall be subject to all applicable federal and state laws, rules and regulations and to such approvals by any government or regulatory agency as may be required. If at any time the Board shall determine that (i) the listing, registration or qualification of the Shares subject or related thereto upon any securities exchange or under any state or federal law, or (ii) the consent or approval of any government regulatory body, is necessary or desirable as a condition of or in connection with the issuance or purchase of Shares hereunder, the Option Award may not be exercised in whole or in part unless such listing, registration, qualification, consent, approval or agreement shall have been effected or obtained free of any conditions not acceptable to the Board.</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u w:val="single"/>
        </w:rPr>
        <w:t>Restrictive Covenants</w:t>
      </w:r>
      <w:r>
        <w:rPr>
          <w:rFonts w:ascii="Times New Roman;Times;serif" w:hAnsi="Times New Roman;Times;serif"/>
          <w:sz w:val="20"/>
        </w:rPr>
        <w:t>.</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Notwithstanding any other provision of this Agreement or the Plan, in the event of Participant’s breach of the Confidentiality Agreement or any other agreement with the Company or one of its Subsidiaries that Participant is subject to restrictive covenants, in addition to any other remedies at law or in equity the Company and/or any of its Subsidiaries may have available, all unexercised Options held by Participant shall be immediately forfeited on the date which Participant breaches the Confidentiality Agreement or such other agreement contemplating restrictive covenants, and the Company may in its sole discretion, request from Participant that any gain realized by Participant from the vesting and exercise of all or a portion of the Options, following such breach, shall be paid by Participant to the Company.</w:t>
      </w:r>
    </w:p>
    <w:p>
      <w:pPr>
        <w:pStyle w:val="TextBody"/>
        <w:bidi w:val="0"/>
        <w:spacing w:before="0" w:after="0"/>
        <w:ind w:left="144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addition, Participant acknowledges and agrees, subject to Section 11(c) below, neither Participant nor the Company shall disparage or otherwise publish or communicate “derogatory” statements or opinions about the other party (and, for the avoidance of doubt, in the case of the Company, Participant shall not disparage or otherwise publish or communicate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r>
        <w:rPr>
          <w:rFonts w:ascii="Times New Roman;Times;serif" w:hAnsi="Times New Roman;Times;serif"/>
          <w:sz w:val="20"/>
        </w:rPr>
        <w:t>derogatory” statements or opinions about the Company’s respective businesses or personnel), to any Person, be it orally or in writing. For purposes of this Agreement, “derogatory” shall be defined as a statement that detracts from another Person’s character, standing, or reputation.</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Nothing in this Agreement, the Plan or any other agreement with the Company or any of the provisions above shall be construed to prevent or limit Participant from (i) reporting any good faith allegation of unlawful employment practices to any appropriate federal, state, or local government agency enforcing discrimination laws; (ii) reporting any good faith allegation of criminal conduct to any appropriate federal, state, or local official, including pursuant to “whistleblower” statutes or other similar provisions that protect such disclosure and provide for a monetary award; (iii) participating in a proceeding with any appropriate federal, state, or local government agency enforcing discrimination laws; (iv) making any truthful statements or disclosures required by law, regulation, or legal process; (v) discussing the terms and conditions of Participant’s employment with others to the extent expressly permitted by Section 7 of the National Labor Relations Act; (vi) disclosing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 pursuant to the federal Defend Trade Secrets Act of 2016; or (vii) requesting or receiving confidential legal advice. Prior permission of the Company shall not be required to make any reports or disclosures under this Section 11(c) and Participant is not required to notify the Company that Participant has made such reports or disclosures.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Participant acknowledges that the provisions of this Section 11 are in consideration of the Option Award. For the avoidance of doubt, the covenants in this Section 11 do not supersede, restrict or otherwise limit Participant’s obligations under any other covenants applicable in connection with the Services.</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u w:val="single"/>
        </w:rPr>
        <w:t>Tax Withholding</w:t>
      </w:r>
      <w:r>
        <w:rPr>
          <w:rFonts w:ascii="Times New Roman;Times;serif" w:hAnsi="Times New Roman;Times;serif"/>
          <w:sz w:val="20"/>
        </w:rPr>
        <w:t>. The Company shall have the right to require Participant to remit to the Company an amount sufficient to satisfy any federal, state or local withholding tax requirements prior to the delivery of any certificate or certificates for Shares and to take such other action as may be necessary in the opinion of the Committee to satisfy all obligations for the payment of such withholding taxes.</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u w:val="single"/>
        </w:rPr>
        <w:t>Fractional Shares</w:t>
      </w:r>
      <w:r>
        <w:rPr>
          <w:rFonts w:ascii="Times New Roman;Times;serif" w:hAnsi="Times New Roman;Times;serif"/>
          <w:sz w:val="20"/>
        </w:rPr>
        <w:t>. Notwithstanding any other provision of this Agreement, no fractional Shares shall be issued upon the exercise of the Option Award, and the Company shall not be under any obligation to compensate Participant in any way for such fractional shares; provided that, to the extent any fractional Shares are settled in respect of the Option Award, such fractional Shares shall be settled in cash.</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u w:val="single"/>
        </w:rPr>
        <w:t>Notices</w:t>
      </w:r>
      <w:r>
        <w:rPr>
          <w:rFonts w:ascii="Times New Roman;Times;serif" w:hAnsi="Times New Roman;Times;serif"/>
          <w:sz w:val="20"/>
        </w:rPr>
        <w:t>. Any notice required or permitted to be given hereunder to the Company shall be addressed as follows:</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Beverage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Attn: [_____________]</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 92879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HumanResources@Monsterenergy.com</w:t>
      </w:r>
    </w:p>
    <w:p>
      <w:pPr>
        <w:pStyle w:val="TextBody"/>
        <w:bidi w:val="0"/>
        <w:spacing w:before="0" w:after="240"/>
        <w:ind w:left="0" w:right="0" w:hanging="0"/>
        <w:jc w:val="both"/>
        <w:rPr/>
      </w:pPr>
      <w:r>
        <w:rPr/>
        <w:t>​</w:t>
      </w:r>
      <w:r>
        <w:rPr>
          <w:rFonts w:ascii="Times New Roman;Times;serif" w:hAnsi="Times New Roman;Times;serif"/>
          <w:sz w:val="20"/>
        </w:rPr>
        <w:br/>
        <w:t>Any notice required or permitted to be given hereunder to Participant shall be addressed to Participant at the latest address the Company has for Participant in its records. Such notice shall be deemed to have been duly given if (i) delivered personally, (ii) sent by certified, registered or express mail, postage prepaid, return receipt requested, or (iii) by a reputable overnight delivery service. Any such notice shall be deemed to have been received (x) if by personal delivery, on the day after such delivery, (y) if by certified or registered mail, on the fifth business day after the mailing thereof, or (z) if by express mail or overnight delivery service, on the day delivered. Notwithstanding the foregoing, any notice required or permitted hereunder from the Company to Participant (or vice-versa) may be made by electronic means, including by electronic mail to the Company-maintained electronic mailbox of Participant (or the Company-maintained electronic mailbox for the Company’s Human Resources department, which electronic mailbox address is set forth above), and Participant and the Company hereby consent to receive such notice by electronic delivery. To the extent permitted in an electronically delivered notice described in the previous sentence, Participant and the Company shall be permitted to respond to such notice or communication by way of a responsive electronic communication, including by electronic mail.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sz w:val="20"/>
          <w:u w:val="single"/>
        </w:rPr>
        <w:t>Amendment</w:t>
      </w:r>
      <w:r>
        <w:rPr>
          <w:rFonts w:ascii="Times New Roman;Times;serif" w:hAnsi="Times New Roman;Times;serif"/>
          <w:sz w:val="20"/>
        </w:rPr>
        <w:t>. No modification, amendment or waiver of any of the provisions of this Agreement shall be effective unless in writing specifically referring hereto, and signed by both parties.</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u w:val="single"/>
        </w:rPr>
        <w:t>Binding Effect</w:t>
      </w:r>
      <w:r>
        <w:rPr>
          <w:rFonts w:ascii="Times New Roman;Times;serif" w:hAnsi="Times New Roman;Times;serif"/>
          <w:sz w:val="20"/>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u w:val="single"/>
        </w:rPr>
        <w:t>Governing Law</w:t>
      </w:r>
      <w:r>
        <w:rPr>
          <w:rFonts w:ascii="Times New Roman;Times;serif" w:hAnsi="Times New Roman;Times;serif"/>
          <w:sz w:val="20"/>
        </w:rPr>
        <w:t>. This Agreement shall be construed according to the laws of the State of Delaware and all provisions hereof shall be administered according to and its validity shall be determined under, the laws of such State, except where preempted by federal laws.</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sz w:val="20"/>
          <w:u w:val="single"/>
        </w:rPr>
        <w:t>Waiver; Cumulative Rights</w:t>
      </w:r>
      <w:r>
        <w:rPr>
          <w:rFonts w:ascii="Times New Roman;Times;serif" w:hAnsi="Times New Roman;Times;serif"/>
          <w:sz w:val="20"/>
        </w:rPr>
        <w:t>. The failure or delay of either party to require performance by the other party of any provision hereof shall not affect its right to require performance of such provision unless and until such performance has been waived in writing. Each and every right hereunder is cumulative and may be exercised in part or in whole from time to time.</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sz w:val="20"/>
          <w:u w:val="single"/>
        </w:rPr>
        <w:t>Counterparts; Electronic Delivery and Acceptance</w:t>
      </w:r>
      <w:r>
        <w:rPr>
          <w:rFonts w:ascii="Times New Roman;Times;serif" w:hAnsi="Times New Roman;Times;serif"/>
          <w:sz w:val="20"/>
        </w:rPr>
        <w:t>. This Agreement may be signed (including by electronic signature methods) in two (2) counterparts, each of which shall be an original, but both of which shall constitute but one and the same instrument. The Company may, in its sole discretion, decide to deliver any document related to current or future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participation in the Plan by electronic means. Participant and the Company each agrees and acknowledges that the use of electronic media (including, without limitation, an electronic signature or a clickthrough button or checkbox on a website of the Company or a third party administrator designated by the Company) to indicate Participant’s confirmation, consent, signature, agreement and delivery of this Agreement and the Option Award is legally valid and has the same legal force and effect as if Participant and the Company signed and executed this Agreement in paper form. The same use of electronic media may be used for any amendment or waiver of this Agreement.</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w:t>
      </w:r>
      <w:r>
        <w:rPr>
          <w:rFonts w:ascii="Times New Roman;Times;serif" w:hAnsi="Times New Roman;Times;serif"/>
          <w:sz w:val="20"/>
          <w:u w:val="single"/>
        </w:rPr>
        <w:t>Headings</w:t>
      </w:r>
      <w:r>
        <w:rPr>
          <w:rFonts w:ascii="Times New Roman;Times;serif" w:hAnsi="Times New Roman;Times;serif"/>
          <w:sz w:val="20"/>
        </w:rPr>
        <w:t>. The headings contained in this Agreement are for reference purposes only and shall not affect the meaning or interpretation of this Agreement.</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u w:val="single"/>
        </w:rPr>
        <w:t>Severability</w:t>
      </w:r>
      <w:r>
        <w:rPr>
          <w:rFonts w:ascii="Times New Roman;Times;serif" w:hAnsi="Times New Roman;Times;serif"/>
          <w:sz w:val="20"/>
        </w:rPr>
        <w:t>. If any provision of this Agreement shall for any reason be held to be invalid or unenforceable, such invalidity or unenforceability shall not affect any other provision hereof, and this Agreement shall be construed as if such invalid or unenforceable provision were omitted.</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sz w:val="20"/>
          <w:u w:val="single"/>
        </w:rPr>
        <w:t>Plan</w:t>
      </w:r>
      <w:r>
        <w:rPr>
          <w:rFonts w:ascii="Times New Roman;Times;serif" w:hAnsi="Times New Roman;Times;serif"/>
          <w:sz w:val="20"/>
        </w:rPr>
        <w:t>. The terms and conditions of the Plan (including the forfeiture events under Section 12.4 of the Plan) are incorporated in this Agreement by reference. In the event of a conflict or inconsistency between the terms and conditions of the Plan and the terms and conditions of this Agreement, the Plan shall govern and control.</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23.</w:t>
      </w:r>
      <w:r>
        <w:rPr>
          <w:rFonts w:ascii="Times New Roman;Times;serif" w:hAnsi="Times New Roman;Times;serif"/>
          <w:sz w:val="20"/>
          <w:u w:val="single"/>
        </w:rPr>
        <w:t>Entire Agreement</w:t>
      </w:r>
      <w:r>
        <w:rPr>
          <w:rFonts w:ascii="Times New Roman;Times;serif" w:hAnsi="Times New Roman;Times;serif"/>
          <w:sz w:val="20"/>
        </w:rPr>
        <w:t>. This Agreement and the Plan constitute the entire understanding between Participant and the Company regarding the Option Award. This Agreement and the Plan supersede any prior agreements, commitments, or negotiations concerning the Option Award.</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Signature Page Follows</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IN WITNESS WHEREOF, the Company has caused this Agreement to be executed by a duly authorized officer and Participant has executed this Agreement both as of the day and year first above written.</w:t>
      </w:r>
    </w:p>
    <w:p>
      <w:pPr>
        <w:pStyle w:val="TextBody"/>
        <w:bidi w:val="0"/>
        <w:spacing w:before="0" w:after="0"/>
        <w:ind w:left="0" w:right="0" w:hanging="0"/>
        <w:jc w:val="center"/>
        <w:rPr/>
      </w:pPr>
      <w:r>
        <w:rPr/>
        <w:t>​</w:t>
      </w:r>
    </w:p>
    <w:tbl>
      <w:tblPr>
        <w:tblW w:w="4721" w:type="dxa"/>
        <w:jc w:val="left"/>
        <w:tblInd w:w="0" w:type="dxa"/>
        <w:tblLayout w:type="fixed"/>
        <w:tblCellMar>
          <w:top w:w="0" w:type="dxa"/>
          <w:left w:w="0" w:type="dxa"/>
          <w:bottom w:w="0" w:type="dxa"/>
          <w:right w:w="0" w:type="dxa"/>
        </w:tblCellMar>
      </w:tblPr>
      <w:tblGrid>
        <w:gridCol w:w="826"/>
        <w:gridCol w:w="326"/>
        <w:gridCol w:w="765"/>
        <w:gridCol w:w="1190"/>
        <w:gridCol w:w="1614"/>
      </w:tblGrid>
      <w:tr>
        <w:trPr/>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1190" w:type="dxa"/>
            <w:tcBorders/>
            <w:vAlign w:val="center"/>
          </w:tcPr>
          <w:p>
            <w:pPr>
              <w:pStyle w:val="TableContents"/>
              <w:bidi w:val="0"/>
              <w:spacing w:before="0" w:after="0"/>
              <w:ind w:left="0" w:right="0" w:hanging="0"/>
              <w:jc w:val="left"/>
              <w:rPr/>
            </w:pPr>
            <w:r>
              <w:rPr/>
              <w:t>​</w:t>
            </w:r>
          </w:p>
        </w:tc>
        <w:tc>
          <w:tcPr>
            <w:tcW w:w="1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024890" cy="175260"/>
                      <wp:effectExtent l="0" t="0" r="0" b="0"/>
                      <wp:wrapNone/>
                      <wp:docPr id="471" name="Frame471"/>
                      <a:graphic xmlns:a="http://schemas.openxmlformats.org/drawingml/2006/main">
                        <a:graphicData uri="http://schemas.microsoft.com/office/word/2010/wordprocessingShape">
                          <wps:wsp>
                            <wps:cNvSpPr txBox="1"/>
                            <wps:spPr>
                              <a:xfrm>
                                <a:off x="0" y="0"/>
                                <a:ext cx="1024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56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CORPORATION</w:t>
            </w:r>
          </w:p>
        </w:tc>
      </w:tr>
      <w:tr>
        <w:trPr/>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04"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8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             </w:t>
            </w: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119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61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             </w:t>
            </w:r>
            <w:r>
              <w:rPr>
                <w:rFonts w:ascii="Times New Roman;Times;serif" w:hAnsi="Times New Roman;Times;serif"/>
                <w:sz w:val="20"/>
              </w:rPr>
              <w:t>]</w:t>
            </w:r>
          </w:p>
        </w:tc>
      </w:tr>
      <w:tr>
        <w:trPr/>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1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693" w:name="mnst-20250331xex10d3.htm"/>
      <w:bookmarkStart w:id="1694" w:name="ksmnst20250331xex10d3"/>
      <w:bookmarkEnd w:id="1693"/>
      <w:bookmarkEnd w:id="1694"/>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10.3</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RESTRICTED STOCK UNIT AWARD AGREEMENT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This Restricted Stock Unit Award Agreement (this “</w:t>
      </w:r>
      <w:r>
        <w:rPr>
          <w:rFonts w:ascii="Times New Roman;Times;serif" w:hAnsi="Times New Roman;Times;serif"/>
          <w:b/>
          <w:i/>
          <w:sz w:val="20"/>
        </w:rPr>
        <w:t>Agreement</w:t>
      </w:r>
      <w:r>
        <w:rPr>
          <w:rFonts w:ascii="Times New Roman;Times;serif" w:hAnsi="Times New Roman;Times;serif"/>
          <w:sz w:val="20"/>
        </w:rPr>
        <w:t>”) is made as of [__], 20[__] (the “</w:t>
      </w:r>
      <w:r>
        <w:rPr>
          <w:rFonts w:ascii="Times New Roman;Times;serif" w:hAnsi="Times New Roman;Times;serif"/>
          <w:b/>
          <w:i/>
          <w:sz w:val="20"/>
        </w:rPr>
        <w:t>Grant Date</w:t>
      </w:r>
      <w:r>
        <w:rPr>
          <w:rFonts w:ascii="Times New Roman;Times;serif" w:hAnsi="Times New Roman;Times;serif"/>
          <w:sz w:val="20"/>
        </w:rPr>
        <w:t>”) by and between Monster Beverage Corporation, a Delaware corporation (the “</w:t>
      </w:r>
      <w:r>
        <w:rPr>
          <w:rFonts w:ascii="Times New Roman;Times;serif" w:hAnsi="Times New Roman;Times;serif"/>
          <w:b/>
          <w:i/>
          <w:sz w:val="20"/>
        </w:rPr>
        <w:t>Company</w:t>
      </w:r>
      <w:r>
        <w:rPr>
          <w:rFonts w:ascii="Times New Roman;Times;serif" w:hAnsi="Times New Roman;Times;serif"/>
          <w:sz w:val="20"/>
        </w:rPr>
        <w:t>”), and [___________] (“</w:t>
      </w:r>
      <w:r>
        <w:rPr>
          <w:rFonts w:ascii="Times New Roman;Times;serif" w:hAnsi="Times New Roman;Times;serif"/>
          <w:b/>
          <w:i/>
          <w:sz w:val="20"/>
        </w:rPr>
        <w:t>Participant</w:t>
      </w:r>
      <w:r>
        <w:rPr>
          <w:rFonts w:ascii="Times New Roman;Times;serif" w:hAnsi="Times New Roman;Times;serif"/>
          <w:sz w:val="20"/>
        </w:rPr>
        <w:t>”).</w:t>
      </w:r>
    </w:p>
    <w:p>
      <w:pPr>
        <w:pStyle w:val="TextBody"/>
        <w:bidi w:val="0"/>
        <w:spacing w:before="0" w:after="0"/>
        <w:ind w:left="0" w:right="0" w:firstLine="1440"/>
        <w:jc w:val="both"/>
        <w:rPr/>
      </w:pPr>
      <w:r>
        <w:rPr/>
        <w:t>​</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Preliminary Recitals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Participant is an Employee of the Company or its Subsidiaries.</w:t>
      </w:r>
    </w:p>
    <w:p>
      <w:pPr>
        <w:pStyle w:val="TextBody"/>
        <w:bidi w:val="0"/>
        <w:spacing w:before="0" w:after="0"/>
        <w:ind w:left="144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Pursuant to the Monster Beverage Corporation 2020 Omnibus Incentive Plan, as in effect and as amended from time to time (the “</w:t>
      </w:r>
      <w:r>
        <w:rPr>
          <w:rFonts w:ascii="Times New Roman;Times;serif" w:hAnsi="Times New Roman;Times;serif"/>
          <w:b/>
          <w:i/>
          <w:sz w:val="20"/>
        </w:rPr>
        <w:t>Plan</w:t>
      </w:r>
      <w:r>
        <w:rPr>
          <w:rFonts w:ascii="Times New Roman;Times;serif" w:hAnsi="Times New Roman;Times;serif"/>
          <w:sz w:val="20"/>
        </w:rPr>
        <w:t>”), the Company desires to grant Participant an award of Restricted Stock Units, subject to the terms and conditions of the Plan and subject further to the terms and conditions set forth below.</w:t>
      </w:r>
    </w:p>
    <w:p>
      <w:pPr>
        <w:pStyle w:val="TextBody"/>
        <w:bidi w:val="0"/>
        <w:spacing w:before="0" w:after="0"/>
        <w:ind w:left="144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Capitalized terms not otherwise defined in this Agreement shall have the meaning given to them in the Plan.</w:t>
      </w:r>
    </w:p>
    <w:p>
      <w:pPr>
        <w:pStyle w:val="TextBody"/>
        <w:bidi w:val="0"/>
        <w:spacing w:before="0" w:after="0"/>
        <w:ind w:left="1440" w:right="0" w:hanging="0"/>
        <w:jc w:val="both"/>
        <w:rPr/>
      </w:pPr>
      <w:r>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NOW, THEREFORE, the Company and Participant agree as follows:</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Grant of the RSU Award</w:t>
      </w:r>
      <w:r>
        <w:rPr>
          <w:rFonts w:ascii="Times New Roman;Times;serif" w:hAnsi="Times New Roman;Times;serif"/>
          <w:sz w:val="20"/>
        </w:rPr>
        <w:t>. The Company hereby grants to Participant, subject to the terms and conditions set forth herein and in the Plan, [________] Restricted Stock Units, each of which shall be deemed to be the equivalent of one Share (the “</w:t>
      </w:r>
      <w:r>
        <w:rPr>
          <w:rFonts w:ascii="Times New Roman;Times;serif" w:hAnsi="Times New Roman;Times;serif"/>
          <w:b/>
          <w:i/>
          <w:sz w:val="20"/>
        </w:rPr>
        <w:t>RSU Award</w:t>
      </w:r>
      <w:r>
        <w:rPr>
          <w:rFonts w:ascii="Times New Roman;Times;serif" w:hAnsi="Times New Roman;Times;serif"/>
          <w:sz w:val="20"/>
        </w:rPr>
        <w:t>”).</w:t>
      </w:r>
    </w:p>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Vesting</w:t>
      </w:r>
      <w:r>
        <w:rPr>
          <w:rFonts w:ascii="Times New Roman;Times;serif" w:hAnsi="Times New Roman;Times;serif"/>
          <w:sz w:val="20"/>
        </w:rPr>
        <w:t>. Subject to Participant’s continued employment with, or services to, the Company or its Affiliates, as an Employee or a Director (the “</w:t>
      </w:r>
      <w:r>
        <w:rPr>
          <w:rFonts w:ascii="Times New Roman;Times;serif" w:hAnsi="Times New Roman;Times;serif"/>
          <w:b/>
          <w:i/>
          <w:sz w:val="20"/>
        </w:rPr>
        <w:t>Services</w:t>
      </w:r>
      <w:r>
        <w:rPr>
          <w:rFonts w:ascii="Times New Roman;Times;serif" w:hAnsi="Times New Roman;Times;serif"/>
          <w:sz w:val="20"/>
        </w:rPr>
        <w:t>”) on the relevant “</w:t>
      </w:r>
      <w:r>
        <w:rPr>
          <w:rFonts w:ascii="Times New Roman;Times;serif" w:hAnsi="Times New Roman;Times;serif"/>
          <w:b/>
          <w:i/>
          <w:sz w:val="20"/>
        </w:rPr>
        <w:t>Vesting Date</w:t>
      </w:r>
      <w:r>
        <w:rPr>
          <w:rFonts w:ascii="Times New Roman;Times;serif" w:hAnsi="Times New Roman;Times;serif"/>
          <w:sz w:val="20"/>
        </w:rPr>
        <w:t>” set forth below, the RSU Award shall vest with respect to the number of Restricted Stock Units listed in Column “A” on the corresponding Vesting Date listed in Column “B.”</w:t>
      </w:r>
    </w:p>
    <w:p>
      <w:pPr>
        <w:pStyle w:val="TextBody"/>
        <w:bidi w:val="0"/>
        <w:spacing w:before="0" w:after="0"/>
        <w:ind w:left="2160" w:right="0" w:hanging="0"/>
        <w:jc w:val="left"/>
        <w:rPr/>
      </w:pPr>
      <w:r>
        <w:rPr/>
        <w:t>​</w:t>
      </w:r>
    </w:p>
    <w:tbl>
      <w:tblPr>
        <w:tblW w:w="6823" w:type="dxa"/>
        <w:jc w:val="left"/>
        <w:tblInd w:w="0" w:type="dxa"/>
        <w:tblLayout w:type="fixed"/>
        <w:tblCellMar>
          <w:top w:w="0" w:type="dxa"/>
          <w:left w:w="0" w:type="dxa"/>
          <w:bottom w:w="0" w:type="dxa"/>
          <w:right w:w="0" w:type="dxa"/>
        </w:tblCellMar>
      </w:tblPr>
      <w:tblGrid>
        <w:gridCol w:w="2836"/>
        <w:gridCol w:w="266"/>
        <w:gridCol w:w="3721"/>
      </w:tblGrid>
      <w:tr>
        <w:trPr/>
        <w:tc>
          <w:tcPr>
            <w:tcW w:w="2836" w:type="dxa"/>
            <w:tcBorders/>
            <w:vAlign w:val="center"/>
          </w:tcPr>
          <w:p>
            <w:pPr>
              <w:pStyle w:val="TableContents"/>
              <w:pBdr/>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Column “A”</w:t>
            </w:r>
          </w:p>
        </w:tc>
        <w:tc>
          <w:tcPr>
            <w:tcW w:w="266" w:type="dxa"/>
            <w:tcBorders/>
            <w:vAlign w:val="center"/>
          </w:tcPr>
          <w:p>
            <w:pPr>
              <w:pStyle w:val="TableContents"/>
              <w:bidi w:val="0"/>
              <w:spacing w:before="0" w:after="100"/>
              <w:ind w:left="0" w:right="0" w:hanging="0"/>
              <w:jc w:val="center"/>
              <w:rPr/>
            </w:pPr>
            <w:r>
              <w:rPr/>
              <w:t>   </w:t>
            </w:r>
          </w:p>
        </w:tc>
        <w:tc>
          <w:tcPr>
            <w:tcW w:w="3721" w:type="dxa"/>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Column “B”</w:t>
            </w:r>
          </w:p>
        </w:tc>
      </w:tr>
      <w:tr>
        <w:trPr/>
        <w:tc>
          <w:tcPr>
            <w:tcW w:w="2836" w:type="dxa"/>
            <w:tcBorders/>
            <w:vAlign w:val="center"/>
          </w:tcPr>
          <w:p>
            <w:pPr>
              <w:pStyle w:val="TableContents"/>
              <w:pBdr/>
              <w:bidi w:val="0"/>
              <w:spacing w:before="0" w:after="100"/>
              <w:ind w:left="0" w:right="0" w:hanging="0"/>
              <w:jc w:val="center"/>
              <w:rPr>
                <w:rFonts w:ascii="Times New Roman;Times;serif" w:hAnsi="Times New Roman;Times;serif"/>
                <w:sz w:val="20"/>
                <w:u w:val="single"/>
              </w:rPr>
            </w:pPr>
            <w:r>
              <w:rPr>
                <w:rFonts w:ascii="Times New Roman;Times;serif" w:hAnsi="Times New Roman;Times;serif"/>
                <w:sz w:val="20"/>
                <w:u w:val="single"/>
              </w:rPr>
              <w:t>Number of Restricted Stock Units</w:t>
            </w:r>
          </w:p>
        </w:tc>
        <w:tc>
          <w:tcPr>
            <w:tcW w:w="266" w:type="dxa"/>
            <w:tcBorders/>
            <w:vAlign w:val="center"/>
          </w:tcPr>
          <w:p>
            <w:pPr>
              <w:pStyle w:val="TableContents"/>
              <w:bidi w:val="0"/>
              <w:spacing w:before="0" w:after="100"/>
              <w:ind w:left="0" w:right="0" w:hanging="0"/>
              <w:jc w:val="center"/>
              <w:rPr/>
            </w:pPr>
            <w:r>
              <w:rPr/>
              <w:t>​</w:t>
            </w:r>
          </w:p>
        </w:tc>
        <w:tc>
          <w:tcPr>
            <w:tcW w:w="3721" w:type="dxa"/>
            <w:tcBorders/>
            <w:vAlign w:val="center"/>
          </w:tcPr>
          <w:p>
            <w:pPr>
              <w:pStyle w:val="TableContents"/>
              <w:bidi w:val="0"/>
              <w:spacing w:before="0" w:after="100"/>
              <w:ind w:left="0" w:right="0" w:hanging="0"/>
              <w:jc w:val="center"/>
              <w:rPr>
                <w:rFonts w:ascii="Times New Roman;Times;serif" w:hAnsi="Times New Roman;Times;serif"/>
                <w:sz w:val="20"/>
                <w:u w:val="single"/>
              </w:rPr>
            </w:pPr>
            <w:r>
              <w:rPr>
                <w:rFonts w:ascii="Times New Roman;Times;serif" w:hAnsi="Times New Roman;Times;serif"/>
                <w:sz w:val="20"/>
                <w:u w:val="single"/>
              </w:rPr>
              <w:t>Vesting Date</w:t>
            </w:r>
          </w:p>
        </w:tc>
      </w:tr>
      <w:tr>
        <w:trPr/>
        <w:tc>
          <w:tcPr>
            <w:tcW w:w="2836" w:type="dxa"/>
            <w:tcBorders/>
            <w:vAlign w:val="center"/>
          </w:tcPr>
          <w:p>
            <w:pPr>
              <w:pStyle w:val="TableContents"/>
              <w:pBdr/>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[__]</w:t>
            </w:r>
          </w:p>
        </w:tc>
        <w:tc>
          <w:tcPr>
            <w:tcW w:w="266" w:type="dxa"/>
            <w:tcBorders/>
            <w:vAlign w:val="center"/>
          </w:tcPr>
          <w:p>
            <w:pPr>
              <w:pStyle w:val="TableContents"/>
              <w:bidi w:val="0"/>
              <w:spacing w:before="0" w:after="100"/>
              <w:ind w:left="0" w:right="0" w:hanging="0"/>
              <w:jc w:val="left"/>
              <w:rPr/>
            </w:pPr>
            <w:r>
              <w:rPr/>
              <w:t>​</w:t>
            </w:r>
          </w:p>
        </w:tc>
        <w:tc>
          <w:tcPr>
            <w:tcW w:w="372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 xml:space="preserve">On the first anniversary of the Grant Date </w:t>
            </w:r>
          </w:p>
        </w:tc>
      </w:tr>
      <w:tr>
        <w:trPr/>
        <w:tc>
          <w:tcPr>
            <w:tcW w:w="2836" w:type="dxa"/>
            <w:tcBorders/>
            <w:vAlign w:val="center"/>
          </w:tcPr>
          <w:p>
            <w:pPr>
              <w:pStyle w:val="TableContents"/>
              <w:pBdr/>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[__]</w:t>
            </w:r>
          </w:p>
        </w:tc>
        <w:tc>
          <w:tcPr>
            <w:tcW w:w="266" w:type="dxa"/>
            <w:tcBorders/>
            <w:vAlign w:val="center"/>
          </w:tcPr>
          <w:p>
            <w:pPr>
              <w:pStyle w:val="TableContents"/>
              <w:bidi w:val="0"/>
              <w:spacing w:before="0" w:after="100"/>
              <w:ind w:left="0" w:right="0" w:hanging="0"/>
              <w:jc w:val="left"/>
              <w:rPr/>
            </w:pPr>
            <w:r>
              <w:rPr/>
              <w:t>​</w:t>
            </w:r>
          </w:p>
        </w:tc>
        <w:tc>
          <w:tcPr>
            <w:tcW w:w="372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On the second anniversary of the Grant Date</w:t>
            </w:r>
          </w:p>
        </w:tc>
      </w:tr>
      <w:tr>
        <w:trPr/>
        <w:tc>
          <w:tcPr>
            <w:tcW w:w="2836" w:type="dxa"/>
            <w:tcBorders/>
            <w:vAlign w:val="center"/>
          </w:tcPr>
          <w:p>
            <w:pPr>
              <w:pStyle w:val="TableContents"/>
              <w:pBdr/>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[__]</w:t>
            </w:r>
          </w:p>
        </w:tc>
        <w:tc>
          <w:tcPr>
            <w:tcW w:w="266" w:type="dxa"/>
            <w:tcBorders/>
            <w:vAlign w:val="center"/>
          </w:tcPr>
          <w:p>
            <w:pPr>
              <w:pStyle w:val="TableContents"/>
              <w:bidi w:val="0"/>
              <w:spacing w:before="0" w:after="100"/>
              <w:ind w:left="0" w:right="0" w:hanging="0"/>
              <w:jc w:val="left"/>
              <w:rPr/>
            </w:pPr>
            <w:r>
              <w:rPr/>
              <w:t>​</w:t>
            </w:r>
          </w:p>
        </w:tc>
        <w:tc>
          <w:tcPr>
            <w:tcW w:w="372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On the third anniversary of the Grant Date</w:t>
            </w:r>
          </w:p>
        </w:tc>
      </w:tr>
      <w:tr>
        <w:trPr/>
        <w:tc>
          <w:tcPr>
            <w:tcW w:w="2836" w:type="dxa"/>
            <w:tcBorders/>
            <w:vAlign w:val="center"/>
          </w:tcPr>
          <w:p>
            <w:pPr>
              <w:pStyle w:val="TableContents"/>
              <w:pBdr/>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[__]</w:t>
            </w:r>
          </w:p>
        </w:tc>
        <w:tc>
          <w:tcPr>
            <w:tcW w:w="266" w:type="dxa"/>
            <w:tcBorders/>
            <w:vAlign w:val="center"/>
          </w:tcPr>
          <w:p>
            <w:pPr>
              <w:pStyle w:val="TableContents"/>
              <w:bidi w:val="0"/>
              <w:spacing w:before="0" w:after="100"/>
              <w:ind w:left="0" w:right="0" w:hanging="0"/>
              <w:jc w:val="left"/>
              <w:rPr/>
            </w:pPr>
            <w:r>
              <w:rPr/>
              <w:t>​</w:t>
            </w:r>
          </w:p>
        </w:tc>
        <w:tc>
          <w:tcPr>
            <w:tcW w:w="372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On the fourth anniversary of the Grant Date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Settlement of Restricted Stock Units; Deferrals of Restricted Stock Units</w:t>
      </w:r>
      <w:r>
        <w:rPr>
          <w:rFonts w:ascii="Times New Roman;Times;serif" w:hAnsi="Times New Roman;Times;serif"/>
          <w:sz w:val="20"/>
        </w:rPr>
        <w:t>.</w:t>
      </w:r>
    </w:p>
    <w:p>
      <w:pPr>
        <w:pStyle w:val="TextBody"/>
        <w:bidi w:val="0"/>
        <w:spacing w:before="0" w:after="0"/>
        <w:ind w:left="2160" w:right="0" w:hanging="0"/>
        <w:jc w:val="left"/>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(a)Subject to Section 4 below, on the earliest practicable date (but no later than thirty (30) days) after the applicable Vesting Date (as set forth in Section 2 above), the Company shall deliver to Participant, or such Participant’s beneficiary, without charge, one Share for each such Restricted Stock Unit that has vested as of such Vesting Date.</w:t>
      </w:r>
    </w:p>
    <w:p>
      <w:pPr>
        <w:pStyle w:val="TextBody"/>
        <w:bidi w:val="0"/>
        <w:spacing w:before="0" w:after="0"/>
        <w:ind w:left="2160" w:right="0" w:hanging="0"/>
        <w:jc w:val="both"/>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(b)If and to the extent permitted by the Committee, Participant may elect, at such times and in accordance with rules and procedures (or sub-plan) adopted by the Committee (which shall comply with Section 409A (as hereinafter defined), as applicable), to receive all or any portion of Participant’s compensation, whether payable in cash or in equity, on a deferred basis. Notwithstanding the foregoing, Participant may elect, on a subsequent deferral election form adopted by the Company, to make a subsequent deferral of all or any portion of the Restricted Stock Units subject to the RSU Award in a manner that complies with Section 409A (including, without limitation, Treasury Regulation Section 1.409A-2, as may be applicable). Further notwithstanding, the Committee may reject in writing, at a time and in a manner that does not violate Section 409A, any proposed subsequent deferral election prior to it becoming effective for any or no reason in which case such election will become null and void without further action. Neither the Company nor any affiliate, Committee, director, member or employee thereof or their respective affiliates shall have any liability with respect to any subsequent deferral election described herein or under Section 409A with respect to the Restricted Stock Units subject to the RSU Award.</w:t>
      </w:r>
    </w:p>
    <w:p>
      <w:pPr>
        <w:pStyle w:val="TextBody"/>
        <w:bidi w:val="0"/>
        <w:spacing w:before="0" w:after="0"/>
        <w:ind w:left="216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Termination of the Services</w:t>
      </w:r>
      <w:r>
        <w:rPr>
          <w:rFonts w:ascii="Times New Roman;Times;serif" w:hAnsi="Times New Roman;Times;serif"/>
          <w:sz w:val="20"/>
        </w:rPr>
        <w:t>.</w:t>
      </w:r>
    </w:p>
    <w:p>
      <w:pPr>
        <w:pStyle w:val="TextBody"/>
        <w:bidi w:val="0"/>
        <w:spacing w:before="0" w:after="0"/>
        <w:ind w:left="2160" w:right="0" w:hanging="0"/>
        <w:jc w:val="left"/>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0"/>
          <w:u w:val="single"/>
        </w:rPr>
        <w:t>Death or Disability</w:t>
      </w:r>
      <w:r>
        <w:rPr>
          <w:rFonts w:ascii="Times New Roman;Times;serif" w:hAnsi="Times New Roman;Times;serif"/>
          <w:sz w:val="20"/>
        </w:rPr>
        <w:t>. If the Services terminate due to Participant’s death or Disability, prior to the applicable Vesting Date, the unvested portion of the RSU Award shall become immediately vested as of the effective date of the termination of the Services due to Participant’s death or Disability.</w:t>
      </w:r>
    </w:p>
    <w:p>
      <w:pPr>
        <w:pStyle w:val="TextBody"/>
        <w:bidi w:val="0"/>
        <w:spacing w:before="0" w:after="0"/>
        <w:ind w:left="2160" w:right="0" w:hanging="0"/>
        <w:jc w:val="both"/>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0"/>
          <w:u w:val="single"/>
        </w:rPr>
        <w:t>Retirement</w:t>
      </w:r>
      <w:r>
        <w:rPr>
          <w:rFonts w:ascii="Times New Roman;Times;serif" w:hAnsi="Times New Roman;Times;serif"/>
          <w:sz w:val="20"/>
        </w:rPr>
        <w:t>. If the Services terminate due to Participant’s Retirement, prior to the applicable Vesting Date, the unvested portion of the RSU Award shall not be forfeited and instead shall continue to vest in accordance with Section 2 above on each applicable Vesting Date as if Participant continued providing the Services through such dates. For purposes of this Agreement, “</w:t>
      </w:r>
      <w:r>
        <w:rPr>
          <w:rFonts w:ascii="Times New Roman;Times;serif" w:hAnsi="Times New Roman;Times;serif"/>
          <w:b/>
          <w:i/>
          <w:sz w:val="20"/>
        </w:rPr>
        <w:t>Retirement</w:t>
      </w:r>
      <w:r>
        <w:rPr>
          <w:rFonts w:ascii="Times New Roman;Times;serif" w:hAnsi="Times New Roman;Times;serif"/>
          <w:sz w:val="20"/>
        </w:rPr>
        <w:t>” means the Services terminate due to the voluntary resignation by Participant on or after the date Participant has (i) attained age sixty five (65), (ii) completed ten (10) or more years of continuous Services, (iii) provided at least six (6) months’ written notice prior to the last day of the Services (unless determined otherwise by the Committee) and (iv) signed and delivered to the Company or one of its Subsidiaries a Confidential Information, Invention and Original Works Assignment Agreement (the “</w:t>
      </w:r>
      <w:r>
        <w:rPr>
          <w:rFonts w:ascii="Times New Roman;Times;serif" w:hAnsi="Times New Roman;Times;serif"/>
          <w:b/>
          <w:i/>
          <w:sz w:val="20"/>
        </w:rPr>
        <w:t>Confidentiality Agreement</w:t>
      </w:r>
      <w:r>
        <w:rPr>
          <w:rFonts w:ascii="Times New Roman;Times;serif" w:hAnsi="Times New Roman;Times;serif"/>
          <w:sz w:val="20"/>
        </w:rPr>
        <w:t>”).</w:t>
      </w:r>
    </w:p>
    <w:p>
      <w:pPr>
        <w:pStyle w:val="TextBody"/>
        <w:bidi w:val="0"/>
        <w:spacing w:before="0" w:after="0"/>
        <w:ind w:left="720" w:right="0" w:hanging="0"/>
        <w:jc w:val="left"/>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0"/>
          <w:u w:val="single"/>
        </w:rPr>
        <w:t>Other Terminations</w:t>
      </w:r>
      <w:r>
        <w:rPr>
          <w:rFonts w:ascii="Times New Roman;Times;serif" w:hAnsi="Times New Roman;Times;serif"/>
          <w:sz w:val="20"/>
        </w:rPr>
        <w:t>. Notwithstanding anything else herein to the contrary, and except as may be provided in an employment agreement or in any other agreement with the Company or one of its Affiliates, or as the Committee may otherwise determine in its sole discretion, in the event that the Services terminate for any reason whether by the Company or one of its Affiliates with or without Cause (but excluding, for the avoidance of doubt, due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Participant’s death, Disability or Retirement) prior to an applicable Vesting Date, the unvested portion of the RSU Award shall be forfeited without the payment of consideration. For purposes of this Agreement, “</w:t>
      </w:r>
      <w:r>
        <w:rPr>
          <w:rFonts w:ascii="Times New Roman;Times;serif" w:hAnsi="Times New Roman;Times;serif"/>
          <w:b/>
          <w:i/>
          <w:sz w:val="20"/>
        </w:rPr>
        <w:t>Cause</w:t>
      </w:r>
      <w:r>
        <w:rPr>
          <w:rFonts w:ascii="Times New Roman;Times;serif" w:hAnsi="Times New Roman;Times;serif"/>
          <w:sz w:val="20"/>
        </w:rPr>
        <w:t>” means (i) the Company or an Affiliate having “cause” to terminate the Services, as defined in any employment or consulting agreement or similar services agreement between Participant and the Company or an Affiliate in effect at the time of such termination, or (ii) in the absence of any such employment, consulting or similar services agreement (or the absence of any definition of “Cause” contained therein), as determined by the Committee, Participant’s act(s) of fraud or dishonesty, knowing and material failure to comply with applicable laws or regulations or satisfactorily perform Participant’s services with the Company or its Affiliates, insubordination and/or drug or alcohol abuse that impairs Participant’s ability to perform the essential functions of Participant’s position with the Company.</w:t>
      </w:r>
    </w:p>
    <w:p>
      <w:pPr>
        <w:pStyle w:val="TextBody"/>
        <w:bidi w:val="0"/>
        <w:spacing w:before="0" w:after="0"/>
        <w:ind w:left="720" w:right="0" w:hanging="0"/>
        <w:jc w:val="left"/>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(d)For the avoidance of doubt, if a consultant becomes an employee or a Director or an employee becomes a consultant or a Director, without a break in service to the Company, the “Services” shall include both employment as an employee and service as a consultant or a Director and no termination of the Services shall occur.</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Transferability</w:t>
      </w:r>
      <w:r>
        <w:rPr>
          <w:rFonts w:ascii="Times New Roman;Times;serif" w:hAnsi="Times New Roman;Times;serif"/>
          <w:sz w:val="20"/>
        </w:rPr>
        <w:t>. The RSU Award may only be transferred pursuant to the requirements under Section 11.3 of the Plan.</w:t>
      </w:r>
    </w:p>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Adjustments; Change in Control</w:t>
      </w:r>
      <w:r>
        <w:rPr>
          <w:rFonts w:ascii="Times New Roman;Times;serif" w:hAnsi="Times New Roman;Times;serif"/>
          <w:sz w:val="20"/>
        </w:rPr>
        <w:t>.</w:t>
      </w:r>
    </w:p>
    <w:p>
      <w:pPr>
        <w:pStyle w:val="TextBody"/>
        <w:bidi w:val="0"/>
        <w:spacing w:before="0" w:after="0"/>
        <w:ind w:left="2160" w:right="0" w:hanging="0"/>
        <w:jc w:val="left"/>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(a)Subject to Section 6(b) below and Section 11.2 of the Plan, in the event of any merger, reorganization, consolidation, recapitalization, dividend or distribution (whether in cash, shares or other property, other than a regular cash dividend), stock split, reverse stock split, spin-off or similar transaction or other change in corporate structure affecting the Shares or the value thereof, such adjustments and other substitutions shall be made to the RSU Award as the Committee deems equitable or appropriate to prevent dilution or enlargement of the rights of Participants under the Plan, taking into consideration the accounting and tax consequences. Any adjustment under this Section 6(a) shall be made by the Committee, whose determination as to what adjustments shall be made, if any, and the extent thereof, will be final, binding and conclusive for all purposes.</w:t>
      </w:r>
    </w:p>
    <w:p>
      <w:pPr>
        <w:pStyle w:val="TextBody"/>
        <w:bidi w:val="0"/>
        <w:spacing w:before="0" w:after="0"/>
        <w:ind w:left="2160" w:right="0" w:hanging="0"/>
        <w:jc w:val="both"/>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(b)Notwithstanding anything else herein to the contrary, in the event of a Change in Control, the RSU Award shall have the treatment set forth in Section 10.1 of the Plan.</w:t>
      </w:r>
    </w:p>
    <w:p>
      <w:pPr>
        <w:pStyle w:val="TextBody"/>
        <w:bidi w:val="0"/>
        <w:spacing w:before="0" w:after="0"/>
        <w:ind w:left="216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u w:val="single"/>
        </w:rPr>
        <w:t>No Rights as Stockholder</w:t>
      </w:r>
      <w:r>
        <w:rPr>
          <w:rFonts w:ascii="Times New Roman;Times;serif" w:hAnsi="Times New Roman;Times;serif"/>
          <w:sz w:val="20"/>
        </w:rPr>
        <w:t>. Participant shall have no rights as a stockholder with respect to the RSU Award. Participant’s right to receive payment in settlement of any portion of the RSU Award shall be an unfunded entitlement and shall be an unsecured claim against the general assets of the Company. Participant has only the status of a general unsecured creditor hereunder, and this Agreement constitutes only a promise by the Company to settle the value of the Restricted Stock Units that have vested on the applicable settlement date in the manner set forth in Section 3 and Section 6(b) of this Agreement. In the event that Shares are issued to Participant in settlement of the Restricted Stock Units underlying the RSU Award, Participant shall not have any rights as a stockholder with respect to such Shares prior to the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issuance to Participant of a certificate or certificates for such shares. Shares received upon settlement of Restricted Stock Units shall remain subject to the terms of the Plan and this Agreement.</w:t>
      </w:r>
    </w:p>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u w:val="single"/>
        </w:rPr>
        <w:t>Tax Withholding</w:t>
      </w:r>
      <w:r>
        <w:rPr>
          <w:rFonts w:ascii="Times New Roman;Times;serif" w:hAnsi="Times New Roman;Times;serif"/>
          <w:sz w:val="20"/>
        </w:rPr>
        <w:t>. The Company shall have the right to require Participant to remit to the Company an amount sufficient to satisfy any federal, state or local withholding tax requirements related to any payment or benefit under this Agreement and to take such other action as may be necessary in the opinion of the Committee to satisfy all obligations for the payment of such withholding taxes.</w:t>
      </w:r>
    </w:p>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u w:val="single"/>
        </w:rPr>
        <w:t>Fractional Shares</w:t>
      </w:r>
      <w:r>
        <w:rPr>
          <w:rFonts w:ascii="Times New Roman;Times;serif" w:hAnsi="Times New Roman;Times;serif"/>
          <w:sz w:val="20"/>
        </w:rPr>
        <w:t>. Notwithstanding any other provision of this Agreement, no fractional Shares shall be issued upon settlement of the Restricted Stock Units subject to the RSU Award, and the Company shall not be under any obligation to compensate Participant in any way for such fractional shares; provided that, to the extent any fractional Shares are settled in respect of the Restricted Stock Units subject to the RSU Award, such fractional Shares shall be settled in cash.</w:t>
      </w:r>
    </w:p>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u w:val="single"/>
        </w:rPr>
        <w:t>Notices</w:t>
      </w:r>
      <w:r>
        <w:rPr>
          <w:rFonts w:ascii="Times New Roman;Times;serif" w:hAnsi="Times New Roman;Times;serif"/>
          <w:sz w:val="20"/>
        </w:rPr>
        <w:t>. Any notice required or permitted to be given hereunder to the Company shall be addressed as follows:</w:t>
      </w:r>
    </w:p>
    <w:p>
      <w:pPr>
        <w:pStyle w:val="TextBody"/>
        <w:bidi w:val="0"/>
        <w:spacing w:before="0" w:after="0"/>
        <w:ind w:left="216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Beverage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Attn: [___________]</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 92879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HumanResources@Monsterenergy.com</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notice required or permitted to be given hereunder to Participant shall be addressed to Participant at the latest address the Company has for Participant in its records. Such notice shall be deemed to have been duly given if (i) delivered personally, (ii) sent by certified, registered or express mail, postage prepaid, return receipt requested, or (iii) by a reputable overnight delivery service. Any such notice shall be deemed to have been received (x) if by personal delivery, on the day after such delivery, (y) if by certified or registered mail, on the fifth business day after the mailing thereof, or (z) if by express mail or overnight delivery service, on the day delivered. Notwithstanding the foregoing, any notice required or permitted hereunder from the Company to Participant (or vice-versa) may be made by electronic means, including by electronic mail to the Company-maintained electronic mailbox of Participant (or the Company-maintained electronic mailbox for the Company’s Human Resources department, which electronic mailbox address is set forth above), and Participant and the Company hereby consent to receive such notice by electronic delivery. To the extent permitted in an electronically delivered notice described in the previous sentence, Participant and the Company shall be permitted to respond to such notice or communication by way of a responsive electronic communication, including by electronic mail.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u w:val="single"/>
        </w:rPr>
        <w:t>No Right to Continue the Services</w:t>
      </w:r>
      <w:r>
        <w:rPr>
          <w:rFonts w:ascii="Times New Roman;Times;serif" w:hAnsi="Times New Roman;Times;serif"/>
          <w:sz w:val="20"/>
        </w:rPr>
        <w:t>. This Agreement shall not confer upon Participant any right with respect to continuance of the Services nor shall it interfere in any way with the right of the Company or its Affiliates to terminate the Services at any time.</w:t>
      </w:r>
    </w:p>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u w:val="single"/>
        </w:rPr>
        <w:t>Compliance with Law and Regulation</w:t>
      </w:r>
      <w:r>
        <w:rPr>
          <w:rFonts w:ascii="Times New Roman;Times;serif" w:hAnsi="Times New Roman;Times;serif"/>
          <w:sz w:val="20"/>
        </w:rPr>
        <w:t>. This Agreement and the obligation of the Company to grant and settle the Restricted Stock Units subject to the RSU Award, and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obligations of the Company under this Agreement, shall be subject to all applicable federal and state laws, rules and regulations and to such approvals by any government or regulatory agency as may be required.</w:t>
      </w:r>
    </w:p>
    <w:p>
      <w:pPr>
        <w:pStyle w:val="TextBody"/>
        <w:bidi w:val="0"/>
        <w:spacing w:before="0" w:after="0"/>
        <w:ind w:left="144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u w:val="single"/>
        </w:rPr>
        <w:t>Restrictive Covenants</w:t>
      </w:r>
      <w:r>
        <w:rPr>
          <w:rFonts w:ascii="Times New Roman;Times;serif" w:hAnsi="Times New Roman;Times;serif"/>
          <w:sz w:val="20"/>
        </w:rPr>
        <w:t>.</w:t>
      </w:r>
    </w:p>
    <w:p>
      <w:pPr>
        <w:pStyle w:val="TextBody"/>
        <w:bidi w:val="0"/>
        <w:spacing w:before="0" w:after="0"/>
        <w:ind w:left="2160" w:right="0" w:hanging="0"/>
        <w:jc w:val="both"/>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(a)Notwithstanding any other provision of this Agreement or the Plan, in the event of Participant’s breach of the Confidentiality Agreement or any other agreement with the Company or one of its Subsidiaries that Participant is subject to restrictive covenants, in addition to any other remedies at law or in equity the Company and/or any of its Subsidiaries may have available, all unvested Restricted Stock Units held by Participant shall be immediately forfeited on the date which Participant breaches the Confidentiality Agreement or such other agreement contemplating restrictive covenants, and the Company may in its sole discretion, request from Participant that any gain realized by Participant from the vesting of any Restricted Stock Units, following such breach, shall be paid by Participant to the Company.</w:t>
      </w:r>
    </w:p>
    <w:p>
      <w:pPr>
        <w:pStyle w:val="TextBody"/>
        <w:bidi w:val="0"/>
        <w:spacing w:before="0" w:after="0"/>
        <w:ind w:left="2160" w:right="0" w:hanging="0"/>
        <w:jc w:val="both"/>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(b)In addition, Participant acknowledges and agrees, subject to Section 13(c) below, neither Participant nor the Company shall disparage or otherwise publish or communicate “derogatory” statements or opinions about the other party (and, for the avoidance of doubt, in the case of the Company, Participant shall not disparage or otherwise publish or communicate “derogatory” statements or opinions about the Company’s respective businesses or personnel), to any Person, be it orally or in writing. For purposes of this Agreement, “derogatory” shall be defined as a statement that detracts from another Person’s character, standing, or reputation.</w:t>
      </w:r>
    </w:p>
    <w:p>
      <w:pPr>
        <w:pStyle w:val="TextBody"/>
        <w:bidi w:val="0"/>
        <w:spacing w:before="0" w:after="0"/>
        <w:ind w:left="2160" w:right="0" w:hanging="0"/>
        <w:jc w:val="both"/>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(c)Nothing in this Agreement, the Plan or any other agreement with the Company or any of the provisions above shall be construed to prevent or limit Participant from (i) reporting any good faith allegation of unlawful employment practices to any appropriate federal, state, or local government agency enforcing discrimination laws; (ii) reporting any good faith allegation of criminal conduct to any appropriate federal, state, or local official, including pursuant to “whistleblower” statutes or other similar provisions that protect such disclosure and provide for a monetary award; (iii) participating in a proceeding with any appropriate federal, state, or local government agency enforcing discrimination laws; (iv) making any truthful statements or disclosures required by law, regulation, or legal process; (v) discussing the terms and conditions of Participant’s employment with others to the extent expressly permitted by Section 7 of the National Labor Relations Act; (vi) disclosing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 pursuant to the federal Defend Trade Secrets Act of 2016; or (vii) requesting or receiving confidential legal advice. Prior permission of the Company shall not be required to make any reports or disclosures under this Section 13(c) and Participant is not required to notify the Company that Participant has made such reports or disclosures.</w:t>
      </w:r>
    </w:p>
    <w:p>
      <w:pPr>
        <w:pStyle w:val="TextBody"/>
        <w:bidi w:val="0"/>
        <w:spacing w:before="0" w:after="0"/>
        <w:ind w:left="2160" w:right="0" w:hanging="0"/>
        <w:jc w:val="both"/>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(d)Participant acknowledges that the provisions of this Section 13 are in consideration of the RSU Award. For the avoidance of doubt, the covenants in this Section 13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do not supersede, restrict or otherwise limit Participant’s obligations under any other covenants applicable in connection with the Services.</w:t>
      </w:r>
    </w:p>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u w:val="single"/>
        </w:rPr>
        <w:t>Amendment</w:t>
      </w:r>
      <w:r>
        <w:rPr>
          <w:rFonts w:ascii="Times New Roman;Times;serif" w:hAnsi="Times New Roman;Times;serif"/>
          <w:sz w:val="20"/>
        </w:rPr>
        <w:t>. No modification, amendment or waiver of any of the provisions of this Agreement shall be effective unless in writing specifically referring hereto, and signed by both parties.</w:t>
      </w:r>
    </w:p>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sz w:val="20"/>
          <w:u w:val="single"/>
        </w:rPr>
        <w:t>Binding Effect</w:t>
      </w:r>
      <w:r>
        <w:rPr>
          <w:rFonts w:ascii="Times New Roman;Times;serif" w:hAnsi="Times New Roman;Times;serif"/>
          <w:sz w:val="20"/>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u w:val="single"/>
        </w:rPr>
        <w:t>Governing Law</w:t>
      </w:r>
      <w:r>
        <w:rPr>
          <w:rFonts w:ascii="Times New Roman;Times;serif" w:hAnsi="Times New Roman;Times;serif"/>
          <w:sz w:val="20"/>
        </w:rPr>
        <w:t>. This Agreement shall be construed according to the laws of the State of Delaware and all provisions hereof shall be administered according to and its validity shall be determined under, the laws of such State, except where preempted by federal laws.</w:t>
      </w:r>
    </w:p>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u w:val="single"/>
        </w:rPr>
        <w:t>Waiver; Cumulative Rights</w:t>
      </w:r>
      <w:r>
        <w:rPr>
          <w:rFonts w:ascii="Times New Roman;Times;serif" w:hAnsi="Times New Roman;Times;serif"/>
          <w:sz w:val="20"/>
        </w:rPr>
        <w:t>. The failure or delay of either party to require performance by the other party of any provision hereof shall not affect its right to require performance of such provision unless and until such performance has been waived in writing. Each and every right hereunder is cumulative and may be exercised in part or in whole from time to time.</w:t>
      </w:r>
    </w:p>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sz w:val="20"/>
          <w:u w:val="single"/>
        </w:rPr>
        <w:t>Counterparts; Electronic Delivery and Acceptance</w:t>
      </w:r>
      <w:r>
        <w:rPr>
          <w:rFonts w:ascii="Times New Roman;Times;serif" w:hAnsi="Times New Roman;Times;serif"/>
          <w:sz w:val="20"/>
        </w:rPr>
        <w:t>. This Agreement may be signed (including by electronic signature methods) in two (2) counterparts, each of which shall be an original, but both of which shall constitute but one and the same instrument. The Company may, in its sole discretion, decide to deliver any document related to current or future participation in the Plan by electronic means. Participant and the Company each agrees and acknowledges that the use of electronic media (including, without limitation, an electronic signature or a clickthrough button or checkbox on a website of the Company or a third party administrator designated by the Company) to indicate Participant’s confirmation, consent, signature, agreement and delivery of this Agreement and the RSU Award is legally valid and has the same legal force and effect as if Participant and the Company signed and executed this Agreement in paper form. The same use of electronic media may be used for any amendment or waiver of this Agreement.</w:t>
      </w:r>
    </w:p>
    <w:p>
      <w:pPr>
        <w:pStyle w:val="TextBody"/>
        <w:bidi w:val="0"/>
        <w:spacing w:before="0" w:after="0"/>
        <w:ind w:left="21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sz w:val="20"/>
          <w:u w:val="single"/>
        </w:rPr>
        <w:t>Headings</w:t>
      </w:r>
      <w:r>
        <w:rPr>
          <w:rFonts w:ascii="Times New Roman;Times;serif" w:hAnsi="Times New Roman;Times;serif"/>
          <w:sz w:val="20"/>
        </w:rPr>
        <w:t>. The headings contained in this Agreement are for reference purposes only and shall not affect the meaning or interpretation of this Agreement.</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w:t>
      </w:r>
      <w:r>
        <w:rPr>
          <w:rFonts w:ascii="Times New Roman;Times;serif" w:hAnsi="Times New Roman;Times;serif"/>
          <w:sz w:val="20"/>
          <w:u w:val="single"/>
        </w:rPr>
        <w:t>Severability</w:t>
      </w:r>
      <w:r>
        <w:rPr>
          <w:rFonts w:ascii="Times New Roman;Times;serif" w:hAnsi="Times New Roman;Times;serif"/>
          <w:sz w:val="20"/>
        </w:rPr>
        <w:t>. If any provision of this Agreement shall for any reason be held to be invalid or unenforceable, such invalidity or unenforceability shall not affect any other provision hereof, and this Agreement shall be construed as if such invalid or unenforceable provision were omitted.</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u w:val="single"/>
        </w:rPr>
        <w:t>Plan</w:t>
      </w:r>
      <w:r>
        <w:rPr>
          <w:rFonts w:ascii="Times New Roman;Times;serif" w:hAnsi="Times New Roman;Times;serif"/>
          <w:sz w:val="20"/>
        </w:rPr>
        <w:t>. The terms and conditions of the Plan (including the forfeiture events under Section 12.4 of the Plan) are incorporated in this Agreement by reference. In the event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conflict or inconsistency between the terms and conditions of the Plan and the terms and conditions of this Agreement, the Plan shall govern and control.</w:t>
      </w:r>
    </w:p>
    <w:p>
      <w:pPr>
        <w:pStyle w:val="TextBody"/>
        <w:bidi w:val="0"/>
        <w:spacing w:before="0" w:after="0"/>
        <w:ind w:left="144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sz w:val="20"/>
          <w:u w:val="single"/>
        </w:rPr>
        <w:t>Section 409A of the Code</w:t>
      </w:r>
      <w:r>
        <w:rPr>
          <w:rFonts w:ascii="Times New Roman;Times;serif" w:hAnsi="Times New Roman;Times;serif"/>
          <w:sz w:val="20"/>
        </w:rPr>
        <w:t>. It is intended that the RSU Award be exempt from or compliant with Section 409A of the Code (together with any Department of Treasury regulation and other interpretive guidance issued thereunder, including without limitation any such regulation or other guidance that may be issued after the date hereof, “</w:t>
      </w:r>
      <w:r>
        <w:rPr>
          <w:rFonts w:ascii="Times New Roman;Times;serif" w:hAnsi="Times New Roman;Times;serif"/>
          <w:b/>
          <w:i/>
          <w:sz w:val="20"/>
        </w:rPr>
        <w:t>Section 409A</w:t>
      </w:r>
      <w:r>
        <w:rPr>
          <w:rFonts w:ascii="Times New Roman;Times;serif" w:hAnsi="Times New Roman;Times;serif"/>
          <w:sz w:val="20"/>
        </w:rPr>
        <w:t>”), and this Agreement shall be interpreted, construed, and operated to reflect such intent. However, notwithstanding any other provision of the Plan or this Agreement, if at any time the Committee determines that the RSU Award (or any portion thereof) may be subject to Section 409A, the Committee shall have the right in its sole discretion (without any obligation to do so or to indemnify Participant or any other person for failure to do so) to adopt such amendments to the Plan or this Agreement, or adopt other policies and procedures (including amendments, policies, and procedures with retroactive effect), or take any other action, as the Committee determines is necessary or appropriate either for the RSU Award to be exempt from the application of Section 409A or to comply with the requirements of Section 409A. A termination of the Services shall not be deemed to have occurred for purposes of any provision of this Agreement providing for the payment of any amounts subject to Section 409A upon or following a termination of the Services unless such termination is also a “separation from service” within the meaning of Section 409A, and for purposes of any such provision of this Agreement, references to “resignation,” “termination,” “terminate,” “retirement,” “retire” or like terms shall mean separation from service. If Participant is a “specified employee” (as defined under Section 409A) and should any portion of the Shares that would otherwise be settled under the RSU Award be determined to be payments that are not exempt from Section 409A, such Shares, to the extent otherwise payable within six (6) months after a “separation from service” (as defined under Section 409A) and to the extent necessary to avoid the imposition of taxes under Section 409A, will be settled on the earlier of the date that is six (6) months and one day after the date of such separation from service or the date of Participant’s death.</w:t>
      </w:r>
    </w:p>
    <w:p>
      <w:pPr>
        <w:pStyle w:val="TextBody"/>
        <w:bidi w:val="0"/>
        <w:spacing w:before="0" w:after="0"/>
        <w:ind w:left="144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23.</w:t>
      </w:r>
      <w:r>
        <w:rPr>
          <w:rFonts w:ascii="Times New Roman;Times;serif" w:hAnsi="Times New Roman;Times;serif"/>
          <w:sz w:val="20"/>
          <w:u w:val="single"/>
        </w:rPr>
        <w:t>Entire Agreement</w:t>
      </w:r>
      <w:r>
        <w:rPr>
          <w:rFonts w:ascii="Times New Roman;Times;serif" w:hAnsi="Times New Roman;Times;serif"/>
          <w:sz w:val="20"/>
        </w:rPr>
        <w:t>. This Agreement and the Plan constitute the entire understanding between Participant and the Company regarding the RSU Award. This Agreement and the Plan supersede any prior agreements, commitments, or negotiations concerning the RSU Award.</w:t>
      </w:r>
    </w:p>
    <w:p>
      <w:pPr>
        <w:pStyle w:val="TextBody"/>
        <w:bidi w:val="0"/>
        <w:spacing w:before="0" w:after="0"/>
        <w:ind w:left="216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Signature Page Follows</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IN WITNESS WHEREOF, the Company has caused this Agreement to be executed by a duly authorized officer and Participant has executed this Agreement both as of the day and year first above written.</w:t>
      </w:r>
    </w:p>
    <w:p>
      <w:pPr>
        <w:pStyle w:val="TextBody"/>
        <w:bidi w:val="0"/>
        <w:spacing w:before="0" w:after="0"/>
        <w:ind w:left="0" w:right="0" w:hanging="0"/>
        <w:jc w:val="left"/>
        <w:rPr/>
      </w:pPr>
      <w:r>
        <w:rPr/>
        <w:t>​</w:t>
      </w:r>
    </w:p>
    <w:tbl>
      <w:tblPr>
        <w:tblW w:w="4575" w:type="dxa"/>
        <w:jc w:val="center"/>
        <w:tblInd w:w="0" w:type="dxa"/>
        <w:tblLayout w:type="fixed"/>
        <w:tblCellMar>
          <w:top w:w="0" w:type="dxa"/>
          <w:left w:w="0" w:type="dxa"/>
          <w:bottom w:w="0" w:type="dxa"/>
          <w:right w:w="0" w:type="dxa"/>
        </w:tblCellMar>
      </w:tblPr>
      <w:tblGrid>
        <w:gridCol w:w="1006"/>
        <w:gridCol w:w="684"/>
        <w:gridCol w:w="1139"/>
        <w:gridCol w:w="1746"/>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38810" cy="29210"/>
                      <wp:effectExtent l="0" t="0" r="0" b="0"/>
                      <wp:wrapNone/>
                      <wp:docPr id="472" name="Frame472"/>
                      <a:graphic xmlns:a="http://schemas.openxmlformats.org/drawingml/2006/main">
                        <a:graphicData uri="http://schemas.microsoft.com/office/word/2010/wordprocessingShape">
                          <wps:wsp>
                            <wps:cNvSpPr txBox="1"/>
                            <wps:spPr>
                              <a:xfrm>
                                <a:off x="0" y="0"/>
                                <a:ext cx="638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84"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283"/>
              <w:ind w:left="0" w:right="0" w:hanging="0"/>
              <w:jc w:val="left"/>
              <w:rPr>
                <w:sz w:val="4"/>
                <w:szCs w:val="4"/>
              </w:rPr>
            </w:pPr>
            <w:r>
              <w:rPr>
                <w:sz w:val="4"/>
                <w:szCs w:val="4"/>
              </w:rPr>
            </w:r>
          </w:p>
        </w:tc>
        <w:tc>
          <w:tcPr>
            <w:tcW w:w="1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108710" cy="29210"/>
                      <wp:effectExtent l="0" t="0" r="0" b="0"/>
                      <wp:wrapNone/>
                      <wp:docPr id="473" name="Frame473"/>
                      <a:graphic xmlns:a="http://schemas.openxmlformats.org/drawingml/2006/main">
                        <a:graphicData uri="http://schemas.microsoft.com/office/word/2010/wordprocessingShape">
                          <wps:wsp>
                            <wps:cNvSpPr txBox="1"/>
                            <wps:spPr>
                              <a:xfrm>
                                <a:off x="0" y="0"/>
                                <a:ext cx="1108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06"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CORPORATION</w:t>
            </w:r>
          </w:p>
        </w:tc>
      </w:tr>
      <w:tr>
        <w:trPr/>
        <w:tc>
          <w:tcPr>
            <w:tcW w:w="1006"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3569" w:type="dxa"/>
            <w:gridSpan w:val="3"/>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8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                 </w:t>
            </w:r>
            <w:r>
              <w:rPr>
                <w:rFonts w:ascii="Times New Roman;Times;serif" w:hAnsi="Times New Roman;Times;serif"/>
                <w:sz w:val="20"/>
              </w:rPr>
              <w:t>]</w:t>
            </w:r>
          </w:p>
        </w:tc>
        <w:tc>
          <w:tcPr>
            <w:tcW w:w="684" w:type="dxa"/>
            <w:tcBorders/>
            <w:vAlign w:val="center"/>
          </w:tcPr>
          <w:p>
            <w:pPr>
              <w:pStyle w:val="TableContents"/>
              <w:bidi w:val="0"/>
              <w:spacing w:before="0" w:after="0"/>
              <w:ind w:left="0" w:right="0" w:hanging="0"/>
              <w:jc w:val="left"/>
              <w:rPr/>
            </w:pPr>
            <w:r>
              <w:rPr/>
              <w:t>​</w:t>
            </w:r>
          </w:p>
        </w:tc>
        <w:tc>
          <w:tcPr>
            <w:tcW w:w="113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17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                 </w:t>
            </w:r>
            <w:r>
              <w:rPr>
                <w:rFonts w:ascii="Times New Roman;Times;serif" w:hAnsi="Times New Roman;Times;serif"/>
                <w:sz w:val="20"/>
              </w:rPr>
              <w:t>]</w:t>
            </w:r>
          </w:p>
        </w:tc>
      </w:tr>
      <w:tr>
        <w:trPr/>
        <w:tc>
          <w:tcPr>
            <w:tcW w:w="100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pBdr/>
        <w:bidi w:val="0"/>
        <w:spacing w:before="0" w:after="240"/>
        <w:ind w:left="0" w:right="0" w:hanging="2160"/>
        <w:jc w:val="right"/>
        <w:rPr>
          <w:rFonts w:ascii="Times New Roman;Times;serif" w:hAnsi="Times New Roman;Times;serif"/>
          <w:b/>
          <w:sz w:val="20"/>
        </w:rPr>
      </w:pPr>
      <w:bookmarkStart w:id="1695" w:name="mnst-20250331xex10d4.htm"/>
      <w:bookmarkStart w:id="1696" w:name="ksmnst20250331xex10d4"/>
      <w:bookmarkEnd w:id="1695"/>
      <w:bookmarkEnd w:id="1696"/>
      <w:r>
        <w:rPr>
          <w:rFonts w:ascii="Times New Roman;Times;serif" w:hAnsi="Times New Roman;Times;serif"/>
          <w:b/>
          <w:sz w:val="20"/>
        </w:rPr>
        <w:t>EXHIBIT 10.4</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PERFORMANCE SHARE UNIT AWARD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Performance Share Unit Award Agreement (along with </w:t>
      </w:r>
      <w:r>
        <w:rPr>
          <w:rFonts w:ascii="Times New Roman;Times;serif" w:hAnsi="Times New Roman;Times;serif"/>
          <w:sz w:val="20"/>
          <w:u w:val="single"/>
        </w:rPr>
        <w:t>Exhibit A</w:t>
      </w:r>
      <w:r>
        <w:rPr>
          <w:rFonts w:ascii="Times New Roman;Times;serif" w:hAnsi="Times New Roman;Times;serif"/>
          <w:sz w:val="20"/>
        </w:rPr>
        <w:t xml:space="preserve"> hereto, this “</w:t>
      </w:r>
      <w:r>
        <w:rPr>
          <w:rFonts w:ascii="Times New Roman;Times;serif" w:hAnsi="Times New Roman;Times;serif"/>
          <w:b/>
          <w:i/>
          <w:sz w:val="20"/>
        </w:rPr>
        <w:t>Agreement</w:t>
      </w:r>
      <w:r>
        <w:rPr>
          <w:rFonts w:ascii="Times New Roman;Times;serif" w:hAnsi="Times New Roman;Times;serif"/>
          <w:sz w:val="20"/>
        </w:rPr>
        <w:t>”), is made as of [__], 20[__] by and between Monster Beverage Corporation, a Delaware corporation (the “</w:t>
      </w:r>
      <w:r>
        <w:rPr>
          <w:rFonts w:ascii="Times New Roman;Times;serif" w:hAnsi="Times New Roman;Times;serif"/>
          <w:b/>
          <w:i/>
          <w:sz w:val="20"/>
        </w:rPr>
        <w:t>Company</w:t>
      </w:r>
      <w:r>
        <w:rPr>
          <w:rFonts w:ascii="Times New Roman;Times;serif" w:hAnsi="Times New Roman;Times;serif"/>
          <w:sz w:val="20"/>
        </w:rPr>
        <w:t>”), and [___________] (“</w:t>
      </w:r>
      <w:r>
        <w:rPr>
          <w:rFonts w:ascii="Times New Roman;Times;serif" w:hAnsi="Times New Roman;Times;serif"/>
          <w:b/>
          <w:i/>
          <w:sz w:val="20"/>
        </w:rPr>
        <w:t>Participant</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Preliminary 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Participant is an Employee of the Company or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Pursuant to the Monster Beverage Corporation 2020 Omnibus Incentive Plan, as in effect and as amended from time to time (the “</w:t>
      </w:r>
      <w:r>
        <w:rPr>
          <w:rFonts w:ascii="Times New Roman;Times;serif" w:hAnsi="Times New Roman;Times;serif"/>
          <w:b/>
          <w:i/>
          <w:sz w:val="20"/>
        </w:rPr>
        <w:t>Plan</w:t>
      </w:r>
      <w:r>
        <w:rPr>
          <w:rFonts w:ascii="Times New Roman;Times;serif" w:hAnsi="Times New Roman;Times;serif"/>
          <w:sz w:val="20"/>
        </w:rPr>
        <w:t>”), the Company desires to grant Participant the Performance Award (as such term is defined below) subject to the terms and conditions of the Plan and subject further to the terms and conditions set forth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Capitalized terms not otherwise defined in this Agreement shall have the meaning given to them in the Plan.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NOW, THEREFORE, the Company and Participant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Grant of the Performance Award</w:t>
      </w:r>
      <w:r>
        <w:rPr>
          <w:rFonts w:ascii="Times New Roman;Times;serif" w:hAnsi="Times New Roman;Times;serif"/>
          <w:sz w:val="20"/>
        </w:rPr>
        <w:t>. The Company hereby grants to Participant, subject to the terms and conditions set forth herein and in the Plan, the Award of “</w:t>
      </w:r>
      <w:r>
        <w:rPr>
          <w:rFonts w:ascii="Times New Roman;Times;serif" w:hAnsi="Times New Roman;Times;serif"/>
          <w:b/>
          <w:i/>
          <w:sz w:val="20"/>
        </w:rPr>
        <w:t>Performance Share Units</w:t>
      </w:r>
      <w:r>
        <w:rPr>
          <w:rFonts w:ascii="Times New Roman;Times;serif" w:hAnsi="Times New Roman;Times;serif"/>
          <w:sz w:val="20"/>
        </w:rPr>
        <w:t xml:space="preserve">” set forth in </w:t>
      </w:r>
      <w:r>
        <w:rPr>
          <w:rFonts w:ascii="Times New Roman;Times;serif" w:hAnsi="Times New Roman;Times;serif"/>
          <w:sz w:val="20"/>
          <w:u w:val="single"/>
        </w:rPr>
        <w:t>Exhibit A</w:t>
      </w:r>
      <w:r>
        <w:rPr>
          <w:rFonts w:ascii="Times New Roman;Times;serif" w:hAnsi="Times New Roman;Times;serif"/>
          <w:sz w:val="20"/>
        </w:rPr>
        <w:t xml:space="preserve"> (the “</w:t>
      </w:r>
      <w:r>
        <w:rPr>
          <w:rFonts w:ascii="Times New Roman;Times;serif" w:hAnsi="Times New Roman;Times;serif"/>
          <w:b/>
          <w:i/>
          <w:sz w:val="20"/>
        </w:rPr>
        <w:t>Performance Award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Vesting</w:t>
      </w:r>
      <w:r>
        <w:rPr>
          <w:rFonts w:ascii="Times New Roman;Times;serif" w:hAnsi="Times New Roman;Times;serif"/>
          <w:sz w:val="20"/>
        </w:rPr>
        <w:t>. Except as specified in Section 4 below, subject to Participant’s continued employment with, or services to, the Company or its Affiliates, as an Employee (the “</w:t>
      </w:r>
      <w:r>
        <w:rPr>
          <w:rFonts w:ascii="Times New Roman;Times;serif" w:hAnsi="Times New Roman;Times;serif"/>
          <w:b/>
          <w:i/>
          <w:sz w:val="20"/>
        </w:rPr>
        <w:t>Services</w:t>
      </w:r>
      <w:r>
        <w:rPr>
          <w:rFonts w:ascii="Times New Roman;Times;serif" w:hAnsi="Times New Roman;Times;serif"/>
          <w:sz w:val="20"/>
        </w:rPr>
        <w:t>”) on the relevant “</w:t>
      </w:r>
      <w:r>
        <w:rPr>
          <w:rFonts w:ascii="Times New Roman;Times;serif" w:hAnsi="Times New Roman;Times;serif"/>
          <w:b/>
          <w:i/>
          <w:sz w:val="20"/>
        </w:rPr>
        <w:t>Vesting Date</w:t>
      </w:r>
      <w:r>
        <w:rPr>
          <w:rFonts w:ascii="Times New Roman;Times;serif" w:hAnsi="Times New Roman;Times;serif"/>
          <w:sz w:val="20"/>
        </w:rPr>
        <w:t xml:space="preserve">” set forth in </w:t>
      </w:r>
      <w:r>
        <w:rPr>
          <w:rFonts w:ascii="Times New Roman;Times;serif" w:hAnsi="Times New Roman;Times;serif"/>
          <w:sz w:val="20"/>
          <w:u w:val="single"/>
        </w:rPr>
        <w:t>Exhibit A</w:t>
      </w:r>
      <w:r>
        <w:rPr>
          <w:rFonts w:ascii="Times New Roman;Times;serif" w:hAnsi="Times New Roman;Times;serif"/>
          <w:sz w:val="20"/>
        </w:rPr>
        <w:t xml:space="preserve">, and the satisfaction of the performance goals set forth in </w:t>
      </w:r>
      <w:r>
        <w:rPr>
          <w:rFonts w:ascii="Times New Roman;Times;serif" w:hAnsi="Times New Roman;Times;serif"/>
          <w:sz w:val="20"/>
          <w:u w:val="single"/>
        </w:rPr>
        <w:t>Exhibit A</w:t>
      </w:r>
      <w:r>
        <w:rPr>
          <w:rFonts w:ascii="Times New Roman;Times;serif" w:hAnsi="Times New Roman;Times;serif"/>
          <w:sz w:val="20"/>
        </w:rPr>
        <w:t>, the Performance Award shall vest (in whole or in part, as applicable) on the Vesting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Settlement of the Performance Award</w:t>
      </w:r>
      <w:r>
        <w:rPr>
          <w:rFonts w:ascii="Times New Roman;Times;serif" w:hAnsi="Times New Roman;Times;serif"/>
          <w:sz w:val="20"/>
        </w:rPr>
        <w:t>. On the earliest practicable date (but no later than March 15</w:t>
      </w:r>
      <w:r>
        <w:rPr>
          <w:rFonts w:ascii="Times New Roman;Times;serif" w:hAnsi="Times New Roman;Times;serif"/>
          <w:sz w:val="15"/>
        </w:rPr>
        <w:t>th</w:t>
      </w:r>
      <w:r>
        <w:rPr>
          <w:rFonts w:ascii="Times New Roman;Times;serif" w:hAnsi="Times New Roman;Times;serif"/>
          <w:sz w:val="20"/>
        </w:rPr>
        <w:t xml:space="preserve"> of the year following the Vesting Date of the applicable “</w:t>
      </w:r>
      <w:r>
        <w:rPr>
          <w:rFonts w:ascii="Times New Roman;Times;serif" w:hAnsi="Times New Roman;Times;serif"/>
          <w:b/>
          <w:i/>
          <w:sz w:val="20"/>
        </w:rPr>
        <w:t>Performance Period</w:t>
      </w:r>
      <w:r>
        <w:rPr>
          <w:rFonts w:ascii="Times New Roman;Times;serif" w:hAnsi="Times New Roman;Times;serif"/>
          <w:sz w:val="20"/>
        </w:rPr>
        <w:t xml:space="preserve">” set forth in </w:t>
      </w:r>
      <w:r>
        <w:rPr>
          <w:rFonts w:ascii="Times New Roman;Times;serif" w:hAnsi="Times New Roman;Times;serif"/>
          <w:sz w:val="20"/>
          <w:u w:val="single"/>
        </w:rPr>
        <w:t>Exhibit A</w:t>
      </w:r>
      <w:r>
        <w:rPr>
          <w:rFonts w:ascii="Times New Roman;Times;serif" w:hAnsi="Times New Roman;Times;serif"/>
          <w:sz w:val="20"/>
        </w:rPr>
        <w:t xml:space="preserve">, unless otherwise specified in Section 4 below) after the applicable Vesting Date, the Company shall issue Shares to Participant with respect to the portion of the Performance Award corresponding to the level of performance achieved during the Performance Period, as set forth in </w:t>
      </w:r>
      <w:r>
        <w:rPr>
          <w:rFonts w:ascii="Times New Roman;Times;serif" w:hAnsi="Times New Roman;Times;serif"/>
          <w:sz w:val="20"/>
          <w:u w:val="single"/>
        </w:rPr>
        <w:t>Exhibit A</w:t>
      </w:r>
      <w:r>
        <w:rPr>
          <w:rFonts w:ascii="Times New Roman;Times;serif" w:hAnsi="Times New Roman;Times;serif"/>
          <w:sz w:val="20"/>
        </w:rPr>
        <w:t>; provided that, Participant has not previously forfeited the Performance Award in accordance with Section 4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Termination of the Services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a.Except as may be provided in an employment agreement or in any other agreement with the Company or one of its Affiliates, or as the Committee may otherwise determine in its sole discretion, in the event that the Services terminate for any reason prior to the Vesting Date (including a termination of the Services by the Company for Cause (as defined below)), the entire portion of the Performance Award shall be forfeited without the payment of consideration; provided that, (i) subject to Section 7.4 of the Plan, if the Services are terminated on or after the Vesting Date set forth in </w:t>
      </w:r>
      <w:r>
        <w:rPr>
          <w:rFonts w:ascii="Times New Roman;Times;serif" w:hAnsi="Times New Roman;Times;serif"/>
          <w:sz w:val="20"/>
          <w:u w:val="single"/>
        </w:rPr>
        <w:t>Exhibit A</w:t>
      </w:r>
      <w:r>
        <w:rPr>
          <w:rFonts w:ascii="Times New Roman;Times;serif" w:hAnsi="Times New Roman;Times;serif"/>
          <w:sz w:val="20"/>
        </w:rPr>
        <w:t xml:space="preserve"> but the portion of the Performance Award that vested on such Vesting Date remains unpaid, Participant shall remain eligible to receive the vested portion of the Performance Award pursuant to Section 3, (ii) if the Services are terminated prior to the Vesting Date set forth in </w:t>
      </w:r>
      <w:r>
        <w:rPr>
          <w:rFonts w:ascii="Times New Roman;Times;serif" w:hAnsi="Times New Roman;Times;serif"/>
          <w:sz w:val="20"/>
          <w:u w:val="single"/>
        </w:rPr>
        <w:t>Exhibit A</w:t>
      </w:r>
      <w:r>
        <w:rPr>
          <w:rFonts w:ascii="Times New Roman;Times;serif" w:hAnsi="Times New Roman;Times;serif"/>
          <w:sz w:val="20"/>
        </w:rPr>
        <w:t xml:space="preserve"> due to Participant’s death or</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Disability, Participant shall immediately vest in, and be eligible to receive, the number of Performance Share Units based on the number of Shares deliverable at “Target Performance” (as described in </w:t>
      </w:r>
      <w:r>
        <w:rPr>
          <w:rFonts w:ascii="Times New Roman;Times;serif" w:hAnsi="Times New Roman;Times;serif"/>
          <w:sz w:val="20"/>
          <w:u w:val="single"/>
        </w:rPr>
        <w:t>Exhibit A</w:t>
      </w:r>
      <w:r>
        <w:rPr>
          <w:rFonts w:ascii="Times New Roman;Times;serif" w:hAnsi="Times New Roman;Times;serif"/>
          <w:sz w:val="20"/>
        </w:rPr>
        <w:t xml:space="preserve">) and the remaining portion of the Performance Award that is not vested on the effective date of the termination of the Services due to Participant’s death or Disability shall be forfeited without the payment of consideration and (iii) if the Services are terminated prior to the Vesting Date set forth in </w:t>
      </w:r>
      <w:r>
        <w:rPr>
          <w:rFonts w:ascii="Times New Roman;Times;serif" w:hAnsi="Times New Roman;Times;serif"/>
          <w:sz w:val="20"/>
          <w:u w:val="single"/>
        </w:rPr>
        <w:t>Exhibit A</w:t>
      </w:r>
      <w:r>
        <w:rPr>
          <w:rFonts w:ascii="Times New Roman;Times;serif" w:hAnsi="Times New Roman;Times;serif"/>
          <w:sz w:val="20"/>
        </w:rPr>
        <w:t xml:space="preserve"> due to Participant’s Retirement, Participant shall be eligible to receive a portion of the Performance Award in accordance with Section 3 above with the number of Shares underlying such portion of the Performance Award to be delivered to Participant calculated as follows: </w:t>
      </w:r>
      <w:r>
        <w:rPr>
          <w:rFonts w:ascii="Times New Roman;Times;serif" w:hAnsi="Times New Roman;Times;serif"/>
          <w:sz w:val="20"/>
          <w:u w:val="single"/>
        </w:rPr>
        <w:t>first</w:t>
      </w:r>
      <w:r>
        <w:rPr>
          <w:rFonts w:ascii="Times New Roman;Times;serif" w:hAnsi="Times New Roman;Times;serif"/>
          <w:sz w:val="20"/>
        </w:rPr>
        <w:t xml:space="preserve">, by determining the number of Shares deliverable at the actual level of performance for the Performance Period and </w:t>
      </w:r>
      <w:r>
        <w:rPr>
          <w:rFonts w:ascii="Times New Roman;Times;serif" w:hAnsi="Times New Roman;Times;serif"/>
          <w:sz w:val="20"/>
          <w:u w:val="single"/>
        </w:rPr>
        <w:t>second</w:t>
      </w:r>
      <w:r>
        <w:rPr>
          <w:rFonts w:ascii="Times New Roman;Times;serif" w:hAnsi="Times New Roman;Times;serif"/>
          <w:sz w:val="20"/>
        </w:rPr>
        <w:t>, by multiplying such amount by a fraction, the numerator of which is the number of full calendar months elapsed in the Performance Period prior to the effective date of the termination of Services due to Retirement, and the denominator of which is thirty-six (36).</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b.For purposes of this Agreement, “</w:t>
      </w:r>
      <w:r>
        <w:rPr>
          <w:rFonts w:ascii="Times New Roman;Times;serif" w:hAnsi="Times New Roman;Times;serif"/>
          <w:b/>
          <w:i/>
          <w:sz w:val="20"/>
        </w:rPr>
        <w:t>Cause</w:t>
      </w:r>
      <w:r>
        <w:rPr>
          <w:rFonts w:ascii="Times New Roman;Times;serif" w:hAnsi="Times New Roman;Times;serif"/>
          <w:sz w:val="20"/>
        </w:rPr>
        <w:t>” means (i) the Company or an Affiliate having “cause” to terminate the Services, as defined in any employment or consulting agreement or similar services agreement between Participant and the Company or an Affiliate in effect at the time of such termination, or (ii) in the absence of any such employment, consulting or similar services agreement (or the absence of any definition of “Cause” contained therein), as determined by the Committee, Participant’s act(s) of fraud or dishonesty, knowing and material failure to comply with applicable laws or regulations or satisfactorily perform Participant’s services with the Company or its Affiliates, insubordination and/or drug or alcohol abuse that impairs Participant’s ability to perform the essential functions of Participant’s position with the Company. Additionally, for purposes of this Agreement, “</w:t>
      </w:r>
      <w:r>
        <w:rPr>
          <w:rFonts w:ascii="Times New Roman;Times;serif" w:hAnsi="Times New Roman;Times;serif"/>
          <w:b/>
          <w:i/>
          <w:sz w:val="20"/>
        </w:rPr>
        <w:t>Retirement</w:t>
      </w:r>
      <w:r>
        <w:rPr>
          <w:rFonts w:ascii="Times New Roman;Times;serif" w:hAnsi="Times New Roman;Times;serif"/>
          <w:sz w:val="20"/>
        </w:rPr>
        <w:t>” means the Services terminate due to the voluntary resignation by Participant on or after the date Participant has (i) attained age sixty five (65), (ii) completed ten (10) or more years of continuous Services and (iii) provided at least six (6) months’ written notice prior to the last day of the Services (unless determined otherwise by the Committee) and (iv) signed and delivered to the Company or one of its Subsidiaries a Confidential Information, Invention and Original Works Assignment Agreement (the “</w:t>
      </w:r>
      <w:r>
        <w:rPr>
          <w:rFonts w:ascii="Times New Roman;Times;serif" w:hAnsi="Times New Roman;Times;serif"/>
          <w:b/>
          <w:i/>
          <w:sz w:val="20"/>
        </w:rPr>
        <w:t>Confidentiality Agreement</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c.For the avoidance of doubt, if a consultant becomes an employee or a Director or an employee becomes a consultant or a Director, without a break in service to the Company, the “Services” shall include both employment as an employee and service as a consultant or a Director and no termination of the Services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Transferability</w:t>
      </w:r>
      <w:r>
        <w:rPr>
          <w:rFonts w:ascii="Times New Roman;Times;serif" w:hAnsi="Times New Roman;Times;serif"/>
          <w:sz w:val="20"/>
        </w:rPr>
        <w:t>. The Performance Award may only be transferred pursuant to the requirements under Section 11.3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Adjustments; Change in Control</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a.Subject to Sections 6(b) and 6(c) below and Section 11.2 of the Plan, in the event of any merger, reorganization, consolidation, recapitalization, dividend or distribution (whether in cash, shares or other property, other than a regular cash dividend), stock split, reverse stock split, spin-off or similar transaction or other change in corporate structure affecting the Shares or the value thereof, such adjustments and other substitutions shall be made to the Performance Award as the Committee deems equitable or appropriate to prevent dilution or enlargement of the rights of Participants under the Plan, taking into consideration the accounting and tax consequences. Any adjustment under this Section 6(a) shall be made by the Committee, whose determination as to what adjustments shall be made, if any, and the extent thereof, will be conclusive and binding for all purposes.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b.In the event of a Change in Control in which the successor company assumes or replaces the Performance Award (or in which the Company is the ultimate parent corporation and continues the Performance Award),  and such Change in Control occurs within the first calendar year of the Performance Period (as such term is defined in </w:t>
      </w:r>
      <w:r>
        <w:rPr>
          <w:rFonts w:ascii="Times New Roman;Times;serif" w:hAnsi="Times New Roman;Times;serif"/>
          <w:sz w:val="20"/>
          <w:u w:val="single"/>
        </w:rPr>
        <w:t>Exhibit A</w:t>
      </w:r>
      <w:r>
        <w:rPr>
          <w:rFonts w:ascii="Times New Roman;Times;serif" w:hAnsi="Times New Roman;Times;serif"/>
          <w:sz w:val="20"/>
        </w:rPr>
        <w:t xml:space="preserve">), the entire Performance Award shall automatically convert into Restricted Stock Units, and the number of Shares underlying such Restricted Stock Units to be delivered to Participant shall be based on the number of Shares deliverable at “Target Performance” (as described in </w:t>
      </w:r>
      <w:r>
        <w:rPr>
          <w:rFonts w:ascii="Times New Roman;Times;serif" w:hAnsi="Times New Roman;Times;serif"/>
          <w:sz w:val="20"/>
          <w:u w:val="single"/>
        </w:rPr>
        <w:t>Exhibit A</w:t>
      </w:r>
      <w:r>
        <w:rPr>
          <w:rFonts w:ascii="Times New Roman;Times;serif" w:hAnsi="Times New Roman;Times;serif"/>
          <w:sz w:val="20"/>
        </w:rPr>
        <w:t xml:space="preserve">); provided that, if the Change in Control occurs within the second calendar year or third calendar year of the Performance Period, the entire Performance Award shall automatically convert into Restricted Stock Units, and the number of Shares underlying such Restricted Stock Units to be delivered to Participant shall be based on the number of Shares deliverable at the actual level of performance for the portion of the Performance Period which has elapsed as of the date of the Change in Control, which performance shall be determined by the results of the performance measures outlined in </w:t>
      </w:r>
      <w:r>
        <w:rPr>
          <w:rFonts w:ascii="Times New Roman;Times;serif" w:hAnsi="Times New Roman;Times;serif"/>
          <w:sz w:val="20"/>
          <w:u w:val="single"/>
        </w:rPr>
        <w:t>Exhibit A</w:t>
      </w:r>
      <w:r>
        <w:rPr>
          <w:rFonts w:ascii="Times New Roman;Times;serif" w:hAnsi="Times New Roman;Times;serif"/>
          <w:sz w:val="20"/>
        </w:rPr>
        <w:t>.  Any Restricted Stock Unit under this Section 6(c) will remain unvested until the applicable Vesting Date; provided that, in the event that Participant’s employment or service with such successor company (or a subsidiary thereof) terminates other than due to a termination of the Services by the Company for Cause within twenty four (24) months following such Change in Control, the Restricted Stock Units shall be one hundred percent (100%) vested as of such termination date.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c.In the event of a Change in Control in which the successor company does not assume or replace the Performance Award (or the Company is the ultimate parent corporation and does not continue the Performance Award), and such Change in Control occurs within the first calendar year of the Performance Period, the entire Performance Award shall be considered to be earned and payable at “Target Performance” and any other restriction shall lapse and the Performance Award shall be immediately settled or distributed; provided that, if the Change in Control occurs within the second calendar year or third calendar year of the Performance Period, the Performance Award shall be considered to be earned and payable at the actual level of performance for the portion of the Performance Period which has elapsed as of the date of the Change in Control, which performance shall be based on the results of the performance measures outlined in </w:t>
      </w:r>
      <w:r>
        <w:rPr>
          <w:rFonts w:ascii="Times New Roman;Times;serif" w:hAnsi="Times New Roman;Times;serif"/>
          <w:sz w:val="20"/>
          <w:u w:val="single"/>
        </w:rPr>
        <w:t>Exhibit A</w:t>
      </w:r>
      <w:r>
        <w:rPr>
          <w:rFonts w:ascii="Times New Roman;Times;serif" w:hAnsi="Times New Roman;Times;serif"/>
          <w:sz w:val="20"/>
        </w:rPr>
        <w:t>, and any other restriction shall lapse and the Performance Award shall be immediately settled or distributed.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u w:val="single"/>
        </w:rPr>
        <w:t>No Rights as Stockholder</w:t>
      </w:r>
      <w:r>
        <w:rPr>
          <w:rFonts w:ascii="Times New Roman;Times;serif" w:hAnsi="Times New Roman;Times;serif"/>
          <w:sz w:val="20"/>
        </w:rPr>
        <w:t>. Participant shall have no rights as a stockholder with respect to any Share underlying a Performance Award unless and until Participant becomes the holder of record or the beneficial owner of such Share, and, subject to Section 8 of this Agreement, no adjustment shall be made for dividends or distributions or other rights in respect of such Share for which the record date is prior to the date upon which Participant becomes the holder of record or the beneficial owner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u w:val="single"/>
        </w:rPr>
        <w:t>Dividend Equivalents</w:t>
      </w:r>
      <w:r>
        <w:rPr>
          <w:rFonts w:ascii="Times New Roman;Times;serif" w:hAnsi="Times New Roman;Times;serif"/>
          <w:sz w:val="20"/>
        </w:rPr>
        <w:t>. The Company will credit the Performance Award (or a portion thereof, as applicable) with Dividend Equivalent payments following the payment by the Company of dividends on Shares. The Company will provide such Dividend Equivalents in Shares having a Fair Market Value per Share, as of the date of such dividend payment, equal to the per-Share amount of such applicable dividend, and shall be payable at the same time as (and only if) the Performance Award (or a portion thereof, as applicable) is settled in accordance with Section 3 above. In the event that the Performance Award is forfeited by its terms, Participant shall have no right to Dividend Equivalent payments in respect of the Performance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u w:val="single"/>
        </w:rPr>
        <w:t>Tax Withholding</w:t>
      </w:r>
      <w:r>
        <w:rPr>
          <w:rFonts w:ascii="Times New Roman;Times;serif" w:hAnsi="Times New Roman;Times;serif"/>
          <w:sz w:val="20"/>
        </w:rPr>
        <w:t>. The Company shall have the right to require Participant to remit to the Company an amount sufficient to satisfy any federal, state or local withholding tax requirements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related to any payment or benefit under this Agreement and to take such other action as may be necessary in the opinion of the Committee to satisfy all obligations for the payment of such withholding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u w:val="single"/>
        </w:rPr>
        <w:t>Fractional Shares</w:t>
      </w:r>
      <w:r>
        <w:rPr>
          <w:rFonts w:ascii="Times New Roman;Times;serif" w:hAnsi="Times New Roman;Times;serif"/>
          <w:sz w:val="20"/>
        </w:rPr>
        <w:t>. Notwithstanding any other provision of this Agreement, no fractional Shares shall be issued upon settlement of the Performance Award, and the Company shall not be under any obligation to compensate Participant in any way for such fractional shares; provided that, to the extent any fractional Shares are settled in respect of the Performance Award, such fractional Shares shall be settled in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u w:val="single"/>
        </w:rPr>
        <w:t>Notices</w:t>
      </w:r>
      <w:r>
        <w:rPr>
          <w:rFonts w:ascii="Times New Roman;Times;serif" w:hAnsi="Times New Roman;Times;serif"/>
          <w:sz w:val="20"/>
        </w:rPr>
        <w:t>. Any notice required or permitted to be given hereunder to the Company shall be addressed as follows: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Beverage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Attn: [_____________]</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 92879</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HumanResources@Monsterenergy.com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notice required or permitted to be given hereunder to Participant shall be addressed to Participant at the latest address the Company has for Participant in its records. Such notice shall be deemed to have been duly given if (i) delivered personally, (ii) sent by certified, registered or express mail, postage prepaid, return receipt requested, or (iii) by a reputable overnight delivery service. Any such notice shall be deemed to have been received (x) if by personal delivery, on the day after such delivery, (y) if by certified or registered mail, on the fifth business day after the mailing thereof, or (z) if by express mail or overnight delivery service, on the day delivered. Notwithstanding the foregoing, any notice required or permitted hereunder from the Company to Participant (or vice-versa) may be made by electronic means, including by electronic mail to the Company-maintained electronic mailbox of Participant (or the Company-maintained electronic mailbox for the Company’s Human Resources department, which electronic mailbox address is set forth above), and Participant and the Company hereby consent to receive such notice by electronic delivery. To the extent permitted in an electronically delivered notice described in the previous sentence, Participant and the Company shall be permitted to respond to such notice or communication by way of a responsive electronic communication, including by electronic mail.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u w:val="single"/>
        </w:rPr>
        <w:t>No Right to Continue the Services</w:t>
      </w:r>
      <w:r>
        <w:rPr>
          <w:rFonts w:ascii="Times New Roman;Times;serif" w:hAnsi="Times New Roman;Times;serif"/>
          <w:sz w:val="20"/>
        </w:rPr>
        <w:t>. This Agreement shall not confer upon Participant any right with respect to continuance of the Services nor shall it interfere in any way with the right of the Company or its Subsidiaries to terminate the Services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u w:val="single"/>
        </w:rPr>
        <w:t>Compliance with Law and Regulation</w:t>
      </w:r>
      <w:r>
        <w:rPr>
          <w:rFonts w:ascii="Times New Roman;Times;serif" w:hAnsi="Times New Roman;Times;serif"/>
          <w:sz w:val="20"/>
        </w:rPr>
        <w:t>. This Agreement and the obligation of the Company to deliver Shares hereunder shall be subject to all applicable federal and state laws, rules and regulations and to such approvals by any government or regulatory agency as may be required. If at any time the Board shall determine that the (i) listing, registration or qualification of the Shares subject or related thereto upon any securities exchange or under any state or federal law, or (ii) consent, approval or agreement of any government regulatory body, is necessary or desirable as a condition of or in connection with the distribution of Shares pursuant to the Performance Award, such Shares will not be distributed in whole or in part unless such listing, registration, qualification, consent, approval or agreement shall have been effected or obtained free of any conditions not acceptable to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u w:val="single"/>
        </w:rPr>
        <w:t>Restrictive Covenants</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Notwithstanding any other provision of this Agreement or the Plan, in the event of Participant’s breach of the Confidentiality Agreement or any other agreement with the Company or one of its Subsidiaries that Participant is subject to restrictive covenants, in addition to any other remedies at law or in equity the Company and/or any of its Subsidiaries may have available, all unvested Performance Share Units held by Participant shall be immediately forfeited on the date which Participant breaches the Confidentiality Agreement or such other agreement contemplating restrictive covenants, and the Company may in its sole discretion, request from Participant that any gain realized by Participant from the vesting of any Performance Share Units, following such breach, shall be paid by Participant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addition, Participant acknowledges and agrees, subject to Section 14(c) below, neither Participant nor the Company shall disparage or otherwise publish or communicate “derogatory” statements or opinions about the other party (and, for the avoidance of doubt, in the case of the Company, Participant shall not disparage or otherwise publish or communicate “derogatory” statements or opinions about the Company’s respective businesses or personnel), to any Person, be it orally or in writing. For purposes of this Agreement, “derogatory” shall be defined as a statement that detracts from another Person’s character, standing, or reputation.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Nothing in this Agreement, the Plan or any other agreement with the Company or any of the provisions above shall be construed to prevent or limit Participant from (i) reporting any good faith allegation of unlawful employment practices to any appropriate federal, state, or local government agency enforcing discrimination laws; (ii) reporting any good faith allegation of criminal conduct to any appropriate federal, state, or local official, including pursuant to “whistleblower” statutes or other similar provisions that protect such disclosure and provide for a monetary award; (iii) participating in a proceeding with any appropriate federal, state, or local government agency enforcing discrimination laws; (iv) making any truthful statements or disclosures required by law, regulation, or legal process; (v) discussing the terms and conditions of Participant’s employment with others to the extent expressly permitted by Section 7 of the National Labor Relations Act; (vi) disclosing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 pursuant to the federal Defend Trade Secrets Act of 2016; or (vii) requesting or receiving confidential legal advice. Prior permission of the Company shall not be required to make any reports or disclosures under this Section 14(c) and Participant is not required to notify the Company that Participant has made such reports or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Participant acknowledges that the provisions of this Section 14 are in consideration of the Performance Award. For the avoidance of doubt, the covenants in this Section 14 do not supersede, restrict or otherwise limit Participant’s obligations under any other covenants applicable in connection with the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sz w:val="20"/>
          <w:u w:val="single"/>
        </w:rPr>
        <w:t>Amendment</w:t>
      </w:r>
      <w:r>
        <w:rPr>
          <w:rFonts w:ascii="Times New Roman;Times;serif" w:hAnsi="Times New Roman;Times;serif"/>
          <w:sz w:val="20"/>
        </w:rPr>
        <w:t>. No modification, amendment or waiver of any of the provisions of this Agreement shall be effective unless in writing specifically referring hereto, and signed by both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u w:val="single"/>
        </w:rPr>
        <w:t>Binding Effect</w:t>
      </w:r>
      <w:r>
        <w:rPr>
          <w:rFonts w:ascii="Times New Roman;Times;serif" w:hAnsi="Times New Roman;Times;serif"/>
          <w:sz w:val="20"/>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u w:val="single"/>
        </w:rPr>
        <w:t>Governing Law</w:t>
      </w:r>
      <w:r>
        <w:rPr>
          <w:rFonts w:ascii="Times New Roman;Times;serif" w:hAnsi="Times New Roman;Times;serif"/>
          <w:sz w:val="20"/>
        </w:rPr>
        <w:t>. This Agreement shall be construed according to the laws of the State of Delaware and all provisions hereof shall be administered according to and its validity shall be determined under, the laws of such State, except where preempted by federal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sz w:val="20"/>
          <w:u w:val="single"/>
        </w:rPr>
        <w:t>Waiver; Cumulative Rights</w:t>
      </w:r>
      <w:r>
        <w:rPr>
          <w:rFonts w:ascii="Times New Roman;Times;serif" w:hAnsi="Times New Roman;Times;serif"/>
          <w:sz w:val="20"/>
        </w:rPr>
        <w:t>. The failure or delay of either party to require performance by the other party of any provision hereof shall not affect its right to require performance of such provision unless and until such performance has been waived in writing. Each and every right hereunder is cumulative and may be exercised in part or in whole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sz w:val="20"/>
          <w:u w:val="single"/>
        </w:rPr>
        <w:t>Counterparts; Electronic Delivery and Signature</w:t>
      </w:r>
      <w:r>
        <w:rPr>
          <w:rFonts w:ascii="Times New Roman;Times;serif" w:hAnsi="Times New Roman;Times;serif"/>
          <w:sz w:val="20"/>
        </w:rPr>
        <w:t>. This Agreement may be signed (including by electronic signature methods) in two (2) counterparts, each of which shall be an original, but both of which shall constitute but one and the same instrument.  The Company may, in its sole discretion, decide to deliver any document related to current or future participation in the Plan by electronic means. Participant and the Company each agrees and acknowledges that the use of electronic media (including, without limitation, an electronic signature or a clickthrough button or checkbox on a website of the Company or a third party administrator designated by the Company) to indicate Participant’s confirmation, consent, signature, agreement and delivery of this Agreement and the Performance Award is legally valid and has the same legal force and effect as if Participant and the Company signed and executed this Agreement in paper form. The same use of electronic media may be used for any amendment or waiver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w:t>
      </w:r>
      <w:r>
        <w:rPr>
          <w:rFonts w:ascii="Times New Roman;Times;serif" w:hAnsi="Times New Roman;Times;serif"/>
          <w:sz w:val="20"/>
          <w:u w:val="single"/>
        </w:rPr>
        <w:t>Headings</w:t>
      </w:r>
      <w:r>
        <w:rPr>
          <w:rFonts w:ascii="Times New Roman;Times;serif" w:hAnsi="Times New Roman;Times;serif"/>
          <w:sz w:val="20"/>
        </w:rPr>
        <w:t>. The headings contained in this Agreement are for reference purposes only and shall not affect the meaning or interpretation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u w:val="single"/>
        </w:rPr>
        <w:t>Severability</w:t>
      </w:r>
      <w:r>
        <w:rPr>
          <w:rFonts w:ascii="Times New Roman;Times;serif" w:hAnsi="Times New Roman;Times;serif"/>
          <w:sz w:val="20"/>
        </w:rPr>
        <w:t>. If any provision of this Agreement shall for any reason be held to be invalid or unenforceable, such invalidity or unenforceability shall not affect any other provision hereof, and this Agreement shall be construed as if such invalid or unenforceable provision were omitted.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sz w:val="20"/>
          <w:u w:val="single"/>
        </w:rPr>
        <w:t>Plan</w:t>
      </w:r>
      <w:r>
        <w:rPr>
          <w:rFonts w:ascii="Times New Roman;Times;serif" w:hAnsi="Times New Roman;Times;serif"/>
          <w:sz w:val="20"/>
        </w:rPr>
        <w:t>. The terms and conditions of the Plan (including the forfeiture events under Section 12.4 of the Plan) are incorporated in this Agreement by reference. In the event of a conflict or inconsistency between the terms and conditions of the Plan and the terms and conditions of this Agreement, the Plan shall govern and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23.</w:t>
      </w:r>
      <w:r>
        <w:rPr>
          <w:rFonts w:ascii="Times New Roman;Times;serif" w:hAnsi="Times New Roman;Times;serif"/>
          <w:sz w:val="20"/>
          <w:u w:val="single"/>
        </w:rPr>
        <w:t>Section 409A of the Code</w:t>
      </w:r>
      <w:r>
        <w:rPr>
          <w:rFonts w:ascii="Times New Roman;Times;serif" w:hAnsi="Times New Roman;Times;serif"/>
          <w:sz w:val="20"/>
        </w:rPr>
        <w:t>. It is intended that the Performance Award be exempt from or compliant with Section 409A of the Code (together with any Department of Treasury regulation and other interpretive guidance issued thereunder, including without limitation any such regulation or other guidance that may be issued after the date hereof, “</w:t>
      </w:r>
      <w:r>
        <w:rPr>
          <w:rFonts w:ascii="Times New Roman;Times;serif" w:hAnsi="Times New Roman;Times;serif"/>
          <w:b/>
          <w:i/>
          <w:sz w:val="20"/>
        </w:rPr>
        <w:t>Section 409A</w:t>
      </w:r>
      <w:r>
        <w:rPr>
          <w:rFonts w:ascii="Times New Roman;Times;serif" w:hAnsi="Times New Roman;Times;serif"/>
          <w:sz w:val="20"/>
        </w:rPr>
        <w:t>”) and this Agreement shall be interpreted, construed, and operated to reflect such intent. However, notwithstanding any other provision of the Plan or this Agreement, if at any time the Committee determines that the Performance Award (or any portion thereof) may be subject to Section 409A, the Committee shall have the right in its sole discretion (without any obligation to do so or to indemnify Participant or any other person for failure to do so) to adopt such amendments to the Plan or this Agreement, or adopt other policies and procedures (including amendments, policies, and procedures with retroactive effect), or take any other action, as the Committee determines is necessary or appropriate either for the Performance Award to be exempt from the application of Section 409A or to comply with the requirements of Section 409A. A termination of the Services shall not be deemed to have occurred for purposes of any provision of this Agreement providing for the payment of any amounts subject to Section 409A upon or following a termination of the Services unless such termination is also a “separation from service” within the meaning of Section 409A, and for purposes of any such provision of this Agreement, references to  “resignation,” “termination,” “terminate,” “retirement,” “retire” or like terms shall mean separation from service. If Participant is a</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r>
        <w:rPr>
          <w:rFonts w:ascii="Times New Roman;Times;serif" w:hAnsi="Times New Roman;Times;serif"/>
          <w:sz w:val="20"/>
        </w:rPr>
        <w:t>specified employee” (as defined under Section 409A) and should any portion of the Shares that would otherwise be settled under the Performance Award be determined to be payments that are not exempt from Section 409A, such Shares, to the extent otherwise payable within six (6) months after a “separation from service” (as defined under Section 409A), and to the extent necessary to avoid the imposition of taxes under Section 409A, will be settled on the earlier of the date that is six (6) months and one day after the date of such separation from service or the date of Participant’s death.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24.</w:t>
      </w:r>
      <w:r>
        <w:rPr>
          <w:rFonts w:ascii="Times New Roman;Times;serif" w:hAnsi="Times New Roman;Times;serif"/>
          <w:sz w:val="20"/>
          <w:u w:val="single"/>
        </w:rPr>
        <w:t>Entire Agreement</w:t>
      </w:r>
      <w:r>
        <w:rPr>
          <w:rFonts w:ascii="Times New Roman;Times;serif" w:hAnsi="Times New Roman;Times;serif"/>
          <w:sz w:val="20"/>
        </w:rPr>
        <w:t>. This Agreement and the Plan constitute the entire understanding between Participant and the Company regarding the Performance Award. This Agreement and the Plan supersede any prior agreements, commitments, or negotiations concerning the Performance Award.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Signature page follows</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IN WITNESS WHEREOF, the Company has caused this Agreement to be executed by a duly authorized officer and Participant has executed this Agreement both as of the day and year first above written.</w:t>
      </w:r>
    </w:p>
    <w:p>
      <w:pPr>
        <w:pStyle w:val="TextBody"/>
        <w:bidi w:val="0"/>
        <w:spacing w:before="0" w:after="0"/>
        <w:ind w:left="0" w:right="0" w:hanging="0"/>
        <w:jc w:val="both"/>
        <w:rPr/>
      </w:pPr>
      <w:r>
        <w:rPr/>
        <w:t>​</w:t>
      </w:r>
    </w:p>
    <w:tbl>
      <w:tblPr>
        <w:tblW w:w="5607" w:type="dxa"/>
        <w:jc w:val="center"/>
        <w:tblInd w:w="0" w:type="dxa"/>
        <w:tblLayout w:type="fixed"/>
        <w:tblCellMar>
          <w:top w:w="0" w:type="dxa"/>
          <w:left w:w="0" w:type="dxa"/>
          <w:bottom w:w="0" w:type="dxa"/>
          <w:right w:w="0" w:type="dxa"/>
        </w:tblCellMar>
      </w:tblPr>
      <w:tblGrid>
        <w:gridCol w:w="1711"/>
        <w:gridCol w:w="326"/>
        <w:gridCol w:w="1283"/>
        <w:gridCol w:w="2287"/>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086485" cy="175260"/>
                      <wp:effectExtent l="0" t="0" r="0" b="0"/>
                      <wp:wrapNone/>
                      <wp:docPr id="474" name="Frame474"/>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814705" cy="175260"/>
                      <wp:effectExtent l="0" t="0" r="0" b="0"/>
                      <wp:wrapNone/>
                      <wp:docPr id="475" name="Frame475"/>
                      <a:graphic xmlns:a="http://schemas.openxmlformats.org/drawingml/2006/main">
                        <a:graphicData uri="http://schemas.microsoft.com/office/word/2010/wordprocessingShape">
                          <wps:wsp>
                            <wps:cNvSpPr txBox="1"/>
                            <wps:spPr>
                              <a:xfrm>
                                <a:off x="0" y="0"/>
                                <a:ext cx="814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452245" cy="175260"/>
                      <wp:effectExtent l="0" t="0" r="0" b="0"/>
                      <wp:wrapNone/>
                      <wp:docPr id="476" name="Frame476"/>
                      <a:graphic xmlns:a="http://schemas.openxmlformats.org/drawingml/2006/main">
                        <a:graphicData uri="http://schemas.microsoft.com/office/word/2010/wordprocessingShape">
                          <wps:wsp>
                            <wps:cNvSpPr txBox="1"/>
                            <wps:spPr>
                              <a:xfrm>
                                <a:off x="0" y="0"/>
                                <a:ext cx="145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5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CORPORATION</w: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70"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70" w:type="dxa"/>
            <w:gridSpan w:val="2"/>
            <w:tcBorders/>
            <w:vAlign w:val="center"/>
          </w:tcPr>
          <w:p>
            <w:pPr>
              <w:pStyle w:val="TableContents"/>
              <w:bidi w:val="0"/>
              <w:spacing w:before="0" w:after="0"/>
              <w:ind w:left="0" w:right="0" w:hanging="0"/>
              <w:jc w:val="left"/>
              <w:rPr/>
            </w:pPr>
            <w:r>
              <w:rPr/>
              <w:t>​</w:t>
            </w:r>
          </w:p>
        </w:tc>
      </w:tr>
      <w:tr>
        <w:trPr/>
        <w:tc>
          <w:tcPr>
            <w:tcW w:w="17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w:t>
            </w:r>
          </w:p>
        </w:tc>
        <w:tc>
          <w:tcPr>
            <w:tcW w:w="326"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left"/>
              <w:rPr/>
            </w:pPr>
            <w:r>
              <w:rPr/>
              <w:t>​</w:t>
            </w:r>
          </w:p>
        </w:tc>
        <w:tc>
          <w:tcPr>
            <w:tcW w:w="228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left"/>
              <w:rPr/>
            </w:pPr>
            <w:r>
              <w:rPr/>
              <w:t>​</w:t>
            </w:r>
          </w:p>
        </w:tc>
        <w:tc>
          <w:tcPr>
            <w:tcW w:w="2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 to Performance Share Unit Award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Performance Goals for 20[__]-20[__] Performance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this Agreement, the performance goals for the Performance Period indicated below are as follows:</w:t>
      </w:r>
    </w:p>
    <w:tbl>
      <w:tblPr>
        <w:tblW w:w="7248" w:type="dxa"/>
        <w:jc w:val="center"/>
        <w:tblInd w:w="0" w:type="dxa"/>
        <w:tblLayout w:type="fixed"/>
        <w:tblCellMar>
          <w:top w:w="30" w:type="dxa"/>
          <w:left w:w="28" w:type="dxa"/>
          <w:bottom w:w="0" w:type="dxa"/>
          <w:right w:w="0" w:type="dxa"/>
        </w:tblCellMar>
      </w:tblPr>
      <w:tblGrid>
        <w:gridCol w:w="1756"/>
        <w:gridCol w:w="2791"/>
        <w:gridCol w:w="2701"/>
      </w:tblGrid>
      <w:tr>
        <w:trPr/>
        <w:tc>
          <w:tcPr>
            <w:tcW w:w="1756" w:type="dxa"/>
            <w:tcBorders>
              <w:top w:val="single" w:sz="8" w:space="0" w:color="000000"/>
              <w:lef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Performance Level</w:t>
            </w:r>
          </w:p>
        </w:tc>
        <w:tc>
          <w:tcPr>
            <w:tcW w:w="2791" w:type="dxa"/>
            <w:tcBorders>
              <w:top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Performance Goals</w:t>
              <w:br/>
              <w:t>Cumulative EPS</w:t>
            </w:r>
            <w:r>
              <w:rPr>
                <w:rFonts w:ascii="Times New Roman;Times;serif" w:hAnsi="Times New Roman;Times;serif"/>
                <w:sz w:val="20"/>
              </w:rPr>
              <w:br/>
            </w:r>
            <w:r>
              <w:rPr>
                <w:rFonts w:ascii="Times New Roman;Times;serif" w:hAnsi="Times New Roman;Times;serif"/>
                <w:b/>
                <w:sz w:val="20"/>
              </w:rPr>
              <w:t>For the Following Performance</w:t>
              <w:br/>
              <w:t>Period: 1/1/20[__]-12/31/20[__]</w:t>
            </w:r>
          </w:p>
        </w:tc>
        <w:tc>
          <w:tcPr>
            <w:tcW w:w="2701" w:type="dxa"/>
            <w:tcBorders>
              <w:top w:val="single" w:sz="8" w:space="0" w:color="000000"/>
              <w:right w:val="single" w:sz="8"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EPS Performance Percentage </w:t>
            </w:r>
          </w:p>
        </w:tc>
      </w:tr>
      <w:tr>
        <w:trPr/>
        <w:tc>
          <w:tcPr>
            <w:tcW w:w="1756" w:type="dxa"/>
            <w:tcBorders>
              <w:top w:val="single" w:sz="8" w:space="0" w:color="000000"/>
              <w:left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Threshold</w:t>
            </w:r>
          </w:p>
        </w:tc>
        <w:tc>
          <w:tcPr>
            <w:tcW w:w="2791" w:type="dxa"/>
            <w:tcBorders>
              <w:top w:val="single" w:sz="8" w:space="0" w:color="000000"/>
            </w:tcBorders>
            <w:tcMar>
              <w:left w:w="0" w:type="dxa"/>
            </w:tcMar>
            <w:vAlign w:val="center"/>
          </w:tcPr>
          <w:p>
            <w:pPr>
              <w:pStyle w:val="TableContents"/>
              <w:bidi w:val="0"/>
              <w:spacing w:before="0" w:after="0"/>
              <w:ind w:left="0" w:right="0" w:hanging="0"/>
              <w:jc w:val="center"/>
              <w:rPr/>
            </w:pPr>
            <w:r>
              <w:rPr/>
              <w:t>​</w:t>
            </w:r>
            <w:r>
              <w:rPr>
                <w:rFonts w:ascii="Times New Roman;Times;serif" w:hAnsi="Times New Roman;Times;serif"/>
                <w:sz w:val="20"/>
              </w:rPr>
              <w:br/>
              <w:t>Below $[___]</w:t>
            </w:r>
          </w:p>
        </w:tc>
        <w:tc>
          <w:tcPr>
            <w:tcW w:w="2701" w:type="dxa"/>
            <w:tcBorders>
              <w:top w:val="single" w:sz="8" w:space="0" w:color="000000"/>
              <w:right w:val="single" w:sz="8"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[_]%</w:t>
            </w:r>
          </w:p>
        </w:tc>
      </w:tr>
      <w:tr>
        <w:trPr/>
        <w:tc>
          <w:tcPr>
            <w:tcW w:w="1756" w:type="dxa"/>
            <w:tcBorders>
              <w:lef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Threshold</w:t>
            </w:r>
          </w:p>
        </w:tc>
        <w:tc>
          <w:tcPr>
            <w:tcW w:w="2791" w:type="dxa"/>
            <w:tcBorders/>
            <w:tcMar>
              <w:top w:w="0" w:type="dxa"/>
              <w:left w:w="0" w:type="dxa"/>
            </w:tcMar>
            <w:vAlign w:val="center"/>
          </w:tcPr>
          <w:p>
            <w:pPr>
              <w:pStyle w:val="TableContents"/>
              <w:bidi w:val="0"/>
              <w:spacing w:before="0" w:after="0"/>
              <w:ind w:left="0" w:right="0" w:hanging="0"/>
              <w:jc w:val="center"/>
              <w:rPr/>
            </w:pPr>
            <w:r>
              <w:rPr/>
              <w:t>​</w:t>
            </w:r>
            <w:r>
              <w:rPr>
                <w:rFonts w:ascii="Times New Roman;Times;serif" w:hAnsi="Times New Roman;Times;serif"/>
                <w:sz w:val="20"/>
              </w:rPr>
              <w:br/>
              <w:t>$[___]</w:t>
            </w:r>
          </w:p>
        </w:tc>
        <w:tc>
          <w:tcPr>
            <w:tcW w:w="2701" w:type="dxa"/>
            <w:tcBorders>
              <w:right w:val="single" w:sz="8" w:space="0" w:color="000000"/>
            </w:tcBorders>
            <w:tcMar>
              <w:top w:w="0" w:type="dxa"/>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[_]%*</w:t>
            </w:r>
          </w:p>
        </w:tc>
      </w:tr>
      <w:tr>
        <w:trPr/>
        <w:tc>
          <w:tcPr>
            <w:tcW w:w="1756" w:type="dxa"/>
            <w:tcBorders>
              <w:lef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Target</w:t>
            </w:r>
          </w:p>
        </w:tc>
        <w:tc>
          <w:tcPr>
            <w:tcW w:w="2791" w:type="dxa"/>
            <w:tcBorders/>
            <w:tcMar>
              <w:top w:w="0" w:type="dxa"/>
              <w:left w:w="0" w:type="dxa"/>
            </w:tcMar>
            <w:vAlign w:val="center"/>
          </w:tcPr>
          <w:p>
            <w:pPr>
              <w:pStyle w:val="TableContents"/>
              <w:bidi w:val="0"/>
              <w:spacing w:before="0" w:after="0"/>
              <w:ind w:left="0" w:right="0" w:hanging="0"/>
              <w:jc w:val="center"/>
              <w:rPr/>
            </w:pPr>
            <w:r>
              <w:rPr/>
              <w:t>​</w:t>
            </w:r>
            <w:r>
              <w:rPr>
                <w:rFonts w:ascii="Times New Roman;Times;serif" w:hAnsi="Times New Roman;Times;serif"/>
                <w:sz w:val="20"/>
              </w:rPr>
              <w:br/>
              <w:t>$[___]</w:t>
            </w:r>
          </w:p>
        </w:tc>
        <w:tc>
          <w:tcPr>
            <w:tcW w:w="2701" w:type="dxa"/>
            <w:tcBorders>
              <w:right w:val="single" w:sz="8" w:space="0" w:color="000000"/>
            </w:tcBorders>
            <w:tcMar>
              <w:top w:w="0" w:type="dxa"/>
              <w:left w:w="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[_]%*</w:t>
            </w:r>
          </w:p>
        </w:tc>
      </w:tr>
      <w:tr>
        <w:trPr/>
        <w:tc>
          <w:tcPr>
            <w:tcW w:w="1756" w:type="dxa"/>
            <w:tcBorders>
              <w:left w:val="single" w:sz="8" w:space="0" w:color="000000"/>
              <w:bottom w:val="single" w:sz="8" w:space="0" w:color="000000"/>
            </w:tcBorders>
            <w:tcMar>
              <w:top w:w="0" w:type="dxa"/>
              <w:bottom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Maximum</w:t>
            </w:r>
          </w:p>
        </w:tc>
        <w:tc>
          <w:tcPr>
            <w:tcW w:w="2791" w:type="dxa"/>
            <w:tcBorders>
              <w:bottom w:val="single" w:sz="8" w:space="0" w:color="000000"/>
            </w:tcBorders>
            <w:tcMar>
              <w:top w:w="0" w:type="dxa"/>
              <w:left w:w="0" w:type="dxa"/>
              <w:bottom w:w="30" w:type="dxa"/>
            </w:tcMar>
            <w:vAlign w:val="center"/>
          </w:tcPr>
          <w:p>
            <w:pPr>
              <w:pStyle w:val="TableContents"/>
              <w:bidi w:val="0"/>
              <w:spacing w:before="0" w:after="0"/>
              <w:ind w:left="0" w:right="0" w:hanging="0"/>
              <w:jc w:val="center"/>
              <w:rPr/>
            </w:pPr>
            <w:r>
              <w:rPr/>
              <w:t>​</w:t>
            </w:r>
            <w:r>
              <w:rPr>
                <w:rFonts w:ascii="Times New Roman;Times;serif" w:hAnsi="Times New Roman;Times;serif"/>
                <w:sz w:val="20"/>
              </w:rPr>
              <w:br/>
              <w:t>$[___]</w:t>
            </w:r>
          </w:p>
        </w:tc>
        <w:tc>
          <w:tcPr>
            <w:tcW w:w="2701"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[_]%*</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Linear interpolation applies between threshold/target and target/maximum performance levels.</w:t>
      </w:r>
    </w:p>
    <w:p>
      <w:pPr>
        <w:pStyle w:val="TextBody"/>
        <w:bidi w:val="0"/>
        <w:spacing w:before="0" w:after="0"/>
        <w:ind w:left="0" w:right="0" w:hanging="0"/>
        <w:jc w:val="both"/>
        <w:rPr/>
      </w:pPr>
      <w:r>
        <w:rPr/>
        <w:t>​</w:t>
      </w:r>
    </w:p>
    <w:tbl>
      <w:tblPr>
        <w:tblW w:w="6875" w:type="dxa"/>
        <w:jc w:val="center"/>
        <w:tblInd w:w="0" w:type="dxa"/>
        <w:tblLayout w:type="fixed"/>
        <w:tblCellMar>
          <w:top w:w="0" w:type="dxa"/>
          <w:left w:w="0" w:type="dxa"/>
          <w:bottom w:w="0" w:type="dxa"/>
          <w:right w:w="0" w:type="dxa"/>
        </w:tblCellMar>
      </w:tblPr>
      <w:tblGrid>
        <w:gridCol w:w="1996"/>
        <w:gridCol w:w="1216"/>
        <w:gridCol w:w="1216"/>
        <w:gridCol w:w="1216"/>
        <w:gridCol w:w="123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231" w:type="dxa"/>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Performance Period</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Threshold</w:t>
              <w:br/>
              <w:t>Performance</w:t>
              <w:br/>
              <w:t>Share Units</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Target</w:t>
              <w:br/>
              <w:t>Performance</w:t>
              <w:br/>
              <w:t>Share Units</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Maximum</w:t>
            </w:r>
            <w:r>
              <w:rPr>
                <w:rFonts w:ascii="Times New Roman;Times;serif" w:hAnsi="Times New Roman;Times;serif"/>
                <w:sz w:val="20"/>
              </w:rPr>
              <w:br/>
            </w:r>
            <w:r>
              <w:rPr>
                <w:rFonts w:ascii="Times New Roman;Times;serif" w:hAnsi="Times New Roman;Times;serif"/>
                <w:b/>
                <w:sz w:val="20"/>
              </w:rPr>
              <w:t>Performance</w:t>
              <w:br/>
              <w:t>Share Units</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Vesting Date</w:t>
            </w:r>
          </w:p>
        </w:tc>
      </w:tr>
      <w:tr>
        <w:trPr/>
        <w:tc>
          <w:tcPr>
            <w:tcW w:w="19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20[__]-20[__] (3 years)</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86" w:right="0" w:hanging="0"/>
              <w:jc w:val="both"/>
              <w:rPr>
                <w:rFonts w:ascii="Times New Roman;Times;serif" w:hAnsi="Times New Roman;Times;serif"/>
                <w:sz w:val="20"/>
              </w:rPr>
            </w:pPr>
            <w:r>
              <w:rPr>
                <w:rFonts w:ascii="Times New Roman;Times;serif" w:hAnsi="Times New Roman;Times;serif"/>
                <w:sz w:val="20"/>
              </w:rPr>
              <w:t>12/31/20[__]</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b/>
          <w:i/>
          <w:sz w:val="20"/>
        </w:rPr>
        <w:t>Adjusted EPS</w:t>
      </w:r>
      <w:r>
        <w:rPr>
          <w:rFonts w:ascii="Times New Roman;Times;serif" w:hAnsi="Times New Roman;Times;serif"/>
          <w:sz w:val="20"/>
        </w:rPr>
        <w:t>” means [__].</w:t>
      </w:r>
    </w:p>
    <w:p>
      <w:pPr>
        <w:pStyle w:val="TextBody"/>
        <w:bidi w:val="0"/>
        <w:spacing w:before="0" w:after="240"/>
        <w:ind w:left="0" w:right="0" w:hanging="0"/>
        <w:jc w:val="both"/>
        <w:rPr/>
      </w:pPr>
      <w:r>
        <w:rPr/>
        <w:t>“</w:t>
      </w:r>
      <w:r>
        <w:rPr>
          <w:rFonts w:ascii="Times New Roman;Times;serif" w:hAnsi="Times New Roman;Times;serif"/>
          <w:b/>
          <w:i/>
          <w:sz w:val="20"/>
        </w:rPr>
        <w:t>Cumulative EPS</w:t>
      </w:r>
      <w:r>
        <w:rPr>
          <w:rFonts w:ascii="Times New Roman;Times;serif" w:hAnsi="Times New Roman;Times;serif"/>
          <w:sz w:val="20"/>
        </w:rPr>
        <w:t>” means the sum of the Adjusted EPS during the Performance Period or portion thereof.</w:t>
      </w:r>
    </w:p>
    <w:p>
      <w:pPr>
        <w:pStyle w:val="TextBody"/>
        <w:bidi w:val="0"/>
        <w:spacing w:before="0" w:after="240"/>
        <w:ind w:left="0" w:right="0" w:hanging="0"/>
        <w:jc w:val="both"/>
        <w:rPr/>
      </w:pPr>
      <w:r>
        <w:rPr/>
        <w:t>“</w:t>
      </w:r>
      <w:r>
        <w:rPr>
          <w:rFonts w:ascii="Times New Roman;Times;serif" w:hAnsi="Times New Roman;Times;serif"/>
          <w:b/>
          <w:i/>
          <w:sz w:val="20"/>
        </w:rPr>
        <w:t>EPS</w:t>
      </w:r>
      <w:r>
        <w:rPr>
          <w:rFonts w:ascii="Times New Roman;Times;serif" w:hAnsi="Times New Roman;Times;serif"/>
          <w:sz w:val="20"/>
        </w:rPr>
        <w:t>” means earnings per share.</w:t>
      </w:r>
    </w:p>
    <w:p>
      <w:pPr>
        <w:pStyle w:val="TextBody"/>
        <w:bidi w:val="0"/>
        <w:spacing w:before="0" w:after="240"/>
        <w:ind w:left="0" w:right="0" w:hanging="0"/>
        <w:jc w:val="both"/>
        <w:rPr/>
      </w:pPr>
      <w:r>
        <w:rPr/>
        <w:t>“</w:t>
      </w:r>
      <w:r>
        <w:rPr>
          <w:rFonts w:ascii="Times New Roman;Times;serif" w:hAnsi="Times New Roman;Times;serif"/>
          <w:b/>
          <w:i/>
          <w:sz w:val="20"/>
        </w:rPr>
        <w:t>EPS Performance Percentage</w:t>
      </w:r>
      <w:r>
        <w:rPr>
          <w:rFonts w:ascii="Times New Roman;Times;serif" w:hAnsi="Times New Roman;Times;serif"/>
          <w:sz w:val="20"/>
        </w:rPr>
        <w:t>” means [__].</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97" w:name="mnst-20250331xex31d1.htm"/>
      <w:bookmarkStart w:id="1698" w:name="ksmnst20250331xex31d1"/>
      <w:bookmarkEnd w:id="1697"/>
      <w:bookmarkEnd w:id="1698"/>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Rodney Sacks, certify that: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5.  </w:t>
            </w:r>
          </w:p>
        </w:tc>
        <w:tc>
          <w:tcPr>
            <w:tcW w:w="1002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7293" w:type="dxa"/>
        <w:jc w:val="left"/>
        <w:tblInd w:w="0" w:type="dxa"/>
        <w:tblLayout w:type="fixed"/>
        <w:tblCellMar>
          <w:top w:w="0" w:type="dxa"/>
          <w:left w:w="0" w:type="dxa"/>
          <w:bottom w:w="0" w:type="dxa"/>
          <w:right w:w="0" w:type="dxa"/>
        </w:tblCellMar>
      </w:tblPr>
      <w:tblGrid>
        <w:gridCol w:w="556"/>
        <w:gridCol w:w="1141"/>
        <w:gridCol w:w="5596"/>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8, 2025</w:t>
            </w:r>
          </w:p>
        </w:tc>
        <w:tc>
          <w:tcPr>
            <w:tcW w:w="5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55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 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99" w:name="mnst-20250331xex31d2.htm"/>
      <w:bookmarkStart w:id="1700" w:name="ksmnst20250331xex31d2"/>
      <w:bookmarkEnd w:id="1699"/>
      <w:bookmarkEnd w:id="1700"/>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Hilton Schlosberg, certify that: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7713" w:type="dxa"/>
        <w:jc w:val="left"/>
        <w:tblInd w:w="0" w:type="dxa"/>
        <w:tblLayout w:type="fixed"/>
        <w:tblCellMar>
          <w:top w:w="0" w:type="dxa"/>
          <w:left w:w="0" w:type="dxa"/>
          <w:bottom w:w="0" w:type="dxa"/>
          <w:right w:w="0" w:type="dxa"/>
        </w:tblCellMar>
      </w:tblPr>
      <w:tblGrid>
        <w:gridCol w:w="556"/>
        <w:gridCol w:w="1141"/>
        <w:gridCol w:w="6016"/>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8, 2025</w:t>
            </w:r>
          </w:p>
        </w:tc>
        <w:tc>
          <w:tcPr>
            <w:tcW w:w="6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60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6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 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01" w:name="mnst-20250331xex31d3.htm"/>
      <w:bookmarkStart w:id="1702" w:name="ksmnst20250331xex31d3"/>
      <w:bookmarkEnd w:id="1701"/>
      <w:bookmarkEnd w:id="1702"/>
      <w:r>
        <w:rPr>
          <w:rFonts w:ascii="Times New Roman;Times;serif" w:hAnsi="Times New Roman;Times;serif"/>
          <w:b/>
          <w:sz w:val="20"/>
        </w:rPr>
        <w:t>EXHIBIT 31.3</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Thomas Kelly, certify that:</w:t>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9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Monster Beverage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3708" w:type="dxa"/>
        <w:jc w:val="left"/>
        <w:tblInd w:w="0" w:type="dxa"/>
        <w:tblLayout w:type="fixed"/>
        <w:tblCellMar>
          <w:top w:w="0" w:type="dxa"/>
          <w:left w:w="0" w:type="dxa"/>
          <w:bottom w:w="0" w:type="dxa"/>
          <w:right w:w="0" w:type="dxa"/>
        </w:tblCellMar>
      </w:tblPr>
      <w:tblGrid>
        <w:gridCol w:w="556"/>
        <w:gridCol w:w="1141"/>
        <w:gridCol w:w="2011"/>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8, 2025</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03" w:name="mnst-20250331xex32d1.htm"/>
      <w:bookmarkStart w:id="1704" w:name="ksmnst20250331xex32d1"/>
      <w:bookmarkEnd w:id="1703"/>
      <w:bookmarkEnd w:id="1704"/>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March 31, 2025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683" w:type="dxa"/>
        <w:jc w:val="left"/>
        <w:tblInd w:w="0" w:type="dxa"/>
        <w:tblLayout w:type="fixed"/>
        <w:tblCellMar>
          <w:top w:w="0" w:type="dxa"/>
          <w:left w:w="0" w:type="dxa"/>
          <w:bottom w:w="0" w:type="dxa"/>
          <w:right w:w="0" w:type="dxa"/>
        </w:tblCellMar>
      </w:tblPr>
      <w:tblGrid>
        <w:gridCol w:w="556"/>
        <w:gridCol w:w="1141"/>
        <w:gridCol w:w="2986"/>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8, 2025</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9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05" w:name="mnst-20250331xex32d2.htm"/>
      <w:bookmarkStart w:id="1706" w:name="ksmnst20250331xex32d2"/>
      <w:bookmarkEnd w:id="1705"/>
      <w:bookmarkEnd w:id="1706"/>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March 31, 2025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7713" w:type="dxa"/>
        <w:jc w:val="left"/>
        <w:tblInd w:w="0" w:type="dxa"/>
        <w:tblLayout w:type="fixed"/>
        <w:tblCellMar>
          <w:top w:w="0" w:type="dxa"/>
          <w:left w:w="0" w:type="dxa"/>
          <w:bottom w:w="0" w:type="dxa"/>
          <w:right w:w="0" w:type="dxa"/>
        </w:tblCellMar>
      </w:tblPr>
      <w:tblGrid>
        <w:gridCol w:w="556"/>
        <w:gridCol w:w="1141"/>
        <w:gridCol w:w="6016"/>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8, 2025</w:t>
            </w:r>
          </w:p>
        </w:tc>
        <w:tc>
          <w:tcPr>
            <w:tcW w:w="6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60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6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 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07" w:name="mnst-20250331xex32d3.htm"/>
      <w:bookmarkStart w:id="1708" w:name="ksmnst20250331xex32d3"/>
      <w:bookmarkEnd w:id="1707"/>
      <w:bookmarkEnd w:id="1708"/>
      <w:r>
        <w:rPr>
          <w:rFonts w:ascii="Times New Roman;Times;serif" w:hAnsi="Times New Roman;Times;serif"/>
          <w:b/>
          <w:sz w:val="20"/>
        </w:rPr>
        <w:t>EXHIBIT 32.3</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Monster Beverage Corporation (the “Company”) on Form 10-Q for the quarter ended March 31, 2025 as filed with the Securities and Exchange Commission (the “Report”), the undersigned, Thomas J. Kelly, Chief Financial Officer of the Company, certifies, pursuant to 18 U.S.C. 1350, as adopted pursuant to Section 906 of the Sarbanes-Oxley Act of 2002,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3708" w:type="dxa"/>
        <w:jc w:val="left"/>
        <w:tblInd w:w="0" w:type="dxa"/>
        <w:tblLayout w:type="fixed"/>
        <w:tblCellMar>
          <w:top w:w="0" w:type="dxa"/>
          <w:left w:w="0" w:type="dxa"/>
          <w:bottom w:w="0" w:type="dxa"/>
          <w:right w:w="0" w:type="dxa"/>
        </w:tblCellMar>
      </w:tblPr>
      <w:tblGrid>
        <w:gridCol w:w="556"/>
        <w:gridCol w:w="1141"/>
        <w:gridCol w:w="2011"/>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8, 2025</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65752/000110465923074933/tm2319592d1_ex3-1.htm" TargetMode="External"/><Relationship Id="rId3" Type="http://schemas.openxmlformats.org/officeDocument/2006/relationships/hyperlink" Target="https://www.sec.gov/Archives/edgar/data/865752/000110465924115332/tm2427782d1_ex3-2.htm" TargetMode="External"/><Relationship Id="rId4" Type="http://schemas.openxmlformats.org/officeDocument/2006/relationships/hyperlink" Target="https://www.sec.gov/Archives/edgar/data/865752/000110465925022230/tm258762d1_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34042</Words>
  <Characters>190761</Characters>
  <CharactersWithSpaces>227054</CharactersWithSpaces>
  <Paragraphs>7638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