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10-K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40" w:right="3140" w:hanging="794"/>
        <w:spacing w:after="0" w:line="261" w:lineRule="auto"/>
        <w:tabs>
          <w:tab w:leader="none" w:pos="3244" w:val="left"/>
        </w:tabs>
        <w:numPr>
          <w:ilvl w:val="0"/>
          <w:numId w:val="1"/>
        </w:numPr>
        <w:rPr>
          <w:rFonts w:ascii="Arial" w:cs="Arial" w:eastAsia="Arial" w:hAnsi="Arial"/>
          <w:sz w:val="18"/>
          <w:szCs w:val="18"/>
          <w:color w:val="auto"/>
        </w:rPr>
      </w:pPr>
      <w:r>
        <w:rPr>
          <w:rFonts w:ascii="Arial" w:cs="Arial" w:eastAsia="Arial" w:hAnsi="Arial"/>
          <w:sz w:val="18"/>
          <w:szCs w:val="18"/>
          <w:color w:val="auto"/>
        </w:rPr>
        <w:t>X] ANNUAL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2010</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OR</w:t>
      </w:r>
    </w:p>
    <w:p>
      <w:pPr>
        <w:spacing w:after="0" w:line="218" w:lineRule="exact"/>
        <w:rPr>
          <w:sz w:val="24"/>
          <w:szCs w:val="24"/>
          <w:color w:val="auto"/>
        </w:rPr>
      </w:pPr>
    </w:p>
    <w:p>
      <w:pPr>
        <w:ind w:left="3940" w:right="3020" w:hanging="911"/>
        <w:spacing w:after="0" w:line="277" w:lineRule="auto"/>
        <w:tabs>
          <w:tab w:leader="none" w:pos="317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66" w:lineRule="exact"/>
        <w:rPr>
          <w:sz w:val="24"/>
          <w:szCs w:val="24"/>
          <w:color w:val="auto"/>
        </w:rPr>
      </w:pPr>
    </w:p>
    <w:p>
      <w:pPr>
        <w:ind w:left="4500"/>
        <w:spacing w:after="0"/>
        <w:tabs>
          <w:tab w:leader="none" w:pos="652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1"/>
          <w:szCs w:val="1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3964940</wp:posOffset>
            </wp:positionH>
            <wp:positionV relativeFrom="paragraph">
              <wp:posOffset>-3810</wp:posOffset>
            </wp:positionV>
            <wp:extent cx="1600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20" cy="8890"/>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-3810</wp:posOffset>
            </wp:positionV>
            <wp:extent cx="160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20"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0-18761</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HANSEN NATURAL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441" w:right="239" w:bottom="0" w:gutter="0" w:footer="0" w:header="0"/>
        </w:sectPr>
      </w:pPr>
    </w:p>
    <w:p>
      <w:pPr>
        <w:spacing w:after="0" w:line="194" w:lineRule="exact"/>
        <w:rPr>
          <w:sz w:val="24"/>
          <w:szCs w:val="24"/>
          <w:color w:val="auto"/>
        </w:rPr>
      </w:pPr>
    </w:p>
    <w:p>
      <w:pPr>
        <w:ind w:left="260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3620"/>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6120" w:space="720"/>
            <w:col w:w="4580"/>
          </w:cols>
          <w:pgMar w:left="240" w:top="441" w:right="239" w:bottom="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color w:val="auto"/>
        </w:rPr>
        <w:t>(State or other jurisdiction of</w:t>
      </w:r>
    </w:p>
    <w:p>
      <w:pPr>
        <w:ind w:left="26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120" w:space="720"/>
            <w:col w:w="4580"/>
          </w:cols>
          <w:pgMar w:left="240" w:top="441" w:right="239" w:bottom="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550 Monica Circle, Suite 201, Corona, California 92880</w:t>
      </w:r>
    </w:p>
    <w:p>
      <w:pPr>
        <w:spacing w:after="0" w:line="38"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5"/>
          <w:szCs w:val="15"/>
          <w:color w:val="auto"/>
        </w:rPr>
        <w:t>(Address of principal executive offices)</w:t>
      </w:r>
      <w:r>
        <w:rPr>
          <w:sz w:val="20"/>
          <w:szCs w:val="20"/>
          <w:color w:val="auto"/>
        </w:rPr>
        <w:tab/>
      </w:r>
      <w:r>
        <w:rPr>
          <w:rFonts w:ascii="Arial" w:cs="Arial" w:eastAsia="Arial" w:hAnsi="Arial"/>
          <w:sz w:val="14"/>
          <w:szCs w:val="14"/>
          <w:color w:val="auto"/>
        </w:rPr>
        <w:t>(Zip Code)</w:t>
      </w:r>
    </w:p>
    <w:p>
      <w:pPr>
        <w:sectPr>
          <w:pgSz w:w="11900" w:h="16838" w:orient="portrait"/>
          <w:cols w:equalWidth="0" w:num="1">
            <w:col w:w="11420"/>
          </w:cols>
          <w:pgMar w:left="240" w:top="441" w:right="239" w:bottom="0" w:gutter="0" w:footer="0" w:header="0"/>
          <w:type w:val="continuous"/>
        </w:sectPr>
      </w:pP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(951) 739 - 6200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3540" w:type="dxa"/>
            <w:vAlign w:val="bottom"/>
          </w:tcPr>
          <w:p>
            <w:pPr>
              <w:spacing w:after="0"/>
              <w:rPr>
                <w:sz w:val="18"/>
                <w:szCs w:val="18"/>
                <w:color w:val="auto"/>
              </w:rPr>
            </w:pPr>
          </w:p>
        </w:tc>
        <w:tc>
          <w:tcPr>
            <w:tcW w:w="318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37"/>
        </w:trPr>
        <w:tc>
          <w:tcPr>
            <w:tcW w:w="5740" w:type="dxa"/>
            <w:vAlign w:val="bottom"/>
            <w:gridSpan w:val="3"/>
          </w:tcPr>
          <w:p>
            <w:pPr>
              <w:jc w:val="center"/>
              <w:ind w:right="2720"/>
              <w:spacing w:after="0"/>
              <w:rPr>
                <w:sz w:val="20"/>
                <w:szCs w:val="20"/>
                <w:color w:val="auto"/>
              </w:rPr>
            </w:pPr>
            <w:r>
              <w:rPr>
                <w:rFonts w:ascii="Arial" w:cs="Arial" w:eastAsia="Arial" w:hAnsi="Arial"/>
                <w:sz w:val="18"/>
                <w:szCs w:val="18"/>
                <w:color w:val="auto"/>
                <w:w w:val="89"/>
              </w:rPr>
              <w:t>Common Stock, $.005 par value per share</w:t>
            </w:r>
          </w:p>
        </w:tc>
        <w:tc>
          <w:tcPr>
            <w:tcW w:w="31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0"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Noo</w:t>
      </w:r>
    </w:p>
    <w:p>
      <w:pPr>
        <w:spacing w:after="0" w:line="221"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Yeso No</w:t>
      </w:r>
      <w:r>
        <w:rPr>
          <w:rFonts w:ascii="MS PGothic" w:cs="MS PGothic" w:eastAsia="MS PGothic" w:hAnsi="MS PGothic"/>
          <w:sz w:val="16"/>
          <w:szCs w:val="16"/>
          <w:color w:val="auto"/>
        </w:rPr>
        <w:t>☑</w:t>
      </w:r>
    </w:p>
    <w:p>
      <w:pPr>
        <w:spacing w:after="0" w:line="251" w:lineRule="exact"/>
        <w:rPr>
          <w:sz w:val="24"/>
          <w:szCs w:val="24"/>
          <w:color w:val="auto"/>
        </w:rPr>
      </w:pPr>
    </w:p>
    <w:p>
      <w:pPr>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78" w:lineRule="exact"/>
        <w:rPr>
          <w:sz w:val="24"/>
          <w:szCs w:val="24"/>
          <w:color w:val="auto"/>
        </w:rPr>
      </w:pPr>
    </w:p>
    <w:p>
      <w:pPr>
        <w:jc w:val="both"/>
        <w:ind w:right="2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No o</w:t>
      </w:r>
    </w:p>
    <w:p>
      <w:pPr>
        <w:spacing w:after="0" w:line="175" w:lineRule="exact"/>
        <w:rPr>
          <w:sz w:val="24"/>
          <w:szCs w:val="24"/>
          <w:color w:val="auto"/>
        </w:rPr>
      </w:pPr>
    </w:p>
    <w:p>
      <w:pPr>
        <w:ind w:firstLine="648"/>
        <w:spacing w:after="0" w:line="329"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right="120" w:firstLine="648"/>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right="3700" w:firstLine="324"/>
        <w:spacing w:after="0" w:line="221"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o Non-accelerated filer o Smaller reporting company o (Do not check if a smaller reporting company)</w:t>
      </w:r>
    </w:p>
    <w:p>
      <w:pPr>
        <w:spacing w:after="0" w:line="335"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o No </w:t>
      </w:r>
      <w:r>
        <w:rPr>
          <w:rFonts w:ascii="MS PGothic" w:cs="MS PGothic" w:eastAsia="MS PGothic" w:hAnsi="MS PGothic"/>
          <w:sz w:val="16"/>
          <w:szCs w:val="16"/>
          <w:color w:val="auto"/>
        </w:rPr>
        <w:t>☑</w:t>
      </w:r>
    </w:p>
    <w:p>
      <w:pPr>
        <w:spacing w:after="0" w:line="251"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$2,820,762,092 computed by reference to the closing sale price for such stock on the NASDAQ Global Select Market on June 30, 2010, the last business day of the registrant’s most recently completed second fiscal quarter.</w:t>
      </w:r>
    </w:p>
    <w:p>
      <w:pPr>
        <w:spacing w:after="0" w:line="171"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number of shares of the registrant’s common stock, $0.005 par value per share (being the only class of common stock of the registrant), outstanding on February 22, 2011 was 89,005,264 shares.</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ectPr>
          <w:pgSz w:w="11900" w:h="16838" w:orient="portrait"/>
          <w:cols w:equalWidth="0" w:num="1">
            <w:col w:w="11420"/>
          </w:cols>
          <w:pgMar w:left="240" w:top="441" w:right="239" w:bottom="0" w:gutter="0" w:footer="0" w:header="0"/>
          <w:type w:val="continuous"/>
        </w:sectPr>
      </w:pPr>
    </w:p>
    <w:bookmarkStart w:id="1" w:name="page2"/>
    <w:bookmarkEnd w:id="1"/>
    <w:p>
      <w:pPr>
        <w:jc w:val="both"/>
        <w:ind w:right="40" w:firstLine="441"/>
        <w:spacing w:after="0" w:line="278"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Commission pursuant to Regulation 14A in connection with the registrant’s 2011 Annual Meeting of Stockholders are incorporated by reference into Part III of this Report. Such Definitive Proxy Statement will be filed with the Securities and Exchange Commission no later than 120 days after the conclusion of the registrant’s fiscal year ended December 31,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300" w:type="dxa"/>
            <w:vAlign w:val="bottom"/>
            <w:gridSpan w:val="3"/>
          </w:tcPr>
          <w:p>
            <w:pPr>
              <w:jc w:val="center"/>
              <w:ind w:right="2081"/>
              <w:spacing w:after="0"/>
              <w:rPr>
                <w:sz w:val="20"/>
                <w:szCs w:val="20"/>
                <w:color w:val="auto"/>
              </w:rPr>
            </w:pPr>
            <w:r>
              <w:rPr>
                <w:rFonts w:ascii="Arial" w:cs="Arial" w:eastAsia="Arial" w:hAnsi="Arial"/>
                <w:sz w:val="16"/>
                <w:szCs w:val="16"/>
                <w:color w:val="auto"/>
                <w:w w:val="89"/>
              </w:rPr>
              <w:t>2</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38"/>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516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r>
      <w:tr>
        <w:trPr>
          <w:trHeight w:val="7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0" w:type="dxa"/>
            <w:vAlign w:val="bottom"/>
            <w:gridSpan w:val="5"/>
          </w:tcPr>
          <w:p>
            <w:pPr>
              <w:jc w:val="center"/>
              <w:ind w:right="3700"/>
              <w:spacing w:after="0"/>
              <w:rPr>
                <w:sz w:val="20"/>
                <w:szCs w:val="20"/>
                <w:color w:val="auto"/>
              </w:rPr>
            </w:pPr>
            <w:r>
              <w:rPr>
                <w:rFonts w:ascii="Arial" w:cs="Arial" w:eastAsia="Arial" w:hAnsi="Arial"/>
                <w:sz w:val="20"/>
                <w:szCs w:val="20"/>
                <w:b w:val="1"/>
                <w:bCs w:val="1"/>
                <w:color w:val="auto"/>
                <w:w w:val="98"/>
              </w:rPr>
              <w:t>HANSEN NATURAL CORPORATION</w:t>
            </w:r>
          </w:p>
        </w:tc>
      </w:tr>
      <w:tr>
        <w:trPr>
          <w:trHeight w:val="45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gridSpan w:val="3"/>
          </w:tcPr>
          <w:p>
            <w:pPr>
              <w:jc w:val="center"/>
              <w:ind w:right="4820"/>
              <w:spacing w:after="0"/>
              <w:rPr>
                <w:sz w:val="20"/>
                <w:szCs w:val="20"/>
                <w:color w:val="auto"/>
              </w:rPr>
            </w:pPr>
            <w:r>
              <w:rPr>
                <w:rFonts w:ascii="Arial" w:cs="Arial" w:eastAsia="Arial" w:hAnsi="Arial"/>
                <w:sz w:val="20"/>
                <w:szCs w:val="20"/>
                <w:b w:val="1"/>
                <w:bCs w:val="1"/>
                <w:color w:val="auto"/>
              </w:rPr>
              <w:t>FORM 10-K</w:t>
            </w:r>
          </w:p>
        </w:tc>
      </w:tr>
      <w:tr>
        <w:trPr>
          <w:trHeight w:val="45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00" w:type="dxa"/>
            <w:vAlign w:val="bottom"/>
            <w:gridSpan w:val="4"/>
          </w:tcPr>
          <w:p>
            <w:pPr>
              <w:jc w:val="center"/>
              <w:ind w:right="4180"/>
              <w:spacing w:after="0"/>
              <w:rPr>
                <w:sz w:val="20"/>
                <w:szCs w:val="20"/>
                <w:color w:val="auto"/>
              </w:rPr>
            </w:pPr>
            <w:r>
              <w:rPr>
                <w:rFonts w:ascii="Arial" w:cs="Arial" w:eastAsia="Arial" w:hAnsi="Arial"/>
                <w:sz w:val="20"/>
                <w:szCs w:val="20"/>
                <w:b w:val="1"/>
                <w:bCs w:val="1"/>
                <w:color w:val="auto"/>
                <w:w w:val="98"/>
              </w:rPr>
              <w:t>TABLE OF CONTENTS</w:t>
            </w:r>
          </w:p>
        </w:tc>
      </w:tr>
      <w:tr>
        <w:trPr>
          <w:trHeight w:val="644"/>
        </w:trPr>
        <w:tc>
          <w:tcPr>
            <w:tcW w:w="1160" w:type="dxa"/>
            <w:vAlign w:val="bottom"/>
            <w:gridSpan w:val="6"/>
          </w:tcPr>
          <w:p>
            <w:pPr>
              <w:spacing w:after="0"/>
              <w:rPr>
                <w:sz w:val="20"/>
                <w:szCs w:val="20"/>
                <w:color w:val="auto"/>
              </w:rPr>
            </w:pPr>
            <w:r>
              <w:rPr>
                <w:rFonts w:ascii="Arial" w:cs="Arial" w:eastAsia="Arial" w:hAnsi="Arial"/>
                <w:sz w:val="20"/>
                <w:szCs w:val="20"/>
                <w:b w:val="1"/>
                <w:bCs w:val="1"/>
                <w:color w:val="auto"/>
                <w:w w:val="93"/>
              </w:rPr>
              <w:t>Item Number</w:t>
            </w:r>
          </w:p>
        </w:tc>
        <w:tc>
          <w:tcPr>
            <w:tcW w:w="250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Page Number</w:t>
            </w:r>
          </w:p>
        </w:tc>
      </w:tr>
      <w:tr>
        <w:trPr>
          <w:trHeight w:val="210"/>
        </w:trPr>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3"/>
          </w:tcPr>
          <w:p>
            <w:pPr>
              <w:ind w:left="500"/>
              <w:spacing w:after="0" w:line="209" w:lineRule="exact"/>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PART I</w:t>
              </w:r>
            </w:hyperlink>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439"/>
        </w:trPr>
        <w:tc>
          <w:tcPr>
            <w:tcW w:w="640" w:type="dxa"/>
            <w:vAlign w:val="bottom"/>
            <w:gridSpan w:val="2"/>
          </w:tcPr>
          <w:p>
            <w:pPr>
              <w:spacing w:after="0"/>
              <w:rPr>
                <w:sz w:val="24"/>
                <w:szCs w:val="24"/>
                <w:color w:val="auto"/>
              </w:rPr>
            </w:pPr>
          </w:p>
        </w:tc>
        <w:tc>
          <w:tcPr>
            <w:tcW w:w="160" w:type="dxa"/>
            <w:vAlign w:val="bottom"/>
          </w:tcPr>
          <w:p>
            <w:pPr>
              <w:jc w:val="right"/>
              <w:spacing w:after="0"/>
              <w:rPr>
                <w:rFonts w:ascii="Arial" w:cs="Arial" w:eastAsia="Arial" w:hAnsi="Arial"/>
                <w:sz w:val="20"/>
                <w:szCs w:val="20"/>
                <w:color w:val="0000EE"/>
                <w:w w:val="83"/>
              </w:rPr>
            </w:pPr>
            <w:hyperlink w:anchor="page2">
              <w:r>
                <w:rPr>
                  <w:rFonts w:ascii="Arial" w:cs="Arial" w:eastAsia="Arial" w:hAnsi="Arial"/>
                  <w:sz w:val="20"/>
                  <w:szCs w:val="20"/>
                  <w:color w:val="0000EE"/>
                  <w:w w:val="83"/>
                </w:rPr>
                <w:t>1.</w:t>
              </w:r>
            </w:hyperlink>
          </w:p>
        </w:tc>
        <w:tc>
          <w:tcPr>
            <w:tcW w:w="120" w:type="dxa"/>
            <w:vAlign w:val="bottom"/>
          </w:tcPr>
          <w:p>
            <w:pPr>
              <w:spacing w:after="0"/>
              <w:rPr>
                <w:sz w:val="24"/>
                <w:szCs w:val="24"/>
                <w:color w:val="auto"/>
              </w:rPr>
            </w:pPr>
          </w:p>
        </w:tc>
        <w:tc>
          <w:tcPr>
            <w:tcW w:w="2740" w:type="dxa"/>
            <w:vAlign w:val="bottom"/>
            <w:gridSpan w:val="8"/>
          </w:tcPr>
          <w:p>
            <w:pPr>
              <w:ind w:left="120"/>
              <w:spacing w:after="0"/>
              <w:rPr>
                <w:rFonts w:ascii="Arial" w:cs="Arial" w:eastAsia="Arial" w:hAnsi="Arial"/>
                <w:sz w:val="20"/>
                <w:szCs w:val="20"/>
                <w:color w:val="0000EE"/>
              </w:rPr>
            </w:pPr>
            <w:hyperlink w:anchor="page2">
              <w:r>
                <w:rPr>
                  <w:rFonts w:ascii="Arial" w:cs="Arial" w:eastAsia="Arial" w:hAnsi="Arial"/>
                  <w:sz w:val="20"/>
                  <w:szCs w:val="20"/>
                  <w:color w:val="0000EE"/>
                </w:rPr>
                <w:t>Business</w:t>
              </w:r>
            </w:hyperlink>
          </w:p>
        </w:tc>
        <w:tc>
          <w:tcPr>
            <w:tcW w:w="5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320" w:type="dxa"/>
            <w:vAlign w:val="bottom"/>
            <w:gridSpan w:val="2"/>
          </w:tcPr>
          <w:p>
            <w:pPr>
              <w:jc w:val="center"/>
              <w:ind w:left="5081"/>
              <w:spacing w:after="0"/>
              <w:rPr>
                <w:sz w:val="20"/>
                <w:szCs w:val="20"/>
                <w:color w:val="auto"/>
              </w:rPr>
            </w:pPr>
            <w:r>
              <w:rPr>
                <w:rFonts w:ascii="Arial" w:cs="Arial" w:eastAsia="Arial" w:hAnsi="Arial"/>
                <w:sz w:val="20"/>
                <w:szCs w:val="20"/>
                <w:color w:val="auto"/>
                <w:w w:val="89"/>
              </w:rPr>
              <w:t>4</w:t>
            </w:r>
          </w:p>
        </w:tc>
        <w:tc>
          <w:tcPr>
            <w:tcW w:w="3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280" w:type="dxa"/>
            <w:vAlign w:val="bottom"/>
            <w:gridSpan w:val="2"/>
          </w:tcPr>
          <w:p>
            <w:pPr>
              <w:jc w:val="right"/>
              <w:spacing w:after="0" w:line="209" w:lineRule="exact"/>
              <w:rPr>
                <w:rFonts w:ascii="Arial" w:cs="Arial" w:eastAsia="Arial" w:hAnsi="Arial"/>
                <w:sz w:val="20"/>
                <w:szCs w:val="20"/>
                <w:color w:val="0000EE"/>
                <w:w w:val="86"/>
              </w:rPr>
            </w:pPr>
            <w:hyperlink w:anchor="page12">
              <w:r>
                <w:rPr>
                  <w:rFonts w:ascii="Arial" w:cs="Arial" w:eastAsia="Arial" w:hAnsi="Arial"/>
                  <w:sz w:val="20"/>
                  <w:szCs w:val="20"/>
                  <w:color w:val="0000EE"/>
                  <w:w w:val="86"/>
                </w:rPr>
                <w:t>1A.</w:t>
              </w:r>
            </w:hyperlink>
          </w:p>
        </w:tc>
        <w:tc>
          <w:tcPr>
            <w:tcW w:w="120" w:type="dxa"/>
            <w:vAlign w:val="bottom"/>
          </w:tcPr>
          <w:p>
            <w:pPr>
              <w:spacing w:after="0"/>
              <w:rPr>
                <w:sz w:val="18"/>
                <w:szCs w:val="18"/>
                <w:color w:val="auto"/>
              </w:rPr>
            </w:pPr>
          </w:p>
        </w:tc>
        <w:tc>
          <w:tcPr>
            <w:tcW w:w="2740" w:type="dxa"/>
            <w:vAlign w:val="bottom"/>
            <w:gridSpan w:val="8"/>
          </w:tcPr>
          <w:p>
            <w:pPr>
              <w:ind w:left="120"/>
              <w:spacing w:after="0" w:line="209" w:lineRule="exact"/>
              <w:rPr>
                <w:rFonts w:ascii="Arial" w:cs="Arial" w:eastAsia="Arial" w:hAnsi="Arial"/>
                <w:sz w:val="20"/>
                <w:szCs w:val="20"/>
                <w:color w:val="0000EE"/>
              </w:rPr>
            </w:pPr>
            <w:hyperlink w:anchor="page12">
              <w:r>
                <w:rPr>
                  <w:rFonts w:ascii="Arial" w:cs="Arial" w:eastAsia="Arial" w:hAnsi="Arial"/>
                  <w:sz w:val="20"/>
                  <w:szCs w:val="20"/>
                  <w:color w:val="0000EE"/>
                </w:rPr>
                <w:t>Risk Factors</w:t>
              </w:r>
            </w:hyperlink>
          </w:p>
        </w:tc>
        <w:tc>
          <w:tcPr>
            <w:tcW w:w="7460" w:type="dxa"/>
            <w:vAlign w:val="bottom"/>
            <w:gridSpan w:val="4"/>
          </w:tcPr>
          <w:p>
            <w:pPr>
              <w:jc w:val="center"/>
              <w:ind w:left="6203"/>
              <w:spacing w:after="0" w:line="209" w:lineRule="exact"/>
              <w:rPr>
                <w:sz w:val="20"/>
                <w:szCs w:val="20"/>
                <w:color w:val="auto"/>
              </w:rPr>
            </w:pPr>
            <w:r>
              <w:rPr>
                <w:rFonts w:ascii="Arial" w:cs="Arial" w:eastAsia="Arial" w:hAnsi="Arial"/>
                <w:sz w:val="20"/>
                <w:szCs w:val="20"/>
                <w:color w:val="auto"/>
                <w:w w:val="89"/>
              </w:rPr>
              <w:t>20</w:t>
            </w:r>
          </w:p>
        </w:tc>
        <w:tc>
          <w:tcPr>
            <w:tcW w:w="340" w:type="dxa"/>
            <w:vAlign w:val="bottom"/>
          </w:tcPr>
          <w:p>
            <w:pPr>
              <w:spacing w:after="0"/>
              <w:rPr>
                <w:sz w:val="18"/>
                <w:szCs w:val="18"/>
                <w:color w:val="auto"/>
              </w:rPr>
            </w:pP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280" w:type="dxa"/>
            <w:vAlign w:val="bottom"/>
            <w:gridSpan w:val="2"/>
          </w:tcPr>
          <w:p>
            <w:pPr>
              <w:jc w:val="right"/>
              <w:spacing w:after="0" w:line="209" w:lineRule="exact"/>
              <w:rPr>
                <w:rFonts w:ascii="Arial" w:cs="Arial" w:eastAsia="Arial" w:hAnsi="Arial"/>
                <w:sz w:val="20"/>
                <w:szCs w:val="20"/>
                <w:color w:val="0000EE"/>
                <w:w w:val="86"/>
              </w:rPr>
            </w:pPr>
            <w:hyperlink w:anchor="page18">
              <w:r>
                <w:rPr>
                  <w:rFonts w:ascii="Arial" w:cs="Arial" w:eastAsia="Arial" w:hAnsi="Arial"/>
                  <w:sz w:val="20"/>
                  <w:szCs w:val="20"/>
                  <w:color w:val="0000EE"/>
                  <w:w w:val="86"/>
                </w:rPr>
                <w:t>1B.</w:t>
              </w:r>
            </w:hyperlink>
          </w:p>
        </w:tc>
        <w:tc>
          <w:tcPr>
            <w:tcW w:w="120" w:type="dxa"/>
            <w:vAlign w:val="bottom"/>
          </w:tcPr>
          <w:p>
            <w:pPr>
              <w:spacing w:after="0"/>
              <w:rPr>
                <w:sz w:val="18"/>
                <w:szCs w:val="18"/>
                <w:color w:val="auto"/>
              </w:rPr>
            </w:pPr>
          </w:p>
        </w:tc>
        <w:tc>
          <w:tcPr>
            <w:tcW w:w="2740" w:type="dxa"/>
            <w:vAlign w:val="bottom"/>
            <w:gridSpan w:val="8"/>
          </w:tcPr>
          <w:p>
            <w:pPr>
              <w:ind w:left="120"/>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Unresolved Staff Comments</w:t>
              </w:r>
            </w:hyperlink>
          </w:p>
        </w:tc>
        <w:tc>
          <w:tcPr>
            <w:tcW w:w="7460" w:type="dxa"/>
            <w:vAlign w:val="bottom"/>
            <w:gridSpan w:val="4"/>
          </w:tcPr>
          <w:p>
            <w:pPr>
              <w:jc w:val="center"/>
              <w:ind w:left="6203"/>
              <w:spacing w:after="0" w:line="209" w:lineRule="exact"/>
              <w:rPr>
                <w:sz w:val="20"/>
                <w:szCs w:val="20"/>
                <w:color w:val="auto"/>
              </w:rPr>
            </w:pPr>
            <w:r>
              <w:rPr>
                <w:rFonts w:ascii="Arial" w:cs="Arial" w:eastAsia="Arial" w:hAnsi="Arial"/>
                <w:sz w:val="20"/>
                <w:szCs w:val="20"/>
                <w:color w:val="auto"/>
                <w:w w:val="89"/>
              </w:rPr>
              <w:t>29</w:t>
            </w: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18">
              <w:r>
                <w:rPr>
                  <w:rFonts w:ascii="Arial" w:cs="Arial" w:eastAsia="Arial" w:hAnsi="Arial"/>
                  <w:sz w:val="20"/>
                  <w:szCs w:val="20"/>
                  <w:color w:val="0000EE"/>
                  <w:w w:val="83"/>
                </w:rPr>
                <w:t>2.</w:t>
              </w:r>
            </w:hyperlink>
          </w:p>
        </w:tc>
        <w:tc>
          <w:tcPr>
            <w:tcW w:w="120" w:type="dxa"/>
            <w:vAlign w:val="bottom"/>
          </w:tcPr>
          <w:p>
            <w:pPr>
              <w:spacing w:after="0"/>
              <w:rPr>
                <w:sz w:val="18"/>
                <w:szCs w:val="18"/>
                <w:color w:val="auto"/>
              </w:rPr>
            </w:pPr>
          </w:p>
        </w:tc>
        <w:tc>
          <w:tcPr>
            <w:tcW w:w="2740" w:type="dxa"/>
            <w:vAlign w:val="bottom"/>
            <w:gridSpan w:val="8"/>
          </w:tcPr>
          <w:p>
            <w:pPr>
              <w:ind w:left="120"/>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Properties</w:t>
              </w:r>
            </w:hyperlink>
          </w:p>
        </w:tc>
        <w:tc>
          <w:tcPr>
            <w:tcW w:w="7460" w:type="dxa"/>
            <w:vAlign w:val="bottom"/>
            <w:gridSpan w:val="4"/>
          </w:tcPr>
          <w:p>
            <w:pPr>
              <w:jc w:val="center"/>
              <w:ind w:left="6203"/>
              <w:spacing w:after="0" w:line="209" w:lineRule="exact"/>
              <w:rPr>
                <w:sz w:val="20"/>
                <w:szCs w:val="20"/>
                <w:color w:val="auto"/>
              </w:rPr>
            </w:pPr>
            <w:r>
              <w:rPr>
                <w:rFonts w:ascii="Arial" w:cs="Arial" w:eastAsia="Arial" w:hAnsi="Arial"/>
                <w:sz w:val="20"/>
                <w:szCs w:val="20"/>
                <w:color w:val="auto"/>
                <w:w w:val="89"/>
              </w:rPr>
              <w:t>30</w:t>
            </w:r>
          </w:p>
        </w:tc>
        <w:tc>
          <w:tcPr>
            <w:tcW w:w="340" w:type="dxa"/>
            <w:vAlign w:val="bottom"/>
          </w:tcPr>
          <w:p>
            <w:pPr>
              <w:spacing w:after="0"/>
              <w:rPr>
                <w:sz w:val="18"/>
                <w:szCs w:val="18"/>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19">
              <w:r>
                <w:rPr>
                  <w:rFonts w:ascii="Arial" w:cs="Arial" w:eastAsia="Arial" w:hAnsi="Arial"/>
                  <w:sz w:val="20"/>
                  <w:szCs w:val="20"/>
                  <w:color w:val="0000EE"/>
                  <w:w w:val="83"/>
                </w:rPr>
                <w:t>3.</w:t>
              </w:r>
            </w:hyperlink>
          </w:p>
        </w:tc>
        <w:tc>
          <w:tcPr>
            <w:tcW w:w="120" w:type="dxa"/>
            <w:vAlign w:val="bottom"/>
          </w:tcPr>
          <w:p>
            <w:pPr>
              <w:spacing w:after="0"/>
              <w:rPr>
                <w:sz w:val="18"/>
                <w:szCs w:val="18"/>
                <w:color w:val="auto"/>
              </w:rPr>
            </w:pPr>
          </w:p>
        </w:tc>
        <w:tc>
          <w:tcPr>
            <w:tcW w:w="2740" w:type="dxa"/>
            <w:vAlign w:val="bottom"/>
            <w:gridSpan w:val="8"/>
          </w:tcPr>
          <w:p>
            <w:pPr>
              <w:ind w:left="120"/>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Legal Proceedings</w:t>
              </w:r>
            </w:hyperlink>
          </w:p>
        </w:tc>
        <w:tc>
          <w:tcPr>
            <w:tcW w:w="7460" w:type="dxa"/>
            <w:vAlign w:val="bottom"/>
            <w:gridSpan w:val="4"/>
          </w:tcPr>
          <w:p>
            <w:pPr>
              <w:jc w:val="center"/>
              <w:ind w:left="6203"/>
              <w:spacing w:after="0" w:line="209" w:lineRule="exact"/>
              <w:rPr>
                <w:sz w:val="20"/>
                <w:szCs w:val="20"/>
                <w:color w:val="auto"/>
              </w:rPr>
            </w:pPr>
            <w:r>
              <w:rPr>
                <w:rFonts w:ascii="Arial" w:cs="Arial" w:eastAsia="Arial" w:hAnsi="Arial"/>
                <w:sz w:val="20"/>
                <w:szCs w:val="20"/>
                <w:color w:val="auto"/>
                <w:w w:val="89"/>
              </w:rPr>
              <w:t>30</w:t>
            </w:r>
          </w:p>
        </w:tc>
        <w:tc>
          <w:tcPr>
            <w:tcW w:w="340" w:type="dxa"/>
            <w:vAlign w:val="bottom"/>
          </w:tcPr>
          <w:p>
            <w:pPr>
              <w:spacing w:after="0"/>
              <w:rPr>
                <w:sz w:val="18"/>
                <w:szCs w:val="18"/>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1">
              <w:r>
                <w:rPr>
                  <w:rFonts w:ascii="Arial" w:cs="Arial" w:eastAsia="Arial" w:hAnsi="Arial"/>
                  <w:sz w:val="20"/>
                  <w:szCs w:val="20"/>
                  <w:color w:val="0000EE"/>
                  <w:w w:val="83"/>
                </w:rPr>
                <w:t>4.</w:t>
              </w:r>
            </w:hyperlink>
          </w:p>
        </w:tc>
        <w:tc>
          <w:tcPr>
            <w:tcW w:w="120" w:type="dxa"/>
            <w:vAlign w:val="bottom"/>
          </w:tcPr>
          <w:p>
            <w:pPr>
              <w:spacing w:after="0"/>
              <w:rPr>
                <w:sz w:val="18"/>
                <w:szCs w:val="18"/>
                <w:color w:val="auto"/>
              </w:rPr>
            </w:pPr>
          </w:p>
        </w:tc>
        <w:tc>
          <w:tcPr>
            <w:tcW w:w="2740" w:type="dxa"/>
            <w:vAlign w:val="bottom"/>
            <w:gridSpan w:val="8"/>
          </w:tcPr>
          <w:p>
            <w:pPr>
              <w:ind w:left="120"/>
              <w:spacing w:after="0" w:line="209" w:lineRule="exact"/>
              <w:rPr>
                <w:rFonts w:ascii="Arial" w:cs="Arial" w:eastAsia="Arial" w:hAnsi="Arial"/>
                <w:sz w:val="20"/>
                <w:szCs w:val="20"/>
                <w:color w:val="0000EE"/>
              </w:rPr>
            </w:pPr>
            <w:hyperlink w:anchor="page21">
              <w:r>
                <w:rPr>
                  <w:rFonts w:ascii="Arial" w:cs="Arial" w:eastAsia="Arial" w:hAnsi="Arial"/>
                  <w:sz w:val="20"/>
                  <w:szCs w:val="20"/>
                  <w:color w:val="0000EE"/>
                </w:rPr>
                <w:t>Reserved</w:t>
              </w:r>
            </w:hyperlink>
          </w:p>
        </w:tc>
        <w:tc>
          <w:tcPr>
            <w:tcW w:w="7460" w:type="dxa"/>
            <w:vAlign w:val="bottom"/>
            <w:gridSpan w:val="4"/>
          </w:tcPr>
          <w:p>
            <w:pPr>
              <w:jc w:val="center"/>
              <w:ind w:left="6203"/>
              <w:spacing w:after="0" w:line="209" w:lineRule="exact"/>
              <w:rPr>
                <w:sz w:val="20"/>
                <w:szCs w:val="20"/>
                <w:color w:val="auto"/>
              </w:rPr>
            </w:pPr>
            <w:r>
              <w:rPr>
                <w:rFonts w:ascii="Arial" w:cs="Arial" w:eastAsia="Arial" w:hAnsi="Arial"/>
                <w:sz w:val="20"/>
                <w:szCs w:val="20"/>
                <w:color w:val="auto"/>
                <w:w w:val="89"/>
              </w:rPr>
              <w:t>33</w:t>
            </w: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-2702560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-2702560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4" w:lineRule="exact"/>
        <w:rPr>
          <w:sz w:val="20"/>
          <w:szCs w:val="20"/>
          <w:color w:val="auto"/>
        </w:rPr>
      </w:pPr>
    </w:p>
    <w:p>
      <w:pPr>
        <w:ind w:left="4160"/>
        <w:spacing w:after="0"/>
        <w:rPr>
          <w:rFonts w:ascii="Arial" w:cs="Arial" w:eastAsia="Arial" w:hAnsi="Arial"/>
          <w:sz w:val="20"/>
          <w:szCs w:val="20"/>
          <w:b w:val="1"/>
          <w:bCs w:val="1"/>
          <w:u w:val="single" w:color="auto"/>
          <w:color w:val="0000EE"/>
        </w:rPr>
      </w:pPr>
      <w:hyperlink w:anchor="page21">
        <w:r>
          <w:rPr>
            <w:rFonts w:ascii="Arial" w:cs="Arial" w:eastAsia="Arial" w:hAnsi="Arial"/>
            <w:sz w:val="20"/>
            <w:szCs w:val="20"/>
            <w:b w:val="1"/>
            <w:bCs w:val="1"/>
            <w:u w:val="single" w:color="auto"/>
            <w:color w:val="0000EE"/>
          </w:rPr>
          <w:t>PART II</w:t>
        </w:r>
      </w:hyperlink>
    </w:p>
    <w:p>
      <w:pPr>
        <w:spacing w:after="0" w:line="235" w:lineRule="exact"/>
        <w:rPr>
          <w:sz w:val="20"/>
          <w:szCs w:val="20"/>
          <w:color w:val="auto"/>
        </w:rPr>
      </w:pPr>
    </w:p>
    <w:p>
      <w:pPr>
        <w:ind w:left="1040" w:hanging="397"/>
        <w:spacing w:after="0"/>
        <w:tabs>
          <w:tab w:leader="none" w:pos="1040" w:val="left"/>
        </w:tabs>
        <w:numPr>
          <w:ilvl w:val="0"/>
          <w:numId w:val="3"/>
        </w:numPr>
        <w:rPr>
          <w:rFonts w:ascii="Arial" w:cs="Arial" w:eastAsia="Arial" w:hAnsi="Arial"/>
          <w:sz w:val="20"/>
          <w:szCs w:val="20"/>
          <w:u w:val="single" w:color="auto"/>
          <w:color w:val="0000EE"/>
        </w:rPr>
      </w:pPr>
      <w:hyperlink w:anchor="page21">
        <w:r>
          <w:rPr>
            <w:rFonts w:ascii="Arial" w:cs="Arial" w:eastAsia="Arial" w:hAnsi="Arial"/>
            <w:sz w:val="20"/>
            <w:szCs w:val="20"/>
            <w:u w:val="single" w:color="auto"/>
            <w:color w:val="0000EE"/>
          </w:rPr>
          <w:t>Market for the Registrant’s Common Equity, Related</w:t>
        </w:r>
      </w:hyperlink>
    </w:p>
    <w:tbl>
      <w:tblPr>
        <w:tblLayout w:type="fixed"/>
        <w:tblInd w:w="50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80" w:type="dxa"/>
            <w:vAlign w:val="bottom"/>
            <w:gridSpan w:val="7"/>
          </w:tcPr>
          <w:p>
            <w:pPr>
              <w:spacing w:after="0" w:line="206" w:lineRule="exact"/>
              <w:rPr>
                <w:rFonts w:ascii="Arial" w:cs="Arial" w:eastAsia="Arial" w:hAnsi="Arial"/>
                <w:sz w:val="20"/>
                <w:szCs w:val="20"/>
                <w:color w:val="0000EE"/>
              </w:rPr>
            </w:pPr>
            <w:hyperlink w:anchor="page21">
              <w:r>
                <w:rPr>
                  <w:rFonts w:ascii="Arial" w:cs="Arial" w:eastAsia="Arial" w:hAnsi="Arial"/>
                  <w:sz w:val="20"/>
                  <w:szCs w:val="20"/>
                  <w:color w:val="0000EE"/>
                </w:rPr>
                <w:t>Stockholder Matters and Issuer Purchases of Equity Securities</w:t>
              </w:r>
            </w:hyperlink>
          </w:p>
        </w:tc>
        <w:tc>
          <w:tcPr>
            <w:tcW w:w="2340" w:type="dxa"/>
            <w:vAlign w:val="bottom"/>
          </w:tcPr>
          <w:p>
            <w:pPr>
              <w:jc w:val="right"/>
              <w:spacing w:after="0" w:line="206" w:lineRule="exact"/>
              <w:rPr>
                <w:sz w:val="20"/>
                <w:szCs w:val="20"/>
                <w:color w:val="auto"/>
              </w:rPr>
            </w:pPr>
            <w:r>
              <w:rPr>
                <w:rFonts w:ascii="Arial" w:cs="Arial" w:eastAsia="Arial" w:hAnsi="Arial"/>
                <w:sz w:val="20"/>
                <w:szCs w:val="20"/>
                <w:color w:val="auto"/>
              </w:rPr>
              <w:t>33</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2">
              <w:r>
                <w:rPr>
                  <w:rFonts w:ascii="Arial" w:cs="Arial" w:eastAsia="Arial" w:hAnsi="Arial"/>
                  <w:sz w:val="20"/>
                  <w:szCs w:val="20"/>
                  <w:color w:val="0000EE"/>
                  <w:w w:val="83"/>
                </w:rPr>
                <w:t>6.</w:t>
              </w:r>
            </w:hyperlink>
          </w:p>
        </w:tc>
        <w:tc>
          <w:tcPr>
            <w:tcW w:w="120" w:type="dxa"/>
            <w:vAlign w:val="bottom"/>
          </w:tcPr>
          <w:p>
            <w:pPr>
              <w:spacing w:after="0"/>
              <w:rPr>
                <w:sz w:val="18"/>
                <w:szCs w:val="18"/>
                <w:color w:val="auto"/>
              </w:rPr>
            </w:pPr>
          </w:p>
        </w:tc>
        <w:tc>
          <w:tcPr>
            <w:tcW w:w="7380" w:type="dxa"/>
            <w:vAlign w:val="bottom"/>
            <w:gridSpan w:val="9"/>
          </w:tcPr>
          <w:p>
            <w:pPr>
              <w:ind w:left="120"/>
              <w:spacing w:after="0" w:line="209" w:lineRule="exact"/>
              <w:rPr>
                <w:rFonts w:ascii="Arial" w:cs="Arial" w:eastAsia="Arial" w:hAnsi="Arial"/>
                <w:sz w:val="20"/>
                <w:szCs w:val="20"/>
                <w:color w:val="0000EE"/>
              </w:rPr>
            </w:pPr>
            <w:hyperlink w:anchor="page22">
              <w:r>
                <w:rPr>
                  <w:rFonts w:ascii="Arial" w:cs="Arial" w:eastAsia="Arial" w:hAnsi="Arial"/>
                  <w:sz w:val="20"/>
                  <w:szCs w:val="20"/>
                  <w:color w:val="0000EE"/>
                </w:rPr>
                <w:t>Selected Financial Data</w:t>
              </w:r>
            </w:hyperlink>
          </w:p>
        </w:tc>
        <w:tc>
          <w:tcPr>
            <w:tcW w:w="2340" w:type="dxa"/>
            <w:vAlign w:val="bottom"/>
          </w:tcPr>
          <w:p>
            <w:pPr>
              <w:jc w:val="right"/>
              <w:spacing w:after="0" w:line="209" w:lineRule="exact"/>
              <w:rPr>
                <w:sz w:val="20"/>
                <w:szCs w:val="20"/>
                <w:color w:val="auto"/>
              </w:rPr>
            </w:pPr>
            <w:r>
              <w:rPr>
                <w:rFonts w:ascii="Arial" w:cs="Arial" w:eastAsia="Arial" w:hAnsi="Arial"/>
                <w:sz w:val="20"/>
                <w:szCs w:val="20"/>
                <w:color w:val="auto"/>
              </w:rPr>
              <w:t>35</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3">
              <w:r>
                <w:rPr>
                  <w:rFonts w:ascii="Arial" w:cs="Arial" w:eastAsia="Arial" w:hAnsi="Arial"/>
                  <w:sz w:val="20"/>
                  <w:szCs w:val="20"/>
                  <w:color w:val="0000EE"/>
                  <w:w w:val="83"/>
                </w:rPr>
                <w:t>7.</w:t>
              </w:r>
            </w:hyperlink>
          </w:p>
        </w:tc>
        <w:tc>
          <w:tcPr>
            <w:tcW w:w="120" w:type="dxa"/>
            <w:vAlign w:val="bottom"/>
          </w:tcPr>
          <w:p>
            <w:pPr>
              <w:spacing w:after="0"/>
              <w:rPr>
                <w:sz w:val="18"/>
                <w:szCs w:val="18"/>
                <w:color w:val="auto"/>
              </w:rPr>
            </w:pPr>
          </w:p>
        </w:tc>
        <w:tc>
          <w:tcPr>
            <w:tcW w:w="7380" w:type="dxa"/>
            <w:vAlign w:val="bottom"/>
            <w:gridSpan w:val="9"/>
          </w:tcPr>
          <w:p>
            <w:pPr>
              <w:ind w:left="120"/>
              <w:spacing w:after="0" w:line="209" w:lineRule="exact"/>
              <w:rPr>
                <w:rFonts w:ascii="Arial" w:cs="Arial" w:eastAsia="Arial" w:hAnsi="Arial"/>
                <w:sz w:val="20"/>
                <w:szCs w:val="20"/>
                <w:color w:val="0000EE"/>
              </w:rPr>
            </w:pPr>
            <w:hyperlink w:anchor="page23">
              <w:r>
                <w:rPr>
                  <w:rFonts w:ascii="Arial" w:cs="Arial" w:eastAsia="Arial" w:hAnsi="Arial"/>
                  <w:sz w:val="20"/>
                  <w:szCs w:val="20"/>
                  <w:color w:val="0000EE"/>
                </w:rPr>
                <w:t>Management’s Discussion and Analysis of Financial</w:t>
              </w:r>
            </w:hyperlink>
          </w:p>
        </w:tc>
        <w:tc>
          <w:tcPr>
            <w:tcW w:w="234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980" w:type="dxa"/>
            <w:vAlign w:val="bottom"/>
            <w:tcBorders>
              <w:top w:val="single" w:sz="8" w:color="0000EE"/>
            </w:tcBorders>
            <w:gridSpan w:val="4"/>
          </w:tcPr>
          <w:p>
            <w:pPr>
              <w:spacing w:after="0" w:line="209" w:lineRule="exact"/>
              <w:rPr>
                <w:rFonts w:ascii="Arial" w:cs="Arial" w:eastAsia="Arial" w:hAnsi="Arial"/>
                <w:sz w:val="20"/>
                <w:szCs w:val="20"/>
                <w:color w:val="0000EE"/>
              </w:rPr>
            </w:pPr>
            <w:hyperlink w:anchor="page23">
              <w:r>
                <w:rPr>
                  <w:rFonts w:ascii="Arial" w:cs="Arial" w:eastAsia="Arial" w:hAnsi="Arial"/>
                  <w:sz w:val="20"/>
                  <w:szCs w:val="20"/>
                  <w:color w:val="0000EE"/>
                </w:rPr>
                <w:t>Condition and Results of Operations</w:t>
              </w:r>
            </w:hyperlink>
          </w:p>
        </w:tc>
        <w:tc>
          <w:tcPr>
            <w:tcW w:w="3100" w:type="dxa"/>
            <w:vAlign w:val="bottom"/>
            <w:gridSpan w:val="3"/>
          </w:tcPr>
          <w:p>
            <w:pPr>
              <w:spacing w:after="0"/>
              <w:rPr>
                <w:sz w:val="18"/>
                <w:szCs w:val="18"/>
                <w:color w:val="auto"/>
              </w:rPr>
            </w:pPr>
          </w:p>
        </w:tc>
        <w:tc>
          <w:tcPr>
            <w:tcW w:w="2340" w:type="dxa"/>
            <w:vAlign w:val="bottom"/>
          </w:tcPr>
          <w:p>
            <w:pPr>
              <w:jc w:val="right"/>
              <w:spacing w:after="0" w:line="209" w:lineRule="exact"/>
              <w:rPr>
                <w:sz w:val="20"/>
                <w:szCs w:val="20"/>
                <w:color w:val="auto"/>
              </w:rPr>
            </w:pPr>
            <w:r>
              <w:rPr>
                <w:rFonts w:ascii="Arial" w:cs="Arial" w:eastAsia="Arial" w:hAnsi="Arial"/>
                <w:sz w:val="20"/>
                <w:szCs w:val="20"/>
                <w:color w:val="auto"/>
              </w:rPr>
              <w:t>37</w:t>
            </w:r>
          </w:p>
        </w:tc>
      </w:tr>
      <w:tr>
        <w:trPr>
          <w:trHeight w:val="20"/>
        </w:trPr>
        <w:tc>
          <w:tcPr>
            <w:tcW w:w="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300" w:type="dxa"/>
            <w:vAlign w:val="bottom"/>
            <w:gridSpan w:val="2"/>
          </w:tcPr>
          <w:p>
            <w:pPr>
              <w:jc w:val="right"/>
              <w:spacing w:after="0" w:line="209" w:lineRule="exact"/>
              <w:rPr>
                <w:rFonts w:ascii="Arial" w:cs="Arial" w:eastAsia="Arial" w:hAnsi="Arial"/>
                <w:sz w:val="20"/>
                <w:szCs w:val="20"/>
                <w:color w:val="0000EE"/>
                <w:w w:val="93"/>
              </w:rPr>
            </w:pPr>
            <w:hyperlink w:anchor="page39">
              <w:r>
                <w:rPr>
                  <w:rFonts w:ascii="Arial" w:cs="Arial" w:eastAsia="Arial" w:hAnsi="Arial"/>
                  <w:sz w:val="20"/>
                  <w:szCs w:val="20"/>
                  <w:color w:val="0000EE"/>
                  <w:w w:val="93"/>
                </w:rPr>
                <w:t>7A.</w:t>
              </w:r>
            </w:hyperlink>
          </w:p>
        </w:tc>
        <w:tc>
          <w:tcPr>
            <w:tcW w:w="120" w:type="dxa"/>
            <w:vAlign w:val="bottom"/>
          </w:tcPr>
          <w:p>
            <w:pPr>
              <w:spacing w:after="0"/>
              <w:rPr>
                <w:sz w:val="18"/>
                <w:szCs w:val="18"/>
                <w:color w:val="auto"/>
              </w:rPr>
            </w:pPr>
          </w:p>
        </w:tc>
        <w:tc>
          <w:tcPr>
            <w:tcW w:w="7380" w:type="dxa"/>
            <w:vAlign w:val="bottom"/>
            <w:gridSpan w:val="9"/>
          </w:tcPr>
          <w:p>
            <w:pPr>
              <w:ind w:left="120"/>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Quantitative and Qualitative Disclosures about Market Risk</w:t>
              </w:r>
            </w:hyperlink>
          </w:p>
        </w:tc>
        <w:tc>
          <w:tcPr>
            <w:tcW w:w="2340" w:type="dxa"/>
            <w:vAlign w:val="bottom"/>
          </w:tcPr>
          <w:p>
            <w:pPr>
              <w:jc w:val="right"/>
              <w:spacing w:after="0" w:line="209" w:lineRule="exact"/>
              <w:rPr>
                <w:sz w:val="20"/>
                <w:szCs w:val="20"/>
                <w:color w:val="auto"/>
              </w:rPr>
            </w:pPr>
            <w:r>
              <w:rPr>
                <w:rFonts w:ascii="Arial" w:cs="Arial" w:eastAsia="Arial" w:hAnsi="Arial"/>
                <w:sz w:val="20"/>
                <w:szCs w:val="20"/>
                <w:color w:val="auto"/>
              </w:rPr>
              <w:t>62</w:t>
            </w: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40">
              <w:r>
                <w:rPr>
                  <w:rFonts w:ascii="Arial" w:cs="Arial" w:eastAsia="Arial" w:hAnsi="Arial"/>
                  <w:sz w:val="20"/>
                  <w:szCs w:val="20"/>
                  <w:color w:val="0000EE"/>
                  <w:w w:val="83"/>
                </w:rPr>
                <w:t>8.</w:t>
              </w:r>
            </w:hyperlink>
          </w:p>
        </w:tc>
        <w:tc>
          <w:tcPr>
            <w:tcW w:w="120" w:type="dxa"/>
            <w:vAlign w:val="bottom"/>
          </w:tcPr>
          <w:p>
            <w:pPr>
              <w:spacing w:after="0"/>
              <w:rPr>
                <w:sz w:val="18"/>
                <w:szCs w:val="18"/>
                <w:color w:val="auto"/>
              </w:rPr>
            </w:pPr>
          </w:p>
        </w:tc>
        <w:tc>
          <w:tcPr>
            <w:tcW w:w="7380" w:type="dxa"/>
            <w:vAlign w:val="bottom"/>
            <w:gridSpan w:val="9"/>
          </w:tcPr>
          <w:p>
            <w:pPr>
              <w:ind w:left="120"/>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Financial Statements and Supplementary Data</w:t>
              </w:r>
            </w:hyperlink>
          </w:p>
        </w:tc>
        <w:tc>
          <w:tcPr>
            <w:tcW w:w="2340" w:type="dxa"/>
            <w:vAlign w:val="bottom"/>
          </w:tcPr>
          <w:p>
            <w:pPr>
              <w:jc w:val="right"/>
              <w:spacing w:after="0" w:line="209" w:lineRule="exact"/>
              <w:rPr>
                <w:sz w:val="20"/>
                <w:szCs w:val="20"/>
                <w:color w:val="auto"/>
              </w:rPr>
            </w:pPr>
            <w:r>
              <w:rPr>
                <w:rFonts w:ascii="Arial" w:cs="Arial" w:eastAsia="Arial" w:hAnsi="Arial"/>
                <w:sz w:val="20"/>
                <w:szCs w:val="20"/>
                <w:color w:val="auto"/>
              </w:rPr>
              <w:t>63</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0" w:lineRule="exact"/>
        <w:rPr>
          <w:sz w:val="20"/>
          <w:szCs w:val="20"/>
          <w:color w:val="auto"/>
        </w:rPr>
      </w:pPr>
    </w:p>
    <w:p>
      <w:pPr>
        <w:ind w:left="1040" w:hanging="397"/>
        <w:spacing w:after="0"/>
        <w:tabs>
          <w:tab w:leader="none" w:pos="1040" w:val="left"/>
        </w:tabs>
        <w:numPr>
          <w:ilvl w:val="0"/>
          <w:numId w:val="4"/>
        </w:numPr>
        <w:rPr>
          <w:rFonts w:ascii="Arial" w:cs="Arial" w:eastAsia="Arial" w:hAnsi="Arial"/>
          <w:sz w:val="20"/>
          <w:szCs w:val="20"/>
          <w:u w:val="single" w:color="auto"/>
          <w:color w:val="0000EE"/>
        </w:rPr>
      </w:pPr>
      <w:hyperlink w:anchor="page40">
        <w:r>
          <w:rPr>
            <w:rFonts w:ascii="Arial" w:cs="Arial" w:eastAsia="Arial" w:hAnsi="Arial"/>
            <w:sz w:val="20"/>
            <w:szCs w:val="20"/>
            <w:u w:val="single" w:color="auto"/>
            <w:color w:val="0000EE"/>
          </w:rPr>
          <w:t>Changes in and Disagreements with Accountants on</w:t>
        </w:r>
      </w:hyperlink>
    </w:p>
    <w:tbl>
      <w:tblPr>
        <w:tblLayout w:type="fixed"/>
        <w:tblInd w:w="50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3"/>
          </w:tcPr>
          <w:p>
            <w:pPr>
              <w:spacing w:after="0" w:line="206" w:lineRule="exact"/>
              <w:rPr>
                <w:rFonts w:ascii="Arial" w:cs="Arial" w:eastAsia="Arial" w:hAnsi="Arial"/>
                <w:sz w:val="20"/>
                <w:szCs w:val="20"/>
                <w:color w:val="0000EE"/>
                <w:w w:val="90"/>
              </w:rPr>
            </w:pPr>
            <w:hyperlink w:anchor="page40">
              <w:r>
                <w:rPr>
                  <w:rFonts w:ascii="Arial" w:cs="Arial" w:eastAsia="Arial" w:hAnsi="Arial"/>
                  <w:sz w:val="20"/>
                  <w:szCs w:val="20"/>
                  <w:color w:val="0000EE"/>
                  <w:w w:val="90"/>
                </w:rPr>
                <w:t>Accounting and Financial Disclosure</w:t>
              </w:r>
            </w:hyperlink>
          </w:p>
        </w:tc>
        <w:tc>
          <w:tcPr>
            <w:tcW w:w="3840" w:type="dxa"/>
            <w:vAlign w:val="bottom"/>
            <w:gridSpan w:val="3"/>
          </w:tcPr>
          <w:p>
            <w:pPr>
              <w:spacing w:after="0"/>
              <w:rPr>
                <w:sz w:val="17"/>
                <w:szCs w:val="17"/>
                <w:color w:val="auto"/>
              </w:rPr>
            </w:pPr>
          </w:p>
        </w:tc>
        <w:tc>
          <w:tcPr>
            <w:tcW w:w="2640" w:type="dxa"/>
            <w:vAlign w:val="bottom"/>
          </w:tcPr>
          <w:p>
            <w:pPr>
              <w:jc w:val="right"/>
              <w:spacing w:after="0" w:line="206" w:lineRule="exact"/>
              <w:rPr>
                <w:sz w:val="20"/>
                <w:szCs w:val="20"/>
                <w:color w:val="auto"/>
              </w:rPr>
            </w:pPr>
            <w:r>
              <w:rPr>
                <w:rFonts w:ascii="Arial" w:cs="Arial" w:eastAsia="Arial" w:hAnsi="Arial"/>
                <w:sz w:val="20"/>
                <w:szCs w:val="20"/>
                <w:color w:val="auto"/>
              </w:rPr>
              <w:t>63</w:t>
            </w:r>
          </w:p>
        </w:tc>
      </w:tr>
      <w:tr>
        <w:trPr>
          <w:trHeight w:val="210"/>
        </w:trPr>
        <w:tc>
          <w:tcPr>
            <w:tcW w:w="300" w:type="dxa"/>
            <w:vAlign w:val="bottom"/>
            <w:gridSpan w:val="4"/>
          </w:tcPr>
          <w:p>
            <w:pPr>
              <w:jc w:val="right"/>
              <w:spacing w:after="0" w:line="209" w:lineRule="exact"/>
              <w:rPr>
                <w:rFonts w:ascii="Arial" w:cs="Arial" w:eastAsia="Arial" w:hAnsi="Arial"/>
                <w:sz w:val="20"/>
                <w:szCs w:val="20"/>
                <w:color w:val="0000EE"/>
                <w:w w:val="93"/>
              </w:rPr>
            </w:pPr>
            <w:hyperlink w:anchor="page40">
              <w:r>
                <w:rPr>
                  <w:rFonts w:ascii="Arial" w:cs="Arial" w:eastAsia="Arial" w:hAnsi="Arial"/>
                  <w:sz w:val="20"/>
                  <w:szCs w:val="20"/>
                  <w:color w:val="0000EE"/>
                  <w:w w:val="93"/>
                </w:rPr>
                <w:t>9A.</w:t>
              </w:r>
            </w:hyperlink>
          </w:p>
        </w:tc>
        <w:tc>
          <w:tcPr>
            <w:tcW w:w="7200" w:type="dxa"/>
            <w:vAlign w:val="bottom"/>
            <w:gridSpan w:val="8"/>
          </w:tcPr>
          <w:p>
            <w:pPr>
              <w:ind w:left="240"/>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Controls and Procedures</w:t>
              </w:r>
            </w:hyperlink>
          </w:p>
        </w:tc>
        <w:tc>
          <w:tcPr>
            <w:tcW w:w="2640" w:type="dxa"/>
            <w:vAlign w:val="bottom"/>
          </w:tcPr>
          <w:p>
            <w:pPr>
              <w:jc w:val="right"/>
              <w:spacing w:after="0" w:line="209" w:lineRule="exact"/>
              <w:rPr>
                <w:sz w:val="20"/>
                <w:szCs w:val="20"/>
                <w:color w:val="auto"/>
              </w:rPr>
            </w:pPr>
            <w:r>
              <w:rPr>
                <w:rFonts w:ascii="Arial" w:cs="Arial" w:eastAsia="Arial" w:hAnsi="Arial"/>
                <w:sz w:val="20"/>
                <w:szCs w:val="20"/>
                <w:color w:val="auto"/>
              </w:rPr>
              <w:t>64</w:t>
            </w:r>
          </w:p>
        </w:tc>
      </w:tr>
      <w:tr>
        <w:trPr>
          <w:trHeight w:val="20"/>
        </w:trPr>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gridSpan w:val="3"/>
          </w:tcPr>
          <w:p>
            <w:pPr>
              <w:jc w:val="right"/>
              <w:spacing w:after="0" w:line="209" w:lineRule="exact"/>
              <w:rPr>
                <w:rFonts w:ascii="Arial" w:cs="Arial" w:eastAsia="Arial" w:hAnsi="Arial"/>
                <w:sz w:val="20"/>
                <w:szCs w:val="20"/>
                <w:color w:val="0000EE"/>
                <w:w w:val="86"/>
              </w:rPr>
            </w:pPr>
            <w:hyperlink w:anchor="page42">
              <w:r>
                <w:rPr>
                  <w:rFonts w:ascii="Arial" w:cs="Arial" w:eastAsia="Arial" w:hAnsi="Arial"/>
                  <w:sz w:val="20"/>
                  <w:szCs w:val="20"/>
                  <w:color w:val="0000EE"/>
                  <w:w w:val="86"/>
                </w:rPr>
                <w:t>9B.</w:t>
              </w:r>
            </w:hyperlink>
          </w:p>
        </w:tc>
        <w:tc>
          <w:tcPr>
            <w:tcW w:w="7200" w:type="dxa"/>
            <w:vAlign w:val="bottom"/>
            <w:gridSpan w:val="8"/>
          </w:tcPr>
          <w:p>
            <w:pPr>
              <w:ind w:left="240"/>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Other Information</w:t>
              </w:r>
            </w:hyperlink>
          </w:p>
        </w:tc>
        <w:tc>
          <w:tcPr>
            <w:tcW w:w="2640" w:type="dxa"/>
            <w:vAlign w:val="bottom"/>
          </w:tcPr>
          <w:p>
            <w:pPr>
              <w:jc w:val="right"/>
              <w:spacing w:after="0" w:line="209" w:lineRule="exact"/>
              <w:rPr>
                <w:sz w:val="20"/>
                <w:szCs w:val="20"/>
                <w:color w:val="auto"/>
              </w:rPr>
            </w:pPr>
            <w:r>
              <w:rPr>
                <w:rFonts w:ascii="Arial" w:cs="Arial" w:eastAsia="Arial" w:hAnsi="Arial"/>
                <w:sz w:val="20"/>
                <w:szCs w:val="20"/>
                <w:color w:val="auto"/>
              </w:rPr>
              <w:t>66</w:t>
            </w:r>
          </w:p>
        </w:tc>
      </w:tr>
      <w:tr>
        <w:trPr>
          <w:trHeight w:val="439"/>
        </w:trPr>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Borders>
              <w:bottom w:val="single" w:sz="8" w:color="0000EE"/>
            </w:tcBorders>
          </w:tcPr>
          <w:p>
            <w:pPr>
              <w:spacing w:after="0"/>
              <w:rPr>
                <w:rFonts w:ascii="Arial" w:cs="Arial" w:eastAsia="Arial" w:hAnsi="Arial"/>
                <w:sz w:val="20"/>
                <w:szCs w:val="20"/>
                <w:b w:val="1"/>
                <w:bCs w:val="1"/>
                <w:color w:val="0000EE"/>
              </w:rPr>
            </w:pPr>
            <w:hyperlink w:anchor="page42">
              <w:r>
                <w:rPr>
                  <w:rFonts w:ascii="Arial" w:cs="Arial" w:eastAsia="Arial" w:hAnsi="Arial"/>
                  <w:sz w:val="20"/>
                  <w:szCs w:val="20"/>
                  <w:b w:val="1"/>
                  <w:bCs w:val="1"/>
                  <w:color w:val="0000EE"/>
                </w:rPr>
                <w:t>PART III</w:t>
              </w:r>
            </w:hyperlink>
          </w:p>
        </w:tc>
        <w:tc>
          <w:tcPr>
            <w:tcW w:w="3040" w:type="dxa"/>
            <w:vAlign w:val="bottom"/>
            <w:gridSpan w:val="2"/>
          </w:tcPr>
          <w:p>
            <w:pPr>
              <w:spacing w:after="0"/>
              <w:rPr>
                <w:sz w:val="24"/>
                <w:szCs w:val="24"/>
                <w:color w:val="auto"/>
              </w:rPr>
            </w:pPr>
          </w:p>
        </w:tc>
        <w:tc>
          <w:tcPr>
            <w:tcW w:w="2640" w:type="dxa"/>
            <w:vAlign w:val="bottom"/>
          </w:tcPr>
          <w:p>
            <w:pPr>
              <w:spacing w:after="0"/>
              <w:rPr>
                <w:sz w:val="24"/>
                <w:szCs w:val="24"/>
                <w:color w:val="auto"/>
              </w:rPr>
            </w:pPr>
          </w:p>
        </w:tc>
      </w:tr>
      <w:tr>
        <w:trPr>
          <w:trHeight w:val="439"/>
        </w:trPr>
        <w:tc>
          <w:tcPr>
            <w:tcW w:w="300" w:type="dxa"/>
            <w:vAlign w:val="bottom"/>
            <w:gridSpan w:val="4"/>
          </w:tcPr>
          <w:p>
            <w:pPr>
              <w:jc w:val="right"/>
              <w:spacing w:after="0"/>
              <w:rPr>
                <w:rFonts w:ascii="Arial" w:cs="Arial" w:eastAsia="Arial" w:hAnsi="Arial"/>
                <w:sz w:val="20"/>
                <w:szCs w:val="20"/>
                <w:color w:val="0000EE"/>
              </w:rPr>
            </w:pPr>
            <w:hyperlink w:anchor="page42">
              <w:r>
                <w:rPr>
                  <w:rFonts w:ascii="Arial" w:cs="Arial" w:eastAsia="Arial" w:hAnsi="Arial"/>
                  <w:sz w:val="20"/>
                  <w:szCs w:val="20"/>
                  <w:color w:val="0000EE"/>
                </w:rPr>
                <w:t>10.</w:t>
              </w:r>
            </w:hyperlink>
          </w:p>
        </w:tc>
        <w:tc>
          <w:tcPr>
            <w:tcW w:w="7200" w:type="dxa"/>
            <w:vAlign w:val="bottom"/>
            <w:gridSpan w:val="8"/>
          </w:tcPr>
          <w:p>
            <w:pPr>
              <w:ind w:left="240"/>
              <w:spacing w:after="0"/>
              <w:rPr>
                <w:rFonts w:ascii="Arial" w:cs="Arial" w:eastAsia="Arial" w:hAnsi="Arial"/>
                <w:sz w:val="20"/>
                <w:szCs w:val="20"/>
                <w:color w:val="0000EE"/>
              </w:rPr>
            </w:pPr>
            <w:hyperlink w:anchor="page42">
              <w:r>
                <w:rPr>
                  <w:rFonts w:ascii="Arial" w:cs="Arial" w:eastAsia="Arial" w:hAnsi="Arial"/>
                  <w:sz w:val="20"/>
                  <w:szCs w:val="20"/>
                  <w:color w:val="0000EE"/>
                </w:rPr>
                <w:t>Directors, Executive Officers and Corporate Governance</w:t>
              </w:r>
            </w:hyperlink>
          </w:p>
        </w:tc>
        <w:tc>
          <w:tcPr>
            <w:tcW w:w="264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0"/>
        </w:trPr>
        <w:tc>
          <w:tcPr>
            <w:tcW w:w="6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560" w:type="dxa"/>
            <w:vAlign w:val="bottom"/>
            <w:tcBorders>
              <w:left w:val="single" w:sz="8" w:color="0000EE"/>
            </w:tcBorders>
            <w:gridSpan w:val="3"/>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0"/>
        </w:trPr>
        <w:tc>
          <w:tcPr>
            <w:tcW w:w="300" w:type="dxa"/>
            <w:vAlign w:val="bottom"/>
            <w:gridSpan w:val="4"/>
          </w:tcPr>
          <w:p>
            <w:pPr>
              <w:jc w:val="right"/>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11.</w:t>
              </w:r>
            </w:hyperlink>
          </w:p>
        </w:tc>
        <w:tc>
          <w:tcPr>
            <w:tcW w:w="7200" w:type="dxa"/>
            <w:vAlign w:val="bottom"/>
            <w:gridSpan w:val="8"/>
          </w:tcPr>
          <w:p>
            <w:pPr>
              <w:ind w:left="240"/>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Executive Compensation</w:t>
              </w:r>
            </w:hyperlink>
          </w:p>
        </w:tc>
        <w:tc>
          <w:tcPr>
            <w:tcW w:w="2640" w:type="dxa"/>
            <w:vAlign w:val="bottom"/>
          </w:tcPr>
          <w:p>
            <w:pPr>
              <w:jc w:val="right"/>
              <w:spacing w:after="0" w:line="209" w:lineRule="exact"/>
              <w:rPr>
                <w:sz w:val="20"/>
                <w:szCs w:val="20"/>
                <w:color w:val="auto"/>
              </w:rPr>
            </w:pPr>
            <w:r>
              <w:rPr>
                <w:rFonts w:ascii="Arial" w:cs="Arial" w:eastAsia="Arial" w:hAnsi="Arial"/>
                <w:sz w:val="20"/>
                <w:szCs w:val="20"/>
                <w:color w:val="auto"/>
              </w:rPr>
              <w:t>66</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10" w:lineRule="exact"/>
        <w:rPr>
          <w:sz w:val="20"/>
          <w:szCs w:val="20"/>
          <w:color w:val="auto"/>
        </w:rPr>
      </w:pPr>
    </w:p>
    <w:p>
      <w:pPr>
        <w:ind w:left="1040" w:hanging="496"/>
        <w:spacing w:after="0"/>
        <w:tabs>
          <w:tab w:leader="none" w:pos="1040" w:val="left"/>
        </w:tabs>
        <w:numPr>
          <w:ilvl w:val="0"/>
          <w:numId w:val="5"/>
        </w:numPr>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Security Ownership of Certain Beneficial Owners and Management</w:t>
        </w:r>
      </w:hyperlink>
    </w:p>
    <w:tbl>
      <w:tblPr>
        <w:tblLayout w:type="fixed"/>
        <w:tblInd w:w="1040" w:type="dxa"/>
        <w:tblCellMar>
          <w:top w:w="0" w:type="dxa"/>
          <w:left w:w="0" w:type="dxa"/>
          <w:bottom w:w="0" w:type="dxa"/>
          <w:right w:w="0" w:type="dxa"/>
        </w:tblCellMar>
      </w:tblPr>
      <w:tr>
        <w:trPr>
          <w:trHeight w:val="206"/>
        </w:trPr>
        <w:tc>
          <w:tcPr>
            <w:tcW w:w="2600" w:type="dxa"/>
            <w:vAlign w:val="bottom"/>
            <w:tcBorders>
              <w:bottom w:val="single" w:sz="8" w:color="0000EE"/>
            </w:tcBorders>
          </w:tcPr>
          <w:p>
            <w:pPr>
              <w:spacing w:after="0" w:line="206" w:lineRule="exact"/>
              <w:rPr>
                <w:rFonts w:ascii="Arial" w:cs="Arial" w:eastAsia="Arial" w:hAnsi="Arial"/>
                <w:sz w:val="20"/>
                <w:szCs w:val="20"/>
                <w:color w:val="0000EE"/>
                <w:w w:val="88"/>
              </w:rPr>
            </w:pPr>
            <w:hyperlink w:anchor="page42">
              <w:r>
                <w:rPr>
                  <w:rFonts w:ascii="Arial" w:cs="Arial" w:eastAsia="Arial" w:hAnsi="Arial"/>
                  <w:sz w:val="20"/>
                  <w:szCs w:val="20"/>
                  <w:color w:val="0000EE"/>
                  <w:w w:val="88"/>
                </w:rPr>
                <w:t>and Related Stockholder Matters</w:t>
              </w:r>
            </w:hyperlink>
          </w:p>
        </w:tc>
        <w:tc>
          <w:tcPr>
            <w:tcW w:w="7000" w:type="dxa"/>
            <w:vAlign w:val="bottom"/>
          </w:tcPr>
          <w:p>
            <w:pPr>
              <w:jc w:val="right"/>
              <w:spacing w:after="0" w:line="206" w:lineRule="exact"/>
              <w:rPr>
                <w:sz w:val="20"/>
                <w:szCs w:val="20"/>
                <w:color w:val="auto"/>
              </w:rPr>
            </w:pPr>
            <w:r>
              <w:rPr>
                <w:rFonts w:ascii="Arial" w:cs="Arial" w:eastAsia="Arial" w:hAnsi="Arial"/>
                <w:sz w:val="20"/>
                <w:szCs w:val="20"/>
                <w:color w:val="auto"/>
              </w:rPr>
              <w:t>66</w:t>
            </w:r>
          </w:p>
        </w:tc>
      </w:tr>
    </w:tbl>
    <w:p>
      <w:pPr>
        <w:spacing w:after="0" w:line="10" w:lineRule="exact"/>
        <w:rPr>
          <w:sz w:val="20"/>
          <w:szCs w:val="20"/>
          <w:color w:val="auto"/>
        </w:rPr>
      </w:pPr>
    </w:p>
    <w:p>
      <w:pPr>
        <w:ind w:left="1040" w:hanging="496"/>
        <w:spacing w:after="0"/>
        <w:tabs>
          <w:tab w:leader="none" w:pos="1040" w:val="left"/>
        </w:tabs>
        <w:numPr>
          <w:ilvl w:val="0"/>
          <w:numId w:val="6"/>
        </w:numPr>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Certain Relationships and Related Transactions, and Director</w:t>
        </w:r>
      </w:hyperlink>
    </w:p>
    <w:tbl>
      <w:tblPr>
        <w:tblLayout w:type="fixed"/>
        <w:tblInd w:w="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206" w:lineRule="exact"/>
              <w:rPr>
                <w:rFonts w:ascii="Arial" w:cs="Arial" w:eastAsia="Arial" w:hAnsi="Arial"/>
                <w:sz w:val="20"/>
                <w:szCs w:val="20"/>
                <w:color w:val="0000EE"/>
                <w:w w:val="85"/>
              </w:rPr>
            </w:pPr>
            <w:hyperlink w:anchor="page42">
              <w:r>
                <w:rPr>
                  <w:rFonts w:ascii="Arial" w:cs="Arial" w:eastAsia="Arial" w:hAnsi="Arial"/>
                  <w:sz w:val="20"/>
                  <w:szCs w:val="20"/>
                  <w:color w:val="0000EE"/>
                  <w:w w:val="85"/>
                </w:rPr>
                <w:t>Independence</w:t>
              </w:r>
            </w:hyperlink>
          </w:p>
        </w:tc>
        <w:tc>
          <w:tcPr>
            <w:tcW w:w="3020" w:type="dxa"/>
            <w:vAlign w:val="bottom"/>
            <w:gridSpan w:val="5"/>
          </w:tcPr>
          <w:p>
            <w:pPr>
              <w:spacing w:after="0"/>
              <w:rPr>
                <w:sz w:val="17"/>
                <w:szCs w:val="17"/>
                <w:color w:val="auto"/>
              </w:rPr>
            </w:pPr>
          </w:p>
        </w:tc>
        <w:tc>
          <w:tcPr>
            <w:tcW w:w="6300" w:type="dxa"/>
            <w:vAlign w:val="bottom"/>
          </w:tcPr>
          <w:p>
            <w:pPr>
              <w:jc w:val="right"/>
              <w:ind w:right="724"/>
              <w:spacing w:after="0" w:line="206" w:lineRule="exact"/>
              <w:rPr>
                <w:sz w:val="20"/>
                <w:szCs w:val="20"/>
                <w:color w:val="auto"/>
              </w:rPr>
            </w:pPr>
            <w:r>
              <w:rPr>
                <w:rFonts w:ascii="Arial" w:cs="Arial" w:eastAsia="Arial" w:hAnsi="Arial"/>
                <w:sz w:val="20"/>
                <w:szCs w:val="20"/>
                <w:color w:val="auto"/>
              </w:rPr>
              <w:t>67</w:t>
            </w:r>
          </w:p>
        </w:tc>
      </w:tr>
      <w:tr>
        <w:trPr>
          <w:trHeight w:val="210"/>
        </w:trPr>
        <w:tc>
          <w:tcPr>
            <w:tcW w:w="540" w:type="dxa"/>
            <w:vAlign w:val="bottom"/>
          </w:tcPr>
          <w:p>
            <w:pPr>
              <w:spacing w:after="0"/>
              <w:rPr>
                <w:sz w:val="18"/>
                <w:szCs w:val="18"/>
                <w:color w:val="auto"/>
              </w:rPr>
            </w:pPr>
          </w:p>
        </w:tc>
        <w:tc>
          <w:tcPr>
            <w:tcW w:w="260" w:type="dxa"/>
            <w:vAlign w:val="bottom"/>
            <w:tcBorders>
              <w:bottom w:val="single" w:sz="8" w:color="0000EE"/>
            </w:tcBorders>
          </w:tcPr>
          <w:p>
            <w:pPr>
              <w:jc w:val="right"/>
              <w:spacing w:after="0" w:line="209" w:lineRule="exact"/>
              <w:rPr>
                <w:rFonts w:ascii="Arial" w:cs="Arial" w:eastAsia="Arial" w:hAnsi="Arial"/>
                <w:sz w:val="20"/>
                <w:szCs w:val="20"/>
                <w:color w:val="0000EE"/>
                <w:w w:val="86"/>
              </w:rPr>
            </w:pPr>
            <w:hyperlink w:anchor="page42">
              <w:r>
                <w:rPr>
                  <w:rFonts w:ascii="Arial" w:cs="Arial" w:eastAsia="Arial" w:hAnsi="Arial"/>
                  <w:sz w:val="20"/>
                  <w:szCs w:val="20"/>
                  <w:color w:val="0000EE"/>
                  <w:w w:val="86"/>
                </w:rPr>
                <w:t>14.</w:t>
              </w:r>
            </w:hyperlink>
          </w:p>
        </w:tc>
        <w:tc>
          <w:tcPr>
            <w:tcW w:w="240" w:type="dxa"/>
            <w:vAlign w:val="bottom"/>
          </w:tcPr>
          <w:p>
            <w:pPr>
              <w:spacing w:after="0"/>
              <w:rPr>
                <w:sz w:val="18"/>
                <w:szCs w:val="18"/>
                <w:color w:val="auto"/>
              </w:rPr>
            </w:pPr>
          </w:p>
        </w:tc>
        <w:tc>
          <w:tcPr>
            <w:tcW w:w="3140" w:type="dxa"/>
            <w:vAlign w:val="bottom"/>
            <w:tcBorders>
              <w:bottom w:val="single" w:sz="8" w:color="0000EE"/>
            </w:tcBorders>
            <w:gridSpan w:val="4"/>
          </w:tcPr>
          <w:p>
            <w:pPr>
              <w:spacing w:after="0" w:line="209" w:lineRule="exact"/>
              <w:rPr>
                <w:rFonts w:ascii="Arial" w:cs="Arial" w:eastAsia="Arial" w:hAnsi="Arial"/>
                <w:sz w:val="20"/>
                <w:szCs w:val="20"/>
                <w:color w:val="0000EE"/>
                <w:w w:val="88"/>
              </w:rPr>
            </w:pPr>
            <w:hyperlink w:anchor="page42">
              <w:r>
                <w:rPr>
                  <w:rFonts w:ascii="Arial" w:cs="Arial" w:eastAsia="Arial" w:hAnsi="Arial"/>
                  <w:sz w:val="20"/>
                  <w:szCs w:val="20"/>
                  <w:color w:val="0000EE"/>
                  <w:w w:val="88"/>
                </w:rPr>
                <w:t>Principal Accountant Fees and Services</w:t>
              </w:r>
            </w:hyperlink>
          </w:p>
        </w:tc>
        <w:tc>
          <w:tcPr>
            <w:tcW w:w="980" w:type="dxa"/>
            <w:vAlign w:val="bottom"/>
            <w:gridSpan w:val="3"/>
          </w:tcPr>
          <w:p>
            <w:pPr>
              <w:spacing w:after="0"/>
              <w:rPr>
                <w:sz w:val="18"/>
                <w:szCs w:val="18"/>
                <w:color w:val="auto"/>
              </w:rPr>
            </w:pPr>
          </w:p>
        </w:tc>
        <w:tc>
          <w:tcPr>
            <w:tcW w:w="6300" w:type="dxa"/>
            <w:vAlign w:val="bottom"/>
          </w:tcPr>
          <w:p>
            <w:pPr>
              <w:jc w:val="right"/>
              <w:ind w:right="724"/>
              <w:spacing w:after="0" w:line="209" w:lineRule="exact"/>
              <w:rPr>
                <w:sz w:val="20"/>
                <w:szCs w:val="20"/>
                <w:color w:val="auto"/>
              </w:rPr>
            </w:pPr>
            <w:r>
              <w:rPr>
                <w:rFonts w:ascii="Arial" w:cs="Arial" w:eastAsia="Arial" w:hAnsi="Arial"/>
                <w:sz w:val="20"/>
                <w:szCs w:val="20"/>
                <w:color w:val="auto"/>
              </w:rPr>
              <w:t>67</w:t>
            </w:r>
          </w:p>
        </w:tc>
      </w:tr>
      <w:tr>
        <w:trPr>
          <w:trHeight w:val="439"/>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80" w:type="dxa"/>
            <w:vAlign w:val="bottom"/>
            <w:tcBorders>
              <w:bottom w:val="single" w:sz="8" w:color="0000EE"/>
            </w:tcBorders>
            <w:gridSpan w:val="3"/>
          </w:tcPr>
          <w:p>
            <w:pPr>
              <w:spacing w:after="0"/>
              <w:rPr>
                <w:rFonts w:ascii="Arial" w:cs="Arial" w:eastAsia="Arial" w:hAnsi="Arial"/>
                <w:sz w:val="20"/>
                <w:szCs w:val="20"/>
                <w:b w:val="1"/>
                <w:bCs w:val="1"/>
                <w:color w:val="0000EE"/>
                <w:w w:val="96"/>
              </w:rPr>
            </w:pPr>
            <w:hyperlink w:anchor="page42">
              <w:r>
                <w:rPr>
                  <w:rFonts w:ascii="Arial" w:cs="Arial" w:eastAsia="Arial" w:hAnsi="Arial"/>
                  <w:sz w:val="20"/>
                  <w:szCs w:val="20"/>
                  <w:b w:val="1"/>
                  <w:bCs w:val="1"/>
                  <w:color w:val="0000EE"/>
                  <w:w w:val="96"/>
                </w:rPr>
                <w:t>PART IV</w:t>
              </w:r>
            </w:hyperlink>
          </w:p>
        </w:tc>
        <w:tc>
          <w:tcPr>
            <w:tcW w:w="22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439"/>
        </w:trPr>
        <w:tc>
          <w:tcPr>
            <w:tcW w:w="540" w:type="dxa"/>
            <w:vAlign w:val="bottom"/>
          </w:tcPr>
          <w:p>
            <w:pPr>
              <w:spacing w:after="0"/>
              <w:rPr>
                <w:sz w:val="24"/>
                <w:szCs w:val="24"/>
                <w:color w:val="auto"/>
              </w:rPr>
            </w:pPr>
          </w:p>
        </w:tc>
        <w:tc>
          <w:tcPr>
            <w:tcW w:w="260" w:type="dxa"/>
            <w:vAlign w:val="bottom"/>
          </w:tcPr>
          <w:p>
            <w:pPr>
              <w:jc w:val="right"/>
              <w:spacing w:after="0"/>
              <w:rPr>
                <w:rFonts w:ascii="Arial" w:cs="Arial" w:eastAsia="Arial" w:hAnsi="Arial"/>
                <w:sz w:val="20"/>
                <w:szCs w:val="20"/>
                <w:color w:val="0000EE"/>
                <w:w w:val="86"/>
              </w:rPr>
            </w:pPr>
            <w:hyperlink w:anchor="page42">
              <w:r>
                <w:rPr>
                  <w:rFonts w:ascii="Arial" w:cs="Arial" w:eastAsia="Arial" w:hAnsi="Arial"/>
                  <w:sz w:val="20"/>
                  <w:szCs w:val="20"/>
                  <w:color w:val="0000EE"/>
                  <w:w w:val="86"/>
                </w:rPr>
                <w:t>15.</w:t>
              </w:r>
            </w:hyperlink>
          </w:p>
        </w:tc>
        <w:tc>
          <w:tcPr>
            <w:tcW w:w="240" w:type="dxa"/>
            <w:vAlign w:val="bottom"/>
          </w:tcPr>
          <w:p>
            <w:pPr>
              <w:spacing w:after="0"/>
              <w:rPr>
                <w:sz w:val="24"/>
                <w:szCs w:val="24"/>
                <w:color w:val="auto"/>
              </w:rPr>
            </w:pPr>
          </w:p>
        </w:tc>
        <w:tc>
          <w:tcPr>
            <w:tcW w:w="4120" w:type="dxa"/>
            <w:vAlign w:val="bottom"/>
            <w:gridSpan w:val="7"/>
          </w:tcPr>
          <w:p>
            <w:pPr>
              <w:spacing w:after="0"/>
              <w:rPr>
                <w:rFonts w:ascii="Arial" w:cs="Arial" w:eastAsia="Arial" w:hAnsi="Arial"/>
                <w:sz w:val="20"/>
                <w:szCs w:val="20"/>
                <w:color w:val="0000EE"/>
              </w:rPr>
            </w:pPr>
            <w:hyperlink w:anchor="page42">
              <w:r>
                <w:rPr>
                  <w:rFonts w:ascii="Arial" w:cs="Arial" w:eastAsia="Arial" w:hAnsi="Arial"/>
                  <w:sz w:val="20"/>
                  <w:szCs w:val="20"/>
                  <w:color w:val="0000EE"/>
                </w:rPr>
                <w:t>Exhibits and Financial Statement Schedules</w:t>
              </w:r>
            </w:hyperlink>
          </w:p>
        </w:tc>
        <w:tc>
          <w:tcPr>
            <w:tcW w:w="6300" w:type="dxa"/>
            <w:vAlign w:val="bottom"/>
          </w:tcPr>
          <w:p>
            <w:pPr>
              <w:jc w:val="right"/>
              <w:ind w:right="724"/>
              <w:spacing w:after="0"/>
              <w:rPr>
                <w:sz w:val="20"/>
                <w:szCs w:val="20"/>
                <w:color w:val="auto"/>
              </w:rPr>
            </w:pPr>
            <w:r>
              <w:rPr>
                <w:rFonts w:ascii="Arial" w:cs="Arial" w:eastAsia="Arial" w:hAnsi="Arial"/>
                <w:sz w:val="20"/>
                <w:szCs w:val="20"/>
                <w:color w:val="auto"/>
              </w:rPr>
              <w:t>67</w:t>
            </w:r>
          </w:p>
        </w:tc>
      </w:tr>
      <w:tr>
        <w:trPr>
          <w:trHeight w:val="439"/>
        </w:trPr>
        <w:tc>
          <w:tcPr>
            <w:tcW w:w="5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Borders>
              <w:top w:val="single" w:sz="8" w:color="0000EE"/>
            </w:tcBorders>
            <w:gridSpan w:val="5"/>
          </w:tcPr>
          <w:p>
            <w:pPr>
              <w:spacing w:after="0"/>
              <w:rPr>
                <w:rFonts w:ascii="Arial" w:cs="Arial" w:eastAsia="Arial" w:hAnsi="Arial"/>
                <w:sz w:val="20"/>
                <w:szCs w:val="20"/>
                <w:color w:val="0000EE"/>
              </w:rPr>
            </w:pPr>
            <w:hyperlink w:anchor="page43">
              <w:r>
                <w:rPr>
                  <w:rFonts w:ascii="Arial" w:cs="Arial" w:eastAsia="Arial" w:hAnsi="Arial"/>
                  <w:sz w:val="20"/>
                  <w:szCs w:val="20"/>
                  <w:color w:val="0000EE"/>
                </w:rPr>
                <w:t>Signatures</w:t>
              </w:r>
            </w:hyperlink>
          </w:p>
        </w:tc>
        <w:tc>
          <w:tcPr>
            <w:tcW w:w="660" w:type="dxa"/>
            <w:vAlign w:val="bottom"/>
            <w:gridSpan w:val="2"/>
          </w:tcPr>
          <w:p>
            <w:pPr>
              <w:spacing w:after="0"/>
              <w:rPr>
                <w:sz w:val="24"/>
                <w:szCs w:val="24"/>
                <w:color w:val="auto"/>
              </w:rPr>
            </w:pPr>
          </w:p>
        </w:tc>
        <w:tc>
          <w:tcPr>
            <w:tcW w:w="6300" w:type="dxa"/>
            <w:vAlign w:val="bottom"/>
          </w:tcPr>
          <w:p>
            <w:pPr>
              <w:jc w:val="right"/>
              <w:ind w:right="724"/>
              <w:spacing w:after="0"/>
              <w:rPr>
                <w:sz w:val="20"/>
                <w:szCs w:val="20"/>
                <w:color w:val="auto"/>
              </w:rPr>
            </w:pPr>
            <w:r>
              <w:rPr>
                <w:rFonts w:ascii="Arial" w:cs="Arial" w:eastAsia="Arial" w:hAnsi="Arial"/>
                <w:sz w:val="20"/>
                <w:szCs w:val="20"/>
                <w:color w:val="auto"/>
              </w:rPr>
              <w:t>68</w:t>
            </w:r>
          </w:p>
        </w:tc>
      </w:tr>
      <w:tr>
        <w:trPr>
          <w:trHeight w:val="433"/>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Pr>
          <w:p>
            <w:pPr>
              <w:jc w:val="right"/>
              <w:ind w:right="5604"/>
              <w:spacing w:after="0"/>
              <w:rPr>
                <w:sz w:val="20"/>
                <w:szCs w:val="20"/>
                <w:color w:val="auto"/>
              </w:rPr>
            </w:pPr>
            <w:r>
              <w:rPr>
                <w:rFonts w:ascii="Arial" w:cs="Arial" w:eastAsia="Arial" w:hAnsi="Arial"/>
                <w:sz w:val="16"/>
                <w:szCs w:val="16"/>
                <w:color w:val="auto"/>
              </w:rPr>
              <w:t>3</w:t>
            </w:r>
          </w:p>
        </w:tc>
      </w:tr>
      <w:tr>
        <w:trPr>
          <w:trHeight w:val="138"/>
        </w:trPr>
        <w:tc>
          <w:tcPr>
            <w:tcW w:w="5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300" w:type="dxa"/>
            <w:vAlign w:val="bottom"/>
            <w:tcBorders>
              <w:bottom w:val="single" w:sz="8" w:color="010101"/>
            </w:tcBorders>
          </w:tcPr>
          <w:p>
            <w:pPr>
              <w:spacing w:after="0"/>
              <w:rPr>
                <w:sz w:val="11"/>
                <w:szCs w:val="11"/>
                <w:color w:val="auto"/>
              </w:rPr>
            </w:pPr>
          </w:p>
        </w:tc>
      </w:tr>
      <w:tr>
        <w:trPr>
          <w:trHeight w:val="798"/>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Pr>
          <w:p>
            <w:pPr>
              <w:jc w:val="right"/>
              <w:ind w:right="5324"/>
              <w:spacing w:after="0"/>
              <w:rPr>
                <w:sz w:val="20"/>
                <w:szCs w:val="20"/>
                <w:color w:val="auto"/>
              </w:rPr>
            </w:pPr>
            <w:r>
              <w:rPr>
                <w:rFonts w:ascii="Arial" w:cs="Arial" w:eastAsia="Arial" w:hAnsi="Arial"/>
                <w:sz w:val="20"/>
                <w:szCs w:val="20"/>
                <w:b w:val="1"/>
                <w:bCs w:val="1"/>
                <w:color w:val="auto"/>
              </w:rPr>
              <w:t>PART I</w:t>
            </w:r>
          </w:p>
        </w:tc>
      </w:tr>
      <w:tr>
        <w:trPr>
          <w:trHeight w:val="459"/>
        </w:trPr>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ITEM 1.</w:t>
            </w:r>
          </w:p>
        </w:tc>
        <w:tc>
          <w:tcPr>
            <w:tcW w:w="4120" w:type="dxa"/>
            <w:vAlign w:val="bottom"/>
            <w:gridSpan w:val="7"/>
          </w:tcPr>
          <w:p>
            <w:pPr>
              <w:ind w:left="180"/>
              <w:spacing w:after="0"/>
              <w:rPr>
                <w:sz w:val="20"/>
                <w:szCs w:val="20"/>
                <w:color w:val="auto"/>
              </w:rPr>
            </w:pPr>
            <w:r>
              <w:rPr>
                <w:rFonts w:ascii="Arial" w:cs="Arial" w:eastAsia="Arial" w:hAnsi="Arial"/>
                <w:sz w:val="20"/>
                <w:szCs w:val="20"/>
                <w:b w:val="1"/>
                <w:bCs w:val="1"/>
                <w:color w:val="auto"/>
              </w:rPr>
              <w:t>BUSINESS</w:t>
            </w:r>
          </w:p>
        </w:tc>
        <w:tc>
          <w:tcPr>
            <w:tcW w:w="6300" w:type="dxa"/>
            <w:vAlign w:val="bottom"/>
          </w:tcPr>
          <w:p>
            <w:pPr>
              <w:spacing w:after="0"/>
              <w:rPr>
                <w:sz w:val="24"/>
                <w:szCs w:val="24"/>
                <w:color w:val="auto"/>
              </w:rPr>
            </w:pPr>
          </w:p>
        </w:tc>
      </w:tr>
      <w:tr>
        <w:trPr>
          <w:trHeight w:val="459"/>
        </w:trPr>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Overview</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-1118870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-1118870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9"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Hansen Natural Corporation was incorporated in Delaware on April 25, 1990. Our principal place of business is located at 550 Monica Circle, Suite 201, Corona, California 92880 and our telephone number is (951) 739-6200. When this report uses the words “Hansen”, “HBC” “the Company”, “we”, “us”, and “our”, these words refer to Hansen Natural Corporation and its subsidiaries, unless the context otherwise requires. We are a holding company and conduct no operating business except through our consolidated subsidiaries.</w:t>
      </w:r>
    </w:p>
    <w:p>
      <w:pPr>
        <w:sectPr>
          <w:pgSz w:w="11900" w:h="16838" w:orient="portrait"/>
          <w:cols w:equalWidth="0" w:num="1">
            <w:col w:w="11460"/>
          </w:cols>
          <w:pgMar w:left="240" w:top="332" w:right="199" w:bottom="160" w:gutter="0" w:footer="0" w:header="0"/>
        </w:sectPr>
      </w:pPr>
    </w:p>
    <w:bookmarkStart w:id="2" w:name="page3"/>
    <w:bookmarkEnd w:id="2"/>
    <w:p>
      <w:pPr>
        <w:spacing w:after="0" w:line="1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We develop, market, sell and distribute “alternative” beverage category beverages, primarily under the following brand names: Monster Energy®, Java Monster™, Monster Energy® Extra Strength Nitrous Technology™, Monster Rehab™ (being introduced in the first quarter of 2011), Peace Tea™, Hansen’s®, Hansen’s Natural Sodas®, Junior Juice®, Blue Sky®, X-Presso Monster™, Vidration™, Worx Energy™, Admiral™, Lost® Energy™, Hubert’s™, Rumba®, Samba and Tango.</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Monster Energy® brand energy drinks include Monster Energy® energy drinks, lo-carb Monster Energy® energy drinks, Monster Energy® Assault® energy drinks, Monster Energy® Khaos™ energy drinks, Monster Energy® M-80™ energy drinks (named “RIPPER” in certain countries), Monster Energy® Heavy Metal™ energy drinks, Monster Energy® MIXXD™ energy drinks, Monster Energy® Absolutely Zero energy drinks, Monster Energy® Import and Import Light energy drinks, Monster Energy® Dub Edition energy drinks, Monster Rehab™ energy drinks, Monster Energy® M3 Super Concentrate energy drink and Monster Energy® Extra Strength Nitrous Technology™ energy drinks in four variants.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lines of non-carbonated dairy based coffee + energy drinks include Java Monster™ Kona Blend, Java Monster™ Loca Moca®, Java Monster™ Mean Bean®, Java Monster™ Vanilla Light, Java Monster™ Irish Blend™, Java Monster™ Toffee as well as our X-Presso Monster™ Hammer and X-Presso Monster™ Midnite coffee energy drinks.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Overview</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 According to Beverage Marketing Corporation, domestic wholesale sales in 2010 for the “alternative” beverage category of the market are estimated at $27.3 billion representing an increase of approximately 3.9% over the estimated domestic wholesale sales in 2009 of approximately $26.3 billion (revised from a previously reported estimate of $29.9 billion).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the 1930s, Hubert Hansen and his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 trademark. In 1977, Tim Hansen, one of the grandsons of Hubert Hansen, perceived a demand for shelf stable pasteurized natural juices and juice blends and formed Hansen Foods, Inc. (“HFI”). HFI expanded its product line from juices to include Hansen’s Natural Sodas®. The California Co-Packers Corporation (d/b/a Hansen Beverage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(“CCC”) acquired certain assets of HFI, including the right to market the Hansen’s® brand name, in 1990. In 1992, HBC acquired the Hansen’s® brand natural soda and apple juice business from CCC. Under our ownership, the Hansen beverage business has significantly expanded and includes a wide range of beverages within the growing “alternative” beverage category, including in particular, energy drinks. In 1999, we acquired all of FJC’s rights to manufacture, sell and distribute fresh non-pasteurized juice products under the Hansen’s® trademark together with certain additional rights. In 2000, HBC, through its wholly-owned subsidiary Blue Sky, acquired the natural soda business previously conducted by Blue Sky Natural Beverage Co., a New Mexico corporation, under the Blue Sky® trademark. In 2001, HBC, through its wholly-owned subsidiary Junior Juice, acquired the Junior Juice business previously conducted by Pasco Juices, Inc. under the Junior Juice® trademark.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have two reportable segments, namely Direct Store Delivery (“DSD”), whose principal products comprise primarily energy drinks, and Warehouse (“Warehouse”), whose principal products comprise primarily juice based and soda beverages. The DSD segment develops, markets and sells products primarily through an exclusive distributor network, whereas the Warehouse segment develops, markets and sells products primarily directly to retailers. Corporate and unallocated amounts that do not relate to the DSD or Warehouse segments specifically have been allocated to “Corporate and Unallocated.” Our DSD segment represented 93.0%, 91.4% and 89.7% of our consolidated net sales for the years ended December 31, 2010, 2009 and 2008, respectively. Our Warehouse segment represented 7.0%, 8.6% and 10.3% of our consolidated net sales for the years ended December 31, 2010, 2009 and 2008, respectively.</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financial information about our reporting segments and geographic areas, refer to Note 17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2010 Product Introductions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During 2010, we continued to expand our existing product lines and flavors and further develop our distribution markets. In particular, we continued to focus on developing and marketing beverages that fall within the category generally described as the “alternative” beverage category, with particular emphasis on energy type drinks. During 2010, we introduced the following products:</w:t>
      </w:r>
    </w:p>
    <w:p>
      <w:pPr>
        <w:spacing w:after="0" w:line="184" w:lineRule="exact"/>
        <w:rPr>
          <w:sz w:val="20"/>
          <w:szCs w:val="20"/>
          <w:color w:val="auto"/>
        </w:rPr>
      </w:pPr>
    </w:p>
    <w:p>
      <w:pPr>
        <w:ind w:left="720" w:right="80" w:hanging="388"/>
        <w:spacing w:after="0" w:line="247"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Energy® Import Light energy drinks, which are packaged in 18.6-ounce Re-sealable End (“BRE”) aluminum cans (May 2010).</w:t>
      </w:r>
    </w:p>
    <w:p>
      <w:pPr>
        <w:spacing w:after="0" w:line="1" w:lineRule="exact"/>
        <w:rPr>
          <w:rFonts w:ascii="Arial" w:cs="Arial" w:eastAsia="Arial" w:hAnsi="Arial"/>
          <w:sz w:val="20"/>
          <w:szCs w:val="20"/>
          <w:color w:val="auto"/>
        </w:rPr>
      </w:pPr>
    </w:p>
    <w:p>
      <w:pPr>
        <w:ind w:left="720" w:right="80" w:hanging="388"/>
        <w:spacing w:after="0" w:line="239"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Energy® Absolutely Zero energy drinks, which are carbonated and contain zero calories and zero sugar, and are packaged in 16-ounce aluminum cans (July 2010).</w:t>
      </w:r>
    </w:p>
    <w:p>
      <w:pPr>
        <w:spacing w:after="0" w:line="1" w:lineRule="exact"/>
        <w:rPr>
          <w:rFonts w:ascii="Arial" w:cs="Arial" w:eastAsia="Arial" w:hAnsi="Arial"/>
          <w:sz w:val="20"/>
          <w:szCs w:val="20"/>
          <w:color w:val="auto"/>
        </w:rPr>
      </w:pPr>
    </w:p>
    <w:p>
      <w:pPr>
        <w:ind w:left="720" w:hanging="388"/>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Energy® “Dub Edition” energy drinks, which are packaged in 18.6-ounce BRE aluminum cans (May 2010).</w:t>
      </w:r>
    </w:p>
    <w:p>
      <w:pPr>
        <w:sectPr>
          <w:pgSz w:w="11900" w:h="16856" w:orient="portrait"/>
          <w:cols w:equalWidth="0" w:num="1">
            <w:col w:w="11420"/>
          </w:cols>
          <w:pgMar w:left="240" w:top="121" w:right="239" w:bottom="0" w:gutter="0" w:footer="0" w:header="0"/>
        </w:sectPr>
      </w:pPr>
    </w:p>
    <w:bookmarkStart w:id="3" w:name="page4"/>
    <w:bookmarkEnd w:id="3"/>
    <w:p>
      <w:pPr>
        <w:spacing w:after="0" w:line="56" w:lineRule="exact"/>
        <w:rPr>
          <w:sz w:val="20"/>
          <w:szCs w:val="20"/>
          <w:color w:val="auto"/>
        </w:rPr>
      </w:pPr>
    </w:p>
    <w:p>
      <w:pPr>
        <w:ind w:left="720" w:right="60" w:hanging="388"/>
        <w:spacing w:after="0" w:line="248"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Energy® Extra Strength Nitrous Technology energy drink – Black Ice which is carbonated and contains zero calories, packaged in 12-ounce sleek aluminum cap-cans (November 2010).</w:t>
      </w:r>
    </w:p>
    <w:p>
      <w:pPr>
        <w:spacing w:after="0" w:line="1" w:lineRule="exact"/>
        <w:rPr>
          <w:rFonts w:ascii="Arial" w:cs="Arial" w:eastAsia="Arial" w:hAnsi="Arial"/>
          <w:sz w:val="20"/>
          <w:szCs w:val="20"/>
          <w:color w:val="auto"/>
        </w:rPr>
      </w:pPr>
    </w:p>
    <w:p>
      <w:pPr>
        <w:ind w:left="720" w:right="80" w:hanging="388"/>
        <w:spacing w:after="0" w:line="239"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X-Presso Monster™ Coffee Energy Drinks – non-carbonated dairy based espresso + energy drinks, which are packaged in 9.6-ounce aluminum cans (November 2010).</w:t>
      </w:r>
    </w:p>
    <w:p>
      <w:pPr>
        <w:spacing w:after="0" w:line="1" w:lineRule="exact"/>
        <w:rPr>
          <w:rFonts w:ascii="Arial" w:cs="Arial" w:eastAsia="Arial" w:hAnsi="Arial"/>
          <w:sz w:val="20"/>
          <w:szCs w:val="20"/>
          <w:color w:val="auto"/>
        </w:rPr>
      </w:pPr>
    </w:p>
    <w:p>
      <w:pPr>
        <w:ind w:left="720" w:right="80" w:hanging="388"/>
        <w:spacing w:after="0" w:line="239"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Worx Energy</w:t>
      </w:r>
      <w:r>
        <w:rPr>
          <w:rFonts w:ascii="Arial" w:cs="Arial" w:eastAsia="Arial" w:hAnsi="Arial"/>
          <w:sz w:val="20"/>
          <w:szCs w:val="20"/>
          <w:i w:val="1"/>
          <w:iCs w:val="1"/>
          <w:color w:val="auto"/>
        </w:rPr>
        <w:t>™</w:t>
      </w:r>
      <w:r>
        <w:rPr>
          <w:rFonts w:ascii="Arial" w:cs="Arial" w:eastAsia="Arial" w:hAnsi="Arial"/>
          <w:sz w:val="20"/>
          <w:szCs w:val="20"/>
          <w:color w:val="auto"/>
        </w:rPr>
        <w:t xml:space="preserve"> energy shots, which contains zero calories and zero sugar, and are packaged in 2-ounce wide-mouth polyethylene terephthalate (“PET”) plastic bottles (October 2010).</w:t>
      </w:r>
    </w:p>
    <w:p>
      <w:pPr>
        <w:spacing w:after="0" w:line="1" w:lineRule="exact"/>
        <w:rPr>
          <w:rFonts w:ascii="Arial" w:cs="Arial" w:eastAsia="Arial" w:hAnsi="Arial"/>
          <w:sz w:val="20"/>
          <w:szCs w:val="20"/>
          <w:color w:val="auto"/>
        </w:rPr>
      </w:pPr>
    </w:p>
    <w:p>
      <w:pPr>
        <w:ind w:left="720" w:right="80" w:hanging="388"/>
        <w:spacing w:after="0" w:line="239"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Energy® M3 Super Concentrate, super-concentrated energy drinks, which are packaged in 5-ounce glass bottles (November 2010).</w:t>
      </w:r>
    </w:p>
    <w:p>
      <w:pPr>
        <w:spacing w:after="0" w:line="1" w:lineRule="exact"/>
        <w:rPr>
          <w:rFonts w:ascii="Arial" w:cs="Arial" w:eastAsia="Arial" w:hAnsi="Arial"/>
          <w:sz w:val="20"/>
          <w:szCs w:val="20"/>
          <w:color w:val="auto"/>
        </w:rPr>
      </w:pPr>
    </w:p>
    <w:p>
      <w:pPr>
        <w:ind w:left="720" w:hanging="388"/>
        <w:spacing w:after="0"/>
        <w:tabs>
          <w:tab w:leader="none" w:pos="72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Admiral™ Iced Teas, a new line of ready-to-drink iced teas, which are packaged in 23-ounce aluminum cans (March 2010).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0" w:hanging="388"/>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Blue Sky® Shots, natural functional shots, which are packaged in 2.5-ounce PET plastic bottles (March 2010).</w:t>
      </w:r>
    </w:p>
    <w:p>
      <w:pPr>
        <w:spacing w:after="0" w:line="15" w:lineRule="exact"/>
        <w:rPr>
          <w:rFonts w:ascii="Arial" w:cs="Arial" w:eastAsia="Arial" w:hAnsi="Arial"/>
          <w:sz w:val="20"/>
          <w:szCs w:val="20"/>
          <w:color w:val="auto"/>
        </w:rPr>
      </w:pPr>
    </w:p>
    <w:p>
      <w:pPr>
        <w:ind w:left="720" w:right="60" w:hanging="388"/>
        <w:spacing w:after="0" w:line="239"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Hubert’s™ Lemonades, a line of ready-to-drink premium lemonades sweetened with cane sugar and Truvia™ brand stevia extract, an all natural sweetener, which are packaged in 16-ounce glass bottles (August 2010).</w:t>
      </w:r>
    </w:p>
    <w:p>
      <w:pPr>
        <w:spacing w:after="0" w:line="1" w:lineRule="exact"/>
        <w:rPr>
          <w:rFonts w:ascii="Arial" w:cs="Arial" w:eastAsia="Arial" w:hAnsi="Arial"/>
          <w:sz w:val="20"/>
          <w:szCs w:val="20"/>
          <w:color w:val="auto"/>
        </w:rPr>
      </w:pPr>
    </w:p>
    <w:p>
      <w:pPr>
        <w:ind w:left="720" w:right="60" w:hanging="388"/>
        <w:spacing w:after="0" w:line="244"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Hansen’s® Natural Fruit and Tea Stix™, a line of all-natural, low-calorie powdered drink mixes, which are packaged in single-serve stick packs (February 2010).</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DSD Segment</w:t>
      </w:r>
    </w:p>
    <w:p>
      <w:pPr>
        <w:spacing w:after="0" w:line="2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Monster Energy® Drinks </w:t>
      </w:r>
      <w:r>
        <w:rPr>
          <w:rFonts w:ascii="Arial" w:cs="Arial" w:eastAsia="Arial" w:hAnsi="Arial"/>
          <w:sz w:val="18"/>
          <w:szCs w:val="18"/>
          <w:color w:val="auto"/>
        </w:rPr>
        <w:t>– In 2002, we launched a new carbonated energy drink under the Monster Energy® brand name in 16-ounce</w:t>
      </w:r>
      <w:r>
        <w:rPr>
          <w:rFonts w:ascii="Arial" w:cs="Arial" w:eastAsia="Arial" w:hAnsi="Arial"/>
          <w:sz w:val="18"/>
          <w:szCs w:val="18"/>
          <w:i w:val="1"/>
          <w:iCs w:val="1"/>
          <w:color w:val="auto"/>
        </w:rPr>
        <w:t xml:space="preserve"> </w:t>
      </w:r>
      <w:r>
        <w:rPr>
          <w:rFonts w:ascii="Arial" w:cs="Arial" w:eastAsia="Arial" w:hAnsi="Arial"/>
          <w:sz w:val="18"/>
          <w:szCs w:val="18"/>
          <w:color w:val="auto"/>
        </w:rPr>
        <w:t>cans, which was almost double the size of our original Hansen’s® brand energy drinks (in 8.3-ounce cans) and the vast majority of competitive energy drinks on the market at that time. Our Monster Energy® drinks contain different types and levels of supplements than our Hansen’s® energy drinks and are marketed through our full service distributor network. We offer the following products under the Monster Energy® brand energy drink product line: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lo-carb Monster Energy®,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Assault®,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Khaos™, Monster Energy® M-80™ (named “RIPPER 48; in certain countries), Monster Energy® Heavy Metal™, Monster Energy® MIXXD™, Monster Energy® Absolutely Zero, Monster Energy® Import and Import Light, Monster Energy® Dub Edition, Monster Rehab™ and Monster Energy® M3 Super Concentrate. We package our Monster Energy® drinks in 8.3-ounce and/or 12-ounce and/or 16-ounce and/or 23.5-ounce and/or 24-ounce and/or 32-ounce and/or 500ml and/or 18.6-ounce aluminum cans and/or 5-ounce and/or 500ml glass bottles.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Java Monster™ Coffee + Energy Drinks </w:t>
      </w:r>
      <w:r>
        <w:rPr>
          <w:rFonts w:ascii="Arial" w:cs="Arial" w:eastAsia="Arial" w:hAnsi="Arial"/>
          <w:sz w:val="20"/>
          <w:szCs w:val="20"/>
          <w:color w:val="auto"/>
        </w:rPr>
        <w:t>- a line of non-carbonated dairy based coffee + energy drinks. We offer the following products</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Java Monster™ product line: Java Monster™ Kona Blend, Java Monster™ Loca Moca®, Java Monster™ Mean Bean®, Java Monster™ Vanilla Light, Java Monster™ Irish Blend™ and Java Monster™ Toffee. We package our Java Monster™ coffee + energy drinks in 15-ounce aluminum cans.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Monster Energy® Extra Strength Nitrous Technology™ Energy Drinks </w:t>
      </w:r>
      <w:r>
        <w:rPr>
          <w:rFonts w:ascii="Arial" w:cs="Arial" w:eastAsia="Arial" w:hAnsi="Arial"/>
          <w:sz w:val="18"/>
          <w:szCs w:val="18"/>
          <w:color w:val="auto"/>
        </w:rPr>
        <w:t>- a line of carbonated energy drinks containing nitrous oxide.</w:t>
      </w:r>
      <w:r>
        <w:rPr>
          <w:rFonts w:ascii="Arial" w:cs="Arial" w:eastAsia="Arial" w:hAnsi="Arial"/>
          <w:sz w:val="18"/>
          <w:szCs w:val="18"/>
          <w:i w:val="1"/>
          <w:iCs w:val="1"/>
          <w:color w:val="auto"/>
        </w:rPr>
        <w:t xml:space="preserve"> </w:t>
      </w:r>
      <w:r>
        <w:rPr>
          <w:rFonts w:ascii="Arial" w:cs="Arial" w:eastAsia="Arial" w:hAnsi="Arial"/>
          <w:sz w:val="18"/>
          <w:szCs w:val="18"/>
          <w:color w:val="auto"/>
        </w:rPr>
        <w:t>We offer the following products under the Monster Energy® Extra Strength Nitrous Technology™ product line: Super Dry, Anti Gravity, Killer-B and Black Ice. We package our Monster Energy® Extra Strength Nitrous Technology™ drinks in 12-ounce sleek aluminum cap-cans.</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X-Presso Monster™ Coffee Energy Drinks </w:t>
      </w:r>
      <w:r>
        <w:rPr>
          <w:rFonts w:ascii="Arial" w:cs="Arial" w:eastAsia="Arial" w:hAnsi="Arial"/>
          <w:sz w:val="18"/>
          <w:szCs w:val="18"/>
          <w:color w:val="auto"/>
        </w:rPr>
        <w:t>– a line of non-carbonated dairy based espresso + energy drinks in 6.75-ounce and/or 9.6-ounce aluminum cans. We offer the following products under the X-Presso Monster</w:t>
      </w:r>
      <w:r>
        <w:rPr>
          <w:rFonts w:ascii="Arial" w:cs="Arial" w:eastAsia="Arial" w:hAnsi="Arial"/>
          <w:sz w:val="18"/>
          <w:szCs w:val="18"/>
          <w:i w:val="1"/>
          <w:iCs w:val="1"/>
          <w:color w:val="auto"/>
        </w:rPr>
        <w:t>™</w:t>
      </w:r>
      <w:r>
        <w:rPr>
          <w:rFonts w:ascii="Arial" w:cs="Arial" w:eastAsia="Arial" w:hAnsi="Arial"/>
          <w:sz w:val="18"/>
          <w:szCs w:val="18"/>
          <w:color w:val="auto"/>
        </w:rPr>
        <w:t xml:space="preserve"> coffee energy drinks product line: Hammer and Midnite.</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Worx Energy™ Energy Shots </w:t>
      </w:r>
      <w:r>
        <w:rPr>
          <w:rFonts w:ascii="Arial" w:cs="Arial" w:eastAsia="Arial" w:hAnsi="Arial"/>
          <w:sz w:val="20"/>
          <w:szCs w:val="20"/>
          <w:color w:val="auto"/>
        </w:rPr>
        <w:t>– In October 2010, we introduced Worx Energy™ energy shots, an energy supplement which contains</w:t>
      </w:r>
      <w:r>
        <w:rPr>
          <w:rFonts w:ascii="Arial" w:cs="Arial" w:eastAsia="Arial" w:hAnsi="Arial"/>
          <w:sz w:val="20"/>
          <w:szCs w:val="20"/>
          <w:i w:val="1"/>
          <w:iCs w:val="1"/>
          <w:color w:val="auto"/>
        </w:rPr>
        <w:t xml:space="preserve"> </w:t>
      </w:r>
      <w:r>
        <w:rPr>
          <w:rFonts w:ascii="Arial" w:cs="Arial" w:eastAsia="Arial" w:hAnsi="Arial"/>
          <w:sz w:val="20"/>
          <w:szCs w:val="20"/>
          <w:color w:val="auto"/>
        </w:rPr>
        <w:t>zero calories and zero sugar in 2-ounce wide-mouth PET plastic bottles. We offer the following products under the Worx Energy</w:t>
      </w:r>
      <w:r>
        <w:rPr>
          <w:rFonts w:ascii="Arial" w:cs="Arial" w:eastAsia="Arial" w:hAnsi="Arial"/>
          <w:sz w:val="20"/>
          <w:szCs w:val="20"/>
          <w:i w:val="1"/>
          <w:iCs w:val="1"/>
          <w:color w:val="auto"/>
        </w:rPr>
        <w:t>™</w:t>
      </w:r>
      <w:r>
        <w:rPr>
          <w:rFonts w:ascii="Arial" w:cs="Arial" w:eastAsia="Arial" w:hAnsi="Arial"/>
          <w:sz w:val="20"/>
          <w:szCs w:val="20"/>
          <w:color w:val="auto"/>
        </w:rPr>
        <w:t xml:space="preserve"> Supplement product line: Original Formula and Extra Strength.</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Monster Hitman Energy Shooter™ </w:t>
      </w:r>
      <w:r>
        <w:rPr>
          <w:rFonts w:ascii="Arial" w:cs="Arial" w:eastAsia="Arial" w:hAnsi="Arial"/>
          <w:sz w:val="20"/>
          <w:szCs w:val="20"/>
          <w:color w:val="auto"/>
        </w:rPr>
        <w:t>- a line of energy shooters in 3-ounce PET plastic bottles. We offer the following products under the</w:t>
      </w:r>
      <w:r>
        <w:rPr>
          <w:rFonts w:ascii="Arial" w:cs="Arial" w:eastAsia="Arial" w:hAnsi="Arial"/>
          <w:sz w:val="20"/>
          <w:szCs w:val="20"/>
          <w:i w:val="1"/>
          <w:iCs w:val="1"/>
          <w:color w:val="auto"/>
        </w:rPr>
        <w:t xml:space="preserve"> </w:t>
      </w:r>
      <w:r>
        <w:rPr>
          <w:rFonts w:ascii="Arial" w:cs="Arial" w:eastAsia="Arial" w:hAnsi="Arial"/>
          <w:sz w:val="20"/>
          <w:szCs w:val="20"/>
          <w:color w:val="auto"/>
        </w:rPr>
        <w:t>Monster Hitman Energy Shooter™ product line: Monster Hitman Energy Shooter™, Monster LOBO Energy Shooter™ and Monster Sniper Energy Shooter™. We are in the process of discontinuing this product line.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Peace Tea™ </w:t>
      </w:r>
      <w:r>
        <w:rPr>
          <w:rFonts w:ascii="Arial" w:cs="Arial" w:eastAsia="Arial" w:hAnsi="Arial"/>
          <w:sz w:val="20"/>
          <w:szCs w:val="20"/>
          <w:color w:val="auto"/>
        </w:rPr>
        <w:t>- a line of ready-to-drink iced teas in 23-ounce aluminum cans. We offer the following products under the Peace Tea™</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green tea, diet green tea, imported Ceylon tea, sweet lemon tea, razzleberry tea, unsweetened tea and “Caddy Shack” tea + lemonade (being introduced in the first quarter of 2011).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Warehouse Segment</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Hansen’s Natural Sodas® - </w:t>
      </w:r>
      <w:r>
        <w:rPr>
          <w:rFonts w:ascii="Arial" w:cs="Arial" w:eastAsia="Arial" w:hAnsi="Arial"/>
          <w:sz w:val="20"/>
          <w:szCs w:val="20"/>
          <w:color w:val="auto"/>
        </w:rPr>
        <w:t>Hansen’s Natural Sodas® have been a leading natural soda brand in Southern California for more than 30</w:t>
      </w:r>
      <w:r>
        <w:rPr>
          <w:rFonts w:ascii="Arial" w:cs="Arial" w:eastAsia="Arial" w:hAnsi="Arial"/>
          <w:sz w:val="20"/>
          <w:szCs w:val="20"/>
          <w:i w:val="1"/>
          <w:iCs w:val="1"/>
          <w:color w:val="auto"/>
        </w:rPr>
        <w:t xml:space="preserve"> </w:t>
      </w:r>
      <w:r>
        <w:rPr>
          <w:rFonts w:ascii="Arial" w:cs="Arial" w:eastAsia="Arial" w:hAnsi="Arial"/>
          <w:sz w:val="20"/>
          <w:szCs w:val="20"/>
          <w:color w:val="auto"/>
        </w:rPr>
        <w:t>years. Hansen’s Natural Sodas®, sweetened with cane sugar, and Hansen’s® Diet Sodas, sweetened with Splenda® and Acesulfame-K, contain no preservatives, no sodium, no caffeine and no artificial coloring. We offer the following sodas under the Hansen’s® brand name: Hansen’s Natural Sodas®, Hansen’s® Diet Sodas in a variety of flavors and Hansen’s® Natural Mixers. We package our natural sodas in 12-ounce and/or 16-ounce aluminum cans.</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Blue Sky</w:t>
      </w:r>
      <w:r>
        <w:rPr>
          <w:rFonts w:ascii="Arial" w:cs="Arial" w:eastAsia="Arial" w:hAnsi="Arial"/>
          <w:sz w:val="18"/>
          <w:szCs w:val="18"/>
          <w:color w:val="auto"/>
        </w:rPr>
        <w:t>®</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 Our Blue Sky® products contain no preservatives, artificial sweeteners, caffeine (other than the energy drinks) or</w:t>
      </w:r>
      <w:r>
        <w:rPr>
          <w:rFonts w:ascii="Arial" w:cs="Arial" w:eastAsia="Arial" w:hAnsi="Arial"/>
          <w:sz w:val="18"/>
          <w:szCs w:val="18"/>
          <w:i w:val="1"/>
          <w:iCs w:val="1"/>
          <w:color w:val="auto"/>
        </w:rPr>
        <w:t xml:space="preserve"> </w:t>
      </w:r>
      <w:r>
        <w:rPr>
          <w:rFonts w:ascii="Arial" w:cs="Arial" w:eastAsia="Arial" w:hAnsi="Arial"/>
          <w:sz w:val="18"/>
          <w:szCs w:val="18"/>
          <w:color w:val="auto"/>
        </w:rPr>
        <w:t>artificial coloring and are made with sugar and high quality natural flavors. We offer the following products under the Blue Sky® product line: Blue Sky® Natural Sodas, Blue Sky® Free Sodas, Blue Sky® Premium Sodas, Blue Sky® Organic Natural Sodas, Blue Sky® Seltzer Water, Blue Sky® Blue Energy® drink and Blue Sky® Café Energy. In March 2010, we launched Blue Sky® Shots, natural functional shots, which</w:t>
      </w:r>
    </w:p>
    <w:p>
      <w:pPr>
        <w:sectPr>
          <w:pgSz w:w="11900" w:h="16895" w:orient="portrait"/>
          <w:cols w:equalWidth="0" w:num="1">
            <w:col w:w="11420"/>
          </w:cols>
          <w:pgMar w:left="240" w:top="122" w:right="239" w:bottom="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20"/>
          <w:szCs w:val="20"/>
          <w:color w:val="auto"/>
        </w:rPr>
        <w:t>are packaged in 2.5-ounce PET plastic bottles. In September 2010, we introduced a Blue Sky® Free Blue Energy® drink, a new natural, zero calorie energy drink sweetened with Truvia&amp;# 153; brand stevia extract, an all natural sweetener. We package our Blue Sky® Sodas and seltzer waters in 12-ounce aluminum cans. We package our Blue Sky® Café energy drinks in 15-ounce aluminum cans. We package our Blue Sky® energy drinks in 8.3-ounce and/or 16-ounce aluminum cans and/or bag-in-box.</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i w:val="1"/>
          <w:iCs w:val="1"/>
          <w:color w:val="auto"/>
        </w:rPr>
        <w:t>Hansen’s</w:t>
      </w:r>
      <w:r>
        <w:rPr>
          <w:rFonts w:ascii="Arial" w:cs="Arial" w:eastAsia="Arial" w:hAnsi="Arial"/>
          <w:sz w:val="19"/>
          <w:szCs w:val="19"/>
          <w:color w:val="auto"/>
        </w:rPr>
        <w:t>®</w:t>
      </w:r>
      <w:r>
        <w:rPr>
          <w:rFonts w:ascii="Arial" w:cs="Arial" w:eastAsia="Arial" w:hAnsi="Arial"/>
          <w:sz w:val="19"/>
          <w:szCs w:val="19"/>
          <w:i w:val="1"/>
          <w:iCs w:val="1"/>
          <w:color w:val="auto"/>
        </w:rPr>
        <w:t xml:space="preserve"> Energy Drinks </w:t>
      </w:r>
      <w:r>
        <w:rPr>
          <w:rFonts w:ascii="Arial" w:cs="Arial" w:eastAsia="Arial" w:hAnsi="Arial"/>
          <w:sz w:val="19"/>
          <w:szCs w:val="19"/>
          <w:color w:val="auto"/>
        </w:rPr>
        <w:t>- Our Hansen’s</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energy drinks compete in the “functional” beverage category, namely, beverages that</w:t>
      </w:r>
      <w:r>
        <w:rPr>
          <w:rFonts w:ascii="Arial" w:cs="Arial" w:eastAsia="Arial" w:hAnsi="Arial"/>
          <w:sz w:val="19"/>
          <w:szCs w:val="19"/>
          <w:i w:val="1"/>
          <w:iCs w:val="1"/>
          <w:color w:val="auto"/>
        </w:rPr>
        <w:t xml:space="preserve"> </w:t>
      </w:r>
      <w:r>
        <w:rPr>
          <w:rFonts w:ascii="Arial" w:cs="Arial" w:eastAsia="Arial" w:hAnsi="Arial"/>
          <w:sz w:val="19"/>
          <w:szCs w:val="19"/>
          <w:color w:val="auto"/>
        </w:rPr>
        <w:t>provide a real or perceived benefit in addition to simply delivering refreshment. Our Hansen’s</w:t>
      </w:r>
      <w:r>
        <w:rPr>
          <w:rFonts w:ascii="Arial" w:cs="Arial" w:eastAsia="Arial" w:hAnsi="Arial"/>
          <w:sz w:val="19"/>
          <w:szCs w:val="19"/>
          <w:b w:val="1"/>
          <w:bCs w:val="1"/>
          <w:color w:val="auto"/>
        </w:rPr>
        <w:t>®</w:t>
      </w:r>
      <w:r>
        <w:rPr>
          <w:rFonts w:ascii="Arial" w:cs="Arial" w:eastAsia="Arial" w:hAnsi="Arial"/>
          <w:sz w:val="19"/>
          <w:szCs w:val="19"/>
          <w:color w:val="auto"/>
        </w:rPr>
        <w:t xml:space="preserve"> energy drinks contain vitamins, minerals, nutrients, herbs and supplements (collectively, “supplements”). We market our Hansen’s® brand energy drinks through the Warehouse segment. We offer the following products under the Hansen’s</w:t>
      </w:r>
      <w:r>
        <w:rPr>
          <w:rFonts w:ascii="Arial" w:cs="Arial" w:eastAsia="Arial" w:hAnsi="Arial"/>
          <w:sz w:val="19"/>
          <w:szCs w:val="19"/>
          <w:b w:val="1"/>
          <w:bCs w:val="1"/>
          <w:color w:val="auto"/>
        </w:rPr>
        <w:t>®</w:t>
      </w:r>
      <w:r>
        <w:rPr>
          <w:rFonts w:ascii="Arial" w:cs="Arial" w:eastAsia="Arial" w:hAnsi="Arial"/>
          <w:sz w:val="19"/>
          <w:szCs w:val="19"/>
          <w:color w:val="auto"/>
        </w:rPr>
        <w:t xml:space="preserve"> energy drink product line: Hansen’s® Energy Pro and Hansen’s</w:t>
      </w:r>
      <w:r>
        <w:rPr>
          <w:rFonts w:ascii="Arial" w:cs="Arial" w:eastAsia="Arial" w:hAnsi="Arial"/>
          <w:sz w:val="19"/>
          <w:szCs w:val="19"/>
          <w:b w:val="1"/>
          <w:bCs w:val="1"/>
          <w:color w:val="auto"/>
        </w:rPr>
        <w:t>®</w:t>
      </w:r>
      <w:r>
        <w:rPr>
          <w:rFonts w:ascii="Arial" w:cs="Arial" w:eastAsia="Arial" w:hAnsi="Arial"/>
          <w:sz w:val="19"/>
          <w:szCs w:val="19"/>
          <w:color w:val="auto"/>
        </w:rPr>
        <w:t xml:space="preserve"> Energy Diet Red. We package our Hansen’s® energy drinks in 8.3-ounce aluminum cans.</w:t>
      </w:r>
    </w:p>
    <w:p>
      <w:pPr>
        <w:spacing w:after="0" w:line="1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Juice Products and Smoothies </w:t>
      </w:r>
      <w:r>
        <w:rPr>
          <w:rFonts w:ascii="Arial" w:cs="Arial" w:eastAsia="Arial" w:hAnsi="Arial"/>
          <w:sz w:val="19"/>
          <w:szCs w:val="19"/>
          <w:color w:val="auto"/>
        </w:rPr>
        <w:t>- Our fruit juice product line includes Hansen’s® Natural Apple Juice, which is packaged in 64-ounce</w:t>
      </w:r>
      <w:r>
        <w:rPr>
          <w:rFonts w:ascii="Arial" w:cs="Arial" w:eastAsia="Arial" w:hAnsi="Arial"/>
          <w:sz w:val="19"/>
          <w:szCs w:val="19"/>
          <w:i w:val="1"/>
          <w:iCs w:val="1"/>
          <w:color w:val="auto"/>
        </w:rPr>
        <w:t xml:space="preserve"> </w:t>
      </w:r>
      <w:r>
        <w:rPr>
          <w:rFonts w:ascii="Arial" w:cs="Arial" w:eastAsia="Arial" w:hAnsi="Arial"/>
          <w:sz w:val="19"/>
          <w:szCs w:val="19"/>
          <w:color w:val="auto"/>
        </w:rPr>
        <w:t>PET plastic bottles and 128-ounce High Density Polyethylene bottles; as well as Hansen’s® Natural Grape Juice, White Grape Juice, Pineapple Juice, Apple Grape Juice, Apple Strawberry Juice, Orange Juice, Cranberry-Apple Juice, Ruby Red Grapefruit Juice, and Organic Apple Juice, which are all packaged in 64-ounce PET plastic bottles. These Hansen’s® juice products contain 100% juice as well as 120% of the United States Recommended Daily Allowances (the “USRDA”) for Vitamin C. We also offer Hansen’s® Natural Lo-Cal juice cocktails, a line of all natural, lo w-calorie 64-ounce juice cocktails in four flavors. The Lo-Cal juice cocktails are sweetened with Truvia™ brand stevia extract, an all natural sweetener. Hansen’s® juice products compete in the shelf-stable juice category.</w:t>
      </w:r>
    </w:p>
    <w:p>
      <w:pPr>
        <w:spacing w:after="0" w:line="19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Hansen’s® fruit juice smoothies contain approximately 25% juice and provide 100% of the USRDA for adults of Vitamins A, C &amp; E, and represented Hansen’s® entry, in 1995, into what is commonly referred to as the “functional” beverage category. Hansen’s® fruit juice smoothies are packaged in 11.5-ounce aluminum cans.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Juices for Children - </w:t>
      </w:r>
      <w:r>
        <w:rPr>
          <w:rFonts w:ascii="Arial" w:cs="Arial" w:eastAsia="Arial" w:hAnsi="Arial"/>
          <w:sz w:val="20"/>
          <w:szCs w:val="20"/>
          <w:color w:val="auto"/>
        </w:rPr>
        <w:t>Our Juice Blast® line of children’s multi-vitamin juice drinks is a dual-branded 100% juice line which was</w:t>
      </w:r>
      <w:r>
        <w:rPr>
          <w:rFonts w:ascii="Arial" w:cs="Arial" w:eastAsia="Arial" w:hAnsi="Arial"/>
          <w:sz w:val="20"/>
          <w:szCs w:val="20"/>
          <w:i w:val="1"/>
          <w:iCs w:val="1"/>
          <w:color w:val="auto"/>
        </w:rPr>
        <w:t xml:space="preserve"> </w:t>
      </w:r>
      <w:r>
        <w:rPr>
          <w:rFonts w:ascii="Arial" w:cs="Arial" w:eastAsia="Arial" w:hAnsi="Arial"/>
          <w:sz w:val="20"/>
          <w:szCs w:val="20"/>
          <w:color w:val="auto"/>
        </w:rPr>
        <w:t>launched in conjunction with Costco Wholesale Corporation (“Costco”) and is sold through Costco stores. Our Juice Slam™ line of children’s multi-vitamin juice drinks is a 100% juice line, which we market to other customers. Both the Juice Blast® and Juice Slam™ lines of children’s multi-vitamin juice drinks contain eleven essential vitamins and six essential minerals, are packaged in 6.75-ounce aseptic boxes and are available in a variety of flavors.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Hansen’s® Junior Juice® product line is a 100% juice line offered in 4.23-ounce aseptic packages and is targeted at toddlers and preschoolers. Most flavors in the Junior Juice® line have calcium added and all flavors contain 100% of the daily recommended allowance of Vitamin C. We extended the Junior Juice® line by adding organic juice products in 4.23-ounce aseptic boxes. We also market Hansen’s® Organic Junior Water™, a lightly flavored reduced calorie beverage for toddlers, also packaged in 4.23-ounce aseptic packages.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Hansen’s® Iced Teas - </w:t>
      </w:r>
      <w:r>
        <w:rPr>
          <w:rFonts w:ascii="Arial" w:cs="Arial" w:eastAsia="Arial" w:hAnsi="Arial"/>
          <w:sz w:val="20"/>
          <w:szCs w:val="20"/>
          <w:color w:val="auto"/>
        </w:rPr>
        <w:t>a line of iced teas in sleek 16-ounce wide mouth PET plastic bottles. We offer a number of varieties sweetened</w:t>
      </w:r>
      <w:r>
        <w:rPr>
          <w:rFonts w:ascii="Arial" w:cs="Arial" w:eastAsia="Arial" w:hAnsi="Arial"/>
          <w:sz w:val="20"/>
          <w:szCs w:val="20"/>
          <w:i w:val="1"/>
          <w:iCs w:val="1"/>
          <w:color w:val="auto"/>
        </w:rPr>
        <w:t xml:space="preserve"> </w:t>
      </w:r>
      <w:r>
        <w:rPr>
          <w:rFonts w:ascii="Arial" w:cs="Arial" w:eastAsia="Arial" w:hAnsi="Arial"/>
          <w:sz w:val="20"/>
          <w:szCs w:val="20"/>
          <w:color w:val="auto"/>
        </w:rPr>
        <w:t>with cane sugar as well as sugar free and unsweetened varieties.</w:t>
      </w:r>
    </w:p>
    <w:p>
      <w:pPr>
        <w:spacing w:after="0" w:line="190" w:lineRule="exact"/>
        <w:rPr>
          <w:sz w:val="20"/>
          <w:szCs w:val="20"/>
          <w:color w:val="auto"/>
        </w:rPr>
      </w:pPr>
    </w:p>
    <w:p>
      <w:pPr>
        <w:jc w:val="both"/>
        <w:ind w:firstLine="702"/>
        <w:spacing w:after="0" w:line="282" w:lineRule="auto"/>
        <w:rPr>
          <w:sz w:val="20"/>
          <w:szCs w:val="20"/>
          <w:color w:val="auto"/>
        </w:rPr>
      </w:pPr>
      <w:r>
        <w:rPr>
          <w:rFonts w:ascii="Arial" w:cs="Arial" w:eastAsia="Arial" w:hAnsi="Arial"/>
          <w:sz w:val="18"/>
          <w:szCs w:val="18"/>
          <w:i w:val="1"/>
          <w:iCs w:val="1"/>
          <w:color w:val="auto"/>
        </w:rPr>
        <w:t xml:space="preserve">Hubert’s™ Lemonade – </w:t>
      </w:r>
      <w:r>
        <w:rPr>
          <w:rFonts w:ascii="Arial" w:cs="Arial" w:eastAsia="Arial" w:hAnsi="Arial"/>
          <w:sz w:val="18"/>
          <w:szCs w:val="18"/>
          <w:color w:val="auto"/>
        </w:rPr>
        <w:t>In August 2010, we introduced Hubert’s™ Lemonade, a line of premium ready-to-drink lemonades packaged</w:t>
      </w:r>
      <w:r>
        <w:rPr>
          <w:rFonts w:ascii="Arial" w:cs="Arial" w:eastAsia="Arial" w:hAnsi="Arial"/>
          <w:sz w:val="18"/>
          <w:szCs w:val="18"/>
          <w:i w:val="1"/>
          <w:iCs w:val="1"/>
          <w:color w:val="auto"/>
        </w:rPr>
        <w:t xml:space="preserve"> </w:t>
      </w:r>
      <w:r>
        <w:rPr>
          <w:rFonts w:ascii="Arial" w:cs="Arial" w:eastAsia="Arial" w:hAnsi="Arial"/>
          <w:sz w:val="18"/>
          <w:szCs w:val="18"/>
          <w:color w:val="auto"/>
        </w:rPr>
        <w:t>in 16-ounce glass bottles. Hubert’s™ is sweetened with cane sugar and Truvia™ brand stevia extract, an all natural sweetener. Hubert’s™ Lemonade is all natural and contains no preservatives, artificial sweeteners, caffeine, or artificial coloring. We offer the following products under the Hubert’s™ Lemonade product line: mango lemonade, honey lemonade, raspberry lemonade and original lemonade.</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Admiral™ Iced Teas - </w:t>
      </w:r>
      <w:r>
        <w:rPr>
          <w:rFonts w:ascii="Arial" w:cs="Arial" w:eastAsia="Arial" w:hAnsi="Arial"/>
          <w:sz w:val="20"/>
          <w:szCs w:val="20"/>
          <w:color w:val="auto"/>
        </w:rPr>
        <w:t>In March 2010, we introduced Admiral™ Iced Teas, a line of ready-to-drink iced teas packaged in 24-ounce</w:t>
      </w:r>
      <w:r>
        <w:rPr>
          <w:rFonts w:ascii="Arial" w:cs="Arial" w:eastAsia="Arial" w:hAnsi="Arial"/>
          <w:sz w:val="20"/>
          <w:szCs w:val="20"/>
          <w:i w:val="1"/>
          <w:iCs w:val="1"/>
          <w:color w:val="auto"/>
        </w:rPr>
        <w:t xml:space="preserve"> </w:t>
      </w:r>
      <w:r>
        <w:rPr>
          <w:rFonts w:ascii="Arial" w:cs="Arial" w:eastAsia="Arial" w:hAnsi="Arial"/>
          <w:sz w:val="20"/>
          <w:szCs w:val="20"/>
          <w:color w:val="auto"/>
        </w:rPr>
        <w:t>aluminum cans. Admiral ™ Iced Teas are sweetened with high fructose corn syrup and Splenda</w:t>
      </w:r>
      <w:r>
        <w:rPr>
          <w:rFonts w:ascii="Arial" w:cs="Arial" w:eastAsia="Arial" w:hAnsi="Arial"/>
          <w:sz w:val="20"/>
          <w:szCs w:val="20"/>
          <w:i w:val="1"/>
          <w:iCs w:val="1"/>
          <w:color w:val="auto"/>
        </w:rPr>
        <w:t>®</w:t>
      </w:r>
      <w:r>
        <w:rPr>
          <w:rFonts w:ascii="Arial" w:cs="Arial" w:eastAsia="Arial" w:hAnsi="Arial"/>
          <w:sz w:val="20"/>
          <w:szCs w:val="20"/>
          <w:color w:val="auto"/>
        </w:rPr>
        <w:t>. Admiral™ Iced Teas contains all natural flavors and contain no preservatives or artificial coloring. We offer the following products under the Admiral™ Iced Tea product line: raspberry, lemon, mango and green tea.</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SELF Beauty Elixir™ by Hansen’s® - </w:t>
      </w:r>
      <w:r>
        <w:rPr>
          <w:rFonts w:ascii="Arial" w:cs="Arial" w:eastAsia="Arial" w:hAnsi="Arial"/>
          <w:sz w:val="19"/>
          <w:szCs w:val="19"/>
          <w:color w:val="auto"/>
        </w:rPr>
        <w:t>a line of low-calorie, functional, ready-to-drink beauty beverages infused with an essential blend</w:t>
      </w:r>
      <w:r>
        <w:rPr>
          <w:rFonts w:ascii="Arial" w:cs="Arial" w:eastAsia="Arial" w:hAnsi="Arial"/>
          <w:sz w:val="19"/>
          <w:szCs w:val="19"/>
          <w:i w:val="1"/>
          <w:iCs w:val="1"/>
          <w:color w:val="auto"/>
        </w:rPr>
        <w:t xml:space="preserve"> </w:t>
      </w:r>
      <w:r>
        <w:rPr>
          <w:rFonts w:ascii="Arial" w:cs="Arial" w:eastAsia="Arial" w:hAnsi="Arial"/>
          <w:sz w:val="19"/>
          <w:szCs w:val="19"/>
          <w:color w:val="auto"/>
        </w:rPr>
        <w:t>of vitamins, minerals, natural fruit &amp; botanical extracts with antioxidants, packaged in 8-ounce slim aluminum cans.</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Hansen’s® Natural Fruit and Tea Stix™ - </w:t>
      </w:r>
      <w:r>
        <w:rPr>
          <w:rFonts w:ascii="Arial" w:cs="Arial" w:eastAsia="Arial" w:hAnsi="Arial"/>
          <w:sz w:val="20"/>
          <w:szCs w:val="20"/>
          <w:color w:val="auto"/>
        </w:rPr>
        <w:t>In February 2010, we introduced the Fruit and Tea Stix™ product line, an all-natural, low-calorie powder drink mix, sweetened naturally with Truvia™ brand stevia extract, an all natural sweetener. Hansen’s® Natural Fruit and Tea Stix™ are packaged in 4-gram slim stick packs.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Bottled Water - </w:t>
      </w:r>
      <w:r>
        <w:rPr>
          <w:rFonts w:ascii="Arial" w:cs="Arial" w:eastAsia="Arial" w:hAnsi="Arial"/>
          <w:sz w:val="20"/>
          <w:szCs w:val="20"/>
          <w:color w:val="auto"/>
        </w:rPr>
        <w:t>Our still water product is sold in 0.5-liter plastic bottles, primarily to the food service trade. Sales of this product line</w:t>
      </w:r>
      <w:r>
        <w:rPr>
          <w:rFonts w:ascii="Arial" w:cs="Arial" w:eastAsia="Arial" w:hAnsi="Arial"/>
          <w:sz w:val="20"/>
          <w:szCs w:val="20"/>
          <w:i w:val="1"/>
          <w:iCs w:val="1"/>
          <w:color w:val="auto"/>
        </w:rPr>
        <w:t xml:space="preserve"> </w:t>
      </w:r>
      <w:r>
        <w:rPr>
          <w:rFonts w:ascii="Arial" w:cs="Arial" w:eastAsia="Arial" w:hAnsi="Arial"/>
          <w:sz w:val="20"/>
          <w:szCs w:val="20"/>
          <w:color w:val="auto"/>
        </w:rPr>
        <w:t>are very limited.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Lost® Energy™ Drinks </w:t>
      </w:r>
      <w:r>
        <w:rPr>
          <w:rFonts w:ascii="Arial" w:cs="Arial" w:eastAsia="Arial" w:hAnsi="Arial"/>
          <w:sz w:val="20"/>
          <w:szCs w:val="20"/>
          <w:color w:val="auto"/>
        </w:rPr>
        <w:t>- a line of carbonated energy drinks under the Lost® brand name. The Lost® brand name is owned by Lost</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LLC and the drinks are produced, sold and distributed by us under an exclusive license from Lost International, LLC. We offer the following products under the Lost® Energy™ brand energy drink product line: Lost® and Lost® Perfect 10™. We package our Lost® Energy™ drinks in 16-ounce and/or 24-ounce aluminum cans.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Energy Juices </w:t>
      </w:r>
      <w:r>
        <w:rPr>
          <w:rFonts w:ascii="Arial" w:cs="Arial" w:eastAsia="Arial" w:hAnsi="Arial"/>
          <w:sz w:val="20"/>
          <w:szCs w:val="20"/>
          <w:color w:val="auto"/>
        </w:rPr>
        <w:t>- a line of non-carbonated energy juices under the Rumba®, Samba and Tango brand names. Our energy juices are 100%</w:t>
      </w:r>
      <w:r>
        <w:rPr>
          <w:rFonts w:ascii="Arial" w:cs="Arial" w:eastAsia="Arial" w:hAnsi="Arial"/>
          <w:sz w:val="20"/>
          <w:szCs w:val="20"/>
          <w:i w:val="1"/>
          <w:iCs w:val="1"/>
          <w:color w:val="auto"/>
        </w:rPr>
        <w:t xml:space="preserve"> </w:t>
      </w:r>
      <w:r>
        <w:rPr>
          <w:rFonts w:ascii="Arial" w:cs="Arial" w:eastAsia="Arial" w:hAnsi="Arial"/>
          <w:sz w:val="20"/>
          <w:szCs w:val="20"/>
          <w:color w:val="auto"/>
        </w:rPr>
        <w:t>juice products that target male and female morning beverage consumers and are positioned as a substitute for coffee, caffeinated sodas and 100% orange or other juices. We package our energy juices in 15.5-ounce aluminum cans.</w:t>
      </w:r>
    </w:p>
    <w:p>
      <w:pPr>
        <w:sectPr>
          <w:pgSz w:w="11900" w:h="16838" w:orient="portrait"/>
          <w:cols w:equalWidth="0" w:num="1">
            <w:col w:w="11420"/>
          </w:cols>
          <w:pgMar w:left="240" w:top="122" w:right="239"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5" w:name="page6"/>
    <w:bookmarkEnd w:id="5"/>
    <w:p>
      <w:pPr>
        <w:ind w:left="660"/>
        <w:spacing w:after="0"/>
        <w:rPr>
          <w:sz w:val="20"/>
          <w:szCs w:val="20"/>
          <w:color w:val="auto"/>
        </w:rPr>
      </w:pPr>
      <w:r>
        <w:rPr>
          <w:rFonts w:ascii="Arial" w:cs="Arial" w:eastAsia="Arial" w:hAnsi="Arial"/>
          <w:sz w:val="18"/>
          <w:szCs w:val="18"/>
          <w:i w:val="1"/>
          <w:iCs w:val="1"/>
          <w:color w:val="auto"/>
        </w:rPr>
        <w:t>Vidration</w:t>
      </w:r>
      <w:r>
        <w:rPr>
          <w:rFonts w:ascii="Arial" w:cs="Arial" w:eastAsia="Arial" w:hAnsi="Arial"/>
          <w:sz w:val="18"/>
          <w:szCs w:val="18"/>
          <w:color w:val="auto"/>
        </w:rPr>
        <w:t>® - a zero calorie, vitamin enhanced water line under the Vidration® brand name packaged in 20-ounce PET plastic bottles.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We offer the following products under the Vidration® brand product line: Defense, Recover, Energy, Multi – V and Power.</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Other Products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continue to evaluate and, where considered appropriate, introduce additional flavors and types of beverages to complement our existing product lines. We will also evaluate, and may, where considered appropriate, introduce “functional” foods/snack foods that utilize similar channels of distribution and/or are complementary to our existing products and/or to which our brand names are able to add value.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also develop and supply, on a limited basis, selected beverages in different formats to a limited number of customers with the objective of solidifying and/or enhancing our relationship with those customers.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Manufacture and Distribution</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do not directly manufacture our products, but instead outsource the manufacturing process to third party bottlers and contract packers.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purchase concentrates, juices, flavors, supplements, cans, bottles, aseptic boxes, aseptic pouches, caps, labels, trays, boxes and other ingredients for our beverage products from our suppliers, which are delivered to our various third party bottlers and co-packers. Depending on the product, the third party bottlers or packers add filtered water and/or other ingredients and supplements for the manufacture and packaging of the finished products into our approved containers in accordance with our formulas. In the case of sodas and other carbonated beverages, the bottler/packer adds carbonation to the products as part of the production process.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Co-Packing Arrangements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are generally responsible for arranging for the purchase of and delivery to our third party bottlers and co-packers of the containers in which our beverage products are packaged.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 The majority of our co-packaging arrangements are on a month-to-month basis. However, certain of our co-packing arrangements are described below:</w:t>
      </w:r>
    </w:p>
    <w:p>
      <w:pPr>
        <w:spacing w:after="0" w:line="200" w:lineRule="exact"/>
        <w:rPr>
          <w:sz w:val="20"/>
          <w:szCs w:val="20"/>
          <w:color w:val="auto"/>
        </w:rPr>
      </w:pPr>
    </w:p>
    <w:p>
      <w:pPr>
        <w:jc w:val="both"/>
        <w:ind w:left="660" w:hanging="328"/>
        <w:spacing w:after="0" w:line="250" w:lineRule="auto"/>
        <w:tabs>
          <w:tab w:leader="none" w:pos="745"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agreement with Cold Springs Brewing Company, formerly Gluek Brewing Company (“Cold Springs”), pursuant to which Cold Springs packages certain of our energy drinks. This contract continues indefinitely, unless terminated by either party in writing upon ninety (90) days prior notice.</w:t>
      </w:r>
    </w:p>
    <w:p>
      <w:pPr>
        <w:spacing w:after="0" w:line="199" w:lineRule="exact"/>
        <w:rPr>
          <w:rFonts w:ascii="Arial" w:cs="Arial" w:eastAsia="Arial" w:hAnsi="Arial"/>
          <w:sz w:val="20"/>
          <w:szCs w:val="20"/>
          <w:color w:val="auto"/>
        </w:rPr>
      </w:pPr>
    </w:p>
    <w:p>
      <w:pPr>
        <w:jc w:val="both"/>
        <w:ind w:left="660" w:hanging="328"/>
        <w:spacing w:after="0" w:line="269" w:lineRule="auto"/>
        <w:tabs>
          <w:tab w:leader="none" w:pos="742"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agreement with Carolina Beer &amp; Beverage (“Carolina”) pursuant to which Carolina packages certain of our energy drinks. This contract continues until April 2011 and is automatically extended for additional periods of one (1) year each, unless either party notifies the other in writing at least one hundred eighty (180) days prior to the last day of the then current term.</w:t>
      </w:r>
    </w:p>
    <w:p>
      <w:pPr>
        <w:spacing w:after="0" w:line="183" w:lineRule="exact"/>
        <w:rPr>
          <w:rFonts w:ascii="Arial" w:cs="Arial" w:eastAsia="Arial" w:hAnsi="Arial"/>
          <w:sz w:val="19"/>
          <w:szCs w:val="19"/>
          <w:color w:val="auto"/>
        </w:rPr>
      </w:pPr>
    </w:p>
    <w:p>
      <w:pPr>
        <w:jc w:val="both"/>
        <w:ind w:left="660" w:hanging="328"/>
        <w:spacing w:after="0" w:line="250" w:lineRule="auto"/>
        <w:tabs>
          <w:tab w:leader="none" w:pos="664"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agreement with Safeway, Inc. (“Safeway”) pursuant to which Safeway packages certain of our energy drinks and Hansen’s Natural Sodas®. This contract continues until March 2011 and is automatically renewed annually thereafter, unless terminated by either party upon six (6) months written notice.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hanging="328"/>
        <w:spacing w:after="0" w:line="260" w:lineRule="auto"/>
        <w:tabs>
          <w:tab w:leader="none" w:pos="7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agreement with Dairy Farmers of America, Inc. (“DFA”) pursuant to which DFA packages certain of our energy drinks. This contract continues until March 2011 and is automatically renewed for consecutive one (1) year periods, subject to mutually agreeable pricing, unless either party provides notice of cancellation at least ninety (90) days prior to the end of the initial term or subsequent extension period. Further, either party may terminate this agreement at its sole discretion at any time by providing the other party with one hundred eighty (180) days prior written notification specifying the date of termination.</w:t>
      </w:r>
    </w:p>
    <w:p>
      <w:pPr>
        <w:spacing w:after="0" w:line="194" w:lineRule="exact"/>
        <w:rPr>
          <w:rFonts w:ascii="Arial" w:cs="Arial" w:eastAsia="Arial" w:hAnsi="Arial"/>
          <w:sz w:val="19"/>
          <w:szCs w:val="19"/>
          <w:color w:val="auto"/>
        </w:rPr>
      </w:pPr>
    </w:p>
    <w:p>
      <w:pPr>
        <w:jc w:val="both"/>
        <w:ind w:left="660" w:hanging="328"/>
        <w:spacing w:after="0" w:line="250" w:lineRule="auto"/>
        <w:tabs>
          <w:tab w:leader="none" w:pos="677"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agreement with the American Bottling Co. (“American”) pursuant to which American packages certain of our energy drinks. This is automatically renewed for additional terms of one (1) month, unless terminated by either party at least thirty (30) days prior to the last day of the then current term.</w:t>
      </w:r>
    </w:p>
    <w:p>
      <w:pPr>
        <w:spacing w:after="0" w:line="199" w:lineRule="exact"/>
        <w:rPr>
          <w:rFonts w:ascii="Arial" w:cs="Arial" w:eastAsia="Arial" w:hAnsi="Arial"/>
          <w:sz w:val="20"/>
          <w:szCs w:val="20"/>
          <w:color w:val="auto"/>
        </w:rPr>
      </w:pPr>
    </w:p>
    <w:p>
      <w:pPr>
        <w:jc w:val="both"/>
        <w:ind w:left="660" w:hanging="328"/>
        <w:spacing w:after="0" w:line="291" w:lineRule="auto"/>
        <w:tabs>
          <w:tab w:leader="none" w:pos="7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agreement with Giumarra &amp; Associates Beverage Company (“Giumarra”) pursuant to which Giumarra packages certain of our energy drinks and juices. This contract continues until June 2011 and is automatically extended for additional periods of one (1) year, unless either party notifies the other in writing at least one hundred eighty (180) days prior to the last day of the then current term.</w:t>
      </w:r>
    </w:p>
    <w:p>
      <w:pPr>
        <w:spacing w:after="0" w:line="165" w:lineRule="exact"/>
        <w:rPr>
          <w:rFonts w:ascii="Arial" w:cs="Arial" w:eastAsia="Arial" w:hAnsi="Arial"/>
          <w:sz w:val="18"/>
          <w:szCs w:val="18"/>
          <w:color w:val="auto"/>
        </w:rPr>
      </w:pPr>
    </w:p>
    <w:p>
      <w:pPr>
        <w:ind w:left="660" w:hanging="328"/>
        <w:spacing w:after="0" w:line="287" w:lineRule="auto"/>
        <w:tabs>
          <w:tab w:leader="none" w:pos="688"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agreement with Pri-Pak, Inc. (“Pri-Pak”) pursuant to which Pri-Pak packages certain of our energy drinks. This contract continues indefinitely but may be terminated at any time by either party by giving ninety (90) days prior written notice.</w:t>
      </w:r>
    </w:p>
    <w:p>
      <w:pPr>
        <w:spacing w:after="0" w:line="166" w:lineRule="exact"/>
        <w:rPr>
          <w:rFonts w:ascii="Arial" w:cs="Arial" w:eastAsia="Arial" w:hAnsi="Arial"/>
          <w:sz w:val="19"/>
          <w:szCs w:val="19"/>
          <w:color w:val="auto"/>
        </w:rPr>
      </w:pPr>
    </w:p>
    <w:p>
      <w:pPr>
        <w:jc w:val="both"/>
        <w:ind w:left="660" w:hanging="328"/>
        <w:spacing w:after="0" w:line="246" w:lineRule="auto"/>
        <w:tabs>
          <w:tab w:leader="none" w:pos="729"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agreement with O-AT-KA Milk Products Cooperative (“O-AT-KA”) pursuant to which O-AT-KA packages certain of our energy drinks. This contract continues until September 2011 and is automatically renewable for consecutive one (1) year periods, subject to mutually agreeable pricing, unless either party provides notice of cancellation at least ninety (90) days prior to the end of the initial term or subsequent extension period.</w:t>
      </w:r>
    </w:p>
    <w:p>
      <w:pPr>
        <w:sectPr>
          <w:pgSz w:w="11900" w:h="16838" w:orient="portrait"/>
          <w:cols w:equalWidth="0" w:num="1">
            <w:col w:w="11420"/>
          </w:cols>
          <w:pgMar w:left="240" w:top="582" w:right="239" w:bottom="0" w:gutter="0" w:footer="0" w:header="0"/>
        </w:sectPr>
      </w:pPr>
    </w:p>
    <w:bookmarkStart w:id="6" w:name="page7"/>
    <w:bookmarkEnd w:id="6"/>
    <w:p>
      <w:pPr>
        <w:spacing w:after="0" w:line="93" w:lineRule="exact"/>
        <w:rPr>
          <w:sz w:val="20"/>
          <w:szCs w:val="20"/>
          <w:color w:val="auto"/>
        </w:rPr>
      </w:pPr>
    </w:p>
    <w:p>
      <w:pPr>
        <w:jc w:val="both"/>
        <w:ind w:left="660" w:hanging="328"/>
        <w:spacing w:after="0" w:line="250" w:lineRule="auto"/>
        <w:tabs>
          <w:tab w:leader="none" w:pos="847"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agreement with Coca Cola Bottling Company-Canada (“CCBCC”) pursuant to which CCBCC packages certain of our energy drinks. This contract continues through February 2012 and is automatically extended for additional terms of one (1) year each unless terminated by either party upon ninety (90) days written notice.</w:t>
      </w:r>
    </w:p>
    <w:p>
      <w:pPr>
        <w:spacing w:after="0" w:line="200" w:lineRule="exact"/>
        <w:rPr>
          <w:rFonts w:ascii="Arial" w:cs="Arial" w:eastAsia="Arial" w:hAnsi="Arial"/>
          <w:sz w:val="20"/>
          <w:szCs w:val="20"/>
          <w:color w:val="auto"/>
        </w:rPr>
      </w:pPr>
    </w:p>
    <w:p>
      <w:pPr>
        <w:jc w:val="both"/>
        <w:ind w:left="660" w:hanging="328"/>
        <w:spacing w:after="0" w:line="250" w:lineRule="auto"/>
        <w:tabs>
          <w:tab w:leader="none" w:pos="8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agreement with DIS Contractfilling BV (“DIS”) pursuant to which DIS packages certain of our energy drinks. This contract continues through January 2013 and is automatically extended for an additional term of three (3) years, unless either party notifies the other in writing at least one hundred eighty (180) days prior to the then current term.</w:t>
      </w:r>
    </w:p>
    <w:p>
      <w:pPr>
        <w:spacing w:after="0" w:line="199" w:lineRule="exact"/>
        <w:rPr>
          <w:rFonts w:ascii="Arial" w:cs="Arial" w:eastAsia="Arial" w:hAnsi="Arial"/>
          <w:sz w:val="20"/>
          <w:szCs w:val="20"/>
          <w:color w:val="auto"/>
        </w:rPr>
      </w:pPr>
    </w:p>
    <w:p>
      <w:pPr>
        <w:ind w:left="660" w:hanging="328"/>
        <w:spacing w:after="0" w:line="250" w:lineRule="auto"/>
        <w:tabs>
          <w:tab w:leader="none" w:pos="661"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agreement with Whitlock Packaging (“Whitlock”) pursuant to which Whitlock packages certain of our energy drinks. This contract continues through January 1, 2012 and is automatically extended for additional terms of one (1) year each unless terminated by either party upon one hundred eighty (180) days written notice.</w:t>
      </w:r>
    </w:p>
    <w:p>
      <w:pPr>
        <w:spacing w:after="0" w:line="200" w:lineRule="exact"/>
        <w:rPr>
          <w:sz w:val="20"/>
          <w:szCs w:val="20"/>
          <w:color w:val="auto"/>
        </w:rPr>
      </w:pPr>
    </w:p>
    <w:p>
      <w:pPr>
        <w:jc w:val="both"/>
        <w:ind w:firstLine="702"/>
        <w:spacing w:after="0" w:line="291" w:lineRule="auto"/>
        <w:rPr>
          <w:sz w:val="20"/>
          <w:szCs w:val="20"/>
          <w:color w:val="auto"/>
        </w:rPr>
      </w:pPr>
      <w:r>
        <w:rPr>
          <w:rFonts w:ascii="Arial" w:cs="Arial" w:eastAsia="Arial" w:hAnsi="Arial"/>
          <w:sz w:val="18"/>
          <w:szCs w:val="18"/>
          <w:color w:val="auto"/>
        </w:rPr>
        <w:t>In certain instances, equipment is purchased by us and installed at the facilities of our co-packers to enable them to produce certain of our products. In general, such equipment remains our property and is either returned to us upon termination of the packing arrangements with such co-packers or is amortized over a pre-determined number of cases that are to be produced at the facilities concerned.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pack certain of our products in a number of locations both domestically and internationally, including in the United States, Canada, Brazil, Europe and Australia, to enable us to produce products closer to the markets where they are sold and thereby reduce freight costs. As distribution volumes increase in both our domestic and international markets, we continue to secure additional packing arrangements closer to such markets to further reduce freight costs. 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PET plastic bottles, aseptic boxes, cans, glass, labels, flavors, juice concentrates, supp lement ingredients and certain sweeteners, and/or procure adequate packing arrangements and/or obtain adequate or timely shipment of our products, we might not be able to satisfy demand on a short-term basis. (See “Part I, Item 1A – Risk Factors”).</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Although our production arrangements are generally of short duration or are terminable upon our request, we believe a short disruption or delay would not significantly affect our revenues because alternative packing facilities in our domestic and international markets with adequate capacity can usually be obtained for many of our products at commercially reasonable rates and/or within a reasonably short time period. However, there are limited packing facilities in our domestic and international markets with adequate capacity and/or suitable equipment for certain of our products, including Monster Energy®, Monster Energy® Extra Strength Nitrous Technology™, X-Presso Monster™, Monster Energy® Import and Import Light, Monster Energy® Dub Edition, Worx Energy™ energy shots, Monster Rehab™, Rumba®, Samba and Tango energy juice drinks, o ur Java Monster™ product line and our aseptic juice products. A disruption or delay in production of any of such products could significantly affect our revenues from such products as alternative co-packing facilities in our domestic and international markets with adequate capacity may not be available for such products either at commercially reasonable rates and/or within a reasonably short time period, if at all. Consequently, a disruption in production of such products could affect our revenues. We continue to seek alternative and/or additional co-packing facilities in the United States, Canada, Australia, Brazil, the United Kingdom and Europe with adequate capacity for the production of our various products to minimize the risk of a disruption in production.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Certain of our distribution agreements are described below:</w:t>
      </w:r>
    </w:p>
    <w:p>
      <w:pPr>
        <w:spacing w:after="0" w:line="229" w:lineRule="exact"/>
        <w:rPr>
          <w:sz w:val="20"/>
          <w:szCs w:val="20"/>
          <w:color w:val="auto"/>
        </w:rPr>
      </w:pPr>
    </w:p>
    <w:p>
      <w:pPr>
        <w:jc w:val="both"/>
        <w:ind w:left="660" w:hanging="328"/>
        <w:spacing w:after="0" w:line="260" w:lineRule="auto"/>
        <w:tabs>
          <w:tab w:leader="none" w:pos="691" w:val="left"/>
        </w:tabs>
        <w:numPr>
          <w:ilvl w:val="0"/>
          <w:numId w:val="13"/>
        </w:numPr>
        <w:rPr>
          <w:rFonts w:ascii="Arial" w:cs="Arial" w:eastAsia="Arial" w:hAnsi="Arial"/>
          <w:sz w:val="19"/>
          <w:szCs w:val="19"/>
          <w:color w:val="auto"/>
        </w:rPr>
      </w:pPr>
      <w:r>
        <w:rPr>
          <w:rFonts w:ascii="Arial" w:cs="Arial" w:eastAsia="Arial" w:hAnsi="Arial"/>
          <w:sz w:val="19"/>
          <w:szCs w:val="19"/>
          <w:color w:val="auto"/>
        </w:rPr>
        <w:t>During the second quarter of 2006, we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distribute and sell, in markets designated by us, our Monster Energy® and Lost® Energy</w:t>
      </w:r>
      <w:r>
        <w:rPr>
          <w:rFonts w:ascii="Arial" w:cs="Arial" w:eastAsia="Arial" w:hAnsi="Arial"/>
          <w:sz w:val="11"/>
          <w:szCs w:val="11"/>
          <w:color w:val="auto"/>
        </w:rPr>
        <w:t>TM</w:t>
      </w:r>
      <w:r>
        <w:rPr>
          <w:rFonts w:ascii="Arial" w:cs="Arial" w:eastAsia="Arial" w:hAnsi="Arial"/>
          <w:sz w:val="19"/>
          <w:szCs w:val="19"/>
          <w:color w:val="auto"/>
        </w:rPr>
        <w:t xml:space="preserve"> brands non-alcoholic energy drinks and Rumba®, Samba and Tango brand energy juices, as well as additional products that may be agreed between the parties.</w:t>
      </w:r>
    </w:p>
    <w:p>
      <w:pPr>
        <w:spacing w:after="0" w:line="194" w:lineRule="exact"/>
        <w:rPr>
          <w:rFonts w:ascii="Arial" w:cs="Arial" w:eastAsia="Arial" w:hAnsi="Arial"/>
          <w:sz w:val="19"/>
          <w:szCs w:val="19"/>
          <w:color w:val="auto"/>
        </w:rPr>
      </w:pPr>
    </w:p>
    <w:p>
      <w:pPr>
        <w:jc w:val="both"/>
        <w:ind w:left="660" w:hanging="328"/>
        <w:spacing w:after="0" w:line="291" w:lineRule="auto"/>
        <w:tabs>
          <w:tab w:leader="none" w:pos="6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first quarter of 2007, we entered into the On-Premise Distribution Coordination Agreement (the “On-Premise Agreement”) with AB. Under the On-Premise Agreement, AB manages and coordinates the sale, distribution and merchandising of Monster Energy® energy drinks to on-premise retailers including bars, nightclubs and restaurants in territories approved by 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660" w:hanging="328"/>
        <w:spacing w:after="0" w:line="274" w:lineRule="auto"/>
        <w:tabs>
          <w:tab w:leader="none" w:pos="8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fourth quarter of 2008, we entered into the Monster Energy Distribution Coordination Agreement (the “TCCC North American Coordination Agreement”) with The Coca-Cola Company (“TCCC”). Pursuant to the TCCC North American Coordination Agreement, we have designated, and in the future may designate, territories in North America in which bottlers from TCCC’s network of wholly or partially owned and independent bottlers, including Coca-Cola Enterprises, Inc. (“CCE”) (now Coca-Cola Refreshments USA, Inc. (“CCR”)), Coca-Cola Bottling Company (“CCBC”), CCBCC Operations, LLC (“Consolidated”), United Bottling Contracts Company, LLC (“United”), and other TCCC independent bottlers (collectively, the “TCCC North American Bottlers”) will distribute and sell primarily our Monster Energy® beverages (the “Products”) in the United States and Canada.</w:t>
      </w:r>
    </w:p>
    <w:p>
      <w:pPr>
        <w:spacing w:after="0" w:line="182" w:lineRule="exact"/>
        <w:rPr>
          <w:rFonts w:ascii="Arial" w:cs="Arial" w:eastAsia="Arial" w:hAnsi="Arial"/>
          <w:sz w:val="18"/>
          <w:szCs w:val="18"/>
          <w:color w:val="auto"/>
        </w:rPr>
      </w:pPr>
    </w:p>
    <w:p>
      <w:pPr>
        <w:jc w:val="both"/>
        <w:ind w:left="660" w:hanging="328"/>
        <w:spacing w:after="0" w:line="291" w:lineRule="auto"/>
        <w:tabs>
          <w:tab w:leader="none" w:pos="7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fourth quarter of 2008, we entered into the Monster Energy Distribution Agreement with CCE (now CCR) pursuant to which CCE was appointed to distribute, directly and through certain sub-distributors, the Products in portions of twenty-four U.S. states (the “U.S. Territories”). We may designate additional territories within reasonable proximity to the U.S. Territories and CCE (now</w:t>
      </w:r>
    </w:p>
    <w:p>
      <w:pPr>
        <w:sectPr>
          <w:pgSz w:w="11900" w:h="16931" w:orient="portrait"/>
          <w:cols w:equalWidth="0" w:num="1">
            <w:col w:w="11420"/>
          </w:cols>
          <w:pgMar w:left="240" w:top="121" w:right="239" w:bottom="0" w:gutter="0" w:footer="0" w:header="0"/>
        </w:sectPr>
      </w:pPr>
    </w:p>
    <w:bookmarkStart w:id="7" w:name="page8"/>
    <w:bookmarkEnd w:id="7"/>
    <w:p>
      <w:pPr>
        <w:jc w:val="both"/>
        <w:ind w:left="660"/>
        <w:spacing w:after="0" w:line="244" w:lineRule="auto"/>
        <w:rPr>
          <w:sz w:val="20"/>
          <w:szCs w:val="20"/>
          <w:color w:val="auto"/>
        </w:rPr>
      </w:pPr>
      <w:r>
        <w:rPr>
          <w:rFonts w:ascii="Arial" w:cs="Arial" w:eastAsia="Arial" w:hAnsi="Arial"/>
          <w:sz w:val="20"/>
          <w:szCs w:val="20"/>
          <w:color w:val="auto"/>
        </w:rPr>
        <w:t>CCR) will use reasonable good faith efforts to add the additional territories. During the fourth quarter of 2008, we entered into the Monster Energy Canadian Distribution Agreement with CCBC (now Coca-Cola Refreshments Canada, Ltd. (“CCRC”)), pursuant to which CCBC was appointed to distribute, directly and through certain sub-distr ibutors, the Products in Canada, with performance commencing on January 1, 2009. In addition, during the fourth quarter of 2008, we entered into distribution agreements with Consolidated, United and other TCCC North American Bottlers for the distribution of the Products in various territories within the United States.</w:t>
      </w:r>
    </w:p>
    <w:p>
      <w:pPr>
        <w:spacing w:after="0" w:line="205" w:lineRule="exact"/>
        <w:rPr>
          <w:sz w:val="20"/>
          <w:szCs w:val="20"/>
          <w:color w:val="auto"/>
        </w:rPr>
      </w:pPr>
    </w:p>
    <w:p>
      <w:pPr>
        <w:jc w:val="both"/>
        <w:ind w:left="660" w:hanging="328"/>
        <w:spacing w:after="0" w:line="244" w:lineRule="auto"/>
        <w:tabs>
          <w:tab w:leader="none" w:pos="772" w:val="left"/>
        </w:tabs>
        <w:numPr>
          <w:ilvl w:val="0"/>
          <w:numId w:val="15"/>
        </w:numPr>
        <w:rPr>
          <w:rFonts w:ascii="Arial" w:cs="Arial" w:eastAsia="Arial" w:hAnsi="Arial"/>
          <w:sz w:val="20"/>
          <w:szCs w:val="20"/>
          <w:color w:val="auto"/>
        </w:rPr>
      </w:pPr>
      <w:r>
        <w:rPr>
          <w:rFonts w:ascii="Arial" w:cs="Arial" w:eastAsia="Arial" w:hAnsi="Arial"/>
          <w:sz w:val="20"/>
          <w:szCs w:val="20"/>
          <w:color w:val="auto"/>
        </w:rPr>
        <w:t>On October 2, 2010, TCCC completed its acquisition of the North American business operations of CCE, through a merger with a wholly owned subsidiary of TCCC. The surviving wholly owned subsidiary was subsequently renamed CCR, and currently distributes the Products in those portions of the United States in which CCE previously distributed the Products. Concurrently with this acquisition, a new entity, which retained the name Coca-Cola Enterprises, Inc. (“New CCE”) was formed, which currently distributes the Products in certain foreign territories (see (g) below).</w:t>
      </w:r>
    </w:p>
    <w:p>
      <w:pPr>
        <w:spacing w:after="0" w:line="208" w:lineRule="exact"/>
        <w:rPr>
          <w:rFonts w:ascii="Arial" w:cs="Arial" w:eastAsia="Arial" w:hAnsi="Arial"/>
          <w:sz w:val="20"/>
          <w:szCs w:val="20"/>
          <w:color w:val="auto"/>
        </w:rPr>
      </w:pPr>
    </w:p>
    <w:p>
      <w:pPr>
        <w:jc w:val="both"/>
        <w:ind w:left="660" w:hanging="328"/>
        <w:spacing w:after="0" w:line="29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fourth quarter of 2008, we entered into the Monster Energy International Coordination Agreement (the “TCCC International Coordination Agreement”) with TCCC. Pursuant to the TCCC International Coordination Agreement, we have designated, and in the future may designate, countries in which we wish to appoint TCCC distributors to distribute and sell the Products.</w:t>
      </w:r>
    </w:p>
    <w:p>
      <w:pPr>
        <w:spacing w:after="0" w:line="165" w:lineRule="exact"/>
        <w:rPr>
          <w:rFonts w:ascii="Arial" w:cs="Arial" w:eastAsia="Arial" w:hAnsi="Arial"/>
          <w:sz w:val="18"/>
          <w:szCs w:val="18"/>
          <w:color w:val="auto"/>
        </w:rPr>
      </w:pPr>
    </w:p>
    <w:p>
      <w:pPr>
        <w:jc w:val="both"/>
        <w:ind w:left="660" w:hanging="328"/>
        <w:spacing w:after="0" w:line="263" w:lineRule="auto"/>
        <w:tabs>
          <w:tab w:leader="none" w:pos="715" w:val="left"/>
        </w:tabs>
        <w:numPr>
          <w:ilvl w:val="0"/>
          <w:numId w:val="15"/>
        </w:numPr>
        <w:rPr>
          <w:rFonts w:ascii="Arial" w:cs="Arial" w:eastAsia="Arial" w:hAnsi="Arial"/>
          <w:sz w:val="19"/>
          <w:szCs w:val="19"/>
          <w:color w:val="auto"/>
        </w:rPr>
      </w:pPr>
      <w:r>
        <w:rPr>
          <w:rFonts w:ascii="Arial" w:cs="Arial" w:eastAsia="Arial" w:hAnsi="Arial"/>
          <w:sz w:val="19"/>
          <w:szCs w:val="19"/>
          <w:color w:val="auto"/>
        </w:rPr>
        <w:t>During the fourth quarter of 2008, we entered into the Monster Energy International Distribution Agreement and the Monster Energy Belgium Distribution Agreement with CCE (now New CCE) pursuant to which CCE was appointed to distribute directly, and through certain sub-distributors, the Products in Great Britain, France, Belgium, the Netherlands, Luxembourg and Monaco. During the first quarter of 2011, Sweden was added to the Monster Energy International Distribution Agreement.</w:t>
      </w:r>
    </w:p>
    <w:p>
      <w:pPr>
        <w:spacing w:after="0" w:line="190" w:lineRule="exact"/>
        <w:rPr>
          <w:rFonts w:ascii="Arial" w:cs="Arial" w:eastAsia="Arial" w:hAnsi="Arial"/>
          <w:sz w:val="19"/>
          <w:szCs w:val="19"/>
          <w:color w:val="auto"/>
        </w:rPr>
      </w:pPr>
    </w:p>
    <w:p>
      <w:pPr>
        <w:ind w:left="660" w:hanging="328"/>
        <w:spacing w:after="0" w:line="316" w:lineRule="auto"/>
        <w:tabs>
          <w:tab w:leader="none" w:pos="7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2010, the Company entered into distribution agreements with certain bottlers of the Coca-Cola Hellenic group (“Coca-Cola Hellenic”) for distribution of its Monster Energy® products in Austria, Bulgaria, Czech-Republic, Hungary, Slovakia and Switzerland.</w:t>
      </w:r>
    </w:p>
    <w:p>
      <w:pPr>
        <w:spacing w:after="0" w:line="143" w:lineRule="exact"/>
        <w:rPr>
          <w:rFonts w:ascii="Arial" w:cs="Arial" w:eastAsia="Arial" w:hAnsi="Arial"/>
          <w:sz w:val="18"/>
          <w:szCs w:val="18"/>
          <w:color w:val="auto"/>
        </w:rPr>
      </w:pPr>
    </w:p>
    <w:p>
      <w:pPr>
        <w:jc w:val="both"/>
        <w:ind w:left="660" w:right="20" w:hanging="328"/>
        <w:spacing w:after="0" w:line="282" w:lineRule="auto"/>
        <w:tabs>
          <w:tab w:leader="none" w:pos="7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fourth quarter of 2008, we entered into a distribution agreement with Comercializadora Eloro, S.A., a subsidiary of Grupo Jumex (“Jumex”), for exclusive distribution throughout Mexico, excluding the Baja and Sonora regions, of our Monster Energy® and Monster Energy® Khaos</w:t>
      </w:r>
      <w:r>
        <w:rPr>
          <w:rFonts w:ascii="Arial" w:cs="Arial" w:eastAsia="Arial" w:hAnsi="Arial"/>
          <w:sz w:val="11"/>
          <w:szCs w:val="11"/>
          <w:color w:val="auto"/>
        </w:rPr>
        <w:t>TM</w:t>
      </w:r>
      <w:r>
        <w:rPr>
          <w:rFonts w:ascii="Arial" w:cs="Arial" w:eastAsia="Arial" w:hAnsi="Arial"/>
          <w:sz w:val="18"/>
          <w:szCs w:val="18"/>
          <w:color w:val="auto"/>
        </w:rPr>
        <w:t xml:space="preserve"> energy drinks as well as select Java Monster</w:t>
      </w:r>
      <w:r>
        <w:rPr>
          <w:rFonts w:ascii="Arial" w:cs="Arial" w:eastAsia="Arial" w:hAnsi="Arial"/>
          <w:sz w:val="11"/>
          <w:szCs w:val="11"/>
          <w:color w:val="auto"/>
        </w:rPr>
        <w:t>TM</w:t>
      </w:r>
      <w:r>
        <w:rPr>
          <w:rFonts w:ascii="Arial" w:cs="Arial" w:eastAsia="Arial" w:hAnsi="Arial"/>
          <w:sz w:val="18"/>
          <w:szCs w:val="18"/>
          <w:color w:val="auto"/>
        </w:rPr>
        <w:t xml:space="preserve"> product line drinks. Distribution under this agreement commenced January 26, 2009. Effective June 11, 2010 , this agreement was amended to include the Baja and Sonora regions.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660" w:hanging="328"/>
        <w:spacing w:after="0" w:line="250" w:lineRule="auto"/>
        <w:tabs>
          <w:tab w:leader="none" w:pos="9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second quarter of 2009, we entered into a distribution agreement with Schweppes Australia Pty Ltd. for exclusive distribution throughout Australia of certain of our Monster Energy® energy drinks. Distribution under this agreement commenced in July 2009.</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Distribution levels vary by product and geographic location. Gross sales outside the United States accounted for $240.6 million, $168.0 million and $94.2 million for the years ended December 31, 2010, 2009 and 2008, respectively.</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continually seek to expand distribution of our products by entering into agreements with regional bottlers or other direct store delivery distributors with established sales, marketing and distribution organizations. Many of our bottlers and distributors are affiliated with and manufacture and/or distribute other beverage products. In many cases, such products compete directly with our products.</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2010, we continued to expand distribution of our products in both the domestic and international markets, and our Monster Energy® drinks are now sold in more than 57 countries and territories around the world. We expanded our sales force to support and grow sales, primarily of our Monster Energy® drinks, our Java Monster™ product line, our Monster Energy® Extra Strength Nitrous Technology™ product line and our X-Presso Monster™ energy drinks.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 and Suppliers</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principal raw materials used in the manufacturing of our products are aluminum cans, PET plastic bottles as well as juice concentrates, sugar, sucralose, milk, cream and supplements, the costs of which are subject to fluctuations. Overall prices of such raw materials increased in 2010 as compared to 2009 and are continuing to increase in 2011. We have secured a large portion of our anticipated 2011 requirements of apple juice concentrate at prices similar to those incurred in 2010. Sugar prices were higher in 2010 than 2009 and are continuing to increase. We have secured a large portion of our sugar requirements for 2011. Commodity prices in general have increased and are continuing to show volatility, partially as a result of the unrest in North Africa and the Middle East region. We are experiencing increased costs of aluminum cans, PET plastic bottles and fuel, as well as increased costs of certain juice concentrates, certain supplements and other incredients in 2011.</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purchase beverage flavors, concentrates, juices, supplements, cane sugar, sucrose, sucralose and other sweeteners as well as other ingredients from independent suppliers located in the United States and abroad.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Generally, raw materials utilized by us in our business are readily available from numerous sources. However, certain raw materials are manufactured by only one company. We purchase sucralose, which is used alone or in combination with Acesulfame-K in our low-calorie products, flavors, vitamin blends and herbs, certain other supplements, as well as certain other ingredients, from single manufacturers. Additionally, certain of our cans and flavors are only manufactured by single companies.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 regard to our Java Monster</w:t>
      </w:r>
      <w:r>
        <w:rPr>
          <w:rFonts w:ascii="Arial" w:cs="Arial" w:eastAsia="Arial" w:hAnsi="Arial"/>
          <w:sz w:val="12"/>
          <w:szCs w:val="12"/>
          <w:color w:val="auto"/>
        </w:rPr>
        <w:t>TM</w:t>
      </w:r>
      <w:r>
        <w:rPr>
          <w:rFonts w:ascii="Arial" w:cs="Arial" w:eastAsia="Arial" w:hAnsi="Arial"/>
          <w:sz w:val="20"/>
          <w:szCs w:val="20"/>
          <w:color w:val="auto"/>
        </w:rPr>
        <w:t xml:space="preserve"> product line, the dairy industry is subject to shortages and increased demand from time to time, which may result in higher prices.</w:t>
      </w:r>
    </w:p>
    <w:p>
      <w:pPr>
        <w:sectPr>
          <w:pgSz w:w="11900" w:h="16838" w:orient="portrait"/>
          <w:cols w:equalWidth="0" w:num="1">
            <w:col w:w="11420"/>
          </w:cols>
          <w:pgMar w:left="240" w:top="121" w:right="239" w:bottom="0" w:gutter="0" w:footer="0" w:header="0"/>
        </w:sectPr>
      </w:pPr>
    </w:p>
    <w:bookmarkStart w:id="8" w:name="page9"/>
    <w:bookmarkEnd w:id="8"/>
    <w:p>
      <w:pPr>
        <w:spacing w:after="0" w:line="5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With regard to our fruit juice and juice-drink products, the industry is subject to variability of demand and weather conditions, which may result in higher prices and/or lower consumer demand for juices.</w:t>
      </w:r>
    </w:p>
    <w:p>
      <w:pPr>
        <w:spacing w:after="0" w:line="18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We have identified alternative suppliers for many of the ingredients contained in many of our beverages. However, industry-wide shortages of certain fruits and fruit juices, coffee, tea, supplements and sweeteners have been, and could from time to time in the future be, encountered, which could interfere with and/or delay production of certain of our products.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continually endeavor to develop back-up sources of supply for certain of our flavors and concentrates as well as to negotiate arrangements with suppliers which would enable us to obtain access to certain concentrates or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and manufacturers and/or distributors.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connection with the development of new products and flavors, independent suppliers bear a large portion of the expense of product development, thereby enabling us to develop new products and flavors at a relatively low cost. We have historically developed and successfully introduced new products, flavors and packaging for our products and intend to continue developing and introducing additional new beverages, flavors and innovative packaging.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beverage industry is highly competitive. The principal areas of competition are pricing, packaging, development of new products and flavors and marketing campaigns. Our products compete with a wide range of drinks produced by a relatively large number of companies, many of which have substantially greater financial, marketing and distribution resources than we do.</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Important factors affecting our ability to compete successfully include taste and flavor of products, trade and consumer promotions, rapid and effective development and marketing of new, unique cutting edge products, attractive and different packaging, branded product advertising, and pricing. We also compete for distributors who will provide our products with more focus than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effect on our business and results.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have experienced substantial competition from new entrants in the energy drink and energy shot categories. A number of companies who market and distribute iced teas and juice cocktails in larger volume packages, such as 16- and 20-ounce glass and plastic bottles, including Sobe, Snapple, Arizona and Fuse, have added supplements to their products with a view to marketing their products as “functional” or energy beverages or as having “functional” benefits. We believe that many of those products contain lower levels of supplements and principally deliver refreshment. In addition, many competitive products are positioned differently from our energy or “functional” drinks. Our smoothies and certain of our teas are positioned more closely against those products.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compete not only for consumer preference, but also for maximum marketing efforts by multi-brand licensed bottlers, brokers and distributors, many of which have a principal affiliation with competing companies and brands. Our products compete with all liquid refreshments and with products of much larger and substantially better financed competitors, including the products of numerous nationally and internationally known producers such as TCCC, PepsiCo, Inc. (“PepsiCo”), The Dr. Pepper Snapple Group, Inc. (the “DPS Group”),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Domestically, our energy drinks, including Monster Energy®, Monster Energy® Extra Strength Nitrous Technology™, Hansen’s® Energy, Diet Red Energy®, Lost® Energy™ and Rumba®, Samba and Tango energy juice in 8.3-ounce and/or 15.5-ounce and/or 16-ounce and/or 24-ounce and/or 32-ounce and/or 500ml and/or 18.6-ounce aluminum cans and/or 5-ounce and/or 500ml glass bottles, our Worx Energy™ energy shots and our Monster Hitman Energy Shooter™’s, compete directly with Red Bull, Rockstar, Full Throttle, No Fear, Amp, Adrenaline Rush, NOS, Venom, Redline, 180, Red Devil, Rip It, 5-Hour Energy Shot, Stacker 2, Red Bull Energy Shot, Redline Energy Shot, NOS Energy Shot, Rockstar Energy Shot, Full Throttle Quick Shot, Amp Energy Shot and many other brands. TCCC and PepsiCo also market and/or distribute additional products in that market segment such as Pepsi Max, Mountain Dew, Mountain Dew MDX and Vault. Internationally, our energy drinks compete with Red Bull, Rockstar, Burn, V-Energy, Lucozade, Relentless and numerous local and private label brands that usually differ from country to country, such as Play, Mother, Hell, Shock, Tiger and a host of other international brands.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Java Monster™ and X-Presso Monster™ product lines compete directly with Starbucks Frappuccino, Starbucks Double Shot, Starbucks Double Shot Energy Plus Coffee and other Starbucks coffee drinks, Rockstar Roasted, Seattle’s Best, illy issimo coffee and Full Throttle Coffee.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Peace Tea™ and Admiral™ Iced Tea product lines compete directly with Arizona, Lipton, Snapple, Nestea, Xing Tea and other tea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brands.</w:t>
      </w:r>
    </w:p>
    <w:p>
      <w:pPr>
        <w:sectPr>
          <w:pgSz w:w="11900" w:h="16897" w:orient="portrait"/>
          <w:cols w:equalWidth="0" w:num="1">
            <w:col w:w="11420"/>
          </w:cols>
          <w:pgMar w:left="240" w:top="121" w:right="239" w:bottom="0" w:gutter="0" w:footer="0" w:header="0"/>
        </w:sectPr>
      </w:pPr>
    </w:p>
    <w:bookmarkStart w:id="9" w:name="page10"/>
    <w:bookmarkEnd w:id="9"/>
    <w:p>
      <w:pPr>
        <w:spacing w:after="0" w:line="1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natural sodas compete directly with traditional soda products, including those marketed by TCCC, PepsiCo and the DPS Group, as well as with carbonated beverages marketed by smaller or primarily local companies such as Jones Soda Co., Clearly Canadian Beverage Company, Crystal Geyser, J.M. Smucker Company and with private label brands such as those carried by grocery store chains, convenience store chains and club stores.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apple and other juice products compete directly with Tree Top, Mott’s, Martinelli’s, Welch’s, Ocean Spray, Tropicana, Minute Maid, Langers, Apple and Eve, Seneca, Northland, Juicy Juice and also with other brands of apple juice and juice blends, especially store brands.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Our fruit juice smoothies compete directly with Kern’s, Jumex and Jugos del Valle as well as with single-serve juice products produced by many competitors. Such competitive products are packaged in glass and PET plastic bottles ranging from 8- to 48-ounces in size and in 11.5-ounce aluminum cans. The juice content of such competitive products ranges from 1% to 100%.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achieve maximum shelf and display space exposure in sales outlets and maximum demand from consumers for our products, including advertising, in-store promotions and in-store placement of point-of-sale materials, racks, coolers and barrel coolers, prize promotions, price promotions, competitions, endorsements from selected public and extreme sports figures, coupons, sampling and sponsorship of selected causes and events. In-store posters, outdoor posters, print, radio and television advertising, together with price promotions and coupons, may also be us ed to promote our brands. Our extreme sports team endorsements include teams such as the Pro Circuit – Kawasaki Motocross and Supercross teams, Kawasaki Factory Motocross and Supercross teams, Ken Block Rally Racing Team and the Tech 3 Moto GP Team. Our individual athlete and/or personality endorsements include extreme sports figures and athletes such as NASCAR Camping World Truck Series racer Ricky Carmichael, World Champion Moto GP motorcycle racer Valentino Rossi, World Champion Formula 1 racer Michael Schumacher, television personalities such as Rob Dyrdek as well as many other athletes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that compete in other extreme sports related activities, particularly, the Winter and Summer X-Games, supercross, motocross, freestyle motocross, endurocross, Moto GP racing, Formula 1 racing, surfing, skateboarding, wakeboarding, skiing, snowboarding, BMX, mountain biking, snowmobile freestyle, snowmobile racing, NASCAR racing, off-road truck racing, rally racing, etc. Our event endorsements include a wide range of events such as the Monster Energy® Supercross Series, the Vans Warped Tour, the Australian SuperX Supercross Series, the Monster Energy® Grand Prix of France and the FIM Motocross World Championships.</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which entails making our products visually distinctive from other beverages on the shelves of retailers. We review our products and packaging on an ongoing basis and, where practical, endeavor to make them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 appropriate, we partner with retailers to assist our marketing efforts. For example, while we retain responsibility for the marketing of the Juice Slam® line of children’s multi-vitamin juice drinks, Costco has undertaken partial responsibility for the marketing of the Juice Blast® line.</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increased expenditures for our sales and marketing programs by approximately 12.9% in 2010 compared to 2009. As of December 31, 2010, we employed 1,186 employees in sales and marketing activities, of which 533 were employed on a full-time basis.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are primarily full service beverage distributors, retail grocery and specialty chains, wholesalers, club stores, drug chains, mass merchandisers, convenience chains, health food distributors and food service customers. Gross sales to our various customer types for the years ended December 2010, 2009 and 2008 are reflected below. Such information reflects sales made by us directly to the customer types concerned, which include our full service beverage distributors. Such full service beverage distributors in turn sell certain of our products to the customer types listed below. We do not have complete details of the sales of our products by our full service distributors to their respective customers and therefore limit our description of our customer types to include our sales to such full service distributors without reference to their sales to their own cus 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8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740" w:type="dxa"/>
            <w:vAlign w:val="bottom"/>
            <w:tcBorders>
              <w:bottom w:val="single" w:sz="8" w:color="auto"/>
            </w:tcBorders>
          </w:tcPr>
          <w:p>
            <w:pPr>
              <w:jc w:val="center"/>
              <w:ind w:left="121"/>
              <w:spacing w:after="0"/>
              <w:rPr>
                <w:sz w:val="20"/>
                <w:szCs w:val="20"/>
                <w:color w:val="auto"/>
              </w:rPr>
            </w:pPr>
            <w:r>
              <w:rPr>
                <w:rFonts w:ascii="Arial" w:cs="Arial" w:eastAsia="Arial" w:hAnsi="Arial"/>
                <w:sz w:val="20"/>
                <w:szCs w:val="20"/>
                <w:color w:val="auto"/>
                <w:w w:val="89"/>
              </w:rPr>
              <w:t>2010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2009</w:t>
            </w:r>
          </w:p>
        </w:tc>
        <w:tc>
          <w:tcPr>
            <w:tcW w:w="136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89"/>
              </w:rPr>
              <w:t>2008</w:t>
            </w:r>
          </w:p>
        </w:tc>
        <w:tc>
          <w:tcPr>
            <w:tcW w:w="0" w:type="dxa"/>
            <w:vAlign w:val="bottom"/>
          </w:tcPr>
          <w:p>
            <w:pPr>
              <w:spacing w:after="0"/>
              <w:rPr>
                <w:sz w:val="1"/>
                <w:szCs w:val="1"/>
                <w:color w:val="auto"/>
              </w:rPr>
            </w:pPr>
          </w:p>
        </w:tc>
      </w:tr>
      <w:tr>
        <w:trPr>
          <w:trHeight w:val="213"/>
        </w:trPr>
        <w:tc>
          <w:tcPr>
            <w:tcW w:w="6780" w:type="dxa"/>
            <w:vAlign w:val="bottom"/>
            <w:vMerge w:val="continue"/>
          </w:tcPr>
          <w:p>
            <w:pPr>
              <w:spacing w:after="0"/>
              <w:rPr>
                <w:sz w:val="18"/>
                <w:szCs w:val="18"/>
                <w:color w:val="auto"/>
              </w:rPr>
            </w:pPr>
          </w:p>
        </w:tc>
        <w:tc>
          <w:tcPr>
            <w:tcW w:w="1740" w:type="dxa"/>
            <w:vAlign w:val="bottom"/>
          </w:tcPr>
          <w:p>
            <w:pPr>
              <w:jc w:val="center"/>
              <w:ind w:left="121"/>
              <w:spacing w:after="0" w:line="213" w:lineRule="exact"/>
              <w:rPr>
                <w:sz w:val="20"/>
                <w:szCs w:val="20"/>
                <w:color w:val="auto"/>
              </w:rPr>
            </w:pPr>
            <w:r>
              <w:rPr>
                <w:rFonts w:ascii="Arial" w:cs="Arial" w:eastAsia="Arial" w:hAnsi="Arial"/>
                <w:sz w:val="20"/>
                <w:szCs w:val="20"/>
                <w:color w:val="auto"/>
                <w:w w:val="89"/>
              </w:rPr>
              <w:t>64%</w:t>
            </w:r>
          </w:p>
        </w:tc>
        <w:tc>
          <w:tcPr>
            <w:tcW w:w="1540" w:type="dxa"/>
            <w:vAlign w:val="bottom"/>
          </w:tcPr>
          <w:p>
            <w:pPr>
              <w:jc w:val="center"/>
              <w:spacing w:after="0" w:line="213" w:lineRule="exact"/>
              <w:rPr>
                <w:sz w:val="20"/>
                <w:szCs w:val="20"/>
                <w:color w:val="auto"/>
              </w:rPr>
            </w:pPr>
            <w:r>
              <w:rPr>
                <w:rFonts w:ascii="Arial" w:cs="Arial" w:eastAsia="Arial" w:hAnsi="Arial"/>
                <w:sz w:val="20"/>
                <w:szCs w:val="20"/>
                <w:color w:val="auto"/>
                <w:w w:val="89"/>
              </w:rPr>
              <w:t>66%</w:t>
            </w:r>
          </w:p>
        </w:tc>
        <w:tc>
          <w:tcPr>
            <w:tcW w:w="1360" w:type="dxa"/>
            <w:vAlign w:val="bottom"/>
          </w:tcPr>
          <w:p>
            <w:pPr>
              <w:jc w:val="center"/>
              <w:ind w:left="101"/>
              <w:spacing w:after="0" w:line="213" w:lineRule="exact"/>
              <w:rPr>
                <w:sz w:val="20"/>
                <w:szCs w:val="20"/>
                <w:color w:val="auto"/>
              </w:rPr>
            </w:pPr>
            <w:r>
              <w:rPr>
                <w:rFonts w:ascii="Arial" w:cs="Arial" w:eastAsia="Arial" w:hAnsi="Arial"/>
                <w:sz w:val="20"/>
                <w:szCs w:val="20"/>
                <w:color w:val="auto"/>
                <w:w w:val="89"/>
              </w:rPr>
              <w:t>68%</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740" w:type="dxa"/>
            <w:vAlign w:val="bottom"/>
          </w:tcPr>
          <w:p>
            <w:pPr>
              <w:jc w:val="center"/>
              <w:ind w:left="121"/>
              <w:spacing w:after="0"/>
              <w:rPr>
                <w:sz w:val="20"/>
                <w:szCs w:val="20"/>
                <w:color w:val="auto"/>
              </w:rPr>
            </w:pPr>
            <w:r>
              <w:rPr>
                <w:rFonts w:ascii="Arial" w:cs="Arial" w:eastAsia="Arial" w:hAnsi="Arial"/>
                <w:sz w:val="20"/>
                <w:szCs w:val="20"/>
                <w:color w:val="auto"/>
                <w:w w:val="89"/>
              </w:rPr>
              <w:t>12%</w:t>
            </w:r>
          </w:p>
        </w:tc>
        <w:tc>
          <w:tcPr>
            <w:tcW w:w="1540" w:type="dxa"/>
            <w:vAlign w:val="bottom"/>
          </w:tcPr>
          <w:p>
            <w:pPr>
              <w:jc w:val="center"/>
              <w:spacing w:after="0"/>
              <w:rPr>
                <w:sz w:val="20"/>
                <w:szCs w:val="20"/>
                <w:color w:val="auto"/>
              </w:rPr>
            </w:pPr>
            <w:r>
              <w:rPr>
                <w:rFonts w:ascii="Arial" w:cs="Arial" w:eastAsia="Arial" w:hAnsi="Arial"/>
                <w:sz w:val="20"/>
                <w:szCs w:val="20"/>
                <w:color w:val="auto"/>
                <w:w w:val="89"/>
              </w:rPr>
              <w:t>12%</w:t>
            </w:r>
          </w:p>
        </w:tc>
        <w:tc>
          <w:tcPr>
            <w:tcW w:w="1360" w:type="dxa"/>
            <w:vAlign w:val="bottom"/>
          </w:tcPr>
          <w:p>
            <w:pPr>
              <w:jc w:val="center"/>
              <w:ind w:left="101"/>
              <w:spacing w:after="0"/>
              <w:rPr>
                <w:sz w:val="20"/>
                <w:szCs w:val="20"/>
                <w:color w:val="auto"/>
              </w:rPr>
            </w:pPr>
            <w:r>
              <w:rPr>
                <w:rFonts w:ascii="Arial" w:cs="Arial" w:eastAsia="Arial" w:hAnsi="Arial"/>
                <w:sz w:val="20"/>
                <w:szCs w:val="20"/>
                <w:color w:val="auto"/>
                <w:w w:val="89"/>
              </w:rPr>
              <w:t>14%</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20"/>
                <w:szCs w:val="20"/>
                <w:color w:val="auto"/>
              </w:rPr>
              <w:t>Outside the U.S.</w:t>
            </w:r>
          </w:p>
        </w:tc>
        <w:tc>
          <w:tcPr>
            <w:tcW w:w="1740" w:type="dxa"/>
            <w:vAlign w:val="bottom"/>
          </w:tcPr>
          <w:p>
            <w:pPr>
              <w:jc w:val="center"/>
              <w:ind w:left="121"/>
              <w:spacing w:after="0"/>
              <w:rPr>
                <w:sz w:val="20"/>
                <w:szCs w:val="20"/>
                <w:color w:val="auto"/>
              </w:rPr>
            </w:pPr>
            <w:r>
              <w:rPr>
                <w:rFonts w:ascii="Arial" w:cs="Arial" w:eastAsia="Arial" w:hAnsi="Arial"/>
                <w:sz w:val="20"/>
                <w:szCs w:val="20"/>
                <w:color w:val="auto"/>
                <w:w w:val="89"/>
              </w:rPr>
              <w:t>16%</w:t>
            </w:r>
          </w:p>
        </w:tc>
        <w:tc>
          <w:tcPr>
            <w:tcW w:w="1540" w:type="dxa"/>
            <w:vAlign w:val="bottom"/>
          </w:tcPr>
          <w:p>
            <w:pPr>
              <w:jc w:val="center"/>
              <w:spacing w:after="0"/>
              <w:rPr>
                <w:sz w:val="20"/>
                <w:szCs w:val="20"/>
                <w:color w:val="auto"/>
              </w:rPr>
            </w:pPr>
            <w:r>
              <w:rPr>
                <w:rFonts w:ascii="Arial" w:cs="Arial" w:eastAsia="Arial" w:hAnsi="Arial"/>
                <w:sz w:val="20"/>
                <w:szCs w:val="20"/>
                <w:color w:val="auto"/>
                <w:w w:val="89"/>
              </w:rPr>
              <w:t>13%</w:t>
            </w:r>
          </w:p>
        </w:tc>
        <w:tc>
          <w:tcPr>
            <w:tcW w:w="1360" w:type="dxa"/>
            <w:vAlign w:val="bottom"/>
          </w:tcPr>
          <w:p>
            <w:pPr>
              <w:jc w:val="center"/>
              <w:ind w:left="101"/>
              <w:spacing w:after="0"/>
              <w:rPr>
                <w:sz w:val="20"/>
                <w:szCs w:val="20"/>
                <w:color w:val="auto"/>
              </w:rPr>
            </w:pPr>
            <w:r>
              <w:rPr>
                <w:rFonts w:ascii="Arial" w:cs="Arial" w:eastAsia="Arial" w:hAnsi="Arial"/>
                <w:sz w:val="20"/>
                <w:szCs w:val="20"/>
                <w:color w:val="auto"/>
                <w:w w:val="96"/>
              </w:rPr>
              <w:t>8%</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740" w:type="dxa"/>
            <w:vAlign w:val="bottom"/>
          </w:tcPr>
          <w:p>
            <w:pPr>
              <w:jc w:val="center"/>
              <w:ind w:left="101"/>
              <w:spacing w:after="0"/>
              <w:rPr>
                <w:sz w:val="20"/>
                <w:szCs w:val="20"/>
                <w:color w:val="auto"/>
              </w:rPr>
            </w:pPr>
            <w:r>
              <w:rPr>
                <w:rFonts w:ascii="Arial" w:cs="Arial" w:eastAsia="Arial" w:hAnsi="Arial"/>
                <w:sz w:val="20"/>
                <w:szCs w:val="20"/>
                <w:color w:val="auto"/>
                <w:w w:val="89"/>
              </w:rPr>
              <w:t>6%</w:t>
            </w:r>
          </w:p>
        </w:tc>
        <w:tc>
          <w:tcPr>
            <w:tcW w:w="1540" w:type="dxa"/>
            <w:vAlign w:val="bottom"/>
          </w:tcPr>
          <w:p>
            <w:pPr>
              <w:jc w:val="center"/>
              <w:spacing w:after="0"/>
              <w:rPr>
                <w:sz w:val="20"/>
                <w:szCs w:val="20"/>
                <w:color w:val="auto"/>
              </w:rPr>
            </w:pPr>
            <w:r>
              <w:rPr>
                <w:rFonts w:ascii="Arial" w:cs="Arial" w:eastAsia="Arial" w:hAnsi="Arial"/>
                <w:sz w:val="20"/>
                <w:szCs w:val="20"/>
                <w:color w:val="auto"/>
                <w:w w:val="96"/>
              </w:rPr>
              <w:t>6%</w:t>
            </w:r>
          </w:p>
        </w:tc>
        <w:tc>
          <w:tcPr>
            <w:tcW w:w="1360" w:type="dxa"/>
            <w:vAlign w:val="bottom"/>
          </w:tcPr>
          <w:p>
            <w:pPr>
              <w:jc w:val="center"/>
              <w:ind w:left="101"/>
              <w:spacing w:after="0"/>
              <w:rPr>
                <w:sz w:val="20"/>
                <w:szCs w:val="20"/>
                <w:color w:val="auto"/>
              </w:rPr>
            </w:pPr>
            <w:r>
              <w:rPr>
                <w:rFonts w:ascii="Arial" w:cs="Arial" w:eastAsia="Arial" w:hAnsi="Arial"/>
                <w:sz w:val="20"/>
                <w:szCs w:val="20"/>
                <w:color w:val="auto"/>
                <w:w w:val="96"/>
              </w:rPr>
              <w:t>8%</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0"/>
                <w:szCs w:val="20"/>
                <w:color w:val="auto"/>
              </w:rPr>
            </w:pPr>
            <w:r>
              <w:rPr>
                <w:rFonts w:ascii="Arial" w:cs="Arial" w:eastAsia="Arial" w:hAnsi="Arial"/>
                <w:sz w:val="20"/>
                <w:szCs w:val="20"/>
                <w:color w:val="auto"/>
              </w:rPr>
              <w:t>Other</w:t>
            </w:r>
          </w:p>
        </w:tc>
        <w:tc>
          <w:tcPr>
            <w:tcW w:w="1740" w:type="dxa"/>
            <w:vAlign w:val="bottom"/>
          </w:tcPr>
          <w:p>
            <w:pPr>
              <w:jc w:val="center"/>
              <w:ind w:left="101"/>
              <w:spacing w:after="0"/>
              <w:rPr>
                <w:sz w:val="20"/>
                <w:szCs w:val="20"/>
                <w:color w:val="auto"/>
              </w:rPr>
            </w:pPr>
            <w:r>
              <w:rPr>
                <w:rFonts w:ascii="Arial" w:cs="Arial" w:eastAsia="Arial" w:hAnsi="Arial"/>
                <w:sz w:val="20"/>
                <w:szCs w:val="20"/>
                <w:color w:val="auto"/>
                <w:w w:val="89"/>
              </w:rPr>
              <w:t>2%</w:t>
            </w:r>
          </w:p>
        </w:tc>
        <w:tc>
          <w:tcPr>
            <w:tcW w:w="1540" w:type="dxa"/>
            <w:vAlign w:val="bottom"/>
          </w:tcPr>
          <w:p>
            <w:pPr>
              <w:jc w:val="center"/>
              <w:spacing w:after="0"/>
              <w:rPr>
                <w:sz w:val="20"/>
                <w:szCs w:val="20"/>
                <w:color w:val="auto"/>
              </w:rPr>
            </w:pPr>
            <w:r>
              <w:rPr>
                <w:rFonts w:ascii="Arial" w:cs="Arial" w:eastAsia="Arial" w:hAnsi="Arial"/>
                <w:sz w:val="20"/>
                <w:szCs w:val="20"/>
                <w:color w:val="auto"/>
                <w:w w:val="96"/>
              </w:rPr>
              <w:t>3%</w:t>
            </w:r>
          </w:p>
        </w:tc>
        <w:tc>
          <w:tcPr>
            <w:tcW w:w="1360" w:type="dxa"/>
            <w:vAlign w:val="bottom"/>
          </w:tcPr>
          <w:p>
            <w:pPr>
              <w:jc w:val="center"/>
              <w:ind w:left="101"/>
              <w:spacing w:after="0"/>
              <w:rPr>
                <w:sz w:val="20"/>
                <w:szCs w:val="20"/>
                <w:color w:val="auto"/>
              </w:rPr>
            </w:pPr>
            <w:r>
              <w:rPr>
                <w:rFonts w:ascii="Arial" w:cs="Arial" w:eastAsia="Arial" w:hAnsi="Arial"/>
                <w:sz w:val="20"/>
                <w:szCs w:val="20"/>
                <w:color w:val="auto"/>
                <w:w w:val="96"/>
              </w:rPr>
              <w:t>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customers include CCR (formerly known as CCE), New CCE, CCRC (formerly known as CCBC), Consolidated, United and other TCCC North American Bottlers, Wal-Mart, Inc. (including Sam’s Club), AB Distributors, Coca-Cola Hellenic, Jumex, Kalil Bottling Group, Trader Joe’s, John Lenore &amp; Company, Pepsi Canada, ULC (“Pepsi Canada”) (terminated by us effective December 31, 2008), Swire Coca-Cola, Costco, The Kroger Co. and Safeway, Inc. A decision by any large customer to decrease amounts purchased from us or to cease carrying our products could have a material negative effect on our financial condition and consolidated results of operations. CCE (including CCBC up</w:t>
      </w:r>
    </w:p>
    <w:p>
      <w:pPr>
        <w:sectPr>
          <w:pgSz w:w="11900" w:h="16945" w:orient="portrait"/>
          <w:cols w:equalWidth="0" w:num="1">
            <w:col w:w="11420"/>
          </w:cols>
          <w:pgMar w:left="240" w:top="352" w:right="239" w:bottom="0" w:gutter="0" w:footer="0" w:header="0"/>
        </w:sectPr>
      </w:pPr>
    </w:p>
    <w:bookmarkStart w:id="10" w:name="page11"/>
    <w:bookmarkEnd w:id="10"/>
    <w:p>
      <w:pPr>
        <w:jc w:val="both"/>
        <w:spacing w:after="0" w:line="250" w:lineRule="auto"/>
        <w:rPr>
          <w:sz w:val="20"/>
          <w:szCs w:val="20"/>
          <w:color w:val="auto"/>
        </w:rPr>
      </w:pPr>
      <w:r>
        <w:rPr>
          <w:rFonts w:ascii="Arial" w:cs="Arial" w:eastAsia="Arial" w:hAnsi="Arial"/>
          <w:sz w:val="20"/>
          <w:szCs w:val="20"/>
          <w:color w:val="auto"/>
        </w:rPr>
        <w:t>to September 30, 2010) (CCE replaced by New CCE from October 1, 2010), accounted for approximately 28% and 27% of our net sales for the years ended December 31, 2010 and 2 009, respectively. The DPS Group, a former customer of the DSD segment, accounted for approximately 13% of our net sales for the year ended December 31, 2008. Our distribution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with the DPS Group was terminated by us effective November 9, 2008. The terminated DPS Group territories are now serviced by a combination of TCCC North American Bottlers and AB Distributors. Wal-Mart, Inc. (including Sam’s Club), a customer of both the DSD and Warehouse segments, accounted for less than 10% of our net sales for the years ended December 31, 2010 and 2009 and approximately 11% of our net sales for the year ended December 31, 2008.</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Sales of ready-to-drink beverages are somewhat seasonal, with the second and third calendar quarters accounting for the highest sales volumes. The volume of sales in the beverage business may be affected by weather conditions. Sales of our beverage products may become increasingly subject to seasonal fluctuations as more sales occur outside of California with respect to our products. However, the energy drink category appears to be less seasonal than traditional beverages. As the percentage of our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sales of our fi nished products and changes in and/or increased advertising, marketing and promotional expenses.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presently have approximately 1,725 registered trademarks and pending applications in various countries worldwide, and we apply for new trademarks on an ongoing basis. Substantially all of our global trademarks are owned by HBC. We regard our trademarks, service marks, copyrights, domain names, trade dress, and similar intellectual property as very important to our business. We consider Monster®,</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Monster Energy®, M Monster Energy®, </w:t>
      </w:r>
      <w:r>
        <w:rPr>
          <w:sz w:val="1"/>
          <w:szCs w:val="1"/>
          <w:color w:val="auto"/>
        </w:rPr>
        <w:drawing>
          <wp:inline distT="0" distB="0" distL="0" distR="0">
            <wp:extent cx="102870"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0"/>
          <w:szCs w:val="20"/>
          <w:color w:val="auto"/>
        </w:rPr>
        <w:t>®, Java Monster™, X-PRESSO MONSTER™, Hansen’s Natural Sodas®, Hansen’s®, Blue Sky® and Junior Juice® to be our core trademarks.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also register copyrights in the statements, graphics and content appearing on the packaging of our products.</w:t>
      </w:r>
    </w:p>
    <w:p>
      <w:pPr>
        <w:spacing w:after="0" w:line="18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enforce and protect our trademark rights against third parties infringing or denigrating our trademarks, opposing registration of infringing trademarks, and initiating litigation as necessary.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production, distribution and sale in the United States of many of our products are subject to various U.S. Federal and state regulations, including but not limited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similar and other statutes and regulations.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California law requires that a specific warning appear on any product that contains a component listed by the State of California as having been found to cause cancer or birth defects. The law exposes all food and beverage producers to the possibility of having to provide warnings on their products because the law recognizes no generally applicable quantitative thresholds below which a warning is not required. Consequently, even trace amounts of listed components can expose affected products to the prospect of warning labels. Products containing listed substances that occur naturally in the product or that are contributed to the product solely by a municipal water supply are generally exempt from the warning requirement.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 Proposals to limit or restrict the sale of energy drinks to minors and/or persons below a specified age and/or restrict the venues in which energy drinks can be sold, are currently pending before certain state and/or county legislatures. Should these current or any future proposals to enact legislation to limit or restrict the sale of energy drinks to minors and/or persons below a specified age and/or the venues in which energy drinks can be sold, succeed and become widespread, such legislation could result in a reduction in demand for our energy drinks and adversely affect our results of operations, see “Part I, Item 1A – Risk Factors” below.</w:t>
      </w:r>
    </w:p>
    <w:p>
      <w:pPr>
        <w:spacing w:after="0" w:line="196"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Measures have been enacted in various localities and states that require that a deposit be charged for certain non-refillable beverage containers. The precise requirements imposed by these measures vary by jurisdiction. Other deposit, recycling or product stewardship proposals</w:t>
      </w:r>
    </w:p>
    <w:p>
      <w:pPr>
        <w:sectPr>
          <w:pgSz w:w="11900" w:h="16838" w:orient="portrait"/>
          <w:cols w:equalWidth="0" w:num="1">
            <w:col w:w="11420"/>
          </w:cols>
          <w:pgMar w:left="240" w:top="122" w:right="239" w:bottom="0" w:gutter="0" w:footer="0" w:header="0"/>
        </w:sectPr>
      </w:pPr>
    </w:p>
    <w:bookmarkStart w:id="11" w:name="page12"/>
    <w:bookmarkEnd w:id="11"/>
    <w:p>
      <w:pPr>
        <w:jc w:val="both"/>
        <w:spacing w:after="0" w:line="262" w:lineRule="auto"/>
        <w:rPr>
          <w:sz w:val="20"/>
          <w:szCs w:val="20"/>
          <w:color w:val="auto"/>
        </w:rPr>
      </w:pPr>
      <w:r>
        <w:rPr>
          <w:rFonts w:ascii="Arial" w:cs="Arial" w:eastAsia="Arial" w:hAnsi="Arial"/>
          <w:sz w:val="20"/>
          <w:szCs w:val="20"/>
          <w:color w:val="auto"/>
        </w:rPr>
        <w:t>have been introduced in certain states and localities and in Congress, and we anticipate that similar legislation or regulations may be proposed in the future at the local, state and federal levels, both in the United States and elsewhere.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California, we are required to collect redemption values from our customers and to remit such redemption values to the State of California Department of Conservation based upon the number of cans and bottles of certain carbonated and non-carbonated products sold. In certain other states and Canada where our products are sold, we are also required to collect deposits from our customers and to remit such deposits to the respective state agencies based upon the number of cans and bottles of certain carbonated and non-carbonated products sold in such states.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December 31, 2010, we employed a total of 1,497 employees of which 833 were employed on a full-time basis. Of our 1,497 employees, we employed 311 in administrative and operational capacities and 1,186 persons in sales and marketing capacities.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may read and copy such material at the SEC’s Public Reference Room located at 100 F Street, N.E., Washington, D.C. 20549. You may obtain information on the operation of the Public Reference Room by calling the SEC at 1-800-SEC-0330. You can also find the Company’s SEC filings at the SEC’s website at http://www.sec.gov.</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Our Internet address is </w:t>
      </w:r>
      <w:r>
        <w:rPr>
          <w:rFonts w:ascii="Arial" w:cs="Arial" w:eastAsia="Arial" w:hAnsi="Arial"/>
          <w:sz w:val="20"/>
          <w:szCs w:val="20"/>
          <w:u w:val="single" w:color="auto"/>
          <w:color w:val="auto"/>
        </w:rPr>
        <w:t>www.hansens.com</w:t>
      </w:r>
      <w:r>
        <w:rPr>
          <w:rFonts w:ascii="Arial" w:cs="Arial" w:eastAsia="Arial" w:hAnsi="Arial"/>
          <w:sz w:val="20"/>
          <w:szCs w:val="20"/>
          <w:color w:val="auto"/>
        </w:rPr>
        <w:t xml:space="preserve">. Information contained on our website is not part of this annual report on Form 10-K. Our SEC filings (including any amendments) will be made available free of charge on </w:t>
      </w:r>
      <w:r>
        <w:rPr>
          <w:rFonts w:ascii="Arial" w:cs="Arial" w:eastAsia="Arial" w:hAnsi="Arial"/>
          <w:sz w:val="20"/>
          <w:szCs w:val="20"/>
          <w:u w:val="single" w:color="auto"/>
          <w:color w:val="auto"/>
        </w:rPr>
        <w:t>www.hansens.com</w:t>
      </w:r>
      <w:r>
        <w:rPr>
          <w:rFonts w:ascii="Arial" w:cs="Arial" w:eastAsia="Arial" w:hAnsi="Arial"/>
          <w:sz w:val="20"/>
          <w:szCs w:val="20"/>
          <w:color w:val="auto"/>
        </w:rPr>
        <w:t>, as soon as reasonably practicable after we electronically file such material with, or furnish it to, the SEC. In addition, you may request a copy of these filings (excluding exhibits) at no cost by writing or telephoning us at the following address or telephone number: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Hansen Natural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550 Monica Circle, Suite 201</w:t>
      </w:r>
    </w:p>
    <w:p>
      <w:pPr>
        <w:jc w:val="center"/>
        <w:spacing w:after="0"/>
        <w:rPr>
          <w:sz w:val="20"/>
          <w:szCs w:val="20"/>
          <w:color w:val="auto"/>
        </w:rPr>
      </w:pPr>
      <w:r>
        <w:rPr>
          <w:rFonts w:ascii="Arial" w:cs="Arial" w:eastAsia="Arial" w:hAnsi="Arial"/>
          <w:sz w:val="20"/>
          <w:szCs w:val="20"/>
          <w:color w:val="auto"/>
        </w:rPr>
        <w:t>Corona, CA 92880</w:t>
      </w:r>
    </w:p>
    <w:p>
      <w:pPr>
        <w:ind w:left="5580" w:hanging="484"/>
        <w:spacing w:after="0"/>
        <w:tabs>
          <w:tab w:leader="none" w:pos="55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739-6200</w:t>
      </w:r>
    </w:p>
    <w:p>
      <w:pPr>
        <w:ind w:left="5500" w:hanging="482"/>
        <w:spacing w:after="0"/>
        <w:tabs>
          <w:tab w:leader="none" w:pos="5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HANSENS</w:t>
      </w:r>
    </w:p>
    <w:p>
      <w:pPr>
        <w:ind w:left="5580" w:hanging="484"/>
        <w:spacing w:after="0"/>
        <w:tabs>
          <w:tab w:leader="none" w:pos="55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426-7367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consumer preferences may reduce demand for some of our products.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is increasing awareness of and concern for the health consequences of obesity. This may reduce demand for our non-diet beverages, which could affect our profitability.</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taste,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Product lifecycles for some beverage brands and/or products and/or packages may be limited to a few years before consumers’ preferences chan ge. The beverages we currently market are in varying stages of their product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adversely affected.</w:t>
      </w:r>
    </w:p>
    <w:p>
      <w:pPr>
        <w:sectPr>
          <w:pgSz w:w="11900" w:h="16838" w:orient="portrait"/>
          <w:cols w:equalWidth="0" w:num="1">
            <w:col w:w="11420"/>
          </w:cols>
          <w:pgMar w:left="240" w:top="121" w:right="239" w:bottom="0" w:gutter="0" w:footer="0" w:header="0"/>
        </w:sectPr>
      </w:pPr>
    </w:p>
    <w:bookmarkStart w:id="12" w:name="page13"/>
    <w:bookmarkEnd w:id="12"/>
    <w:p>
      <w:pPr>
        <w:spacing w:after="0" w:line="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Significant changes in government regulation may hinder sales.</w:t>
      </w:r>
    </w:p>
    <w:p>
      <w:pPr>
        <w:spacing w:after="0" w:line="2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production, distribution and sale in the United States of many of our products are subject to various federal and state regulations, including, but not limited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New statutes and regulations may also be instituted in the future. If a regulatory authority finds that a current or future product or production run is not in compliance with any of these regulations, we may be fined, or such products may have to be recalled and/or reformulated and/or have the packaging changed, thus adversely affecting our financial condit ion and operations. In particular, California law requires that a specific warning appear on any product that contains a component listed by the State of California as having been found to cause cancer or birth defects. While we do not believe that any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 Proposals to limit or restrict the sale of energy drinks to minors and/or persons below a specified age and/or restrict the venues in which energy drinks can be sold, are currently pending before certain state and/or county legislatures. Should these current or any future proposals to enact legislation to limit or restrict the sale of energy drinks to minors and/or persons below a specified age and/or the venues in which energy dr inks can be sold, succeed and/or be enacted by additional states or counties, such legislation could result in a reduction in demand for our energy drinks and adversely affect our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Public health officials and health advocates are increasingly focused on the public health consequences associated with obesity, especially as the disease affects children, and are encouraging consumers to reduce consumption of sweetened beverages. Increasing public concern about these issues could result in the implementation of governmental regulations concerning the marketing, labeling or availability of our beverages. The U.S. Food and Drug Administration has recently proposed revising regulations with respect to serving size information and nutrition labeling on food and beverage products. If definitive regulation is promulgated, we may incur significant costs to alter our existing packaging materials to comply with such regulations. Additionally, revised serving size information may impact and/or reduce and/or otherwise affect the purchase and co nsumption of our products by our consumers.</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U.S. Congress and several state legislatures have considered proposals for excise tax on sweetened beverages. The imposition of such taxes on our products would increase the cost of products or, to the extent levied directly on consumers, make our products less affordable, both of which could reduce demand for our beverages and adversely affect our results of operations. Additionally, the Mexican legislature has recently imposed a 25% excise tax on energy drinks, effective as of January 1, 2011. We have adjusted the caffeine levels in our Monster Energy® products that are sold in Mexico to address this legislation. However, such actions, or actions by retailers to line price energy drinks generally, could decrease consumer demand for our products and adversely affect our results of operations. Furthermore, if similar taxes are imposed in other jurisdictions where we distribute our products, such taxes could adversely affect our results of operations.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derive a substantial portion of our revenues from our energy drinks and criticism of our energy drink products and/or the energy drink market generally could adversely affect our operating results.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energy drink products currently generate a substantial portion of our revenues. Criticism of our energy drink products, including criticism by healthcare professionals of the nutritional benefits of our energy drink products and other criticism for a variety of reasons, could affect consumer opinions of our energy drink products and result in decreased demand, which in turn would have an adverse effect on our results of operations and business.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The economic downturn and continued uncertainty in the financial markets and other adverse changes in general economic or political conditions in any of the major countries in which we do business may adversely affect our industry, business and results of operations.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the past few years, the global credit and financial markets experienced extreme disruptions, including severely diminished liquidity and credit availability, declines in consumer confidence, declines in economic growth, increases in unemployment rates, and uncertainty about economic stability. There can be no assurance that there will not be further deterioration in credit and financial markets and confidence in economic conditions. These economic uncertainties affect businesses such as ours in a number of ways, making it difficult to accurately forecast and plan our future business activities. The current adverse global economic conditions and tightening of credit in financial markets may lead consumers to postpone spending, which may cause our customers to cancel, decrease or delay their existing and future orders with us. In addition, financial difficulties experien ced by our suppliers or customers could result in product delays, increased accounts receivable defaults and inventory challenges. We are unable to predict the likely duration and severity of the current disruptions in the credit and financial markets and adverse global economic conditions, and if the current uncertain economic conditions continue or further deteriorate, our business and results of operations could be materially and adversely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Operations outside the United States expose us to uncertain conditions and other risks in international markets.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gross sales to customers outside of the United States were approximately 16%, 13% and 8% of consolidated gross sales for the years ended December 31, 2010, 2009 and 2008, respectively, and our growth strategy includes expanding our international business. If we are unable to continue to expand distribution of our products outside the United States, our growth rate could be adversely affected. In many international markets, we have relatively little or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U.S. We face and will continue to face substantial risks</w:t>
      </w:r>
    </w:p>
    <w:p>
      <w:pPr>
        <w:sectPr>
          <w:pgSz w:w="11900" w:h="16931" w:orient="portrait"/>
          <w:cols w:equalWidth="0" w:num="1">
            <w:col w:w="11420"/>
          </w:cols>
          <w:pgMar w:left="240" w:top="122" w:right="239" w:bottom="0" w:gutter="0" w:footer="0" w:header="0"/>
        </w:sectPr>
      </w:pPr>
    </w:p>
    <w:bookmarkStart w:id="13" w:name="page14"/>
    <w:bookmarkEnd w:id="13"/>
    <w:p>
      <w:pPr>
        <w:jc w:val="both"/>
        <w:spacing w:after="0" w:line="243" w:lineRule="auto"/>
        <w:rPr>
          <w:sz w:val="20"/>
          <w:szCs w:val="20"/>
          <w:color w:val="auto"/>
        </w:rPr>
      </w:pPr>
      <w:r>
        <w:rPr>
          <w:rFonts w:ascii="Arial" w:cs="Arial" w:eastAsia="Arial" w:hAnsi="Arial"/>
          <w:sz w:val="20"/>
          <w:szCs w:val="20"/>
          <w:color w:val="auto"/>
        </w:rPr>
        <w:t>associated with having foreign operations, includ ing: economic or political instability in our international markets; restrictions on or costs relating to the repatriation of foreign profits to the United States, including possible taxes or withholding obligations on any repatriations; and tariffs 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potentially higher incidence of fraud or corruption, credit risk of local customers and distributors and potentially adverse tax consequences.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Global or regional catastrophic events could impact our operations and affect our ability to grow our business.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or widespread outbreaks of infectious diseases. Such events could impact the production and distribution of our products. In addition, such events could disrupt global or regional economic activity, which could affect consumer purchasing power, thereby reducing demand for our products. If we are unable to grow our business internationally as a result of these factors, our growth rate could decline.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foreign currency exchange rates may adversely affect our operating results.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are exposed to foreign currency exchange rate risk with respect to our sales, expenses, profits, assets and liabilities denominated in currencies other than the U.S. dollar. We have not used instruments to hedge certain foreign currency risks and are not protected against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competition could hurt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Important factors affecting our ability to compete successfully include the taste and flavor of our products, trade and consumer promotions, rapid and effective development of new, unique cutting edge products, attractive and different packaging, branded product advertising and pricing. Our products compete with all liquid refreshments and with products of much larger and substantially better financed competitors, including the products of numerous nationally and internationally known producers such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TCCC, PepsiCo, Red Bull Gmbh, the DPS Group, Kraft Foods Inc., and Nestle Beverage Company. We also compete with companies that are smaller or primarily national or local in operations such as Tree Top and Ocean Spray. Our products also compete with private label brands such as those carried by grocery store chains, convenience store chains, and club stores. Our Java Monster™ product line competes directly with Starbucks Frappuccino, Starbucks Double Shot, Starbucks Double Shot Energy Plus Coffee and other Starbucks coffee drinks, Rockstar Roasted, Seattle’s Best, illy issimo coffee drinks and Full Throttle Coffee.</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derive a substantial portion of revenues from our energy drinks and competitive pressure in the “energy drink” category could adversely affect our operating results.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A substantial portion of our sales are derived from our energy drinks, including in particular our Monster Energy® brand energy drinks. Our DSD segment, which comprises primarily energy drinks, represented 93.0% of net sales for the year ended December 31, 2010. Any decrease in the sales of our Monster Energy® brand and other energy drinks could significantly adversely affect our future revenues and net income. Historically, we have experienced substantial competition from new entrants in the energy drink category. Domestically, our energy drinks compete directly with Red Bull, Rockstar, Full Throttle, No Fear, Amp, Adrenaline Rush, NOS, Venom, Redline, 180, Red Devil, Rip It, Starbucks Double Shot, Starbucks Double Shot Energy Plus Coffee, Rockstar Roasted, Full Throttle Coffee, 5-Hour Energy Shot, Stacker 2, Red Bull Energy Shot, Redline Energy Shot, NOS Ener gy Shot, Rockstar Energy Shot, Full Throttle Quick Shot, Amp Energy Shot and many other brands. A number of companies who market and distribute iced teas and juice cocktails in different packages, such as 16- and 20-ounce glass and plastic bottles, including Sobe, Snapple, Arizona, Fuse, and Vitamin Water, have added supplements to their products with a view to marketing their products as “functional” or energy beverages or as having “functional” benefits. In addition, certain large companies such as TCCC and PepsiCo, market and/or distribute products in that market segment such as Pepsi Max, Mountain Dew, Mountain Dew MDX and Vault. Internationally, our energy drinks compete with Red Bull, Rockstar, Burn, V-Energy, Lucozade, Relentless and numerous local and private label brands that usually differ from country to country, such as Play, Mother, Hell, Shock, Tiger and a host of other international brands. Competitive pressures in the energy drink category could impact our revenues o r we could experience price erosion or lower market share, any of which could have a material adverse effect on our business and results of operations.</w:t>
      </w:r>
    </w:p>
    <w:p>
      <w:pPr>
        <w:spacing w:after="0" w:line="194"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ectPr>
          <w:pgSz w:w="11900" w:h="16838" w:orient="portrait"/>
          <w:cols w:equalWidth="0" w:num="1">
            <w:col w:w="11420"/>
          </w:cols>
          <w:pgMar w:left="240" w:top="122" w:right="239" w:bottom="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We do not directly manufacture our products, but instead outsource such manufacturing to bottlers and other contract packers. In the event of a disruption 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Hansen’s® brand energy drinks in 8.3-ounce cans, our PET tea line, Hansen’s® Sparkling beverages in 10.5-ounce sleek cans, aseptic juice products, juices in 64-ounce PET plastic bottles, Monster Energy®, Monster Energy® Extra Strength Nitrous Technology</w:t>
      </w:r>
      <w:r>
        <w:rPr>
          <w:rFonts w:ascii="Arial" w:cs="Arial" w:eastAsia="Arial" w:hAnsi="Arial"/>
          <w:sz w:val="22"/>
          <w:szCs w:val="22"/>
          <w:color w:val="auto"/>
          <w:vertAlign w:val="superscript"/>
        </w:rPr>
        <w:t>TM</w:t>
      </w:r>
      <w:r>
        <w:rPr>
          <w:rFonts w:ascii="Arial" w:cs="Arial" w:eastAsia="Arial" w:hAnsi="Arial"/>
          <w:sz w:val="15"/>
          <w:szCs w:val="15"/>
          <w:color w:val="auto"/>
        </w:rPr>
        <w:t>, X-Presso Monster™, Monster Energy® Import and Import Light, Monster Energy® Dub Edition,</w:t>
      </w:r>
      <w:r>
        <w:rPr>
          <w:rFonts w:ascii="Arial" w:cs="Arial" w:eastAsia="Arial" w:hAnsi="Arial"/>
          <w:sz w:val="18"/>
          <w:szCs w:val="18"/>
          <w:color w:val="auto"/>
        </w:rPr>
        <w:t xml:space="preserve"> </w:t>
      </w:r>
      <w:r>
        <w:rPr>
          <w:rFonts w:ascii="Arial" w:cs="Arial" w:eastAsia="Arial" w:hAnsi="Arial"/>
          <w:sz w:val="15"/>
          <w:szCs w:val="15"/>
          <w:color w:val="auto"/>
        </w:rPr>
        <w:t>Monster Rehab™, and Rumba®, Samba, Tango energy drinks in 6.75-ounce and/or 8.3-ounce and/or 9.6-ounce and/or 12-ounce and/or 15.5-ounce and/or 16-ounce and/or 23.5-ounce and/or 24-ounce and/or 32-ounce and/or 500ml aluminum cans and/or 18.6-ounce BRE aluminum cans and/or 5-ounce and/or 500ml glass bottles and/or 12-ounce, 15-ounce and 24-ounce aluminum cap-cans, our Java Monster</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w:t>
      </w:r>
      <w:r>
        <w:rPr>
          <w:rFonts w:ascii="Arial" w:cs="Arial" w:eastAsia="Arial" w:hAnsi="Arial"/>
          <w:sz w:val="17"/>
          <w:szCs w:val="17"/>
          <w:color w:val="auto"/>
        </w:rPr>
        <w:t>product line in 15-ounce aluminum cans, Worx Energy</w:t>
      </w:r>
      <w:r>
        <w:rPr>
          <w:rFonts w:ascii="Arial" w:cs="Arial" w:eastAsia="Arial" w:hAnsi="Arial"/>
          <w:sz w:val="22"/>
          <w:szCs w:val="22"/>
          <w:color w:val="auto"/>
          <w:vertAlign w:val="superscript"/>
        </w:rPr>
        <w:t>TM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energy shots, our Peace Tea</w:t>
      </w:r>
      <w:r>
        <w:rPr>
          <w:rFonts w:ascii="Arial" w:cs="Arial" w:eastAsia="Arial" w:hAnsi="Arial"/>
          <w:sz w:val="11"/>
          <w:szCs w:val="11"/>
          <w:color w:val="auto"/>
        </w:rPr>
        <w:t>TM</w:t>
      </w:r>
      <w:r>
        <w:rPr>
          <w:rFonts w:ascii="Arial" w:cs="Arial" w:eastAsia="Arial" w:hAnsi="Arial"/>
          <w:sz w:val="19"/>
          <w:szCs w:val="19"/>
          <w:color w:val="auto"/>
        </w:rPr>
        <w:t xml:space="preserve"> product line in 23-ounce aluminum cans and other products. A disruption or delay in production of any of such products could significantly affect our revenues from such products as alternative co-packing facilities in the United States and abroad with adequate capacity may not be available for such products either at commercially reasonable rates, and/or within a reasonably short time period, if at all. Consequently, a disruption in production of such products could adversely affect our revenues.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on bottlers and distributors to distribute our DSD products. If we are unable to maintain good relationships with our existing bottlers and distributors and/or secure such bottlers and distributors, our business could suffer.</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carbonated and non-carbonated brands and other beverage products (both alcoholic and non-alcoholic), including energy drinks. In many cases, such products compete directly with our products.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TCCC North American Bottlers, AB Distributors, New CCE and Coca-Cola Hellenic are our primary domestic and international distributors of our Monster Energy® beverages. If we are unable to maintain good relationships with the TCCC North American Bottlers and/or the AB Distributors and/or New CCE and/or Coca-Cola Hellenic, or if the TCCC North American Bottlers and/or AB Distributors and/or New CCE and/or Coca-Cola Hellenic do not focus on marketing and promoting our products in preference to the products of our competitors, sales of our Monster Energy® beverages could be adversely affected.</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marketing efforts of our distributors are important for our success. If our DSD brands prove to be less attractive to our existing bottlers and distributors and/or if we fail to attract additional bottlers and distributors, and/or our bottlers and/or distributors do not market and promote our products with greater focus in preference to the products of our competitors, our business, financial condition and results of operations could be adversely affected.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customers are material to our success. If we are unable to maintain good relationships with our existing customers, our business could suffer.</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Unilateral decisions could be taken by our distributors, convenience chains, grocery chains, specialty chain stores, club stores and other customers to discontinue carrying all or any of our products that they are carrying at any time, which could cause our business to suffer.</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DPS Group, a former customer of the DSD segment, accounted for approximately 13% of our net sales for the year ended December 31, 2008. Our distribution agreement with the DPS Group was terminated by us effective November 9, 2008. The related terminated distributor territories are now serviced by a combination of the TCCC North American Bottlers and AB Distributors. If the TCCC North American Bottlers and/or AB Distributors are generally not as successful in selling our products as the DPS Group was, this could have a material adverse effect on our financial condition and consolidated results of operations.</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CCE (including CCBC up to September 30, 2010) (CCE replaced by New CCE from October 1, 2010), accounted for approximately 28% and 27% of our net sales for the years ended December 31, 2010 and 2009, respectively. Wal-Mart, Inc. (including Sam’s Club), a customer of both the DSD and Warehouse segments, accounted for less than 10% of our net sales for the years ended December 31, 2010 and 2009 and approximately 11% of our net sales for the year ended December 31, 2008. A decision by CCR, CCRC, New CCE, Wal-Mart, Inc. (including Sam’s Club), Coca-Cola Hellenic, or any other large customer to decrease the amount purchased from us or to cease carrying our products could have a material adverse effect on our financial condition and consolidated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Increases in costs and/or shortages of raw materials and/or ingredients and/or fuel and/or costs of co-packing could harm our business.</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principal raw materials used by us are aluminum cans, PET plastic bottles, as well as juice concentrates, sugar, sucralose, milk and cream, the costs of which are subject to fluctuations. In addition, certain of our co-pack arrangements allow such co-packers to increase their charges based on certain of their own cost increases. We are uncertain whether the prices of any of the above or any other raw materials or ingredients, certain of which have risen recently, will continue to rise or may rise in the future. We are unsure whether we will be able to pass any of such increases on to our customers. We generally do not use hedging agreements or alternative instruments to manage the risks associated with securing sufficient ingredients or raw materials.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some of these raw materials, such as certain sizes of cans, are available from a limited number of suppliers.</w:t>
      </w:r>
    </w:p>
    <w:p>
      <w:pPr>
        <w:sectPr>
          <w:pgSz w:w="11900" w:h="16838" w:orient="portrait"/>
          <w:cols w:equalWidth="0" w:num="1">
            <w:col w:w="11420"/>
          </w:cols>
          <w:pgMar w:left="240" w:top="122" w:right="239" w:bottom="0" w:gutter="0" w:footer="0" w:header="0"/>
        </w:sectPr>
      </w:pPr>
    </w:p>
    <w:bookmarkStart w:id="15" w:name="page16"/>
    <w:bookmarkEnd w:id="15"/>
    <w:p>
      <w:pPr>
        <w:spacing w:after="0" w:line="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failure to accurately estimate demand for our products could adversely affect our business and financial results.</w:t>
      </w:r>
    </w:p>
    <w:p>
      <w:pPr>
        <w:spacing w:after="0" w:line="2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PET plastic bottles, cans, glass, labels, sucralose, flavors, supplements, juice concentrates, certain sweeteners, coffee, tea or packing arrangements, we might not be able to satisfy demand on a short-term basis. Moreover, industry-wide shortages of certain juice concentrates, supplements and sweeteners have been and could, from time to time in the future, be experienced. Such shortages could interfere with and/or delay production of certain of our products and could have a material adverse e ffect on our business and financial results. We generally do not use hedging agreements or alternative instruments to manage this risk.</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The costs of packaging supplies are subject to price increases from time to time and we may be unable to pass all or some of such increased costs on to our customers.</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Many of our packaging supplies contracts allow our suppliers to alter the costs they charge us for packaging supplies based on changes in the costs of the underlying commodities that are used to produce those packaging supplies, such as resin for PET plastic bottles, aluminum for cans and pulp and paper for cartons and/or trays. These changes in the prices we pay for our packaging supplies occur at certain predetermined times that vary by product and supplier. In some cases, we fix the prices of certain packaging supplies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 r customers through corresponding adjustments to the prices we charge, which could have a material adverse effect on our results of operations.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upon our ongoing relationships with our key flavor suppliers. If we are unable to source our flavors on acceptable terms from our key suppliers, we could suffer disruptions in our business.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If we must replace a flavor supplier, we could experience temporary disruptions in our ability to deliver products to our customers, which could have a material adverse effect on our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intellectual property rights are critical to our success, and the loss of such rights could materially adversely affect our business.</w:t>
      </w:r>
    </w:p>
    <w:p>
      <w:pPr>
        <w:spacing w:after="0" w:line="24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with registered and common law trademarks and copyrights, restrictions on disclosure and other actions to prevent infringement. However, there can be no assurance that other third parties will not infringe or misappropriate our trademarks and similar proprietary rights. If we lose some or all of our intellectual property rights, our business may be materially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are unable to maintain brand image or product quality, or if we encounter product recalls, our business may suffer.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success depends on our ability to build and maintain brand image for our existing products, new products and brand extensions. We have no assurance that our advertising, marketing and promotional programs will have the desired impact on our products’ brand image and on consumer preference and demand. Product quality and/or ingredient content issues, efficacy or lack thereof, real or imagined, or allegations of product contamination, even if false or unfounded, could tarnish the image of the affected brands and may cause consumers to choose other products. We may be required from time to time to recall products entirely or from specific co-packers, markets or batches. Product recalls could adversely affect our profitability and our brand image. We do not maintain recall insurance.</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While we have to date not experienced any credible product liability litigation, there is no assurance that we will not experience such litigation in the future. In the event we were to experience product liability claims or a product recall, our financial condition and business operations could be materially adversely affected.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do not maintain sufficient inventory levels or if we are unable to deliver our products to our customers in sufficient quantities, or if our retailers’ inventory levels are too high, our operating results will be adversely affected.</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If we do not accurately anticipate the future demand for a particular product or the time it will take to obtain new inventory, our inventory levels will not be appropriate and our results of operations may be negatively impacted. If we fail to meet our shipping schedules, we could damage our relationships with distributors and/or retailers, increase our shipping costs 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would unfavorably impact our future sales and adversely affect our operating results.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business is dependent, to a large extent, upon the services of our senior management. We do not maintain key person life insurance for any members of our senior management. The loss of services of either Mr. Sacks, Chairman and Chief Executive Officer, Mr. Schlosberg, President and Chief Financial Officer, or any other key members of our senior management could adversely affect our business</w:t>
      </w:r>
    </w:p>
    <w:p>
      <w:pPr>
        <w:sectPr>
          <w:pgSz w:w="11900" w:h="16931" w:orient="portrait"/>
          <w:cols w:equalWidth="0" w:num="1">
            <w:col w:w="11420"/>
          </w:cols>
          <w:pgMar w:left="240" w:top="122" w:right="239" w:bottom="0" w:gutter="0" w:footer="0" w:header="0"/>
        </w:sectPr>
      </w:pPr>
    </w:p>
    <w:bookmarkStart w:id="16" w:name="page17"/>
    <w:bookmarkEnd w:id="16"/>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until suitable replacements can be found. There may be a limited number of personnel with the requisite skills to serve in these positions and we may be unable to locate or employ such qualified personnel on acceptable terms.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Climate change may negatively affect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There is concern that a gradual increase in global average temperatures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or increase the cost of certain key ingredients and juice concentrates used in our products. Increased frequency or duration of extreme weather conditions could also impair production capabilities, disrupt our supply chain including, without limitation, the availability of and/or result in higher prices for juice concentrates and natural flavors, or impact demand for our products.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adverse effect on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changes in accounting practices and/or taxation may adversely affect our financial results.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 tax income. Equally, increases in indirect taxes (including environmental taxes pertaining to the disposal of beverage containers) could affect our products’ affordability and reduce our sales.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stock price may restrict sale opportunities.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persons and many other factors, many of which are beyond our control. We may be unable to achieve analysts’ earnings forecasts, which may be based on their own projected volumes and sales of many product types and/or new products, certain of which are more profitable than others, as well as their own estimates of gross margin and operating expenses. There can be no assurance that the Company will achieve projected levels or mixes of product sales and/or revenues and/or gross margins and/or operating profits and/or net income. As a result, our stock price is subject to significant volati lity and stockholders may not be able to sell our stock at attractive prices. During the fiscal year ended December 31, 2010, our stock price high was $54.75 and stock price low was $24.01.</w:t>
      </w:r>
    </w:p>
    <w:p>
      <w:pPr>
        <w:spacing w:after="0" w:line="1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Provisions in our organizational documents and control by insiders may prevent changes in control even if such changes would be beneficial to other stockholders.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organizational documents may limit changes in control. Furthermore, as of February 22, 2011, Mr. Sacks and Mr. Schlosberg together may be deemed to beneficially own approximately 20% of our outstanding common stock. Consequently, Mr. Sacks and Mr. Schlosberg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cash flow may not be sufficient to fund our long term goals.</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may be unable to generate sufficient cash flow to support our capital expenditure plans and general operating activities. In addition, the terms and/or availability of our credit facility and/or the activities of our creditors could affect the financing of our future growth.</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investments in marketable securities are subject to risks which may cause losses and affect the liquidity of these investments.</w:t>
      </w: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At December 31, 2010, we had $354.8 million in cash and cash equivalents and $288.8 million in short- and long-term investments. We have historically invested these amounts in U.S. Treasury bills, government agencies and municipal securities (which may have an auction reset feature), corporate notes and bonds, commercial paper and money market funds meeting certain criteria. Certain of these investments are subject to general credit, liquidity, market and interest rate risks, which may be exacerbated by the U.S. sub-prime mortgage defaults that have affected various sectors of the financial markets and caused credit and liquidity issues. These market risks associated with our investment portfolio may have an adverse effect on our future results of operations, liquidity and financial condition.</w:t>
      </w:r>
    </w:p>
    <w:p>
      <w:pPr>
        <w:spacing w:after="0" w:line="179"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Certain of our short-term investments and all of our long-term investments are comprised of municipal or educational related or other public body notes with an auction reset feature (“auction rate securities”). A large portion of these notes carry an investment grade or better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During the years ended December 31, 2010, 2009 and 2008, the auctions for these</w:t>
      </w:r>
    </w:p>
    <w:p>
      <w:pPr>
        <w:sectPr>
          <w:pgSz w:w="11900" w:h="16963" w:orient="portrait"/>
          <w:cols w:equalWidth="0" w:num="1">
            <w:col w:w="11420"/>
          </w:cols>
          <w:pgMar w:left="240" w:top="122" w:right="239" w:bottom="0" w:gutter="0" w:footer="0" w:header="0"/>
        </w:sectPr>
      </w:pPr>
    </w:p>
    <w:bookmarkStart w:id="17" w:name="page18"/>
    <w:bookmarkEnd w:id="17"/>
    <w:p>
      <w:pPr>
        <w:jc w:val="both"/>
        <w:spacing w:after="0" w:line="243" w:lineRule="auto"/>
        <w:rPr>
          <w:sz w:val="20"/>
          <w:szCs w:val="20"/>
          <w:color w:val="auto"/>
        </w:rPr>
      </w:pPr>
      <w:r>
        <w:rPr>
          <w:rFonts w:ascii="Arial" w:cs="Arial" w:eastAsia="Arial" w:hAnsi="Arial"/>
          <w:sz w:val="20"/>
          <w:szCs w:val="20"/>
          <w:color w:val="auto"/>
        </w:rPr>
        <w:t>auction rate securities failed, and there is no assurance that future auctions will succeed. The auction failures have been attributable to inadequate buye rs and/or buying demand and/or the lack of support from financial advisors and sponsors. In the event that there is a failed auction, the indenture governing the security in some cases requires the issuer to pay interest at a default rate that may be above market rates for similar instruments. The securities for which auctions have failed will continue to accrue and/or pay interest at their pre-determined default rates and be auctioned every 7 to 35 days until their respective auction succeeds, the issuer calls the securities, they mature or we are able to sell the securities to third parties. As a result, our ability to liquidate and fully recover the carrying value of our auction rate securities in the near term may be limited.</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At December 31, 2010, we held auction rate securities with a face value of $79.6 million (amortized cost basis of $70.7 million). A Level 3 valuation was performed on our auction rate securities as of December 31, 2010 resulting in a fair value of $25.4 million for our available-for-sale auction rate securities (after a $7.4 million impairment) and $42.9 million for our trading auction rate securities, which are included in short- and long-term investments. In March 2010, we entered into an agreement (the “ARS Agreement”), related to $54.2 million in par value auction rate securities (“ARS Securities”). Under the ARS Agreement, we have the right, but not the obligation, to sell these ARS Securities including all accrued but unpaid interest (the “Put Option”) as follows: (i) on or after March 22, 2011, up to $1 3.6 million aggregate par value; and (ii) semi-annual or annual installments thereafter with full sale rights available on or after March 22, 2013. The ARS Securities will continue to accrue interest until redeemed through the Put Option, or as determined by the auction process or the terms outlined in the prospectus of the respective ARS Securities when the auction process fails. During the year ended December 31, 2010, $7.4 million of par value ARS Securities were redeemed at par through normal market channels.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the issuers of these auction rate securities are unable to refinance their debts and call the notes or successfully close future auctions and their credit ratings deteriorate, we may be required to record additional impairment charges on these investments in the future. If uncertainties in the credit and capital markets continue or there are ratings downgrades on the auction rate securities held by us, we may be required to recognize additional impairments on these investments. We may be required to wait until market stability is restored for these instruments or until the final maturity of the underlying notes (up to 40 years) to realize our investments’ recorded value (See “Part II, Item 7A – Qualitative And Quantitative Disclosures About Market Risks” and “Part II, Item 8, Notes 2 and 3 in our consolidated financial stat ements”).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required to maintain both disclosure controls and procedures and internal control over financial reporting that are effective for the purposes described in “Part II, Item 9A – Controls and Procedures.” If we fail to do so, our business, results of operations, financial condition or the value of our stock could be materially harmed.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or legal proceedings could expose us to significant liabilities and thus negatively affect our financial results.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are a party, from time to time, to various litigation claims and legal proceedings, including, but not limited to, intellectual property, fraud, unfair business practices and false advertising, breach of contract claims, securities actions and shareholder derivative actions. Material legal proceedings are described more fully in “Part I, Item 3 – Legal Proceedings” and in “Part II, Item 8, Note 9 to our consolidated financial statements” contained in this Form 10-K.</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Defending these proceedings will result in significant ongoing expenditures and the continued diversion of our management’s time and attention from the operation of our business, which could have a negative effect on our business operations. Our failure to successfully defend or settle any litigation or legal proceedings could result in liability that, to the extent not covered by our insurance, could have a material adverse effect on our financial condition, revenue and profitability, and could cause the market value of our common stock to decline.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must continually maintain and/or upgrade our information technology systems.</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Information technology helps us operate efficiently, interface with customers,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 If our data management systems, including our SAP enterprise resource planning system,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 ons will be impaired, perhaps materially. Any such impairment could materially and adversely affect our financial condition, results of operations, cash flows and the timeliness with which we report our internal and external operating results.</w:t>
      </w:r>
    </w:p>
    <w:p>
      <w:pPr>
        <w:spacing w:after="0" w:line="192"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ectPr>
          <w:pgSz w:w="11900" w:h="16838" w:orient="portrait"/>
          <w:cols w:equalWidth="0" w:num="1">
            <w:col w:w="11420"/>
          </w:cols>
          <w:pgMar w:left="240" w:top="122" w:right="239" w:bottom="58" w:gutter="0" w:footer="0" w:header="0"/>
        </w:sectPr>
      </w:pPr>
    </w:p>
    <w:bookmarkStart w:id="18" w:name="page19"/>
    <w:bookmarkEnd w:id="18"/>
    <w:p>
      <w:pPr>
        <w:spacing w:after="0" w:line="7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color w:val="auto"/>
        </w:rPr>
        <w:t>In October 2006, we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In September 2007, we relocated our corporate offices to newly leased offices in Corona, California.</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lease office and warehouse space domestically and internationally, including properties in Australia, Brazil, Canada, Ireland and the United Kingdom. We also rent additional office and warehouse space on a short-term basis from time to time in the countries in which we operate.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August 2008, we completed the purchase of 1.09 acres of land for a purchase price of $1.4 million. In December 2009, we completed the purchase of an additional 2.12 acres of adjacent vacant land for a purchase price of $1.7 million. The properties are located adjacent to our leased warehouse and distribution space.</w:t>
      </w:r>
    </w:p>
    <w:p>
      <w:pPr>
        <w:spacing w:after="0" w:line="19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September 2006, Christopher Chavez purporting to act on behalf of himself and a certain class of consumers filed an 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 6;s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The hearing for all three motions occurred on May 27, 2010.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the Blue Sky mark or brand in the United States at any time between May 16, 2002 and June 30, 2006. The Company subsequently filed a petition with the Ninth Ci rcuit seeking permission to file an appeal to reverse the decision to certify a class. On August 27, 2010, the Ninth Circuit denied the Company’s petition. On September 9, 2010, the District Court approved the form of the class notice and its distribution plan; and set an opt-out date of December 10, 2010 and a trial date for March, 2011. On September 28, 2010, the Company filed a Request for Leave to file a motion for reconsideration of the order certifying the class action. On November 11, 2010, the Company filed two dispositive motions: a motion to decertify the class and a motion for summary judgment. The plaintiff filed his motion for partial summary judgment. The District Court took all motions under submission without oral argument. The District Court judge assigned to the case, Judge Vaughn Walker, recently announced his retirement from the bench, with such retirement effective February, 2011. On January 31, 2011, Judge Jeffrey S. White was assigned to the case and subsequently vacated all pending hearing dates. A case management conference has been set for March 18, 2011 and the pending motions have been rescheduled to be heard on April 1, 2011. The Company believes it has meritorious defenses to all the allegations and plans a vigorous defense.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August 28, 2008, the Company initiated an action against Oppenheimer Holdings Inc., Oppenheimer &amp; Co. Inc., and Oppenheimer Asset Management Inc., in the United States District Court, Central District of California, for violations of federal securities laws and the Investment Advisers Act of 1940, as amended, arising out of the Company’s purchase of auction rate securities. The Company stipulated to arbitration before the Financial Industry Regulatory Authority (“FINRA”), where the matter is now proceeding and a hearing has been scheduled for June, 2011. The Company has voluntarily dismissed, without prejudice, its claims against Oppenheimer Asset Management, Inc. The FINRA panel denied Oppenheimer Holdings, Inc.’s motion to be dismissed from the proceeding.</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 e plaintiff claims general damages on behalf of the putative class in the amount of CDN$20 million, together with punitive damages of CDN$5 million, plus legal costs and interest. The plaintiff’s certification motion materials have not yet been filed.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w:t>
      </w:r>
      <w:r>
        <w:rPr>
          <w:rFonts w:ascii="Arial" w:cs="Arial" w:eastAsia="Arial" w:hAnsi="Arial"/>
          <w:sz w:val="19"/>
          <w:szCs w:val="19"/>
          <w:color w:val="auto"/>
        </w:rPr>
        <w:t>, et 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9"/>
          <w:szCs w:val="19"/>
          <w:i w:val="1"/>
          <w:iCs w:val="1"/>
          <w:color w:val="auto"/>
        </w:rPr>
        <w:t>Brown v. Hansen Natural Corp., et al.</w:t>
      </w:r>
      <w:r>
        <w:rPr>
          <w:rFonts w:ascii="Arial" w:cs="Arial" w:eastAsia="Arial" w:hAnsi="Arial"/>
          <w:sz w:val="19"/>
          <w:szCs w:val="19"/>
          <w:color w:val="auto"/>
        </w:rPr>
        <w:t xml:space="preserve"> was also filed in the District Court.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w:t>
      </w:r>
    </w:p>
    <w:p>
      <w:pPr>
        <w:sectPr>
          <w:pgSz w:w="11900" w:h="16918" w:orient="portrait"/>
          <w:cols w:equalWidth="0" w:num="1">
            <w:col w:w="11420"/>
          </w:cols>
          <w:pgMar w:left="240" w:top="122" w:right="239" w:bottom="0" w:gutter="0" w:footer="0" w:header="0"/>
        </w:sectPr>
      </w:pPr>
    </w:p>
    <w:bookmarkStart w:id="19" w:name="page20"/>
    <w:bookmarkEnd w:id="19"/>
    <w:p>
      <w:pPr>
        <w:spacing w:after="0" w:line="3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 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 - -5 promulgated thereunder, and seeks an unspecified amount of damages. Defendants filed a motion to dismiss the Amended Class Action Complaint on November 8, 2010. Plaintiff’s opposition to defendants’ motion was filed on January 14, 2011, and defendants’ reply brief was filed on February 11, 2011. A hearing on defendants’ motion to dismiss the Amended Class Action Complaint is currently scheduled for April 14, 2011.</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Derivative Litigation </w:t>
      </w:r>
      <w:r>
        <w:rPr>
          <w:rFonts w:ascii="Arial" w:cs="Arial" w:eastAsia="Arial" w:hAnsi="Arial"/>
          <w:sz w:val="20"/>
          <w:szCs w:val="20"/>
          <w:color w:val="auto"/>
        </w:rPr>
        <w:t>— On October 15, 2008, a derivative complaint was filed in the United States District Court for the Central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District of California (the “District Court”), styled </w:t>
      </w:r>
      <w:r>
        <w:rPr>
          <w:rFonts w:ascii="Arial" w:cs="Arial" w:eastAsia="Arial" w:hAnsi="Arial"/>
          <w:sz w:val="20"/>
          <w:szCs w:val="20"/>
          <w:i w:val="1"/>
          <w:iCs w:val="1"/>
          <w:color w:val="auto"/>
        </w:rPr>
        <w:t>Merckel v. Sacks, et al</w:t>
      </w:r>
      <w:r>
        <w:rPr>
          <w:rFonts w:ascii="Arial" w:cs="Arial" w:eastAsia="Arial" w:hAnsi="Arial"/>
          <w:sz w:val="20"/>
          <w:szCs w:val="20"/>
          <w:color w:val="auto"/>
        </w:rPr>
        <w:t xml:space="preserve">. On November 17, 2008, a second derivative complaint styled </w:t>
      </w:r>
      <w:r>
        <w:rPr>
          <w:rFonts w:ascii="Arial" w:cs="Arial" w:eastAsia="Arial" w:hAnsi="Arial"/>
          <w:sz w:val="20"/>
          <w:szCs w:val="20"/>
          <w:i w:val="1"/>
          <w:iCs w:val="1"/>
          <w:color w:val="auto"/>
        </w:rPr>
        <w:t>Dislevy v. Sacks, et al</w:t>
      </w:r>
      <w:r>
        <w:rPr>
          <w:rFonts w:ascii="Arial" w:cs="Arial" w:eastAsia="Arial" w:hAnsi="Arial"/>
          <w:sz w:val="20"/>
          <w:szCs w:val="20"/>
          <w:color w:val="auto"/>
        </w:rPr>
        <w:t>. was also filed in the District Court. The derivative suits were each brought, purportedly on behalf of the Company, by a</w:t>
      </w:r>
      <w:r>
        <w:rPr>
          <w:rFonts w:ascii="Arial" w:cs="Arial" w:eastAsia="Arial" w:hAnsi="Arial"/>
          <w:sz w:val="20"/>
          <w:szCs w:val="20"/>
          <w:i w:val="1"/>
          <w:iCs w:val="1"/>
          <w:color w:val="auto"/>
        </w:rPr>
        <w:t xml:space="preserve"> </w:t>
      </w:r>
      <w:r>
        <w:rPr>
          <w:rFonts w:ascii="Arial" w:cs="Arial" w:eastAsia="Arial" w:hAnsi="Arial"/>
          <w:sz w:val="20"/>
          <w:szCs w:val="20"/>
          <w:color w:val="auto"/>
        </w:rPr>
        <w:t>shareholder of the Company who made no prior demand on the Company’s Board of Directors.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June 29, 2009, the District Court entered an order consolidating the Merckel and Dislevy actions. On July 13, 2009, the District Court entered an order re-styling the consolidated actions as In re Hansen Derivative Shareholder Litigation, appointing Raymond Merckel as lead plaintiff and appointing lead counsel, and establishing a schedule for the filing of a consolidated amended complaint and for defendants’ response to such complaint.</w:t>
      </w:r>
    </w:p>
    <w:p>
      <w:pPr>
        <w:spacing w:after="0" w:line="20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On October 13, 2009, a purported Consolidated Shareholder Derivative Complaint (the “Consolidated Derivative Complaint”) was filed. The Consolidated Derivative Complaint named as defendants certain current and former officers, directors, and employees of the Company, including Rodney C. Sacks, Hilton H. Schlosberg, Harold C. Taber, Jr., Benjamin M. Polk, Norman C. Epstein, Mark S. Vidergauz, Sydney Selati, Thomas J. Kelly, Mark J. Hall, and Kirk S. Blower, as well as Hilrod Holdings, L.P. The Company was named as a nominal defendant. The factual allegations of the Consolidated Derivative Complaint were similar to those set forth in the Class Action Complaint described above. Plaintiff alleged that, from November 2006 to the present, the defendants caused the Company to issue false and misleading statements concerning its busines s prospects and failed to properly disclose problems related to its non-Monster energy drinks, the prospects for the Anheuser-Busch distribution relationship, and alleged “inventory loading” that affected the Company’s results for the second quarter of 2007. Plaintiff further alleged that while the Company’s shares were purportedly artificially inflated because of those improper statements, certain of the defendants sold Company stock while in possession of material non-public information. The Consolidated Derivative Complaint asserted various causes of action, including breach of fiduciary duty, aiding and abetting breach of fiduciary duty, violation of Cal. Corp. Code</w:t>
      </w:r>
    </w:p>
    <w:p>
      <w:pPr>
        <w:spacing w:after="0" w:line="9" w:lineRule="exact"/>
        <w:rPr>
          <w:sz w:val="20"/>
          <w:szCs w:val="20"/>
          <w:color w:val="auto"/>
        </w:rPr>
      </w:pPr>
    </w:p>
    <w:p>
      <w:pPr>
        <w:ind w:firstLine="8"/>
        <w:spacing w:after="0" w:line="244" w:lineRule="auto"/>
        <w:tabs>
          <w:tab w:leader="none" w:pos="255" w:val="left"/>
        </w:tabs>
        <w:numPr>
          <w:ilvl w:val="0"/>
          <w:numId w:val="19"/>
        </w:numPr>
        <w:rPr>
          <w:rFonts w:ascii="Arial" w:cs="Arial" w:eastAsia="Arial" w:hAnsi="Arial"/>
          <w:sz w:val="20"/>
          <w:szCs w:val="20"/>
          <w:color w:val="auto"/>
        </w:rPr>
      </w:pPr>
      <w:r>
        <w:rPr>
          <w:rFonts w:ascii="Arial" w:cs="Arial" w:eastAsia="Arial" w:hAnsi="Arial"/>
          <w:sz w:val="20"/>
          <w:szCs w:val="20"/>
          <w:color w:val="auto"/>
        </w:rPr>
        <w:t>25402 and 25403 for insider selling, and unjust enrichment. The suit sought an unspecified amount of damages to be paid to the Company and adoption of corporate governance reforms, among other things.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January 8, 2010, the Company filed its motion to dismiss the Consolidated Derivative Complaint pursuant to Federal Rules of Civil Procedure 12(b)(6) and 23.1. Plaintiff’s counsel filed an opposition to the motion on February 22, 2010, in which it stated that lead plaintiff Raymond Merckel was no longer communicating with counsel and that it had located another shareholder of the Company, Anastasia Brueckheimer, who was willing to act as lead plaintiff. On March 2, 2010, plaintiff’s counsel filed a motion to amend the Consolidated Derivative Complaint pursuant to Rule 15(a)(2) for the purpose of replacing Mr. Merckel as lead plaintiff.</w:t>
      </w:r>
    </w:p>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On July 12, 2010, the District Court held a hearing on the Company’s motion to dismiss and on plaintiff counsel’s motion to amend the Derivative Complaint. In conjunction with the hearing, the District Court issued a tentative ruling that did not grant the motion to amend and instead indicated that the proposed substitute lead plaintiff, Ms. Brueckheimer, should have sought to intervene in the action pursuant to Rule 24. The District Court’s tentative ruling further stated that (assuming that Ms. Brueckheimer were allowed to substitute as lead plaintiff) the Company’s motion to dismiss the Consolidated Derivative Complaint would be granted, with leave to amend, on the ground that the allegations of demand futility were insufficient to excuse the failure to make a pre-suit demand on the Company’s Board of Directors. ; Following the hearing, the District Court allowed Ms. Brueckheimer to file a motion for leave to intervene, and Ms. Brueckheimer subsequently filed a motion to intervene on July 16, 2010. On August 5, 2010, the parties filed a stipulation and proposed order with the District Court pursuant to which Ms. Brueckheimer would be permitted to intervene in the Derivative Litigation as lead plaintiff and to file a</w:t>
      </w:r>
    </w:p>
    <w:p>
      <w:pPr>
        <w:sectPr>
          <w:pgSz w:w="11900" w:h="16871" w:orient="portrait"/>
          <w:cols w:equalWidth="0" w:num="1">
            <w:col w:w="11420"/>
          </w:cols>
          <w:pgMar w:left="240" w:top="121" w:right="239" w:bottom="0" w:gutter="0" w:footer="0" w:header="0"/>
        </w:sectPr>
      </w:pPr>
    </w:p>
    <w:bookmarkStart w:id="20" w:name="page21"/>
    <w:bookmarkEnd w:id="20"/>
    <w:p>
      <w:pPr>
        <w:jc w:val="both"/>
        <w:ind w:right="20"/>
        <w:spacing w:after="0" w:line="250" w:lineRule="auto"/>
        <w:rPr>
          <w:sz w:val="20"/>
          <w:szCs w:val="20"/>
          <w:color w:val="auto"/>
        </w:rPr>
      </w:pPr>
      <w:r>
        <w:rPr>
          <w:rFonts w:ascii="Arial" w:cs="Arial" w:eastAsia="Arial" w:hAnsi="Arial"/>
          <w:sz w:val="20"/>
          <w:szCs w:val="20"/>
          <w:color w:val="auto"/>
        </w:rPr>
        <w:t>Verified Complaint in Intervention (the “Complaint in Intervention”) similar in all material respects to the Consolidated Derivative Complaint. The District Court so-ordered the stipulation and proposed order and, as a result, the Complaint in Intervention was deemed to have been dismissed with leave to amend for the reasons set forth in the District Court’s July 12, 2010 ruling.</w:t>
      </w:r>
    </w:p>
    <w:p>
      <w:pPr>
        <w:spacing w:after="0" w:line="20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1, 2010, Ms. Brueckheimer filed a Verified Amended Consolidated Shareholder Derivative Complaint (the “Amended Derivative Complaint”). While the Amended Derivative Complaint asserts the same causes of action and contains many of the same substantive allegations as the Consolidated Derivative Complaint, it also advances new allegations about “channel stuffing,” which are substantially similar to the allegations pled in the Amended Class Action Complaint. The Company filed a motion to dismiss the Amended Derivative Complaint on December 20, 2010. Ms. Brueckheimer’s opposition to the Company’s motion was filed on February 11, 2011, and the Company’s reply is due on March 11, 2011. A hearing on the Company’s motion to dismiss the Amended Derivative Complaint is currently schedu led for April 14, 2011.</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the ultimate outcome of these matters cannot be determined with certainty, the Company believes that the allegations in the Amended Class Action Complaint and the Amended Derivative Complaint are without merit. The Company intends to vigorously defend against these lawsuits.</w:t>
      </w:r>
    </w:p>
    <w:p>
      <w:pPr>
        <w:spacing w:after="0" w:line="194"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Reserved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Market</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As of February 22, 2011, there were 89,005,264 shares of the Company’s common stock outstanding held by approximately 349 holders of record.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and Dividend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high and low per share sales price of our common stock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Year Ended December 31, 2010</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Low</w:t>
            </w:r>
          </w:p>
        </w:tc>
      </w:tr>
      <w:tr>
        <w:trPr>
          <w:trHeight w:val="206"/>
        </w:trPr>
        <w:tc>
          <w:tcPr>
            <w:tcW w:w="3900" w:type="dxa"/>
            <w:vAlign w:val="bottom"/>
          </w:tcPr>
          <w:p>
            <w:pPr>
              <w:ind w:left="20"/>
              <w:spacing w:after="0" w:line="207" w:lineRule="exact"/>
              <w:rPr>
                <w:sz w:val="20"/>
                <w:szCs w:val="20"/>
                <w:color w:val="auto"/>
              </w:rPr>
            </w:pPr>
            <w:r>
              <w:rPr>
                <w:rFonts w:ascii="Arial" w:cs="Arial" w:eastAsia="Arial" w:hAnsi="Arial"/>
                <w:sz w:val="20"/>
                <w:szCs w:val="20"/>
                <w:color w:val="auto"/>
              </w:rPr>
              <w:t>First Quarter</w:t>
            </w:r>
          </w:p>
        </w:tc>
        <w:tc>
          <w:tcPr>
            <w:tcW w:w="224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line="207" w:lineRule="exact"/>
              <w:rPr>
                <w:sz w:val="20"/>
                <w:szCs w:val="20"/>
                <w:color w:val="auto"/>
              </w:rPr>
            </w:pPr>
            <w:r>
              <w:rPr>
                <w:rFonts w:ascii="Arial" w:cs="Arial" w:eastAsia="Arial" w:hAnsi="Arial"/>
                <w:sz w:val="20"/>
                <w:szCs w:val="20"/>
                <w:color w:val="auto"/>
                <w:w w:val="91"/>
              </w:rPr>
              <w:t>43.94</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37.83</w:t>
            </w:r>
          </w:p>
        </w:tc>
      </w:tr>
      <w:tr>
        <w:trPr>
          <w:trHeight w:val="230"/>
        </w:trPr>
        <w:tc>
          <w:tcPr>
            <w:tcW w:w="3900" w:type="dxa"/>
            <w:vAlign w:val="bottom"/>
          </w:tcPr>
          <w:p>
            <w:pPr>
              <w:ind w:left="20"/>
              <w:spacing w:after="0"/>
              <w:rPr>
                <w:sz w:val="20"/>
                <w:szCs w:val="20"/>
                <w:color w:val="auto"/>
              </w:rPr>
            </w:pPr>
            <w:r>
              <w:rPr>
                <w:rFonts w:ascii="Arial" w:cs="Arial" w:eastAsia="Arial" w:hAnsi="Arial"/>
                <w:sz w:val="20"/>
                <w:szCs w:val="20"/>
                <w:color w:val="auto"/>
              </w:rPr>
              <w:t>Second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44.99</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24.01</w:t>
            </w:r>
          </w:p>
        </w:tc>
      </w:tr>
      <w:tr>
        <w:trPr>
          <w:trHeight w:val="230"/>
        </w:trPr>
        <w:tc>
          <w:tcPr>
            <w:tcW w:w="3900" w:type="dxa"/>
            <w:vAlign w:val="bottom"/>
          </w:tcPr>
          <w:p>
            <w:pPr>
              <w:ind w:left="20"/>
              <w:spacing w:after="0"/>
              <w:rPr>
                <w:sz w:val="20"/>
                <w:szCs w:val="20"/>
                <w:color w:val="auto"/>
              </w:rPr>
            </w:pPr>
            <w:r>
              <w:rPr>
                <w:rFonts w:ascii="Arial" w:cs="Arial" w:eastAsia="Arial" w:hAnsi="Arial"/>
                <w:sz w:val="20"/>
                <w:szCs w:val="20"/>
                <w:color w:val="auto"/>
              </w:rPr>
              <w:t>Third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47.96</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38.02</w:t>
            </w:r>
          </w:p>
        </w:tc>
      </w:tr>
      <w:tr>
        <w:trPr>
          <w:trHeight w:val="250"/>
        </w:trPr>
        <w:tc>
          <w:tcPr>
            <w:tcW w:w="3900" w:type="dxa"/>
            <w:vAlign w:val="bottom"/>
          </w:tcPr>
          <w:p>
            <w:pPr>
              <w:ind w:left="20"/>
              <w:spacing w:after="0"/>
              <w:rPr>
                <w:sz w:val="20"/>
                <w:szCs w:val="20"/>
                <w:color w:val="auto"/>
              </w:rPr>
            </w:pPr>
            <w:r>
              <w:rPr>
                <w:rFonts w:ascii="Arial" w:cs="Arial" w:eastAsia="Arial" w:hAnsi="Arial"/>
                <w:sz w:val="20"/>
                <w:szCs w:val="20"/>
                <w:color w:val="auto"/>
              </w:rPr>
              <w:t>Fourth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54.75</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45.51</w:t>
            </w:r>
          </w:p>
        </w:tc>
      </w:tr>
      <w:tr>
        <w:trPr>
          <w:trHeight w:val="45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Year Ended December 31, 2009</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Low</w:t>
            </w:r>
          </w:p>
        </w:tc>
      </w:tr>
      <w:tr>
        <w:trPr>
          <w:trHeight w:val="206"/>
        </w:trPr>
        <w:tc>
          <w:tcPr>
            <w:tcW w:w="3900" w:type="dxa"/>
            <w:vAlign w:val="bottom"/>
          </w:tcPr>
          <w:p>
            <w:pPr>
              <w:ind w:left="20"/>
              <w:spacing w:after="0" w:line="207" w:lineRule="exact"/>
              <w:rPr>
                <w:sz w:val="20"/>
                <w:szCs w:val="20"/>
                <w:color w:val="auto"/>
              </w:rPr>
            </w:pPr>
            <w:r>
              <w:rPr>
                <w:rFonts w:ascii="Arial" w:cs="Arial" w:eastAsia="Arial" w:hAnsi="Arial"/>
                <w:sz w:val="20"/>
                <w:szCs w:val="20"/>
                <w:color w:val="auto"/>
              </w:rPr>
              <w:t>First Quarter</w:t>
            </w:r>
          </w:p>
        </w:tc>
        <w:tc>
          <w:tcPr>
            <w:tcW w:w="224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line="207" w:lineRule="exact"/>
              <w:rPr>
                <w:sz w:val="20"/>
                <w:szCs w:val="20"/>
                <w:color w:val="auto"/>
              </w:rPr>
            </w:pPr>
            <w:r>
              <w:rPr>
                <w:rFonts w:ascii="Arial" w:cs="Arial" w:eastAsia="Arial" w:hAnsi="Arial"/>
                <w:sz w:val="20"/>
                <w:szCs w:val="20"/>
                <w:color w:val="auto"/>
                <w:w w:val="91"/>
              </w:rPr>
              <w:t>37.24</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30.37</w:t>
            </w:r>
          </w:p>
        </w:tc>
      </w:tr>
      <w:tr>
        <w:trPr>
          <w:trHeight w:val="230"/>
        </w:trPr>
        <w:tc>
          <w:tcPr>
            <w:tcW w:w="3900" w:type="dxa"/>
            <w:vAlign w:val="bottom"/>
          </w:tcPr>
          <w:p>
            <w:pPr>
              <w:ind w:left="20"/>
              <w:spacing w:after="0"/>
              <w:rPr>
                <w:sz w:val="20"/>
                <w:szCs w:val="20"/>
                <w:color w:val="auto"/>
              </w:rPr>
            </w:pPr>
            <w:r>
              <w:rPr>
                <w:rFonts w:ascii="Arial" w:cs="Arial" w:eastAsia="Arial" w:hAnsi="Arial"/>
                <w:sz w:val="20"/>
                <w:szCs w:val="20"/>
                <w:color w:val="auto"/>
              </w:rPr>
              <w:t>Second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44.02</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29.65</w:t>
            </w:r>
          </w:p>
        </w:tc>
      </w:tr>
      <w:tr>
        <w:trPr>
          <w:trHeight w:val="230"/>
        </w:trPr>
        <w:tc>
          <w:tcPr>
            <w:tcW w:w="3900" w:type="dxa"/>
            <w:vAlign w:val="bottom"/>
          </w:tcPr>
          <w:p>
            <w:pPr>
              <w:ind w:left="20"/>
              <w:spacing w:after="0"/>
              <w:rPr>
                <w:sz w:val="20"/>
                <w:szCs w:val="20"/>
                <w:color w:val="auto"/>
              </w:rPr>
            </w:pPr>
            <w:r>
              <w:rPr>
                <w:rFonts w:ascii="Arial" w:cs="Arial" w:eastAsia="Arial" w:hAnsi="Arial"/>
                <w:sz w:val="20"/>
                <w:szCs w:val="20"/>
                <w:color w:val="auto"/>
              </w:rPr>
              <w:t>Third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37.21</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27.91</w:t>
            </w:r>
          </w:p>
        </w:tc>
      </w:tr>
      <w:tr>
        <w:trPr>
          <w:trHeight w:val="250"/>
        </w:trPr>
        <w:tc>
          <w:tcPr>
            <w:tcW w:w="3900" w:type="dxa"/>
            <w:vAlign w:val="bottom"/>
          </w:tcPr>
          <w:p>
            <w:pPr>
              <w:ind w:left="20"/>
              <w:spacing w:after="0"/>
              <w:rPr>
                <w:sz w:val="20"/>
                <w:szCs w:val="20"/>
                <w:color w:val="auto"/>
              </w:rPr>
            </w:pPr>
            <w:r>
              <w:rPr>
                <w:rFonts w:ascii="Arial" w:cs="Arial" w:eastAsia="Arial" w:hAnsi="Arial"/>
                <w:sz w:val="20"/>
                <w:szCs w:val="20"/>
                <w:color w:val="auto"/>
              </w:rPr>
              <w:t>Fourth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39.38</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32.95</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per share sales prices of our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paid cash dividends to our stockholders since our inception and do not anticipate paying cash dividends in the foreseeable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future.</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On April 25, 2008, our Board of Directors had authorized the repurchase of up to $200.0 million of the Company’s common stock. During the years ended December 31, 2009 and 2008, we purchased 2.6 million and 3.9 million shares, respectively, of the Company’s common stock at an average purchase price of $33.10 per share and $26.77 per share, respectively, which the Company holds in treasury. As of December 31, 2009, approximately $10.2 million remained available under the April 25, 2008 plan, however, the April 25, 2008 plan was subsequently terminated in March, 2010 with no further repurchase activity. On March 10, 2010, our Board of Directors authorized the repurchase of up to $200.0 million of the Company’s common stock. During the year ended December 31, 2010, we purchased 0.6 million shares of the Company’s common stock at an average purchase price of $37.68 per share, which the Company holds in treasury. As of December 31, 2010, approximately $176.4 million remained available under the plan for the repurchase of the Company’s common stock. During the fourth quarter ended December 31, 2010, we did not repurchase any shares of our common stock</w:t>
      </w:r>
      <w:r>
        <w:rPr>
          <w:rFonts w:ascii="Arial" w:cs="Arial" w:eastAsia="Arial" w:hAnsi="Arial"/>
          <w:sz w:val="18"/>
          <w:szCs w:val="18"/>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sets forth information as of December 31, 2010 with respect to shares of our common stock that may be issued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20"/>
                <w:szCs w:val="20"/>
                <w:color w:val="auto"/>
              </w:rPr>
              <w:t>Plan category</w:t>
            </w:r>
          </w:p>
        </w:tc>
        <w:tc>
          <w:tcPr>
            <w:tcW w:w="2240" w:type="dxa"/>
            <w:vAlign w:val="bottom"/>
          </w:tcPr>
          <w:p>
            <w:pPr>
              <w:jc w:val="center"/>
              <w:ind w:right="43"/>
              <w:spacing w:after="0"/>
              <w:rPr>
                <w:sz w:val="20"/>
                <w:szCs w:val="20"/>
                <w:color w:val="auto"/>
              </w:rPr>
            </w:pPr>
            <w:r>
              <w:rPr>
                <w:rFonts w:ascii="Arial" w:cs="Arial" w:eastAsia="Arial" w:hAnsi="Arial"/>
                <w:sz w:val="20"/>
                <w:szCs w:val="20"/>
                <w:color w:val="auto"/>
                <w:w w:val="90"/>
              </w:rPr>
              <w:t>Number of securities</w:t>
            </w:r>
          </w:p>
        </w:tc>
        <w:tc>
          <w:tcPr>
            <w:tcW w:w="2200" w:type="dxa"/>
            <w:vAlign w:val="bottom"/>
          </w:tcPr>
          <w:p>
            <w:pPr>
              <w:jc w:val="center"/>
              <w:spacing w:after="0"/>
              <w:rPr>
                <w:sz w:val="20"/>
                <w:szCs w:val="20"/>
                <w:color w:val="auto"/>
              </w:rPr>
            </w:pPr>
            <w:r>
              <w:rPr>
                <w:rFonts w:ascii="Arial" w:cs="Arial" w:eastAsia="Arial" w:hAnsi="Arial"/>
                <w:sz w:val="20"/>
                <w:szCs w:val="20"/>
                <w:color w:val="auto"/>
                <w:w w:val="86"/>
              </w:rPr>
              <w:t>Weighted-average</w:t>
            </w:r>
          </w:p>
        </w:tc>
        <w:tc>
          <w:tcPr>
            <w:tcW w:w="2860" w:type="dxa"/>
            <w:vAlign w:val="bottom"/>
          </w:tcPr>
          <w:p>
            <w:pPr>
              <w:jc w:val="center"/>
              <w:spacing w:after="0"/>
              <w:rPr>
                <w:sz w:val="20"/>
                <w:szCs w:val="20"/>
                <w:color w:val="auto"/>
              </w:rPr>
            </w:pPr>
            <w:r>
              <w:rPr>
                <w:rFonts w:ascii="Arial" w:cs="Arial" w:eastAsia="Arial" w:hAnsi="Arial"/>
                <w:sz w:val="20"/>
                <w:szCs w:val="20"/>
                <w:color w:val="auto"/>
                <w:w w:val="90"/>
              </w:rPr>
              <w:t>Number of securities</w:t>
            </w:r>
          </w:p>
        </w:tc>
        <w:tc>
          <w:tcPr>
            <w:tcW w:w="40" w:type="dxa"/>
            <w:vAlign w:val="bottom"/>
          </w:tcPr>
          <w:p>
            <w:pPr>
              <w:spacing w:after="0"/>
              <w:rPr>
                <w:sz w:val="19"/>
                <w:szCs w:val="19"/>
                <w:color w:val="auto"/>
              </w:rPr>
            </w:pPr>
          </w:p>
        </w:tc>
      </w:tr>
      <w:tr>
        <w:trPr>
          <w:trHeight w:val="233"/>
        </w:trPr>
        <w:tc>
          <w:tcPr>
            <w:tcW w:w="1100" w:type="dxa"/>
            <w:vAlign w:val="bottom"/>
            <w:tcBorders>
              <w:top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2240" w:type="dxa"/>
            <w:vAlign w:val="bottom"/>
          </w:tcPr>
          <w:p>
            <w:pPr>
              <w:jc w:val="center"/>
              <w:ind w:right="43"/>
              <w:spacing w:after="0"/>
              <w:rPr>
                <w:sz w:val="20"/>
                <w:szCs w:val="20"/>
                <w:color w:val="auto"/>
              </w:rPr>
            </w:pPr>
            <w:r>
              <w:rPr>
                <w:rFonts w:ascii="Arial" w:cs="Arial" w:eastAsia="Arial" w:hAnsi="Arial"/>
                <w:sz w:val="20"/>
                <w:szCs w:val="20"/>
                <w:color w:val="auto"/>
                <w:w w:val="87"/>
              </w:rPr>
              <w:t>to be issued upon</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exercise price of</w:t>
            </w:r>
          </w:p>
        </w:tc>
        <w:tc>
          <w:tcPr>
            <w:tcW w:w="2860" w:type="dxa"/>
            <w:vAlign w:val="bottom"/>
          </w:tcPr>
          <w:p>
            <w:pPr>
              <w:jc w:val="center"/>
              <w:spacing w:after="0"/>
              <w:rPr>
                <w:sz w:val="20"/>
                <w:szCs w:val="20"/>
                <w:color w:val="auto"/>
              </w:rPr>
            </w:pPr>
            <w:r>
              <w:rPr>
                <w:rFonts w:ascii="Arial" w:cs="Arial" w:eastAsia="Arial" w:hAnsi="Arial"/>
                <w:sz w:val="20"/>
                <w:szCs w:val="20"/>
                <w:color w:val="auto"/>
                <w:w w:val="91"/>
              </w:rPr>
              <w:t>remaining available for</w:t>
            </w:r>
          </w:p>
        </w:tc>
        <w:tc>
          <w:tcPr>
            <w:tcW w:w="40" w:type="dxa"/>
            <w:vAlign w:val="bottom"/>
          </w:tcPr>
          <w:p>
            <w:pPr>
              <w:spacing w:after="0"/>
              <w:rPr>
                <w:sz w:val="20"/>
                <w:szCs w:val="20"/>
                <w:color w:val="auto"/>
              </w:rPr>
            </w:pPr>
          </w:p>
        </w:tc>
      </w:tr>
      <w:tr>
        <w:trPr>
          <w:trHeight w:val="230"/>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40" w:type="dxa"/>
            <w:vAlign w:val="bottom"/>
          </w:tcPr>
          <w:p>
            <w:pPr>
              <w:jc w:val="center"/>
              <w:ind w:right="63"/>
              <w:spacing w:after="0"/>
              <w:rPr>
                <w:sz w:val="20"/>
                <w:szCs w:val="20"/>
                <w:color w:val="auto"/>
              </w:rPr>
            </w:pPr>
            <w:r>
              <w:rPr>
                <w:rFonts w:ascii="Arial" w:cs="Arial" w:eastAsia="Arial" w:hAnsi="Arial"/>
                <w:sz w:val="20"/>
                <w:szCs w:val="20"/>
                <w:color w:val="auto"/>
                <w:w w:val="90"/>
              </w:rPr>
              <w:t>exercise of</w:t>
            </w:r>
          </w:p>
        </w:tc>
        <w:tc>
          <w:tcPr>
            <w:tcW w:w="2200" w:type="dxa"/>
            <w:vAlign w:val="bottom"/>
          </w:tcPr>
          <w:p>
            <w:pPr>
              <w:jc w:val="center"/>
              <w:spacing w:after="0"/>
              <w:rPr>
                <w:sz w:val="20"/>
                <w:szCs w:val="20"/>
                <w:color w:val="auto"/>
              </w:rPr>
            </w:pPr>
            <w:r>
              <w:rPr>
                <w:rFonts w:ascii="Arial" w:cs="Arial" w:eastAsia="Arial" w:hAnsi="Arial"/>
                <w:sz w:val="20"/>
                <w:szCs w:val="20"/>
                <w:color w:val="auto"/>
                <w:w w:val="90"/>
              </w:rPr>
              <w:t>outstanding</w:t>
            </w:r>
          </w:p>
        </w:tc>
        <w:tc>
          <w:tcPr>
            <w:tcW w:w="2860" w:type="dxa"/>
            <w:vAlign w:val="bottom"/>
          </w:tcPr>
          <w:p>
            <w:pPr>
              <w:jc w:val="center"/>
              <w:spacing w:after="0"/>
              <w:rPr>
                <w:sz w:val="20"/>
                <w:szCs w:val="20"/>
                <w:color w:val="auto"/>
              </w:rPr>
            </w:pPr>
            <w:r>
              <w:rPr>
                <w:rFonts w:ascii="Arial" w:cs="Arial" w:eastAsia="Arial" w:hAnsi="Arial"/>
                <w:sz w:val="20"/>
                <w:szCs w:val="20"/>
                <w:color w:val="auto"/>
                <w:w w:val="87"/>
              </w:rPr>
              <w:t>future issuance under</w:t>
            </w:r>
          </w:p>
        </w:tc>
        <w:tc>
          <w:tcPr>
            <w:tcW w:w="40" w:type="dxa"/>
            <w:vAlign w:val="bottom"/>
          </w:tcPr>
          <w:p>
            <w:pPr>
              <w:spacing w:after="0"/>
              <w:rPr>
                <w:sz w:val="19"/>
                <w:szCs w:val="19"/>
                <w:color w:val="auto"/>
              </w:rPr>
            </w:pPr>
          </w:p>
        </w:tc>
      </w:tr>
      <w:tr>
        <w:trPr>
          <w:trHeight w:val="230"/>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40" w:type="dxa"/>
            <w:vAlign w:val="bottom"/>
          </w:tcPr>
          <w:p>
            <w:pPr>
              <w:jc w:val="center"/>
              <w:ind w:right="63"/>
              <w:spacing w:after="0"/>
              <w:rPr>
                <w:sz w:val="20"/>
                <w:szCs w:val="20"/>
                <w:color w:val="auto"/>
              </w:rPr>
            </w:pPr>
            <w:r>
              <w:rPr>
                <w:rFonts w:ascii="Arial" w:cs="Arial" w:eastAsia="Arial" w:hAnsi="Arial"/>
                <w:sz w:val="20"/>
                <w:szCs w:val="20"/>
                <w:color w:val="auto"/>
                <w:w w:val="89"/>
              </w:rPr>
              <w:t>outstanding options,</w:t>
            </w:r>
          </w:p>
        </w:tc>
        <w:tc>
          <w:tcPr>
            <w:tcW w:w="2200" w:type="dxa"/>
            <w:vAlign w:val="bottom"/>
          </w:tcPr>
          <w:p>
            <w:pPr>
              <w:jc w:val="center"/>
              <w:spacing w:after="0"/>
              <w:rPr>
                <w:sz w:val="20"/>
                <w:szCs w:val="20"/>
                <w:color w:val="auto"/>
              </w:rPr>
            </w:pPr>
            <w:r>
              <w:rPr>
                <w:rFonts w:ascii="Arial" w:cs="Arial" w:eastAsia="Arial" w:hAnsi="Arial"/>
                <w:sz w:val="20"/>
                <w:szCs w:val="20"/>
                <w:color w:val="auto"/>
                <w:w w:val="90"/>
              </w:rPr>
              <w:t>options, warrants</w:t>
            </w:r>
          </w:p>
        </w:tc>
        <w:tc>
          <w:tcPr>
            <w:tcW w:w="2860" w:type="dxa"/>
            <w:vAlign w:val="bottom"/>
          </w:tcPr>
          <w:p>
            <w:pPr>
              <w:jc w:val="center"/>
              <w:spacing w:after="0"/>
              <w:rPr>
                <w:sz w:val="20"/>
                <w:szCs w:val="20"/>
                <w:color w:val="auto"/>
              </w:rPr>
            </w:pPr>
            <w:r>
              <w:rPr>
                <w:rFonts w:ascii="Arial" w:cs="Arial" w:eastAsia="Arial" w:hAnsi="Arial"/>
                <w:sz w:val="20"/>
                <w:szCs w:val="20"/>
                <w:color w:val="auto"/>
                <w:w w:val="89"/>
              </w:rPr>
              <w:t>equity compensation plans</w:t>
            </w:r>
          </w:p>
        </w:tc>
        <w:tc>
          <w:tcPr>
            <w:tcW w:w="40" w:type="dxa"/>
            <w:vAlign w:val="bottom"/>
          </w:tcPr>
          <w:p>
            <w:pPr>
              <w:spacing w:after="0"/>
              <w:rPr>
                <w:sz w:val="19"/>
                <w:szCs w:val="19"/>
                <w:color w:val="auto"/>
              </w:rPr>
            </w:pPr>
          </w:p>
        </w:tc>
      </w:tr>
      <w:tr>
        <w:trPr>
          <w:trHeight w:val="230"/>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40" w:type="dxa"/>
            <w:vAlign w:val="bottom"/>
          </w:tcPr>
          <w:p>
            <w:pPr>
              <w:jc w:val="center"/>
              <w:ind w:right="63"/>
              <w:spacing w:after="0"/>
              <w:rPr>
                <w:sz w:val="20"/>
                <w:szCs w:val="20"/>
                <w:color w:val="auto"/>
              </w:rPr>
            </w:pPr>
            <w:r>
              <w:rPr>
                <w:rFonts w:ascii="Arial" w:cs="Arial" w:eastAsia="Arial" w:hAnsi="Arial"/>
                <w:sz w:val="20"/>
                <w:szCs w:val="20"/>
                <w:color w:val="auto"/>
                <w:w w:val="89"/>
              </w:rPr>
              <w:t>warrants and rights</w:t>
            </w:r>
          </w:p>
        </w:tc>
        <w:tc>
          <w:tcPr>
            <w:tcW w:w="2200" w:type="dxa"/>
            <w:vAlign w:val="bottom"/>
          </w:tcPr>
          <w:p>
            <w:pPr>
              <w:jc w:val="center"/>
              <w:spacing w:after="0"/>
              <w:rPr>
                <w:sz w:val="20"/>
                <w:szCs w:val="20"/>
                <w:color w:val="auto"/>
              </w:rPr>
            </w:pPr>
            <w:r>
              <w:rPr>
                <w:rFonts w:ascii="Arial" w:cs="Arial" w:eastAsia="Arial" w:hAnsi="Arial"/>
                <w:sz w:val="20"/>
                <w:szCs w:val="20"/>
                <w:color w:val="auto"/>
                <w:w w:val="88"/>
              </w:rPr>
              <w:t>and rights</w:t>
            </w:r>
          </w:p>
        </w:tc>
        <w:tc>
          <w:tcPr>
            <w:tcW w:w="2860" w:type="dxa"/>
            <w:vAlign w:val="bottom"/>
          </w:tcPr>
          <w:p>
            <w:pPr>
              <w:jc w:val="center"/>
              <w:spacing w:after="0"/>
              <w:rPr>
                <w:sz w:val="20"/>
                <w:szCs w:val="20"/>
                <w:color w:val="auto"/>
              </w:rPr>
            </w:pPr>
            <w:r>
              <w:rPr>
                <w:rFonts w:ascii="Arial" w:cs="Arial" w:eastAsia="Arial" w:hAnsi="Arial"/>
                <w:sz w:val="20"/>
                <w:szCs w:val="20"/>
                <w:color w:val="auto"/>
                <w:w w:val="90"/>
              </w:rPr>
              <w:t>(excluding securities</w:t>
            </w:r>
          </w:p>
        </w:tc>
        <w:tc>
          <w:tcPr>
            <w:tcW w:w="40" w:type="dxa"/>
            <w:vAlign w:val="bottom"/>
          </w:tcPr>
          <w:p>
            <w:pPr>
              <w:spacing w:after="0"/>
              <w:rPr>
                <w:sz w:val="19"/>
                <w:szCs w:val="19"/>
                <w:color w:val="auto"/>
              </w:rPr>
            </w:pPr>
          </w:p>
        </w:tc>
      </w:tr>
      <w:tr>
        <w:trPr>
          <w:trHeight w:val="230"/>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40" w:type="dxa"/>
            <w:vAlign w:val="bottom"/>
          </w:tcPr>
          <w:p>
            <w:pPr>
              <w:jc w:val="center"/>
              <w:ind w:right="43"/>
              <w:spacing w:after="0"/>
              <w:rPr>
                <w:sz w:val="20"/>
                <w:szCs w:val="20"/>
                <w:color w:val="auto"/>
              </w:rPr>
            </w:pPr>
            <w:r>
              <w:rPr>
                <w:rFonts w:ascii="Arial" w:cs="Arial" w:eastAsia="Arial" w:hAnsi="Arial"/>
                <w:sz w:val="20"/>
                <w:szCs w:val="20"/>
                <w:color w:val="auto"/>
                <w:w w:val="89"/>
              </w:rPr>
              <w:t>(a)</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(b)</w:t>
            </w:r>
          </w:p>
        </w:tc>
        <w:tc>
          <w:tcPr>
            <w:tcW w:w="2860" w:type="dxa"/>
            <w:vAlign w:val="bottom"/>
          </w:tcPr>
          <w:p>
            <w:pPr>
              <w:jc w:val="center"/>
              <w:spacing w:after="0"/>
              <w:rPr>
                <w:sz w:val="20"/>
                <w:szCs w:val="20"/>
                <w:color w:val="auto"/>
              </w:rPr>
            </w:pPr>
            <w:r>
              <w:rPr>
                <w:rFonts w:ascii="Arial" w:cs="Arial" w:eastAsia="Arial" w:hAnsi="Arial"/>
                <w:sz w:val="20"/>
                <w:szCs w:val="20"/>
                <w:color w:val="auto"/>
                <w:w w:val="91"/>
              </w:rPr>
              <w:t>reflected in column (a))</w:t>
            </w:r>
          </w:p>
        </w:tc>
        <w:tc>
          <w:tcPr>
            <w:tcW w:w="40" w:type="dxa"/>
            <w:vAlign w:val="bottom"/>
          </w:tcPr>
          <w:p>
            <w:pPr>
              <w:spacing w:after="0"/>
              <w:rPr>
                <w:sz w:val="19"/>
                <w:szCs w:val="19"/>
                <w:color w:val="auto"/>
              </w:rPr>
            </w:pPr>
          </w:p>
        </w:tc>
      </w:tr>
      <w:tr>
        <w:trPr>
          <w:trHeight w:val="246"/>
        </w:trPr>
        <w:tc>
          <w:tcPr>
            <w:tcW w:w="11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(c)</w:t>
            </w:r>
          </w:p>
        </w:tc>
        <w:tc>
          <w:tcPr>
            <w:tcW w:w="40" w:type="dxa"/>
            <w:vAlign w:val="bottom"/>
          </w:tcPr>
          <w:p>
            <w:pPr>
              <w:spacing w:after="0"/>
              <w:rPr>
                <w:sz w:val="21"/>
                <w:szCs w:val="21"/>
                <w:color w:val="auto"/>
              </w:rPr>
            </w:pPr>
          </w:p>
        </w:tc>
      </w:tr>
      <w:tr>
        <w:trPr>
          <w:trHeight w:val="436"/>
        </w:trPr>
        <w:tc>
          <w:tcPr>
            <w:tcW w:w="4120" w:type="dxa"/>
            <w:vAlign w:val="bottom"/>
            <w:gridSpan w:val="2"/>
          </w:tcPr>
          <w:p>
            <w:pPr>
              <w:spacing w:after="0"/>
              <w:rPr>
                <w:sz w:val="20"/>
                <w:szCs w:val="20"/>
                <w:color w:val="auto"/>
              </w:rPr>
            </w:pPr>
            <w:r>
              <w:rPr>
                <w:rFonts w:ascii="Arial" w:cs="Arial" w:eastAsia="Arial" w:hAnsi="Arial"/>
                <w:sz w:val="20"/>
                <w:szCs w:val="20"/>
                <w:color w:val="auto"/>
              </w:rPr>
              <w:t>Equity compensation plans approved by</w:t>
            </w:r>
          </w:p>
        </w:tc>
        <w:tc>
          <w:tcPr>
            <w:tcW w:w="2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120" w:type="dxa"/>
            <w:vAlign w:val="bottom"/>
            <w:gridSpan w:val="2"/>
          </w:tcPr>
          <w:p>
            <w:pPr>
              <w:ind w:left="180"/>
              <w:spacing w:after="0"/>
              <w:rPr>
                <w:sz w:val="20"/>
                <w:szCs w:val="20"/>
                <w:color w:val="auto"/>
              </w:rPr>
            </w:pPr>
            <w:r>
              <w:rPr>
                <w:rFonts w:ascii="Arial" w:cs="Arial" w:eastAsia="Arial" w:hAnsi="Arial"/>
                <w:sz w:val="20"/>
                <w:szCs w:val="20"/>
                <w:color w:val="auto"/>
              </w:rPr>
              <w:t>stockholders</w:t>
            </w:r>
          </w:p>
        </w:tc>
        <w:tc>
          <w:tcPr>
            <w:tcW w:w="2240" w:type="dxa"/>
            <w:vAlign w:val="bottom"/>
          </w:tcPr>
          <w:p>
            <w:pPr>
              <w:jc w:val="center"/>
              <w:ind w:right="63"/>
              <w:spacing w:after="0"/>
              <w:rPr>
                <w:sz w:val="20"/>
                <w:szCs w:val="20"/>
                <w:color w:val="auto"/>
              </w:rPr>
            </w:pPr>
            <w:r>
              <w:rPr>
                <w:rFonts w:ascii="Arial" w:cs="Arial" w:eastAsia="Arial" w:hAnsi="Arial"/>
                <w:sz w:val="20"/>
                <w:szCs w:val="20"/>
                <w:color w:val="auto"/>
                <w:w w:val="89"/>
              </w:rPr>
              <w:t>9,748,739</w:t>
            </w:r>
          </w:p>
        </w:tc>
        <w:tc>
          <w:tcPr>
            <w:tcW w:w="2200" w:type="dxa"/>
            <w:vAlign w:val="bottom"/>
          </w:tcPr>
          <w:p>
            <w:pPr>
              <w:jc w:val="center"/>
              <w:spacing w:after="0"/>
              <w:rPr>
                <w:sz w:val="20"/>
                <w:szCs w:val="20"/>
                <w:color w:val="auto"/>
              </w:rPr>
            </w:pPr>
            <w:r>
              <w:rPr>
                <w:rFonts w:ascii="Arial" w:cs="Arial" w:eastAsia="Arial" w:hAnsi="Arial"/>
                <w:sz w:val="20"/>
                <w:szCs w:val="20"/>
                <w:color w:val="auto"/>
                <w:w w:val="88"/>
              </w:rPr>
              <w:t>$17.18</w:t>
            </w:r>
          </w:p>
        </w:tc>
        <w:tc>
          <w:tcPr>
            <w:tcW w:w="2860" w:type="dxa"/>
            <w:vAlign w:val="bottom"/>
          </w:tcPr>
          <w:p>
            <w:pPr>
              <w:jc w:val="center"/>
              <w:spacing w:after="0"/>
              <w:rPr>
                <w:sz w:val="20"/>
                <w:szCs w:val="20"/>
                <w:color w:val="auto"/>
              </w:rPr>
            </w:pPr>
            <w:r>
              <w:rPr>
                <w:rFonts w:ascii="Arial" w:cs="Arial" w:eastAsia="Arial" w:hAnsi="Arial"/>
                <w:sz w:val="20"/>
                <w:szCs w:val="20"/>
                <w:color w:val="auto"/>
                <w:w w:val="89"/>
              </w:rPr>
              <w:t>3,717,405</w:t>
            </w:r>
          </w:p>
        </w:tc>
        <w:tc>
          <w:tcPr>
            <w:tcW w:w="40" w:type="dxa"/>
            <w:vAlign w:val="bottom"/>
          </w:tcPr>
          <w:p>
            <w:pPr>
              <w:spacing w:after="0"/>
              <w:rPr>
                <w:sz w:val="21"/>
                <w:szCs w:val="21"/>
                <w:color w:val="auto"/>
              </w:rPr>
            </w:pPr>
          </w:p>
        </w:tc>
      </w:tr>
      <w:tr>
        <w:trPr>
          <w:trHeight w:val="438"/>
        </w:trPr>
        <w:tc>
          <w:tcPr>
            <w:tcW w:w="4120" w:type="dxa"/>
            <w:vAlign w:val="bottom"/>
            <w:gridSpan w:val="2"/>
          </w:tcPr>
          <w:p>
            <w:pPr>
              <w:spacing w:after="0"/>
              <w:rPr>
                <w:sz w:val="20"/>
                <w:szCs w:val="20"/>
                <w:color w:val="auto"/>
              </w:rPr>
            </w:pPr>
            <w:r>
              <w:rPr>
                <w:rFonts w:ascii="Arial" w:cs="Arial" w:eastAsia="Arial" w:hAnsi="Arial"/>
                <w:sz w:val="20"/>
                <w:szCs w:val="20"/>
                <w:color w:val="auto"/>
              </w:rPr>
              <w:t>Equity compensation plans not approved by</w:t>
            </w:r>
          </w:p>
        </w:tc>
        <w:tc>
          <w:tcPr>
            <w:tcW w:w="2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6"/>
        </w:trPr>
        <w:tc>
          <w:tcPr>
            <w:tcW w:w="4120" w:type="dxa"/>
            <w:vAlign w:val="bottom"/>
            <w:gridSpan w:val="2"/>
          </w:tcPr>
          <w:p>
            <w:pPr>
              <w:ind w:left="180"/>
              <w:spacing w:after="0"/>
              <w:rPr>
                <w:sz w:val="20"/>
                <w:szCs w:val="20"/>
                <w:color w:val="auto"/>
              </w:rPr>
            </w:pPr>
            <w:r>
              <w:rPr>
                <w:rFonts w:ascii="Arial" w:cs="Arial" w:eastAsia="Arial" w:hAnsi="Arial"/>
                <w:sz w:val="20"/>
                <w:szCs w:val="20"/>
                <w:color w:val="auto"/>
              </w:rPr>
              <w:t>stockholders</w:t>
            </w:r>
          </w:p>
        </w:tc>
        <w:tc>
          <w:tcPr>
            <w:tcW w:w="2240" w:type="dxa"/>
            <w:vAlign w:val="bottom"/>
            <w:tcBorders>
              <w:bottom w:val="single" w:sz="8" w:color="auto"/>
            </w:tcBorders>
          </w:tcPr>
          <w:p>
            <w:pPr>
              <w:jc w:val="center"/>
              <w:ind w:right="63"/>
              <w:spacing w:after="0"/>
              <w:rPr>
                <w:sz w:val="20"/>
                <w:szCs w:val="20"/>
                <w:color w:val="auto"/>
              </w:rPr>
            </w:pPr>
            <w:r>
              <w:rPr>
                <w:rFonts w:ascii="Arial" w:cs="Arial" w:eastAsia="Arial" w:hAnsi="Arial"/>
                <w:sz w:val="20"/>
                <w:szCs w:val="20"/>
                <w:color w:val="auto"/>
              </w:rPr>
              <w:t>-</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r>
      <w:tr>
        <w:trPr>
          <w:trHeight w:val="457"/>
        </w:trPr>
        <w:tc>
          <w:tcPr>
            <w:tcW w:w="4120" w:type="dxa"/>
            <w:vAlign w:val="bottom"/>
            <w:gridSpan w:val="2"/>
          </w:tcPr>
          <w:p>
            <w:pPr>
              <w:ind w:left="300"/>
              <w:spacing w:after="0"/>
              <w:rPr>
                <w:sz w:val="20"/>
                <w:szCs w:val="20"/>
                <w:color w:val="auto"/>
              </w:rPr>
            </w:pPr>
            <w:r>
              <w:rPr>
                <w:rFonts w:ascii="Arial" w:cs="Arial" w:eastAsia="Arial" w:hAnsi="Arial"/>
                <w:sz w:val="20"/>
                <w:szCs w:val="20"/>
                <w:color w:val="auto"/>
              </w:rPr>
              <w:t>Total</w:t>
            </w:r>
          </w:p>
        </w:tc>
        <w:tc>
          <w:tcPr>
            <w:tcW w:w="2240" w:type="dxa"/>
            <w:vAlign w:val="bottom"/>
          </w:tcPr>
          <w:p>
            <w:pPr>
              <w:jc w:val="center"/>
              <w:ind w:right="63"/>
              <w:spacing w:after="0"/>
              <w:rPr>
                <w:sz w:val="20"/>
                <w:szCs w:val="20"/>
                <w:color w:val="auto"/>
              </w:rPr>
            </w:pPr>
            <w:r>
              <w:rPr>
                <w:rFonts w:ascii="Arial" w:cs="Arial" w:eastAsia="Arial" w:hAnsi="Arial"/>
                <w:sz w:val="20"/>
                <w:szCs w:val="20"/>
                <w:color w:val="auto"/>
                <w:w w:val="89"/>
              </w:rPr>
              <w:t>9,748,739</w:t>
            </w:r>
          </w:p>
        </w:tc>
        <w:tc>
          <w:tcPr>
            <w:tcW w:w="2200" w:type="dxa"/>
            <w:vAlign w:val="bottom"/>
          </w:tcPr>
          <w:p>
            <w:pPr>
              <w:jc w:val="center"/>
              <w:spacing w:after="0"/>
              <w:rPr>
                <w:sz w:val="20"/>
                <w:szCs w:val="20"/>
                <w:color w:val="auto"/>
              </w:rPr>
            </w:pPr>
            <w:r>
              <w:rPr>
                <w:rFonts w:ascii="Arial" w:cs="Arial" w:eastAsia="Arial" w:hAnsi="Arial"/>
                <w:sz w:val="20"/>
                <w:szCs w:val="20"/>
                <w:color w:val="auto"/>
                <w:w w:val="88"/>
              </w:rPr>
              <w:t>$17.18</w:t>
            </w:r>
          </w:p>
        </w:tc>
        <w:tc>
          <w:tcPr>
            <w:tcW w:w="2860" w:type="dxa"/>
            <w:vAlign w:val="bottom"/>
          </w:tcPr>
          <w:p>
            <w:pPr>
              <w:jc w:val="center"/>
              <w:spacing w:after="0"/>
              <w:rPr>
                <w:sz w:val="20"/>
                <w:szCs w:val="20"/>
                <w:color w:val="auto"/>
              </w:rPr>
            </w:pPr>
            <w:r>
              <w:rPr>
                <w:rFonts w:ascii="Arial" w:cs="Arial" w:eastAsia="Arial" w:hAnsi="Arial"/>
                <w:sz w:val="20"/>
                <w:szCs w:val="20"/>
                <w:color w:val="auto"/>
                <w:w w:val="89"/>
              </w:rPr>
              <w:t>3,717,405</w:t>
            </w:r>
          </w:p>
        </w:tc>
        <w:tc>
          <w:tcPr>
            <w:tcW w:w="40" w:type="dxa"/>
            <w:vAlign w:val="bottom"/>
          </w:tcPr>
          <w:p>
            <w:pPr>
              <w:spacing w:after="0"/>
              <w:rPr>
                <w:sz w:val="24"/>
                <w:szCs w:val="24"/>
                <w:color w:val="auto"/>
              </w:rPr>
            </w:pPr>
          </w:p>
        </w:tc>
      </w:tr>
      <w:tr>
        <w:trPr>
          <w:trHeight w:val="77"/>
        </w:trPr>
        <w:tc>
          <w:tcPr>
            <w:tcW w:w="110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20"/>
        </w:trPr>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3"/>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40" w:type="dxa"/>
            <w:vAlign w:val="bottom"/>
          </w:tcPr>
          <w:p>
            <w:pPr>
              <w:jc w:val="right"/>
              <w:ind w:right="463"/>
              <w:spacing w:after="0"/>
              <w:rPr>
                <w:sz w:val="20"/>
                <w:szCs w:val="20"/>
                <w:color w:val="auto"/>
              </w:rPr>
            </w:pPr>
            <w:r>
              <w:rPr>
                <w:rFonts w:ascii="Arial" w:cs="Arial" w:eastAsia="Arial" w:hAnsi="Arial"/>
                <w:sz w:val="16"/>
                <w:szCs w:val="16"/>
                <w:color w:val="auto"/>
              </w:rPr>
              <w:t>34</w:t>
            </w:r>
          </w:p>
        </w:tc>
        <w:tc>
          <w:tcPr>
            <w:tcW w:w="2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110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graph shows a five-year comparison of cumulative total returns: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368290" cy="3044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6829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40"/>
        <w:spacing w:after="0" w:line="278" w:lineRule="auto"/>
        <w:rPr>
          <w:sz w:val="20"/>
          <w:szCs w:val="20"/>
          <w:color w:val="auto"/>
        </w:rPr>
      </w:pPr>
      <w:r>
        <w:rPr>
          <w:rFonts w:ascii="Arial" w:cs="Arial" w:eastAsia="Arial" w:hAnsi="Arial"/>
          <w:sz w:val="11"/>
          <w:szCs w:val="11"/>
          <w:color w:val="auto"/>
        </w:rPr>
        <w:t>1</w:t>
      </w:r>
      <w:r>
        <w:rPr>
          <w:rFonts w:ascii="Arial" w:cs="Arial" w:eastAsia="Arial" w:hAnsi="Arial"/>
          <w:sz w:val="16"/>
          <w:szCs w:val="16"/>
          <w:color w:val="auto"/>
        </w:rPr>
        <w:t>Annual return assumes reinvestment of dividends. Cumulative total return assumes an initial investment of $100 on December 31, 2005. The Company’s current self-selected</w:t>
      </w:r>
      <w:r>
        <w:rPr>
          <w:rFonts w:ascii="Arial" w:cs="Arial" w:eastAsia="Arial" w:hAnsi="Arial"/>
          <w:sz w:val="11"/>
          <w:szCs w:val="11"/>
          <w:color w:val="auto"/>
        </w:rPr>
        <w:t xml:space="preserve"> </w:t>
      </w:r>
      <w:r>
        <w:rPr>
          <w:rFonts w:ascii="Arial" w:cs="Arial" w:eastAsia="Arial" w:hAnsi="Arial"/>
          <w:sz w:val="16"/>
          <w:szCs w:val="16"/>
          <w:color w:val="auto"/>
        </w:rPr>
        <w:t>peer group is comprised of the DPS Group, National Beverage Corporation, Clearly Canadian Beverage Company (included through 8/2/10), Leading Brands, Inc., Jones Soda Company and Cott Corporation.</w:t>
      </w:r>
    </w:p>
    <w:p>
      <w:pPr>
        <w:spacing w:after="0" w:line="28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SELECTED FINANCIAL DATA</w:t>
      </w:r>
    </w:p>
    <w:p>
      <w:pPr>
        <w:spacing w:after="0" w:line="235"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8"/>
          <w:szCs w:val="18"/>
          <w:color w:val="auto"/>
        </w:rPr>
        <w:t>The consolidated statements of operations data set forth below with respect to each of the fiscal years ended December 31, 2008 through 2010 and the balance sheet data as of December 31, 2010 and 2009,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2007 and 2006 and the balance sheet data as of December 31, 2008, 2007 and 2006 are derived from the Company’s audited consolidated financial statements not included herein.</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2"/>
          </w:tcPr>
          <w:p>
            <w:pPr>
              <w:spacing w:after="0"/>
              <w:rPr>
                <w:sz w:val="20"/>
                <w:szCs w:val="20"/>
                <w:color w:val="auto"/>
              </w:rPr>
            </w:pPr>
            <w:r>
              <w:rPr>
                <w:rFonts w:ascii="Arial" w:cs="Arial" w:eastAsia="Arial" w:hAnsi="Arial"/>
                <w:sz w:val="20"/>
                <w:szCs w:val="20"/>
                <w:b w:val="1"/>
                <w:bCs w:val="1"/>
                <w:color w:val="auto"/>
              </w:rPr>
              <w:t>(in thousands, except</w:t>
            </w: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40" w:type="dxa"/>
            <w:vAlign w:val="bottom"/>
          </w:tcPr>
          <w:p>
            <w:pPr>
              <w:ind w:left="80"/>
              <w:spacing w:after="0"/>
              <w:rPr>
                <w:sz w:val="20"/>
                <w:szCs w:val="20"/>
                <w:color w:val="auto"/>
              </w:rPr>
            </w:pPr>
            <w:r>
              <w:rPr>
                <w:rFonts w:ascii="Arial" w:cs="Arial" w:eastAsia="Arial" w:hAnsi="Arial"/>
                <w:sz w:val="20"/>
                <w:szCs w:val="20"/>
                <w:b w:val="1"/>
                <w:bCs w:val="1"/>
                <w:color w:val="auto"/>
              </w:rPr>
              <w:t>per share</w:t>
            </w: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274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information)</w:t>
            </w:r>
          </w:p>
        </w:tc>
        <w:tc>
          <w:tcPr>
            <w:tcW w:w="1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2010</w:t>
            </w: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2009</w:t>
            </w: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2008</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2007</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2006</w:t>
            </w:r>
          </w:p>
        </w:tc>
      </w:tr>
      <w:tr>
        <w:trPr>
          <w:trHeight w:val="244"/>
        </w:trPr>
        <w:tc>
          <w:tcPr>
            <w:tcW w:w="20" w:type="dxa"/>
            <w:vAlign w:val="bottom"/>
          </w:tcPr>
          <w:p>
            <w:pPr>
              <w:spacing w:after="0"/>
              <w:rPr>
                <w:sz w:val="21"/>
                <w:szCs w:val="21"/>
                <w:color w:val="auto"/>
              </w:rPr>
            </w:pPr>
          </w:p>
        </w:tc>
        <w:tc>
          <w:tcPr>
            <w:tcW w:w="2740" w:type="dxa"/>
            <w:vAlign w:val="bottom"/>
          </w:tcPr>
          <w:p>
            <w:pPr>
              <w:spacing w:after="0"/>
              <w:rPr>
                <w:sz w:val="20"/>
                <w:szCs w:val="20"/>
                <w:color w:val="auto"/>
              </w:rPr>
            </w:pPr>
            <w:r>
              <w:rPr>
                <w:rFonts w:ascii="Arial" w:cs="Arial" w:eastAsia="Arial" w:hAnsi="Arial"/>
                <w:sz w:val="20"/>
                <w:szCs w:val="20"/>
                <w:color w:val="auto"/>
              </w:rPr>
              <w:t>Gross sales*¹</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1,488,516</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1,309,335</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1,182,876</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1,025,795</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696,322</w:t>
            </w:r>
          </w:p>
        </w:tc>
      </w:tr>
      <w:tr>
        <w:trPr>
          <w:trHeight w:val="442"/>
        </w:trPr>
        <w:tc>
          <w:tcPr>
            <w:tcW w:w="2760" w:type="dxa"/>
            <w:vAlign w:val="bottom"/>
            <w:gridSpan w:val="2"/>
          </w:tcPr>
          <w:p>
            <w:pPr>
              <w:spacing w:after="0"/>
              <w:rPr>
                <w:sz w:val="20"/>
                <w:szCs w:val="20"/>
                <w:color w:val="auto"/>
              </w:rPr>
            </w:pPr>
            <w:r>
              <w:rPr>
                <w:rFonts w:ascii="Arial" w:cs="Arial" w:eastAsia="Arial" w:hAnsi="Arial"/>
                <w:sz w:val="20"/>
                <w:szCs w:val="20"/>
                <w:color w:val="auto"/>
              </w:rPr>
              <w:t>Net sales¹</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1,303,942</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1,143,299</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1,033,780</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904,465</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605,774</w:t>
            </w:r>
          </w:p>
        </w:tc>
      </w:tr>
      <w:tr>
        <w:trPr>
          <w:trHeight w:val="459"/>
        </w:trPr>
        <w:tc>
          <w:tcPr>
            <w:tcW w:w="2760" w:type="dxa"/>
            <w:vAlign w:val="bottom"/>
            <w:gridSpan w:val="2"/>
          </w:tcPr>
          <w:p>
            <w:pPr>
              <w:spacing w:after="0"/>
              <w:rPr>
                <w:sz w:val="20"/>
                <w:szCs w:val="20"/>
                <w:color w:val="auto"/>
              </w:rPr>
            </w:pPr>
            <w:r>
              <w:rPr>
                <w:rFonts w:ascii="Arial" w:cs="Arial" w:eastAsia="Arial" w:hAnsi="Arial"/>
                <w:sz w:val="20"/>
                <w:szCs w:val="20"/>
                <w:color w:val="auto"/>
              </w:rPr>
              <w:t>Gross profit¹</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680,240</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612,316</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538,794</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468,013</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316,594</w:t>
            </w:r>
          </w:p>
        </w:tc>
      </w:tr>
    </w:tbl>
    <w:p>
      <w:pPr>
        <w:sectPr>
          <w:pgSz w:w="11900" w:h="16838" w:orient="portrait"/>
          <w:cols w:equalWidth="0" w:num="1">
            <w:col w:w="11460"/>
          </w:cols>
          <w:pgMar w:left="240" w:top="99" w:right="19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20"/>
                <w:szCs w:val="20"/>
                <w:color w:val="auto"/>
                <w:w w:val="94"/>
              </w:rPr>
              <w:t>Gross profit as a percentage to net sales</w:t>
            </w:r>
          </w:p>
        </w:tc>
        <w:tc>
          <w:tcPr>
            <w:tcW w:w="560" w:type="dxa"/>
            <w:vAlign w:val="bottom"/>
          </w:tcPr>
          <w:p>
            <w:pPr>
              <w:spacing w:after="0"/>
              <w:rPr>
                <w:sz w:val="19"/>
                <w:szCs w:val="19"/>
                <w:color w:val="auto"/>
              </w:rPr>
            </w:pP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52.2%</w:t>
            </w:r>
          </w:p>
        </w:tc>
        <w:tc>
          <w:tcPr>
            <w:tcW w:w="540" w:type="dxa"/>
            <w:vAlign w:val="bottom"/>
          </w:tcPr>
          <w:p>
            <w:pPr>
              <w:spacing w:after="0"/>
              <w:rPr>
                <w:sz w:val="19"/>
                <w:szCs w:val="19"/>
                <w:color w:val="auto"/>
              </w:rPr>
            </w:pP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53.6%</w:t>
            </w:r>
          </w:p>
        </w:tc>
        <w:tc>
          <w:tcPr>
            <w:tcW w:w="540" w:type="dxa"/>
            <w:vAlign w:val="bottom"/>
          </w:tcPr>
          <w:p>
            <w:pPr>
              <w:spacing w:after="0"/>
              <w:rPr>
                <w:sz w:val="19"/>
                <w:szCs w:val="19"/>
                <w:color w:val="auto"/>
              </w:rPr>
            </w:pP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52.1%</w:t>
            </w:r>
          </w:p>
        </w:tc>
        <w:tc>
          <w:tcPr>
            <w:tcW w:w="500" w:type="dxa"/>
            <w:vAlign w:val="bottom"/>
          </w:tcPr>
          <w:p>
            <w:pPr>
              <w:spacing w:after="0"/>
              <w:rPr>
                <w:sz w:val="19"/>
                <w:szCs w:val="19"/>
                <w:color w:val="auto"/>
              </w:rPr>
            </w:pP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51.7%</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52.3%</w:t>
            </w:r>
          </w:p>
        </w:tc>
      </w:tr>
      <w:tr>
        <w:trPr>
          <w:trHeight w:val="250"/>
        </w:trPr>
        <w:tc>
          <w:tcPr>
            <w:tcW w:w="3440" w:type="dxa"/>
            <w:vAlign w:val="bottom"/>
          </w:tcPr>
          <w:p>
            <w:pPr>
              <w:spacing w:after="0"/>
              <w:rPr>
                <w:sz w:val="20"/>
                <w:szCs w:val="20"/>
                <w:color w:val="auto"/>
              </w:rPr>
            </w:pPr>
            <w:r>
              <w:rPr>
                <w:rFonts w:ascii="Arial" w:cs="Arial" w:eastAsia="Arial" w:hAnsi="Arial"/>
                <w:sz w:val="20"/>
                <w:szCs w:val="20"/>
                <w:color w:val="auto"/>
              </w:rPr>
              <w:t>Operating income²</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347,814</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337,309</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163,591</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230,986</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158,579</w:t>
            </w:r>
          </w:p>
        </w:tc>
      </w:tr>
      <w:tr>
        <w:trPr>
          <w:trHeight w:val="689"/>
        </w:trPr>
        <w:tc>
          <w:tcPr>
            <w:tcW w:w="3440" w:type="dxa"/>
            <w:vAlign w:val="bottom"/>
          </w:tcPr>
          <w:p>
            <w:pPr>
              <w:spacing w:after="0"/>
              <w:rPr>
                <w:sz w:val="20"/>
                <w:szCs w:val="20"/>
                <w:color w:val="auto"/>
              </w:rPr>
            </w:pPr>
            <w:r>
              <w:rPr>
                <w:rFonts w:ascii="Arial" w:cs="Arial" w:eastAsia="Arial" w:hAnsi="Arial"/>
                <w:sz w:val="20"/>
                <w:szCs w:val="20"/>
                <w:color w:val="auto"/>
              </w:rPr>
              <w:t>Net income</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212,029</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208,716</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108,032</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149,406</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97,949</w:t>
            </w:r>
          </w:p>
        </w:tc>
      </w:tr>
      <w:tr>
        <w:trPr>
          <w:trHeight w:val="438"/>
        </w:trPr>
        <w:tc>
          <w:tcPr>
            <w:tcW w:w="3440" w:type="dxa"/>
            <w:vAlign w:val="bottom"/>
          </w:tcPr>
          <w:p>
            <w:pPr>
              <w:spacing w:after="0"/>
              <w:rPr>
                <w:sz w:val="20"/>
                <w:szCs w:val="20"/>
                <w:color w:val="auto"/>
              </w:rPr>
            </w:pPr>
            <w:r>
              <w:rPr>
                <w:rFonts w:ascii="Arial" w:cs="Arial" w:eastAsia="Arial" w:hAnsi="Arial"/>
                <w:sz w:val="20"/>
                <w:szCs w:val="20"/>
                <w:color w:val="auto"/>
              </w:rPr>
              <w:t>Net income per common share:</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20"/>
                <w:szCs w:val="20"/>
                <w:color w:val="auto"/>
              </w:rPr>
              <w:t>Basic</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2.40</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2.32</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1.17</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1.64</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50"/>
        </w:trPr>
        <w:tc>
          <w:tcPr>
            <w:tcW w:w="3440" w:type="dxa"/>
            <w:vAlign w:val="bottom"/>
          </w:tcPr>
          <w:p>
            <w:pPr>
              <w:ind w:left="260"/>
              <w:spacing w:after="0"/>
              <w:rPr>
                <w:sz w:val="20"/>
                <w:szCs w:val="20"/>
                <w:color w:val="auto"/>
              </w:rPr>
            </w:pPr>
            <w:r>
              <w:rPr>
                <w:rFonts w:ascii="Arial" w:cs="Arial" w:eastAsia="Arial" w:hAnsi="Arial"/>
                <w:sz w:val="20"/>
                <w:szCs w:val="20"/>
                <w:color w:val="auto"/>
              </w:rPr>
              <w:t>Diluted</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2.28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2.21</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1.11</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1.51</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0.99</w:t>
            </w:r>
          </w:p>
        </w:tc>
      </w:tr>
      <w:tr>
        <w:trPr>
          <w:trHeight w:val="459"/>
        </w:trPr>
        <w:tc>
          <w:tcPr>
            <w:tcW w:w="3440" w:type="dxa"/>
            <w:vAlign w:val="bottom"/>
          </w:tcPr>
          <w:p>
            <w:pPr>
              <w:spacing w:after="0"/>
              <w:rPr>
                <w:sz w:val="20"/>
                <w:szCs w:val="20"/>
                <w:color w:val="auto"/>
              </w:rPr>
            </w:pPr>
            <w:r>
              <w:rPr>
                <w:rFonts w:ascii="Arial" w:cs="Arial" w:eastAsia="Arial" w:hAnsi="Arial"/>
                <w:sz w:val="20"/>
                <w:szCs w:val="20"/>
                <w:color w:val="auto"/>
                <w:w w:val="95"/>
              </w:rPr>
              <w:t>Cash, cash equivalents and investments</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643,680</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427,672</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375,513</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302,650</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136,796</w:t>
            </w:r>
          </w:p>
        </w:tc>
      </w:tr>
      <w:tr>
        <w:trPr>
          <w:trHeight w:val="459"/>
        </w:trPr>
        <w:tc>
          <w:tcPr>
            <w:tcW w:w="3440" w:type="dxa"/>
            <w:vAlign w:val="bottom"/>
          </w:tcPr>
          <w:p>
            <w:pPr>
              <w:spacing w:after="0"/>
              <w:rPr>
                <w:sz w:val="20"/>
                <w:szCs w:val="20"/>
                <w:color w:val="auto"/>
              </w:rPr>
            </w:pPr>
            <w:r>
              <w:rPr>
                <w:rFonts w:ascii="Arial" w:cs="Arial" w:eastAsia="Arial" w:hAnsi="Arial"/>
                <w:sz w:val="20"/>
                <w:szCs w:val="20"/>
                <w:color w:val="auto"/>
              </w:rPr>
              <w:t>Total assets</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1,082,131</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800,070</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761,837</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544,603</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308,372</w:t>
            </w:r>
          </w:p>
        </w:tc>
      </w:tr>
      <w:tr>
        <w:trPr>
          <w:trHeight w:val="459"/>
        </w:trPr>
        <w:tc>
          <w:tcPr>
            <w:tcW w:w="3440" w:type="dxa"/>
            <w:vAlign w:val="bottom"/>
          </w:tcPr>
          <w:p>
            <w:pPr>
              <w:spacing w:after="0"/>
              <w:rPr>
                <w:sz w:val="20"/>
                <w:szCs w:val="20"/>
                <w:color w:val="auto"/>
              </w:rPr>
            </w:pPr>
            <w:r>
              <w:rPr>
                <w:rFonts w:ascii="Arial" w:cs="Arial" w:eastAsia="Arial" w:hAnsi="Arial"/>
                <w:sz w:val="20"/>
                <w:szCs w:val="20"/>
                <w:color w:val="auto"/>
              </w:rPr>
              <w:t>Debt</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274</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206</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959</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663</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303</w:t>
            </w:r>
          </w:p>
        </w:tc>
      </w:tr>
      <w:tr>
        <w:trPr>
          <w:trHeight w:val="459"/>
        </w:trPr>
        <w:tc>
          <w:tcPr>
            <w:tcW w:w="3440" w:type="dxa"/>
            <w:vAlign w:val="bottom"/>
          </w:tcPr>
          <w:p>
            <w:pPr>
              <w:spacing w:after="0"/>
              <w:rPr>
                <w:sz w:val="20"/>
                <w:szCs w:val="20"/>
                <w:color w:val="auto"/>
              </w:rPr>
            </w:pPr>
            <w:r>
              <w:rPr>
                <w:rFonts w:ascii="Arial" w:cs="Arial" w:eastAsia="Arial" w:hAnsi="Arial"/>
                <w:sz w:val="20"/>
                <w:szCs w:val="20"/>
                <w:color w:val="auto"/>
              </w:rPr>
              <w:t>Stockholders’ equity</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828,398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584,953</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436,316</w:t>
            </w:r>
          </w:p>
        </w:tc>
        <w:tc>
          <w:tcPr>
            <w:tcW w:w="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1"/>
              <w:spacing w:after="0"/>
              <w:rPr>
                <w:sz w:val="20"/>
                <w:szCs w:val="20"/>
                <w:color w:val="auto"/>
              </w:rPr>
            </w:pPr>
            <w:r>
              <w:rPr>
                <w:rFonts w:ascii="Arial" w:cs="Arial" w:eastAsia="Arial" w:hAnsi="Arial"/>
                <w:sz w:val="20"/>
                <w:szCs w:val="20"/>
                <w:color w:val="auto"/>
              </w:rPr>
              <w:t>422,167</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225,084</w:t>
            </w:r>
          </w:p>
        </w:tc>
      </w:tr>
    </w:tbl>
    <w:p>
      <w:pPr>
        <w:spacing w:after="0" w:line="200" w:lineRule="exact"/>
        <w:rPr>
          <w:sz w:val="20"/>
          <w:szCs w:val="20"/>
          <w:color w:val="auto"/>
        </w:rPr>
      </w:pP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¹Includes $10.0 million, $8.2 million, $14.3 million, $1.9 million and $0.4 million for the years ended December 31, 2010, 2009, 2008, 2007 and 2006, respectively, related to the recognition of deferred revenue.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²Includes $0.3 million, $1.9 million, $118.1 million, $15.3 million and $12.7 million for the years ended December 31, 2010, 2009, 2008, 2007 and 2006, respectively, related to expenditures attributable to the costs associated with terminating existing distributors.</w:t>
      </w:r>
    </w:p>
    <w:p>
      <w:pPr>
        <w:spacing w:after="0" w:line="170"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*Gross sales, although used internally by management as an indicator of operating performance, should not be considered as an alternative to net sales, which is determined in accordance with generally accepted accounting principles in the United States of America (“GAAP”), and should not be used alone as an indicator of operating performance in place of net sales. Additionally, gross sales may not be comparable to similarly titled measures used by other companies as gross sales has been defined by our internal reporting requirements. However, gross sales is used by management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Management believes the presentation of gross sales allows a more comprehensive presentation of our operating performance. Gross sales may not be realized in the form of cash receipts as promotional payments and allowances may be deducted from payments received from customers (See “Part II, Item 7 –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overview provides our perspective on the individual sections of MD&amp;A. MD&amp;A includes the following sections:</w:t>
      </w:r>
    </w:p>
    <w:p>
      <w:pPr>
        <w:spacing w:after="0" w:line="229" w:lineRule="exact"/>
        <w:rPr>
          <w:sz w:val="20"/>
          <w:szCs w:val="20"/>
          <w:color w:val="auto"/>
        </w:rPr>
      </w:pPr>
    </w:p>
    <w:p>
      <w:pPr>
        <w:ind w:left="980" w:hanging="324"/>
        <w:spacing w:after="0" w:line="247" w:lineRule="auto"/>
        <w:tabs>
          <w:tab w:leader="none" w:pos="1205"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Our Business </w:t>
      </w:r>
      <w:r>
        <w:rPr>
          <w:rFonts w:ascii="Arial" w:cs="Arial" w:eastAsia="Arial" w:hAnsi="Arial"/>
          <w:sz w:val="20"/>
          <w:szCs w:val="20"/>
          <w:color w:val="auto"/>
        </w:rPr>
        <w:t>– a general description of our business; the value drivers of our business; and opportunities and risks facing our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w:t>
      </w:r>
    </w:p>
    <w:p>
      <w:pPr>
        <w:spacing w:after="0" w:line="1" w:lineRule="exact"/>
        <w:rPr>
          <w:rFonts w:ascii="Arial" w:cs="Arial" w:eastAsia="Arial" w:hAnsi="Arial"/>
          <w:sz w:val="20"/>
          <w:szCs w:val="20"/>
          <w:color w:val="auto"/>
        </w:rPr>
      </w:pPr>
    </w:p>
    <w:p>
      <w:pPr>
        <w:ind w:left="980" w:hanging="324"/>
        <w:spacing w:after="0" w:line="239" w:lineRule="auto"/>
        <w:tabs>
          <w:tab w:leader="none" w:pos="1381"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Results of Operations </w:t>
      </w:r>
      <w:r>
        <w:rPr>
          <w:rFonts w:ascii="Arial" w:cs="Arial" w:eastAsia="Arial" w:hAnsi="Arial"/>
          <w:sz w:val="20"/>
          <w:szCs w:val="20"/>
          <w:color w:val="auto"/>
        </w:rPr>
        <w:t>– an analysis of our consolidated results of operations for the three years presented in our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Liquidity and Capital Resources </w:t>
      </w:r>
      <w:r>
        <w:rPr>
          <w:rFonts w:ascii="Arial" w:cs="Arial" w:eastAsia="Arial" w:hAnsi="Arial"/>
          <w:sz w:val="20"/>
          <w:szCs w:val="20"/>
          <w:color w:val="auto"/>
        </w:rPr>
        <w:t>– an analysis of our cash flows, sources and uses of cash and contractual obligations;</w:t>
      </w:r>
    </w:p>
    <w:p>
      <w:pPr>
        <w:ind w:left="980" w:hanging="324"/>
        <w:spacing w:after="0" w:line="239"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Accounting Policies and Pronouncements </w:t>
      </w:r>
      <w:r>
        <w:rPr>
          <w:rFonts w:ascii="Arial" w:cs="Arial" w:eastAsia="Arial" w:hAnsi="Arial"/>
          <w:sz w:val="20"/>
          <w:szCs w:val="20"/>
          <w:color w:val="auto"/>
        </w:rPr>
        <w:t>– a discussion of accounting policies that require critical judgments and estimates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newly issued accounting pronouncements;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Sales </w:t>
      </w:r>
      <w:r>
        <w:rPr>
          <w:rFonts w:ascii="Arial" w:cs="Arial" w:eastAsia="Arial" w:hAnsi="Arial"/>
          <w:sz w:val="20"/>
          <w:szCs w:val="20"/>
          <w:color w:val="auto"/>
        </w:rPr>
        <w:t>– details of our sales measured on a quarterly basis in both dollars and cases;</w:t>
      </w:r>
    </w:p>
    <w:p>
      <w:pPr>
        <w:ind w:left="940" w:hanging="284"/>
        <w:spacing w:after="0"/>
        <w:tabs>
          <w:tab w:leader="none" w:pos="94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Inflation </w:t>
      </w:r>
      <w:r>
        <w:rPr>
          <w:rFonts w:ascii="Arial" w:cs="Arial" w:eastAsia="Arial" w:hAnsi="Arial"/>
          <w:sz w:val="20"/>
          <w:szCs w:val="20"/>
          <w:color w:val="auto"/>
        </w:rPr>
        <w:t>– information about the impact that inflation may or may not have on our results;</w:t>
      </w:r>
    </w:p>
    <w:p>
      <w:pPr>
        <w:jc w:val="both"/>
        <w:ind w:left="980" w:hanging="324"/>
        <w:spacing w:after="0" w:line="239" w:lineRule="auto"/>
        <w:tabs>
          <w:tab w:leader="none" w:pos="1191"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Statements </w:t>
      </w:r>
      <w:r>
        <w:rPr>
          <w:rFonts w:ascii="Arial" w:cs="Arial" w:eastAsia="Arial" w:hAnsi="Arial"/>
          <w:sz w:val="20"/>
          <w:szCs w:val="20"/>
          <w:color w:val="auto"/>
        </w:rPr>
        <w:t>– cautionary information about forward-looking statements and a description of certain risks and</w:t>
      </w:r>
      <w:r>
        <w:rPr>
          <w:rFonts w:ascii="Arial" w:cs="Arial" w:eastAsia="Arial" w:hAnsi="Arial"/>
          <w:sz w:val="20"/>
          <w:szCs w:val="20"/>
          <w:i w:val="1"/>
          <w:iCs w:val="1"/>
          <w:color w:val="auto"/>
        </w:rPr>
        <w:t xml:space="preserve"> </w:t>
      </w:r>
      <w:r>
        <w:rPr>
          <w:rFonts w:ascii="Arial" w:cs="Arial" w:eastAsia="Arial" w:hAnsi="Arial"/>
          <w:sz w:val="20"/>
          <w:szCs w:val="20"/>
          <w:color w:val="auto"/>
        </w:rPr>
        <w:t>uncertainties that could cause our actual results to differ materially from the Company’s historical results or our current expectations or projections; and</w:t>
      </w:r>
    </w:p>
    <w:p>
      <w:pPr>
        <w:spacing w:after="0" w:line="1" w:lineRule="exact"/>
        <w:rPr>
          <w:rFonts w:ascii="Arial" w:cs="Arial" w:eastAsia="Arial" w:hAnsi="Arial"/>
          <w:sz w:val="20"/>
          <w:szCs w:val="20"/>
          <w:color w:val="auto"/>
        </w:rPr>
      </w:pPr>
    </w:p>
    <w:p>
      <w:pPr>
        <w:ind w:left="980" w:hanging="324"/>
        <w:spacing w:after="0" w:line="244" w:lineRule="auto"/>
        <w:tabs>
          <w:tab w:leader="none" w:pos="1002"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Market Risks </w:t>
      </w:r>
      <w:r>
        <w:rPr>
          <w:rFonts w:ascii="Arial" w:cs="Arial" w:eastAsia="Arial" w:hAnsi="Arial"/>
          <w:sz w:val="20"/>
          <w:szCs w:val="20"/>
          <w:color w:val="auto"/>
        </w:rPr>
        <w:t>– information about market risks and risk management. (See “</w:t>
      </w:r>
      <w:r>
        <w:rPr>
          <w:rFonts w:ascii="Arial" w:cs="Arial" w:eastAsia="Arial" w:hAnsi="Arial"/>
          <w:sz w:val="20"/>
          <w:szCs w:val="20"/>
          <w:i w:val="1"/>
          <w:iCs w:val="1"/>
          <w:color w:val="auto"/>
        </w:rPr>
        <w:t>Forward-Looking Statements</w:t>
      </w:r>
      <w:r>
        <w:rPr>
          <w:rFonts w:ascii="Arial" w:cs="Arial" w:eastAsia="Arial" w:hAnsi="Arial"/>
          <w:sz w:val="20"/>
          <w:szCs w:val="20"/>
          <w:color w:val="auto"/>
        </w:rPr>
        <w:t>” and “Part II, Item 7A –</w:t>
      </w:r>
      <w:r>
        <w:rPr>
          <w:rFonts w:ascii="Arial" w:cs="Arial" w:eastAsia="Arial" w:hAnsi="Arial"/>
          <w:sz w:val="20"/>
          <w:szCs w:val="20"/>
          <w:i w:val="1"/>
          <w:iCs w:val="1"/>
          <w:color w:val="auto"/>
        </w:rPr>
        <w:t xml:space="preserve"> </w:t>
      </w:r>
      <w:r>
        <w:rPr>
          <w:rFonts w:ascii="Arial" w:cs="Arial" w:eastAsia="Arial" w:hAnsi="Arial"/>
          <w:sz w:val="20"/>
          <w:szCs w:val="20"/>
          <w:color w:val="auto"/>
        </w:rPr>
        <w:t>Qualitative and Quantitative Disclosures About Market Risks”).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We develop, market, sell and distribute “alternative” beverage category beverages primarily under the following brand names: Monster Energy®, Java Monster™, Monster Energy® Extra Strength Nitrous Technology™, Monster Rehab™, Peace Tea™, Hansen’s®, Hansen’s</w:t>
      </w:r>
    </w:p>
    <w:p>
      <w:pPr>
        <w:sectPr>
          <w:pgSz w:w="11900" w:h="16838" w:orient="portrait"/>
          <w:cols w:equalWidth="0" w:num="1">
            <w:col w:w="11420"/>
          </w:cols>
          <w:pgMar w:left="240" w:top="352" w:right="239" w:bottom="0" w:gutter="0" w:footer="0" w:header="0"/>
        </w:sectPr>
      </w:pPr>
    </w:p>
    <w:bookmarkStart w:id="23" w:name="page24"/>
    <w:bookmarkEnd w:id="23"/>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Natural Sodas®, Junior Juice®, Blue Sky®, X-Presso Monster™, Vidration™, Worx Energy™, Admiral™, Lost® Energy™, Hubert’s™, Rumba®, Samba and Tango.</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Monster Energy® brand energy drinks include Monster Energy® energy drinks, lo-carb Monster Energy® energy drinks, Monster Energy® Assault® energy drinks, Monster Energy® Khaos™ energy drinks, Monster Energy® M-80™ energy drinks (named “RIPPER” in certain countries), Monster Energy® Heavy Metal™ energy drinks, Monster Energy® MIXXD™ energy drinks, Monster Energy® Absolutely Zero energy drinks, Monster Energy® Import and Import Light energy drinks, Monster Energy® Dub Edition energy drinks, Monster Rehab™ energy drinks, Monster Energy® M3 Super Concentrate energy drink and Monster Energy® Extra Strength Nitrous Technology energy drinks in four variants.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lines of non-carbonated dairy based coffee + energy drinks include Java Monster™ Kona Blend, Java Monster™ Loca Moca®, Java Monster™ Mean Bean®, Java Monster™ Vanilla Light, Java Monster™ Irish Blend™, Java Monster™ Toffee as well as our X-Presso Monster™ Hammer and X-Presso Monster™ Midnite coffee energy drinks.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 2010 we introduced the following products:</w:t>
      </w:r>
    </w:p>
    <w:p>
      <w:pPr>
        <w:spacing w:after="0" w:line="229" w:lineRule="exact"/>
        <w:rPr>
          <w:sz w:val="20"/>
          <w:szCs w:val="20"/>
          <w:color w:val="auto"/>
        </w:rPr>
      </w:pPr>
    </w:p>
    <w:p>
      <w:pPr>
        <w:ind w:left="660" w:right="540" w:hanging="328"/>
        <w:spacing w:after="0" w:line="247" w:lineRule="auto"/>
        <w:tabs>
          <w:tab w:leader="none" w:pos="6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Energy® Import Light energy drinks, which are packaged in 18.6-ounce Re-sealable End (“BRE”) aluminum cans (May 2010).</w:t>
      </w:r>
    </w:p>
    <w:p>
      <w:pPr>
        <w:spacing w:after="0" w:line="1" w:lineRule="exact"/>
        <w:rPr>
          <w:rFonts w:ascii="Arial" w:cs="Arial" w:eastAsia="Arial" w:hAnsi="Arial"/>
          <w:sz w:val="20"/>
          <w:szCs w:val="20"/>
          <w:color w:val="auto"/>
        </w:rPr>
      </w:pPr>
    </w:p>
    <w:p>
      <w:pPr>
        <w:ind w:left="660" w:right="220" w:hanging="328"/>
        <w:spacing w:after="0" w:line="239" w:lineRule="auto"/>
        <w:tabs>
          <w:tab w:leader="none" w:pos="6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Energy® Absolutely Zero energy drinks, which are carbonated and contain zero calories and zero sugar, and are packaged in 16-ounce aluminum cans (July 2010).</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Energy® “Dub Edition” energy drinks, which are packaged in 18.6-ounce BRE aluminum cans (May 2010).</w:t>
      </w:r>
    </w:p>
    <w:p>
      <w:pPr>
        <w:ind w:left="660" w:right="760" w:hanging="328"/>
        <w:spacing w:after="0" w:line="239" w:lineRule="auto"/>
        <w:tabs>
          <w:tab w:leader="none" w:pos="6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Energy® Extra Strength Nitrous Technology energy drink – Black Ice which is carbonated and contains zero calories, packaged in 12-ounce sleek aluminum cap-cans (November 2010).</w:t>
      </w:r>
    </w:p>
    <w:p>
      <w:pPr>
        <w:spacing w:after="0" w:line="1" w:lineRule="exact"/>
        <w:rPr>
          <w:rFonts w:ascii="Arial" w:cs="Arial" w:eastAsia="Arial" w:hAnsi="Arial"/>
          <w:sz w:val="20"/>
          <w:szCs w:val="20"/>
          <w:color w:val="auto"/>
        </w:rPr>
      </w:pPr>
    </w:p>
    <w:p>
      <w:pPr>
        <w:ind w:left="660" w:right="280" w:hanging="328"/>
        <w:spacing w:after="0" w:line="239" w:lineRule="auto"/>
        <w:tabs>
          <w:tab w:leader="none" w:pos="6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X-Presso Monster™ Coffee Energy Drinks – non-carbonated dairy based espresso + energy drinks, which are packaged in 9.6-ounce aluminum cans (November 2010).</w:t>
      </w:r>
    </w:p>
    <w:p>
      <w:pPr>
        <w:spacing w:after="0" w:line="1" w:lineRule="exact"/>
        <w:rPr>
          <w:rFonts w:ascii="Arial" w:cs="Arial" w:eastAsia="Arial" w:hAnsi="Arial"/>
          <w:sz w:val="20"/>
          <w:szCs w:val="20"/>
          <w:color w:val="auto"/>
        </w:rPr>
      </w:pPr>
    </w:p>
    <w:p>
      <w:pPr>
        <w:ind w:left="660" w:right="600" w:hanging="328"/>
        <w:spacing w:after="0" w:line="239" w:lineRule="auto"/>
        <w:tabs>
          <w:tab w:leader="none" w:pos="6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Worx Energy™ energy shots, which contain zero calories and zero sugar, and are packaged in 2-ounce wide-mouth polyethylene terephthalate (“PET”) plastic bottles (October 2010).</w:t>
      </w:r>
    </w:p>
    <w:p>
      <w:pPr>
        <w:spacing w:after="0" w:line="1" w:lineRule="exact"/>
        <w:rPr>
          <w:rFonts w:ascii="Arial" w:cs="Arial" w:eastAsia="Arial" w:hAnsi="Arial"/>
          <w:sz w:val="20"/>
          <w:szCs w:val="20"/>
          <w:color w:val="auto"/>
        </w:rPr>
      </w:pPr>
    </w:p>
    <w:p>
      <w:pPr>
        <w:ind w:left="660" w:right="260" w:hanging="328"/>
        <w:spacing w:after="0" w:line="239" w:lineRule="auto"/>
        <w:tabs>
          <w:tab w:leader="none" w:pos="6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Energy® M3 Super Concentrate, super-concentrated energy drinks, which are packaged in 5-ounce glass bottles (November 2010).</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Admiral™ Iced Teas, a new line of ready-to-drink iced teas, which are packaged in 23-ounce aluminum cans (March 2010).</w:t>
      </w:r>
    </w:p>
    <w:p>
      <w:pPr>
        <w:spacing w:after="0" w:line="11" w:lineRule="exact"/>
        <w:rPr>
          <w:rFonts w:ascii="Arial" w:cs="Arial" w:eastAsia="Arial" w:hAnsi="Arial"/>
          <w:sz w:val="19"/>
          <w:szCs w:val="19"/>
          <w:color w:val="auto"/>
        </w:rPr>
      </w:pP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Blue Sky® Shots, natural functional shots, which are packaged in 2.5-ounce PET plastic bottles (March 2010).</w:t>
      </w:r>
    </w:p>
    <w:p>
      <w:pPr>
        <w:ind w:left="660" w:right="200" w:hanging="328"/>
        <w:spacing w:after="0" w:line="239" w:lineRule="auto"/>
        <w:tabs>
          <w:tab w:leader="none" w:pos="6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Hubert’s™ Lemonades, a line of ready-to-drink premium lemonades sweetened with cane sugar and Truvia™ brand stevia extract, an all natural sweetener, which are packaged in 16-ounce glass bottles (August 2010).</w:t>
      </w:r>
    </w:p>
    <w:p>
      <w:pPr>
        <w:spacing w:after="0" w:line="1" w:lineRule="exact"/>
        <w:rPr>
          <w:rFonts w:ascii="Arial" w:cs="Arial" w:eastAsia="Arial" w:hAnsi="Arial"/>
          <w:sz w:val="20"/>
          <w:szCs w:val="20"/>
          <w:color w:val="auto"/>
        </w:rPr>
      </w:pPr>
    </w:p>
    <w:p>
      <w:pPr>
        <w:ind w:left="660" w:right="300" w:hanging="328"/>
        <w:spacing w:after="0" w:line="244" w:lineRule="auto"/>
        <w:tabs>
          <w:tab w:leader="none" w:pos="6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Hansen’s® Natural Fruit and Tea Stix™, a line of all-natural, low-calorie powdered drink mixes, which are packaged in single-serve stick packs (February 2010).</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have two reportable segments, namely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the DSD or Warehouse segments specifically have been allocated to “Corporate &amp; Unallocated.”</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We again achieved record gross sales of $1,488.5 million for the year ended December 31, 2010. The increase in gross sales in 2010 was primarily attributable to increased sales of our Monster Energy® brand energy drinks. Gross sales for the year ended December 31, 2009 were positively impacted by advance purchases made by our customers in the 2009 fourth quarter due to our announcement of a new per case marketing contribution program for our Monster Energy® distributors commencing January 1, 2010, as well as to avoid potential interruptions in product supply due to our announcement to transition our North American operations to the SAP enterprise resource planning system commencing January 2010 (the “Advance Purchases”). We estimate that approximately 1% of gross sales for the year ended December 31, 2009, were attributable to such Advance Purchases. We di d not limit the amount of our customers’ purchases during the fourth quarter of 2009. Gross sales for the year ended December 31, 2008 were impacted by a price increase announced during the fourth quarter of 2007 for all of our Monster Energy® brand energy drinks in 16-ounce cans and our Java Monster™ product line, effective January 1, 2008. We estimate that gross sales for the year ended December 31, 2008 were reduced by approximately 2% as a result of purchases made by our customers in advance of such price increases. We did not limit the amount of purchases our customers could execute at our then existing 2007 fourth quarter prices.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 substantial portion of our gross sales are derived from our Monster Energy® brand energy drinks and our Java Monster</w:t>
      </w:r>
      <w:r>
        <w:rPr>
          <w:rFonts w:ascii="Arial" w:cs="Arial" w:eastAsia="Arial" w:hAnsi="Arial"/>
          <w:sz w:val="11"/>
          <w:szCs w:val="11"/>
          <w:color w:val="auto"/>
        </w:rPr>
        <w:t>TM</w:t>
      </w:r>
      <w:r>
        <w:rPr>
          <w:rFonts w:ascii="Arial" w:cs="Arial" w:eastAsia="Arial" w:hAnsi="Arial"/>
          <w:sz w:val="19"/>
          <w:szCs w:val="19"/>
          <w:color w:val="auto"/>
        </w:rPr>
        <w:t xml:space="preserve"> product line. Any decrease in sales of our Monster Energy® brand energy drinks and/or Java Monster</w:t>
      </w:r>
      <w:r>
        <w:rPr>
          <w:rFonts w:ascii="Arial" w:cs="Arial" w:eastAsia="Arial" w:hAnsi="Arial"/>
          <w:sz w:val="11"/>
          <w:szCs w:val="11"/>
          <w:color w:val="auto"/>
        </w:rPr>
        <w:t>TM</w:t>
      </w:r>
      <w:r>
        <w:rPr>
          <w:rFonts w:ascii="Arial" w:cs="Arial" w:eastAsia="Arial" w:hAnsi="Arial"/>
          <w:sz w:val="19"/>
          <w:szCs w:val="19"/>
          <w:color w:val="auto"/>
        </w:rPr>
        <w:t xml:space="preserve"> product line could cause a significant adverse effect on our future revenues and net income. Our DSD segment represented 93.0%, 91.4% and 89.7% of our consolidated net sales for the years ended December 31, 2010, 2009 and 2008, respectively. Our Warehouse segment represented 7.0%, 8.6% and 10.3% of our consolidated net sales for the years ended December 31, 2010, 2009 and 2008, respectively. Com petitive pressure in the energy drink category could adversely affect our operating results (See “Part I, Item 1A – Risk Factors”).</w:t>
      </w:r>
    </w:p>
    <w:p>
      <w:pPr>
        <w:spacing w:after="0" w:line="19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For the years ended December 31, 2010, 2009, and 2008, our percentage increase in gross sales was 13.7%, 10.7%, and 15.3%, respectively. We believe the decrease in the year on year percentage growth rate for the 2009 fiscal year was in part attributable to the decrease in the overall growth rates of the markets in which we operate, in particular the energy drink category, to general economic conditions as well as higher overall comparable sales levels. Consumer spending habits, including spending for the products that we sell, are affected by, among</w:t>
      </w:r>
    </w:p>
    <w:p>
      <w:pPr>
        <w:sectPr>
          <w:pgSz w:w="11900" w:h="16914" w:orient="portrait"/>
          <w:cols w:equalWidth="0" w:num="1">
            <w:col w:w="11420"/>
          </w:cols>
          <w:pgMar w:left="240" w:top="121" w:right="239" w:bottom="0" w:gutter="0" w:footer="0" w:header="0"/>
        </w:sectPr>
      </w:pPr>
    </w:p>
    <w:bookmarkStart w:id="24" w:name="page25"/>
    <w:bookmarkEnd w:id="24"/>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things, prevailing economic conditions, inflation, levels of employment, salaries and wage rates, prevailing interest rates, housing costs, energy and gas costs, income tax rates and policies, consumer confidence and consumer perception of economic conditions. In addition, consumer purchasing patterns may be influ enced by consumers’ disposable income, credit availability and debt levels. A continued or incremental slowdown in both the U.S. and international economies where we market and distribute our products, an uncertain economic outlook or prolonged credit crisis could continue to adversely affect consumer spending habits, which may result in lower than expected net sales and profits on a quarterly or annual basis. During 2010, 2009 and 2008, there was significant deterioration in the global and local financial markets and economic environments, real estate markets and construction industries, which we believe negatively impacted consumer spending at many retailers of our products. In response to this, we have taken steps to increase opportunities to profitably drive sales and to operate our business more efficiently. If these adverse economic trends worsen, or if our efforts to counteract the impacts of these trends are not sufficiently effective, there could be a negative impact on our financial performanc e and position in future fiscal periods. For further discussion of the risks to our Company posed by general economic conditions (See “Part I, Item 1A – Risk Factors”).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achieve maximum shelf and display space exposure in sales outlets (including advertising, in-store promotions and in-store placement of point-of-sale materials, racks, coolers and barrel coolers) to achieve maximum demand from consumers for our products. We also utilize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 In-store posters, outdoor posters, print, radio and television advertising, together with price promotions and coupons, may also be used to promote our brands.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2010, we continued to expand our existing product lines and further develop our markets, both domestically and internationally. In particular, we continued to focus on developing and marketing beverages that fall within the category generally described as the “alternative” beverage category, with particular emphasis on energy drinks.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Our growth strategy includes expanding our international business. Gross sales to customers outside the United States amounted to $240.6 million, $168.0 million and $94.2 million for the years ended December 31, 2010, 2009 and 2008, respectively. Such sales were approximately 16%, 13% and 8% of gross sales for the years ended December 31, 2010, 2009 and 2008, respectively.</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are primarily full service beverage distributors, retail grocery and specialty chains, wholesalers, club stores, drug chains, mass merchandisers, convenience chains, health food distributors and food service customers. Gross sales to our various customer types for 2010, 2009 and 2008 are reflected below. Such information reflects sales made by us directly to the customer types concerned, which include our full service beverage distributors. Such full service beverage distributors in turn sell certain of our products to the customer types listed below. We do not have complete details of such full service distributors’ sales of our products to their respective customers and therefore limit our description of our customer types to include our sales to such full service distributors without reference to their sales to their own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0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62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2010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2009</w:t>
            </w:r>
          </w:p>
        </w:tc>
        <w:tc>
          <w:tcPr>
            <w:tcW w:w="158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85"/>
              </w:rPr>
              <w:t>2008</w:t>
            </w:r>
          </w:p>
        </w:tc>
        <w:tc>
          <w:tcPr>
            <w:tcW w:w="0" w:type="dxa"/>
            <w:vAlign w:val="bottom"/>
          </w:tcPr>
          <w:p>
            <w:pPr>
              <w:spacing w:after="0"/>
              <w:rPr>
                <w:sz w:val="1"/>
                <w:szCs w:val="1"/>
                <w:color w:val="auto"/>
              </w:rPr>
            </w:pPr>
          </w:p>
        </w:tc>
      </w:tr>
      <w:tr>
        <w:trPr>
          <w:trHeight w:val="206"/>
        </w:trPr>
        <w:tc>
          <w:tcPr>
            <w:tcW w:w="6400" w:type="dxa"/>
            <w:vAlign w:val="bottom"/>
            <w:vMerge w:val="continue"/>
          </w:tcPr>
          <w:p>
            <w:pPr>
              <w:spacing w:after="0"/>
              <w:rPr>
                <w:sz w:val="17"/>
                <w:szCs w:val="17"/>
                <w:color w:val="auto"/>
              </w:rPr>
            </w:pPr>
          </w:p>
        </w:tc>
        <w:tc>
          <w:tcPr>
            <w:tcW w:w="1620" w:type="dxa"/>
            <w:vAlign w:val="bottom"/>
          </w:tcPr>
          <w:p>
            <w:pPr>
              <w:jc w:val="center"/>
              <w:ind w:right="121"/>
              <w:spacing w:after="0" w:line="207" w:lineRule="exact"/>
              <w:rPr>
                <w:sz w:val="20"/>
                <w:szCs w:val="20"/>
                <w:color w:val="auto"/>
              </w:rPr>
            </w:pPr>
            <w:r>
              <w:rPr>
                <w:rFonts w:ascii="Arial" w:cs="Arial" w:eastAsia="Arial" w:hAnsi="Arial"/>
                <w:sz w:val="20"/>
                <w:szCs w:val="20"/>
                <w:color w:val="auto"/>
                <w:w w:val="89"/>
              </w:rPr>
              <w:t>64%</w:t>
            </w:r>
          </w:p>
        </w:tc>
        <w:tc>
          <w:tcPr>
            <w:tcW w:w="1820" w:type="dxa"/>
            <w:vAlign w:val="bottom"/>
          </w:tcPr>
          <w:p>
            <w:pPr>
              <w:jc w:val="center"/>
              <w:spacing w:after="0" w:line="207" w:lineRule="exact"/>
              <w:rPr>
                <w:sz w:val="20"/>
                <w:szCs w:val="20"/>
                <w:color w:val="auto"/>
              </w:rPr>
            </w:pPr>
            <w:r>
              <w:rPr>
                <w:rFonts w:ascii="Arial" w:cs="Arial" w:eastAsia="Arial" w:hAnsi="Arial"/>
                <w:sz w:val="20"/>
                <w:szCs w:val="20"/>
                <w:color w:val="auto"/>
                <w:w w:val="89"/>
              </w:rPr>
              <w:t>66%</w:t>
            </w:r>
          </w:p>
        </w:tc>
        <w:tc>
          <w:tcPr>
            <w:tcW w:w="1580" w:type="dxa"/>
            <w:vAlign w:val="bottom"/>
          </w:tcPr>
          <w:p>
            <w:pPr>
              <w:jc w:val="center"/>
              <w:ind w:left="101"/>
              <w:spacing w:after="0" w:line="207" w:lineRule="exact"/>
              <w:rPr>
                <w:sz w:val="20"/>
                <w:szCs w:val="20"/>
                <w:color w:val="auto"/>
              </w:rPr>
            </w:pPr>
            <w:r>
              <w:rPr>
                <w:rFonts w:ascii="Arial" w:cs="Arial" w:eastAsia="Arial" w:hAnsi="Arial"/>
                <w:sz w:val="20"/>
                <w:szCs w:val="20"/>
                <w:color w:val="auto"/>
                <w:w w:val="94"/>
              </w:rPr>
              <w:t>68%</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620" w:type="dxa"/>
            <w:vAlign w:val="bottom"/>
          </w:tcPr>
          <w:p>
            <w:pPr>
              <w:jc w:val="center"/>
              <w:ind w:right="121"/>
              <w:spacing w:after="0"/>
              <w:rPr>
                <w:sz w:val="20"/>
                <w:szCs w:val="20"/>
                <w:color w:val="auto"/>
              </w:rPr>
            </w:pPr>
            <w:r>
              <w:rPr>
                <w:rFonts w:ascii="Arial" w:cs="Arial" w:eastAsia="Arial" w:hAnsi="Arial"/>
                <w:sz w:val="20"/>
                <w:szCs w:val="20"/>
                <w:color w:val="auto"/>
                <w:w w:val="89"/>
              </w:rPr>
              <w:t>12%</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12%</w:t>
            </w:r>
          </w:p>
        </w:tc>
        <w:tc>
          <w:tcPr>
            <w:tcW w:w="1580" w:type="dxa"/>
            <w:vAlign w:val="bottom"/>
          </w:tcPr>
          <w:p>
            <w:pPr>
              <w:jc w:val="center"/>
              <w:ind w:left="101"/>
              <w:spacing w:after="0"/>
              <w:rPr>
                <w:sz w:val="20"/>
                <w:szCs w:val="20"/>
                <w:color w:val="auto"/>
              </w:rPr>
            </w:pPr>
            <w:r>
              <w:rPr>
                <w:rFonts w:ascii="Arial" w:cs="Arial" w:eastAsia="Arial" w:hAnsi="Arial"/>
                <w:sz w:val="20"/>
                <w:szCs w:val="20"/>
                <w:color w:val="auto"/>
                <w:w w:val="94"/>
              </w:rPr>
              <w:t>14%</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Outside the U.S.</w:t>
            </w:r>
          </w:p>
        </w:tc>
        <w:tc>
          <w:tcPr>
            <w:tcW w:w="1620" w:type="dxa"/>
            <w:vAlign w:val="bottom"/>
          </w:tcPr>
          <w:p>
            <w:pPr>
              <w:jc w:val="center"/>
              <w:ind w:right="121"/>
              <w:spacing w:after="0"/>
              <w:rPr>
                <w:sz w:val="20"/>
                <w:szCs w:val="20"/>
                <w:color w:val="auto"/>
              </w:rPr>
            </w:pPr>
            <w:r>
              <w:rPr>
                <w:rFonts w:ascii="Arial" w:cs="Arial" w:eastAsia="Arial" w:hAnsi="Arial"/>
                <w:sz w:val="20"/>
                <w:szCs w:val="20"/>
                <w:color w:val="auto"/>
                <w:w w:val="89"/>
              </w:rPr>
              <w:t>16%</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13%</w:t>
            </w:r>
          </w:p>
        </w:tc>
        <w:tc>
          <w:tcPr>
            <w:tcW w:w="1580" w:type="dxa"/>
            <w:vAlign w:val="bottom"/>
          </w:tcPr>
          <w:p>
            <w:pPr>
              <w:jc w:val="center"/>
              <w:ind w:left="10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620" w:type="dxa"/>
            <w:vAlign w:val="bottom"/>
          </w:tcPr>
          <w:p>
            <w:pPr>
              <w:jc w:val="center"/>
              <w:ind w:right="101"/>
              <w:spacing w:after="0"/>
              <w:rPr>
                <w:sz w:val="20"/>
                <w:szCs w:val="20"/>
                <w:color w:val="auto"/>
              </w:rPr>
            </w:pPr>
            <w:r>
              <w:rPr>
                <w:rFonts w:ascii="Arial" w:cs="Arial" w:eastAsia="Arial" w:hAnsi="Arial"/>
                <w:sz w:val="20"/>
                <w:szCs w:val="20"/>
                <w:color w:val="auto"/>
                <w:w w:val="89"/>
              </w:rPr>
              <w:t>6%</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6%</w:t>
            </w:r>
          </w:p>
        </w:tc>
        <w:tc>
          <w:tcPr>
            <w:tcW w:w="1580" w:type="dxa"/>
            <w:vAlign w:val="bottom"/>
          </w:tcPr>
          <w:p>
            <w:pPr>
              <w:jc w:val="center"/>
              <w:ind w:left="10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20"/>
                <w:szCs w:val="20"/>
                <w:color w:val="auto"/>
              </w:rPr>
              <w:t>Other</w:t>
            </w:r>
          </w:p>
        </w:tc>
        <w:tc>
          <w:tcPr>
            <w:tcW w:w="1620" w:type="dxa"/>
            <w:vAlign w:val="bottom"/>
          </w:tcPr>
          <w:p>
            <w:pPr>
              <w:jc w:val="center"/>
              <w:ind w:right="101"/>
              <w:spacing w:after="0"/>
              <w:rPr>
                <w:sz w:val="20"/>
                <w:szCs w:val="20"/>
                <w:color w:val="auto"/>
              </w:rPr>
            </w:pPr>
            <w:r>
              <w:rPr>
                <w:rFonts w:ascii="Arial" w:cs="Arial" w:eastAsia="Arial" w:hAnsi="Arial"/>
                <w:sz w:val="20"/>
                <w:szCs w:val="20"/>
                <w:color w:val="auto"/>
                <w:w w:val="89"/>
              </w:rPr>
              <w:t>2%</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1580" w:type="dxa"/>
            <w:vAlign w:val="bottom"/>
          </w:tcPr>
          <w:p>
            <w:pPr>
              <w:jc w:val="center"/>
              <w:ind w:left="10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October 2, 2010, TCCC completed its acquisition of the North American business operations of CCE, through a merger with a wholly owned subsidiary of TCCC. The surviving wholly owned subsidiary was subsequently renamed CCR, and currently distributes the Products in those portions of the United States in which CCE previously distributed the Products. Concurrently with this acquisition, a new entity, which retained the name Coca-Cola Enterprises, Inc. (“New CCE”) was formed, which currently distributes the Products in Great Britain, France, Belgium, the Netherlands, Luxembourg, Monaco and Sweden (added during the first quarter of 2011).</w:t>
      </w:r>
    </w:p>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customers include CCR (formerly known as CCE), New CCE, CCRC (formerly known as CCBC), Consolidated, United and other TCCC North American Bottlers, Wal-Mart, Inc. (including Sam’s Club), AB Distributors, Coca-Cola Hellenic, Kalil Bottling Group, Trader Joe’s, John Lenore &amp; Company, Pepsi Canada, ULC (“Pepsi Canada”) (terminated by us effective December 31, 2008), Swire Coca-Cola, Costco, The Kroger Co. and Safeway, Inc. A decision by any large customer to decrease amounts purchased from us or to cease carrying our products could have a material negative effect on our financial condition and consolidated results of operations. CCE (including CCBC up to September 30, 2010) (CCE replaced by New CCE from October 1, 2010), accounted for approximately 28% and 27% of our net sales for the years ended December 31, 2010 and 2009, respectively. The DPS Group , a former customer of the DSD segment, accounted for approximately 13% of our net sales for the year ended December 31, 2008. Our distribution agreement with the DPS Group was terminated by us effective November 9, 2008. The terminated DPS Group territories are now serviced by a combination of TCCC North American Bottlers and AB</w:t>
      </w:r>
    </w:p>
    <w:p>
      <w:pPr>
        <w:sectPr>
          <w:pgSz w:w="11900" w:h="16898" w:orient="portrait"/>
          <w:cols w:equalWidth="0" w:num="1">
            <w:col w:w="11420"/>
          </w:cols>
          <w:pgMar w:left="240" w:top="121" w:right="239" w:bottom="0" w:gutter="0" w:footer="0" w:header="0"/>
        </w:sectPr>
      </w:pPr>
    </w:p>
    <w:bookmarkStart w:id="25" w:name="page26"/>
    <w:bookmarkEnd w:id="25"/>
    <w:p>
      <w:pPr>
        <w:spacing w:after="0" w:line="5" w:lineRule="exact"/>
        <w:rPr>
          <w:sz w:val="20"/>
          <w:szCs w:val="20"/>
          <w:color w:val="auto"/>
        </w:rPr>
      </w:pPr>
    </w:p>
    <w:p>
      <w:pPr>
        <w:spacing w:after="0" w:line="317" w:lineRule="auto"/>
        <w:rPr>
          <w:sz w:val="20"/>
          <w:szCs w:val="20"/>
          <w:color w:val="auto"/>
        </w:rPr>
      </w:pPr>
      <w:r>
        <w:rPr>
          <w:rFonts w:ascii="Arial" w:cs="Arial" w:eastAsia="Arial" w:hAnsi="Arial"/>
          <w:sz w:val="18"/>
          <w:szCs w:val="18"/>
          <w:color w:val="auto"/>
        </w:rPr>
        <w:t>Distributors. Wal-Mart, Inc. (including Sam’s Club), a customer of both the DSD and Warehouse segments, accounted for less than 10% of our net sales for the years ended December 31, 2010 and 2009 and approximately 11% of our net sales for the year ended December 31, 2008.</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continue to incur expenditures in connection with the development and introduction of new products and flavors.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Value Drivers of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key value drivers of our business include the following:</w:t>
      </w:r>
    </w:p>
    <w:p>
      <w:pPr>
        <w:spacing w:after="0" w:line="229" w:lineRule="exact"/>
        <w:rPr>
          <w:sz w:val="20"/>
          <w:szCs w:val="20"/>
          <w:color w:val="auto"/>
        </w:rPr>
      </w:pPr>
    </w:p>
    <w:p>
      <w:pPr>
        <w:jc w:val="both"/>
        <w:ind w:left="1040" w:right="120" w:hanging="384"/>
        <w:spacing w:after="0" w:line="27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Profitable Growth </w:t>
      </w:r>
      <w:r>
        <w:rPr>
          <w:rFonts w:ascii="Arial" w:cs="Arial" w:eastAsia="Arial" w:hAnsi="Arial"/>
          <w:sz w:val="18"/>
          <w:szCs w:val="18"/>
          <w:color w:val="auto"/>
        </w:rPr>
        <w:t>– We believe “functional”, “image based” and/or “better for you” brands properly supported by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targeted to a broad consumer base, drive profitable growth. We continue to broaden our family of brands. In particular, we are expanding our energy drinks and specialty beverages to provide more alternatives to consumers. We are focused on maintaining profit margins. We believe that tailored branding, packaging, pricing and distribution channel strategies help achieve profitable growth. We are implementing these strategies with a view to accelerating profitable growth.</w:t>
      </w:r>
    </w:p>
    <w:p>
      <w:pPr>
        <w:spacing w:after="0" w:line="178" w:lineRule="exact"/>
        <w:rPr>
          <w:rFonts w:ascii="Arial" w:cs="Arial" w:eastAsia="Arial" w:hAnsi="Arial"/>
          <w:sz w:val="18"/>
          <w:szCs w:val="18"/>
          <w:color w:val="auto"/>
        </w:rPr>
      </w:pPr>
    </w:p>
    <w:p>
      <w:pPr>
        <w:jc w:val="both"/>
        <w:ind w:left="1040" w:right="120" w:hanging="384"/>
        <w:spacing w:after="0" w:line="263" w:lineRule="auto"/>
        <w:tabs>
          <w:tab w:leader="none" w:pos="104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Cost Management </w:t>
      </w:r>
      <w:r>
        <w:rPr>
          <w:rFonts w:ascii="Arial" w:cs="Arial" w:eastAsia="Arial" w:hAnsi="Arial"/>
          <w:sz w:val="19"/>
          <w:szCs w:val="19"/>
          <w:color w:val="auto"/>
        </w:rPr>
        <w:t>– The principal focus of cost management will continue to be on input supply and production costs. One key</w:t>
      </w:r>
      <w:r>
        <w:rPr>
          <w:rFonts w:ascii="Arial" w:cs="Arial" w:eastAsia="Arial" w:hAnsi="Arial"/>
          <w:sz w:val="19"/>
          <w:szCs w:val="19"/>
          <w:i w:val="1"/>
          <w:iCs w:val="1"/>
          <w:color w:val="auto"/>
        </w:rPr>
        <w:t xml:space="preserve"> </w:t>
      </w:r>
      <w:r>
        <w:rPr>
          <w:rFonts w:ascii="Arial" w:cs="Arial" w:eastAsia="Arial" w:hAnsi="Arial"/>
          <w:sz w:val="19"/>
          <w:szCs w:val="19"/>
          <w:color w:val="auto"/>
        </w:rPr>
        <w:t>area of focus is to decrease raw material costs, co-packing fees and general and administrative costs as a percentage of net operating revenues, as well as selling expenses including sponsorships, sampling, promotional and marketing expenses. Another key area of focus is, but not limited to, the reduction of inventory days on hand.</w:t>
      </w:r>
    </w:p>
    <w:p>
      <w:pPr>
        <w:spacing w:after="0" w:line="190" w:lineRule="exact"/>
        <w:rPr>
          <w:rFonts w:ascii="Arial" w:cs="Arial" w:eastAsia="Arial" w:hAnsi="Arial"/>
          <w:sz w:val="19"/>
          <w:szCs w:val="19"/>
          <w:color w:val="auto"/>
        </w:rPr>
      </w:pPr>
    </w:p>
    <w:p>
      <w:pPr>
        <w:jc w:val="both"/>
        <w:ind w:left="1040" w:right="120" w:hanging="384"/>
        <w:spacing w:after="0" w:line="250" w:lineRule="auto"/>
        <w:tabs>
          <w:tab w:leader="none" w:pos="1040"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Efficient Capital Structure </w:t>
      </w:r>
      <w:r>
        <w:rPr>
          <w:rFonts w:ascii="Arial" w:cs="Arial" w:eastAsia="Arial" w:hAnsi="Arial"/>
          <w:sz w:val="20"/>
          <w:szCs w:val="20"/>
          <w:color w:val="auto"/>
        </w:rPr>
        <w:t>– Our capital structure is intended to optimize our working capital to finance expansion, both</w:t>
      </w:r>
      <w:r>
        <w:rPr>
          <w:rFonts w:ascii="Arial" w:cs="Arial" w:eastAsia="Arial" w:hAnsi="Arial"/>
          <w:sz w:val="20"/>
          <w:szCs w:val="20"/>
          <w:i w:val="1"/>
          <w:iCs w:val="1"/>
          <w:color w:val="auto"/>
        </w:rPr>
        <w:t xml:space="preserve"> </w:t>
      </w:r>
      <w:r>
        <w:rPr>
          <w:rFonts w:ascii="Arial" w:cs="Arial" w:eastAsia="Arial" w:hAnsi="Arial"/>
          <w:sz w:val="20"/>
          <w:szCs w:val="20"/>
          <w:color w:val="auto"/>
        </w:rPr>
        <w:t>domestically and internationally. We believe our strong capital position, our ability to raise funds if necessary at low effective cost and low overall costs of borrowing provide a competitive advantage.</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subject to increases in the costs of certain raw materials being contained, these value drivers, when properly implemented in the U.S., will result in: (1) maintaining our product gross profit margins;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Gross and net sales, gross profits, operating income, net income and net income per share represent key measurements of the above value drivers. These measurements will continue to be a key management focus in 2011 and beyond </w:t>
      </w:r>
      <w:r>
        <w:rPr>
          <w:rFonts w:ascii="Arial" w:cs="Arial" w:eastAsia="Arial" w:hAnsi="Arial"/>
          <w:sz w:val="20"/>
          <w:szCs w:val="20"/>
          <w:b w:val="1"/>
          <w:bCs w:val="1"/>
          <w:color w:val="auto"/>
        </w:rPr>
        <w:t>(</w:t>
      </w:r>
      <w:r>
        <w:rPr>
          <w:rFonts w:ascii="Arial" w:cs="Arial" w:eastAsia="Arial" w:hAnsi="Arial"/>
          <w:sz w:val="20"/>
          <w:szCs w:val="20"/>
          <w:color w:val="auto"/>
        </w:rPr>
        <w:t>See “Part II, Item 7 – Results of Operations for the Year Ended December 31, 2010 Compared to the Year Ended December 31, 2009”).</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As of December 31, 2010, the Company had working capital of $769.3 million compared to $501.8 million as of December 31, 2009. The increase in working capital was primarily the result of retained profits reflected in an overall increase in cash, cash equivalents and short-term investments. For the year ended December 31, 2010, our net cash provided by operating activities was approximately $229.0 million as compared to $156.2 million for the year ended December 31, 2009. Principal uses of cash flows in 2010 were purchases of investments, repurchases of our common stock, purchases of inventory, acquisition of property and equipment and acquisition of trademarks. Purchases of investments, purchases of our common stock, purchases of inventory, payments of accounts payable and income taxes are expected to be and remain our principal recurring use of cash and working capital funds in the future (See “Part II, Item 7 – Liquidity and Capital Resources”).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Opportunities, Challenges and Risks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Looking forward, our management has identified certain challenges and risks that demand the attention of the beverage industry and our Company. Uncertainty and volatility in domestic and international economic markets could negatively affect both the stability of our industry and our Company. Our growth strategy includes expanding our international business which exposes us to risks inherent in conducting international operations (See “Part I, Item 1A – Risk Factors”). Decreased consumer discretionary spending represents a challenge to the successful marketing and purchase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 oad product line and a wide selection of diet, light and lo-carb beverages, juices and juice drinks, sports drinks and waters and energy drinks. We continuously strive to meet changing consumer needs through beverage innovation, choice and variety.</w:t>
      </w:r>
    </w:p>
    <w:p>
      <w:pPr>
        <w:spacing w:after="0" w:line="20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that may adversely affect us if we misjudge such preferences.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pacing w:after="0" w:line="252"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changes in consumer preferences and demand for our products;</w:t>
      </w:r>
    </w:p>
    <w:p>
      <w:pPr>
        <w:spacing w:after="0" w:line="15" w:lineRule="exact"/>
        <w:rPr>
          <w:rFonts w:ascii="Arial" w:cs="Arial" w:eastAsia="Arial" w:hAnsi="Arial"/>
          <w:sz w:val="20"/>
          <w:szCs w:val="20"/>
          <w:color w:val="auto"/>
        </w:rPr>
      </w:pPr>
    </w:p>
    <w:p>
      <w:pPr>
        <w:ind w:left="1040" w:hanging="384"/>
        <w:spacing w:after="0"/>
        <w:tabs>
          <w:tab w:leader="none" w:pos="10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impact of a slowing economy in the United States and other countries in which we operate;</w:t>
      </w:r>
    </w:p>
    <w:p>
      <w:pPr>
        <w:ind w:left="1040" w:hanging="384"/>
        <w:spacing w:after="0"/>
        <w:tabs>
          <w:tab w:leader="none" w:pos="10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risks associated with foreign currency exchange rate fluctuations;</w:t>
      </w:r>
    </w:p>
    <w:p>
      <w:pPr>
        <w:sectPr>
          <w:pgSz w:w="11900" w:h="16843" w:orient="portrait"/>
          <w:cols w:equalWidth="0" w:num="1">
            <w:col w:w="11420"/>
          </w:cols>
          <w:pgMar w:left="240" w:top="121" w:right="239" w:bottom="0" w:gutter="0" w:footer="0" w:header="0"/>
        </w:sectPr>
      </w:pPr>
    </w:p>
    <w:bookmarkStart w:id="26" w:name="page27"/>
    <w:bookmarkEnd w:id="26"/>
    <w:p>
      <w:pPr>
        <w:ind w:left="1040" w:hanging="384"/>
        <w:spacing w:after="0"/>
        <w:tabs>
          <w:tab w:leader="none" w:pos="10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maintenance of our brand image and product quality;</w:t>
      </w:r>
    </w:p>
    <w:p>
      <w:pPr>
        <w:spacing w:after="0" w:line="16" w:lineRule="exact"/>
        <w:rPr>
          <w:rFonts w:ascii="Arial" w:cs="Arial" w:eastAsia="Arial" w:hAnsi="Arial"/>
          <w:sz w:val="20"/>
          <w:szCs w:val="20"/>
          <w:color w:val="auto"/>
        </w:rPr>
      </w:pPr>
    </w:p>
    <w:p>
      <w:pPr>
        <w:ind w:left="1040" w:right="120" w:hanging="384"/>
        <w:spacing w:after="0" w:line="239" w:lineRule="auto"/>
        <w:tabs>
          <w:tab w:leader="none" w:pos="10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profitable expansion and growth of our family of brands in the competitive market place (See “Part I, Item 1 – Business - Competition and Sales and Marketing”);</w:t>
      </w:r>
    </w:p>
    <w:p>
      <w:pPr>
        <w:spacing w:after="0" w:line="1" w:lineRule="exact"/>
        <w:rPr>
          <w:rFonts w:ascii="Arial" w:cs="Arial" w:eastAsia="Arial" w:hAnsi="Arial"/>
          <w:sz w:val="20"/>
          <w:szCs w:val="20"/>
          <w:color w:val="auto"/>
        </w:rPr>
      </w:pPr>
    </w:p>
    <w:p>
      <w:pPr>
        <w:ind w:left="1040" w:hanging="384"/>
        <w:spacing w:after="0"/>
        <w:tabs>
          <w:tab w:leader="none" w:pos="10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costs of establishing and promoting our brands internationally;</w:t>
      </w:r>
    </w:p>
    <w:p>
      <w:pPr>
        <w:ind w:left="1040" w:hanging="384"/>
        <w:spacing w:after="0"/>
        <w:tabs>
          <w:tab w:leader="none" w:pos="10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restrictions on imports and sources of supply; duties or tariffs; changes in government regulations;</w:t>
      </w:r>
    </w:p>
    <w:p>
      <w:pPr>
        <w:ind w:left="1040" w:right="140" w:hanging="384"/>
        <w:spacing w:after="0" w:line="239" w:lineRule="auto"/>
        <w:tabs>
          <w:tab w:leader="none" w:pos="10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 w:lineRule="exact"/>
        <w:rPr>
          <w:rFonts w:ascii="Arial" w:cs="Arial" w:eastAsia="Arial" w:hAnsi="Arial"/>
          <w:sz w:val="20"/>
          <w:szCs w:val="20"/>
          <w:color w:val="auto"/>
        </w:rPr>
      </w:pPr>
    </w:p>
    <w:p>
      <w:pPr>
        <w:ind w:left="1040" w:right="140" w:hanging="384"/>
        <w:spacing w:after="0" w:line="239" w:lineRule="auto"/>
        <w:tabs>
          <w:tab w:leader="none" w:pos="10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limitations on available quantities of certain package containers such as the 12-ounce and 24-ounce cap-can, the 18.6-ounce BRE can, the 32-ounce can, and co-packing availability;</w:t>
      </w:r>
    </w:p>
    <w:p>
      <w:pPr>
        <w:spacing w:after="0" w:line="1" w:lineRule="exact"/>
        <w:rPr>
          <w:rFonts w:ascii="Arial" w:cs="Arial" w:eastAsia="Arial" w:hAnsi="Arial"/>
          <w:sz w:val="20"/>
          <w:szCs w:val="20"/>
          <w:color w:val="auto"/>
        </w:rPr>
      </w:pPr>
    </w:p>
    <w:p>
      <w:pPr>
        <w:ind w:left="1040" w:hanging="384"/>
        <w:spacing w:after="0"/>
        <w:tabs>
          <w:tab w:leader="none" w:pos="10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imposition of additional regulatory restrictions;</w:t>
      </w:r>
    </w:p>
    <w:p>
      <w:pPr>
        <w:ind w:left="1040" w:hanging="384"/>
        <w:spacing w:after="0"/>
        <w:tabs>
          <w:tab w:leader="none" w:pos="10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increasing concern over obesity and changes in regulation and consumer preferences in response to those concerns; and</w:t>
      </w:r>
    </w:p>
    <w:p>
      <w:pPr>
        <w:spacing w:after="0" w:line="11" w:lineRule="exact"/>
        <w:rPr>
          <w:rFonts w:ascii="Arial" w:cs="Arial" w:eastAsia="Arial" w:hAnsi="Arial"/>
          <w:sz w:val="19"/>
          <w:szCs w:val="19"/>
          <w:color w:val="auto"/>
        </w:rPr>
      </w:pPr>
    </w:p>
    <w:p>
      <w:pPr>
        <w:ind w:left="1040" w:right="140" w:hanging="384"/>
        <w:spacing w:after="0" w:line="244" w:lineRule="auto"/>
        <w:tabs>
          <w:tab w:leader="none" w:pos="10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legislation that would limit or restrict the sale of energy drinks to minors and/or persons below a specified age and/or the venues in which energy drinks can be sold.</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See “Part I, Item 1A – Risk Factors” for additional information about risks and uncertainties facing 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following opportunities exist for us:</w:t>
      </w:r>
    </w:p>
    <w:p>
      <w:pPr>
        <w:spacing w:after="0" w:line="229" w:lineRule="exact"/>
        <w:rPr>
          <w:sz w:val="20"/>
          <w:szCs w:val="20"/>
          <w:color w:val="auto"/>
        </w:rPr>
      </w:pPr>
    </w:p>
    <w:p>
      <w:pPr>
        <w:ind w:left="1040" w:right="140" w:hanging="384"/>
        <w:spacing w:after="0" w:line="247" w:lineRule="auto"/>
        <w:tabs>
          <w:tab w:leader="none" w:pos="10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growth potential for the “alternative” beverage category including energy drinks, sparkling beverages, carbonated soft drinks and teas, juices and juice drinks and enhanced waters;</w:t>
      </w:r>
    </w:p>
    <w:p>
      <w:pPr>
        <w:spacing w:after="0" w:line="1" w:lineRule="exact"/>
        <w:rPr>
          <w:rFonts w:ascii="Arial" w:cs="Arial" w:eastAsia="Arial" w:hAnsi="Arial"/>
          <w:sz w:val="20"/>
          <w:szCs w:val="20"/>
          <w:color w:val="auto"/>
        </w:rPr>
      </w:pPr>
    </w:p>
    <w:p>
      <w:pPr>
        <w:ind w:left="1040" w:hanging="384"/>
        <w:spacing w:after="0"/>
        <w:tabs>
          <w:tab w:leader="none" w:pos="10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new product introductions intended to contribute to higher profitability;</w:t>
      </w:r>
    </w:p>
    <w:p>
      <w:pPr>
        <w:ind w:left="1040" w:hanging="384"/>
        <w:spacing w:after="0"/>
        <w:tabs>
          <w:tab w:leader="none" w:pos="10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premium packages intended to generate strong revenue growth;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significant package, pricing and channel opportunities to maximize profitable growth;</w:t>
      </w:r>
    </w:p>
    <w:p>
      <w:pPr>
        <w:spacing w:after="0" w:line="15" w:lineRule="exact"/>
        <w:rPr>
          <w:rFonts w:ascii="Arial" w:cs="Arial" w:eastAsia="Arial" w:hAnsi="Arial"/>
          <w:sz w:val="20"/>
          <w:szCs w:val="20"/>
          <w:color w:val="auto"/>
        </w:rPr>
      </w:pPr>
    </w:p>
    <w:p>
      <w:pPr>
        <w:ind w:left="940" w:hanging="284"/>
        <w:spacing w:after="0"/>
        <w:tabs>
          <w:tab w:leader="none" w:pos="9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proper positioning to capture industry growth; and</w:t>
      </w:r>
    </w:p>
    <w:p>
      <w:pPr>
        <w:ind w:left="940" w:hanging="284"/>
        <w:spacing w:after="0"/>
        <w:tabs>
          <w:tab w:leader="none" w:pos="9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broadening distribution/expansion opportunities in both domestic and international markets.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thousands, except per share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Percentage Change</w:t>
            </w:r>
          </w:p>
        </w:tc>
        <w:tc>
          <w:tcPr>
            <w:tcW w:w="0" w:type="dxa"/>
            <w:vAlign w:val="bottom"/>
          </w:tcPr>
          <w:p>
            <w:pPr>
              <w:spacing w:after="0"/>
              <w:rPr>
                <w:sz w:val="1"/>
                <w:szCs w:val="1"/>
                <w:color w:val="auto"/>
              </w:rPr>
            </w:pPr>
          </w:p>
        </w:tc>
      </w:tr>
      <w:tr>
        <w:trPr>
          <w:trHeight w:val="210"/>
        </w:trPr>
        <w:tc>
          <w:tcPr>
            <w:tcW w:w="4120" w:type="dxa"/>
            <w:vAlign w:val="bottom"/>
            <w:vMerge w:val="restart"/>
          </w:tcPr>
          <w:p>
            <w:pPr>
              <w:spacing w:after="0"/>
              <w:rPr>
                <w:sz w:val="20"/>
                <w:szCs w:val="20"/>
                <w:color w:val="auto"/>
              </w:rPr>
            </w:pPr>
            <w:r>
              <w:rPr>
                <w:rFonts w:ascii="Arial" w:cs="Arial" w:eastAsia="Arial" w:hAnsi="Arial"/>
                <w:sz w:val="18"/>
                <w:szCs w:val="18"/>
                <w:color w:val="auto"/>
              </w:rPr>
              <w:t>Gross sales, net of discounts &amp; returns*</w:t>
            </w: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10 vs. 09</w:t>
            </w: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09 vs. 08</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1,488,516</w:t>
            </w:r>
          </w:p>
        </w:tc>
        <w:tc>
          <w:tcPr>
            <w:tcW w:w="14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1,309,335</w:t>
            </w:r>
          </w:p>
        </w:tc>
        <w:tc>
          <w:tcPr>
            <w:tcW w:w="14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1,182,876</w:t>
            </w:r>
          </w:p>
        </w:tc>
        <w:tc>
          <w:tcPr>
            <w:tcW w:w="140" w:type="dxa"/>
            <w:vAlign w:val="bottom"/>
          </w:tcPr>
          <w:p>
            <w:pPr>
              <w:spacing w:after="0"/>
              <w:rPr>
                <w:sz w:val="16"/>
                <w:szCs w:val="16"/>
                <w:color w:val="auto"/>
              </w:rPr>
            </w:pPr>
          </w:p>
        </w:tc>
        <w:tc>
          <w:tcPr>
            <w:tcW w:w="13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6"/>
                <w:szCs w:val="16"/>
                <w:color w:val="auto"/>
              </w:rPr>
            </w:pPr>
          </w:p>
        </w:tc>
        <w:tc>
          <w:tcPr>
            <w:tcW w:w="13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184,574</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166,036</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149,096</w:t>
            </w:r>
          </w:p>
        </w:tc>
        <w:tc>
          <w:tcPr>
            <w:tcW w:w="140" w:type="dxa"/>
            <w:vAlign w:val="bottom"/>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5"/>
        </w:trPr>
        <w:tc>
          <w:tcPr>
            <w:tcW w:w="4120" w:type="dxa"/>
            <w:vAlign w:val="bottom"/>
          </w:tcPr>
          <w:p>
            <w:pPr>
              <w:spacing w:after="0" w:line="195" w:lineRule="exact"/>
              <w:rPr>
                <w:sz w:val="20"/>
                <w:szCs w:val="20"/>
                <w:color w:val="auto"/>
              </w:rPr>
            </w:pPr>
            <w:r>
              <w:rPr>
                <w:rFonts w:ascii="Arial" w:cs="Arial" w:eastAsia="Arial" w:hAnsi="Arial"/>
                <w:sz w:val="18"/>
                <w:szCs w:val="18"/>
                <w:color w:val="auto"/>
              </w:rPr>
              <w:t>Net sales¹</w:t>
            </w:r>
          </w:p>
        </w:tc>
        <w:tc>
          <w:tcPr>
            <w:tcW w:w="32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1,303,942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1,143,299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1,033,780</w:t>
            </w:r>
          </w:p>
        </w:tc>
        <w:tc>
          <w:tcPr>
            <w:tcW w:w="140" w:type="dxa"/>
            <w:vAlign w:val="bottom"/>
          </w:tcPr>
          <w:p>
            <w:pPr>
              <w:spacing w:after="0"/>
              <w:rPr>
                <w:sz w:val="16"/>
                <w:szCs w:val="16"/>
                <w:color w:val="auto"/>
              </w:rPr>
            </w:pPr>
          </w:p>
        </w:tc>
        <w:tc>
          <w:tcPr>
            <w:tcW w:w="13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14.1%</w:t>
            </w:r>
          </w:p>
        </w:tc>
        <w:tc>
          <w:tcPr>
            <w:tcW w:w="140" w:type="dxa"/>
            <w:vAlign w:val="bottom"/>
          </w:tcPr>
          <w:p>
            <w:pPr>
              <w:spacing w:after="0"/>
              <w:rPr>
                <w:sz w:val="16"/>
                <w:szCs w:val="16"/>
                <w:color w:val="auto"/>
              </w:rPr>
            </w:pPr>
          </w:p>
        </w:tc>
        <w:tc>
          <w:tcPr>
            <w:tcW w:w="13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623,702</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530,983</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494,986</w:t>
            </w:r>
          </w:p>
        </w:tc>
        <w:tc>
          <w:tcPr>
            <w:tcW w:w="140" w:type="dxa"/>
            <w:vAlign w:val="bottom"/>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5"/>
        </w:trPr>
        <w:tc>
          <w:tcPr>
            <w:tcW w:w="4120" w:type="dxa"/>
            <w:vAlign w:val="bottom"/>
          </w:tcPr>
          <w:p>
            <w:pPr>
              <w:spacing w:after="0" w:line="195" w:lineRule="exact"/>
              <w:rPr>
                <w:sz w:val="20"/>
                <w:szCs w:val="20"/>
                <w:color w:val="auto"/>
              </w:rPr>
            </w:pPr>
            <w:r>
              <w:rPr>
                <w:rFonts w:ascii="Arial" w:cs="Arial" w:eastAsia="Arial" w:hAnsi="Arial"/>
                <w:sz w:val="18"/>
                <w:szCs w:val="18"/>
                <w:color w:val="auto"/>
              </w:rPr>
              <w:t>Gross profit***¹</w:t>
            </w:r>
          </w:p>
        </w:tc>
        <w:tc>
          <w:tcPr>
            <w:tcW w:w="32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680,240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612,316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538,794</w:t>
            </w:r>
          </w:p>
        </w:tc>
        <w:tc>
          <w:tcPr>
            <w:tcW w:w="140" w:type="dxa"/>
            <w:vAlign w:val="bottom"/>
          </w:tcPr>
          <w:p>
            <w:pPr>
              <w:spacing w:after="0"/>
              <w:rPr>
                <w:sz w:val="16"/>
                <w:szCs w:val="16"/>
                <w:color w:val="auto"/>
              </w:rPr>
            </w:pPr>
          </w:p>
        </w:tc>
        <w:tc>
          <w:tcPr>
            <w:tcW w:w="13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11.1%</w:t>
            </w:r>
          </w:p>
        </w:tc>
        <w:tc>
          <w:tcPr>
            <w:tcW w:w="140" w:type="dxa"/>
            <w:vAlign w:val="bottom"/>
          </w:tcPr>
          <w:p>
            <w:pPr>
              <w:spacing w:after="0"/>
              <w:rPr>
                <w:sz w:val="16"/>
                <w:szCs w:val="16"/>
                <w:color w:val="auto"/>
              </w:rPr>
            </w:pPr>
          </w:p>
        </w:tc>
        <w:tc>
          <w:tcPr>
            <w:tcW w:w="13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Gross profit margin as a percentage of net sales</w:t>
            </w: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4"/>
        </w:trPr>
        <w:tc>
          <w:tcPr>
            <w:tcW w:w="4120" w:type="dxa"/>
            <w:vAlign w:val="bottom"/>
          </w:tcPr>
          <w:p>
            <w:pPr>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3"/>
                <w:szCs w:val="23"/>
                <w:color w:val="auto"/>
                <w:vertAlign w:val="superscript"/>
              </w:rPr>
              <w:t>2</w:t>
            </w: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332,426</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275,007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375,203</w:t>
            </w:r>
          </w:p>
        </w:tc>
        <w:tc>
          <w:tcPr>
            <w:tcW w:w="14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350"/>
        </w:trPr>
        <w:tc>
          <w:tcPr>
            <w:tcW w:w="412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120" w:type="dxa"/>
            <w:vAlign w:val="bottom"/>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3"/>
                <w:szCs w:val="23"/>
                <w:color w:val="auto"/>
                <w:vertAlign w:val="superscript"/>
              </w:rPr>
              <w:t>1,2</w:t>
            </w: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347,814</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337,309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163,591</w:t>
            </w:r>
          </w:p>
        </w:tc>
        <w:tc>
          <w:tcPr>
            <w:tcW w:w="14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2,246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2,273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10,413</w:t>
            </w: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Loss on investments and put option,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24"/>
        </w:trPr>
        <w:tc>
          <w:tcPr>
            <w:tcW w:w="4120" w:type="dxa"/>
            <w:vAlign w:val="bottom"/>
          </w:tcPr>
          <w:p>
            <w:pPr>
              <w:ind w:left="360"/>
              <w:spacing w:after="0"/>
              <w:rPr>
                <w:sz w:val="20"/>
                <w:szCs w:val="20"/>
                <w:color w:val="auto"/>
              </w:rPr>
            </w:pPr>
            <w:r>
              <w:rPr>
                <w:rFonts w:ascii="Arial" w:cs="Arial" w:eastAsia="Arial" w:hAnsi="Arial"/>
                <w:sz w:val="18"/>
                <w:szCs w:val="18"/>
                <w:color w:val="auto"/>
              </w:rPr>
              <w:t>Total other income (expense)</w:t>
            </w:r>
          </w:p>
        </w:tc>
        <w:tc>
          <w:tcPr>
            <w:tcW w:w="3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1,488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9,886</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349,302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335,695</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173,477</w:t>
            </w:r>
          </w:p>
        </w:tc>
        <w:tc>
          <w:tcPr>
            <w:tcW w:w="14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137,273</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126,979</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65,445</w:t>
            </w:r>
          </w:p>
        </w:tc>
        <w:tc>
          <w:tcPr>
            <w:tcW w:w="140" w:type="dxa"/>
            <w:vAlign w:val="bottom"/>
          </w:tcPr>
          <w:p>
            <w:pPr>
              <w:spacing w:after="0"/>
              <w:rPr>
                <w:sz w:val="24"/>
                <w:szCs w:val="24"/>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426"/>
        </w:trPr>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212,029</w:t>
            </w:r>
          </w:p>
        </w:tc>
        <w:tc>
          <w:tcPr>
            <w:tcW w:w="1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208,716</w:t>
            </w:r>
          </w:p>
        </w:tc>
        <w:tc>
          <w:tcPr>
            <w:tcW w:w="1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108,032</w:t>
            </w:r>
          </w:p>
        </w:tc>
        <w:tc>
          <w:tcPr>
            <w:tcW w:w="140" w:type="dxa"/>
            <w:vAlign w:val="bottom"/>
          </w:tcPr>
          <w:p>
            <w:pPr>
              <w:spacing w:after="0"/>
              <w:rPr>
                <w:sz w:val="24"/>
                <w:szCs w:val="24"/>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18.3%</w:t>
            </w:r>
          </w:p>
        </w:tc>
        <w:tc>
          <w:tcPr>
            <w:tcW w:w="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12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Case sales (in thousands) (in 192-ounce case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equivalents)</w:t>
            </w: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129,031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109,985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102,659</w:t>
            </w:r>
          </w:p>
        </w:tc>
        <w:tc>
          <w:tcPr>
            <w:tcW w:w="1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¹Includes $10.0 million, $8.2 million and $14.3 million for the years ended December 31, 2010, 2009 and 2008, respectively, related to the recognition of deferred revenue.</w:t>
      </w:r>
    </w:p>
    <w:p>
      <w:pPr>
        <w:sectPr>
          <w:pgSz w:w="11900" w:h="16838" w:orient="portrait"/>
          <w:cols w:equalWidth="0" w:num="1">
            <w:col w:w="11420"/>
          </w:cols>
          <w:pgMar w:left="240" w:top="121" w:right="239" w:bottom="0" w:gutter="0" w:footer="0" w:header="0"/>
        </w:sectPr>
      </w:pPr>
    </w:p>
    <w:bookmarkStart w:id="27" w:name="page28"/>
    <w:bookmarkEnd w:id="27"/>
    <w:p>
      <w:pPr>
        <w:ind w:left="340"/>
        <w:spacing w:after="0" w:line="277" w:lineRule="auto"/>
        <w:rPr>
          <w:sz w:val="20"/>
          <w:szCs w:val="20"/>
          <w:color w:val="auto"/>
        </w:rPr>
      </w:pPr>
      <w:r>
        <w:rPr>
          <w:rFonts w:ascii="Arial" w:cs="Arial" w:eastAsia="Arial" w:hAnsi="Arial"/>
          <w:sz w:val="18"/>
          <w:szCs w:val="18"/>
          <w:color w:val="auto"/>
        </w:rPr>
        <w:t>²Includes $0.3 million, $1.9 million and $118.1 million for the years ended December 31, 2010, 2009 and 2008, respectively, related to expenditures attributable to the costs associated with terminating existing distributors.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8"/>
        <w:spacing w:after="0" w:line="271" w:lineRule="auto"/>
        <w:tabs>
          <w:tab w:leader="none" w:pos="148" w:val="left"/>
        </w:tabs>
        <w:numPr>
          <w:ilvl w:val="0"/>
          <w:numId w:val="27"/>
        </w:numPr>
        <w:rPr>
          <w:rFonts w:ascii="Arial" w:cs="Arial" w:eastAsia="Arial" w:hAnsi="Arial"/>
          <w:sz w:val="17"/>
          <w:szCs w:val="17"/>
          <w:b w:val="1"/>
          <w:bCs w:val="1"/>
          <w:color w:val="auto"/>
        </w:rPr>
      </w:pPr>
      <w:r>
        <w:rPr>
          <w:rFonts w:ascii="Arial" w:cs="Arial" w:eastAsia="Arial" w:hAnsi="Arial"/>
          <w:sz w:val="17"/>
          <w:szCs w:val="17"/>
          <w:i w:val="1"/>
          <w:iCs w:val="1"/>
          <w:color w:val="auto"/>
        </w:rPr>
        <w:t>Gross sales, although used internally by management as an indicator of operating performance,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requirements. However, gross sales is used by management to monitor operating performance including sales performance of particular products, salesperson performance, product growth or declines and our overall performance. The use of gross sales allows evaluation of sales performance before the effect of any promotional items, which can mask certain performanc e issues. Management believes the presentation of gross sales allows a more comprehensive presentation of our operating performance. Gross sales may not be realized in the form of cash receipts as promotional payments and allowances may be deducted from payments received from customers. (See “Part II, Item 6 – Selected Financial Data”).</w:t>
      </w:r>
    </w:p>
    <w:p>
      <w:pPr>
        <w:spacing w:after="0" w:line="179" w:lineRule="exact"/>
        <w:rPr>
          <w:sz w:val="20"/>
          <w:szCs w:val="20"/>
          <w:color w:val="auto"/>
        </w:rPr>
      </w:pPr>
    </w:p>
    <w:p>
      <w:pPr>
        <w:jc w:val="both"/>
        <w:ind w:firstLine="8"/>
        <w:spacing w:after="0" w:line="257" w:lineRule="auto"/>
        <w:tabs>
          <w:tab w:leader="none" w:pos="225" w:val="left"/>
        </w:tabs>
        <w:numPr>
          <w:ilvl w:val="0"/>
          <w:numId w:val="28"/>
        </w:numPr>
        <w:rPr>
          <w:rFonts w:ascii="Arial" w:cs="Arial" w:eastAsia="Arial" w:hAnsi="Arial"/>
          <w:sz w:val="18"/>
          <w:szCs w:val="18"/>
          <w:b w:val="1"/>
          <w:bCs w:val="1"/>
          <w:color w:val="auto"/>
        </w:rPr>
      </w:pPr>
      <w:r>
        <w:rPr>
          <w:rFonts w:ascii="Arial" w:cs="Arial" w:eastAsia="Arial" w:hAnsi="Arial"/>
          <w:sz w:val="18"/>
          <w:szCs w:val="18"/>
          <w:i w:val="1"/>
          <w:iCs w:val="1"/>
          <w:color w:val="auto"/>
        </w:rPr>
        <w:t>Although the expenditures described in this line item are determined in accordance with GAAP and meet GAAP requirements, the disclosure thereof does not conform with GAAP presentation requirements. Additionally, the presentation of promotional and other allowances may not be comparable to similar items presented by other companies. The presentation of promotional and other allowances facilitates an evaluation of the impact thereof on the determination of net sales and illustrates the spending levels incurred to secure such sales. Promotional and other allowances constitute a material portion of our marketing activities.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2010 Compared to the Year Ended December 31, 2009.</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$1,488.5 million for the year ended December 31, 2010, an increase of approximately $179.2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13.7% higher than gross sales of $1,309.3 million for the year ended December 31, 2009. The increase in gross sales was primarily attributable to increased sales by volume of our Monster Energy® brand energy drinks, sales of Peace Tea™ iced teas, increased sales by volume of our Monster Energy® Extra Strength Nitrous Technology™ product line and increased sales by volume of our juice blends. The increase in gross sales was partially offset by the Advance Purchases made by our customers in the 2009 fourth quarter and by decreased sales by volume of our Monster Hitman Energy Shooter™ product line, our Java Monster™ product line, apple juice, X-Presso Monster™ product line and Rumba®, Samba and Tango energy juices. Included in gross sales for the years ended December 31, 2010 and 2009, were $10.0 million and $8.2 million, respectively, related to the recognition of deferred revenue. Promotional and other allowances were $184.6 million for the year ended December 31, 2010, an increase of $18.5 million, or 11.2% higher than promotional and other allowances of $166.0 million for the year ended December 31, 2009. Promotional and other allowances as a percentage of gross sales decreased to 12.4% from 12.7% for the years ended December 31, 2010 and 2009, respectively. As a result, the percentage increase in gross sales for the year ended December 31, 2010 was lower than the percentage increase in net sales.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*Gross sales – see definition above.</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$1,303.9 million for the year ended December 31, 2010, an increase of approximately $160.6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14.1% higher than net sales of $1,143.3 million for the year ended December 31, 2009. The increase in net sales was primarily attributable to increased sales by volume of our Monster Energy® brand energy drinks, sales of Peace Tea™ iced teas and sales of our Monster Energy® Extra Strength Nitrous Technology™ product line. The increase in net sales was partially offset by the Advance Purchases made by our customers in the 2009 fourth quarter and by decreased sales by volume of our Monster Hitman Energy Shooter™ product line, apple juice, our X-Presso Monster™ product line and our Java Monster™ product line.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Case sales, in 192-ounce case equivalents, were 129.0 million cases for the year ended December 31, 2010, an increase of approximately 19.0 million cases or 17.3% higher than case sales of 110.0 million cases for the year ended December 31, 2009. The average net sales price per case decreased to $10.11 for the year ended December 31, 2010 which was 2.8% lower than the average net sales price per case of $10.40 for the year ended December 31, 2009. The decrease in the average net sales price per case was attributable to an increase in the proportion of case sales derived from lower priced products and geographic mix.</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Net sales for the DSD segment were $1,212.6 million for the year ended December 31, 2010, an increase of approximately $167.5 million, or 16.0% higher than net sales of $1,045.1 million for the year ended December 31, 2009. The increase in net sales for the DSD segment was primarily attributable to increased sales by volume of our Monster Energy® brand energy drinks, sales of Peace Tea™ iced teas and sales of our Monster Energy® Extra Strength Nitrous Technology™ product line. The increase in net sales for the DSD segment was partially offset by the Advance Purchases made by our customers in the 2009 fourth quarter and by decreased sales by volume of our Monster Hitman Energy Shooter™ product line, our X-Presso Monster™ product line and our Java Monster™ product line.</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Net sales for the Warehouse segment were $91.3 million for the year ended December 31, 2010, a decrease of approximately $6.9 million, or 7.0% lower than net sales of $98.2 million for the year ended December 31, 2009. The decrease in net sales for the Warehouse segment was primarily attributable to decreased sales by volume of apple juice and Rumba®, Samba and Tango energy juices as well as increased promotional allowances. The decrease in net sales for the Warehouse segment was partially offset by increased sales by volume of our juice blends.</w:t>
      </w:r>
    </w:p>
    <w:p>
      <w:pPr>
        <w:sectPr>
          <w:pgSz w:w="11900" w:h="16838" w:orient="portrait"/>
          <w:cols w:equalWidth="0" w:num="1">
            <w:col w:w="11420"/>
          </w:cols>
          <w:pgMar w:left="240" w:top="125" w:right="239" w:bottom="0" w:gutter="0" w:footer="0" w:header="0"/>
        </w:sectPr>
      </w:pPr>
    </w:p>
    <w:bookmarkStart w:id="28" w:name="page29"/>
    <w:bookmarkEnd w:id="28"/>
    <w:p>
      <w:pPr>
        <w:jc w:val="both"/>
        <w:ind w:firstLine="648"/>
        <w:spacing w:after="0" w:line="244" w:lineRule="auto"/>
        <w:rPr>
          <w:sz w:val="20"/>
          <w:szCs w:val="20"/>
          <w:color w:val="auto"/>
        </w:rPr>
      </w:pPr>
      <w:r>
        <w:rPr>
          <w:rFonts w:ascii="Arial" w:cs="Arial" w:eastAsia="Arial" w:hAnsi="Arial"/>
          <w:sz w:val="20"/>
          <w:szCs w:val="20"/>
          <w:i w:val="1"/>
          <w:iCs w:val="1"/>
          <w:color w:val="auto"/>
        </w:rPr>
        <w:t>Gross Profit.**</w:t>
      </w:r>
      <w:r>
        <w:rPr>
          <w:rFonts w:ascii="Arial" w:cs="Arial" w:eastAsia="Arial" w:hAnsi="Arial"/>
          <w:sz w:val="20"/>
          <w:szCs w:val="20"/>
          <w:color w:val="auto"/>
        </w:rPr>
        <w:t>* Gross profit was $680.2 million for the year ended December 31, 2010, an increase of approximately $67.9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or 11.1% higher than the gross profit of $612.3 million for the year ended December 31, 2009. Gross profit as a percentage of net sales decreased to 52.2% for the year ended December 31, 2010 from 53.6% for the year ended December 31, 2009. The increase in net sales contributed to the increase in gross profit dollars. The decrease in gross profit as a percentage of net sales was primarily attributable to production variances and increased costs of goods including the costs of raw materials in the DSD and Warehouse segments, as well as product mix and geographic mix.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 see definition above.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$332.4 million for the year ended December 31, 2010,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$57.4 million, or 20.9% higher than total operating expenses of $275.0 million for the year ended December 31, 2009. Total operating expenses as a percentage of net sales was 25.5% for the year ended December 31, 2010, compared to 24.1% for the year ended December 31, 2009. The increase in operating expenses was partially attributable to increased payroll expenses of $15.0 million (of which $2.8 million was related to an increase in stock-based compensation) and increased expenditures of $13.4 million for professional service fees, including legal and accounting costs. Expenditures for professional service fees, including legal and accounting costs and SAP implementation costs for the year ended December 31, 2010 were $21.5 million as compared to $8.2 million for the year ended December 31, 2009 (the 2009 comparative period included a $4.7 million credit related to reimbursements to the Company of legal expenses previously paid by the Company). In addition, the increase in operating expenses was partially attributable to increased expenditures of $11.2 million for sponsorships and endorsements, increased out-bound freight and warehouse costs of $9.6 million, increased expenditures of $6.2 million for point-of-sale materials, increased expenditures of $4.5 million for allocated trade development, increased depreciation expense of $1.6 million and increased expenditures of $2.2 million for other operating expenses. The increase in operating expenses was partially offset by decreased expenditures of $1.6 million related to the costs associated with distributor terminations, decreased expenditures of $1.7 million for advertising, decreased expend itures of $1.5 million for samples and decreased expenditures of $1.5 million for commissions.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DSD segment was $436.7 million for the year ended December 31, 2010,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$45.0 million, or 11.5% higher than contribution margin of $391.7 million for the year ended December 31, 2009. The increase in the contribution margin for the DSD segment was primarily attributable to increased sales by volume of our Monster Energy® brand energy drinks, sales of Peace Tea™ iced teas and sales of our Monster Energy® Extra Strength Nitrous Technology™ product line. Contribution margin for the Warehouse segment was ($0.8) million for the year ended December 31, 2010, approximately $4.4 million lower than contribution margin of $3.6 million for the year ended December 31, 2009. The decrease in t he contribution margin for the Warehouse segment was primarily attributable to decreased net sales, increased off-invoice and promotional allowances and increased costs of goods.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$347.8 million for the year ended December 31, 2010, an increase of approximately $10.5</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or 3.1% higher than operating income of $337.3 million for the year ended December 31, 2009. Operating income as a percentage of net sales decreased to 26.7% for the year ended December 31, 2010 from 29.5% for the year ended December 31, 2009. The increase in operating income was primarily due to an increase in gross profit of $67.9 million, partially offset by a $57.4 million increase in operating expenses. The decrease in operating income as a percentage of net sales was primarily due to a decrease in gross profit as a percentage of net sales and an increase in operating expenses as a percentage of net sales. Operating income was negativ ely affected by operating losses of $9.2 million and $6.9 million for the years ended December 31, 2010 and 2009, respectively, in relation to our operations in Europe, Australia and Brazil.</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Other Income (Expense)</w:t>
      </w:r>
      <w:r>
        <w:rPr>
          <w:rFonts w:ascii="Arial" w:cs="Arial" w:eastAsia="Arial" w:hAnsi="Arial"/>
          <w:sz w:val="19"/>
          <w:szCs w:val="19"/>
          <w:color w:val="auto"/>
        </w:rPr>
        <w:t>. Other income (expense) was $1.5 million for the year ended December 31, 2010, an increase of $3.1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from ($1.6) million for the year ended December 31, 2009. The increase was primarily attributable to a loss on investments and put option of ($0.8) million for the year ended December 31, 2010 as compared to a loss on investments and put option of ($3.9) million for the year ended December 31, 2009. The increase in other income (expense) was partially offset by decreased interest revenue earned on our cash balances and short- and long-term investments for the year ended December 31, 2010.</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$137.3 million for the year ended December 31, 2010,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$10.3 million or 8.1% higher than the provision for income taxes of $127.0 million for the year ended December 31, 2009. The effective combined federal and state and foreign tax rate increased to 39.3% from 37.8% for the years ended December 31, 2010 and 2009, respectively. The increase in the effective tax rate was primarily the result of the establishment of a full valuation allowance against the deferred tax assets of a foreign subsidiary during the year ended December 31, 2010, lower state tax benefits and the release of certain unrecognized tax benefits that arose in the year ended December 31, 2009. The increase in tax rates was partiall y offset by the increase in tax benefits resulting from the Domestic Production Deduction. The effect of the valuation allowance and its related impact on the Company’s overall tax rate increased the provision for income taxes by $3.4 million for the year ended December 31, 2010.</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$212.0 million for the year ended December 31, 2010, an increase of $3.3 million or 1.6% higher than net</w:t>
      </w:r>
      <w:r>
        <w:rPr>
          <w:rFonts w:ascii="Arial" w:cs="Arial" w:eastAsia="Arial" w:hAnsi="Arial"/>
          <w:sz w:val="19"/>
          <w:szCs w:val="19"/>
          <w:i w:val="1"/>
          <w:iCs w:val="1"/>
          <w:color w:val="auto"/>
        </w:rPr>
        <w:t xml:space="preserve"> </w:t>
      </w:r>
      <w:r>
        <w:rPr>
          <w:rFonts w:ascii="Arial" w:cs="Arial" w:eastAsia="Arial" w:hAnsi="Arial"/>
          <w:sz w:val="19"/>
          <w:szCs w:val="19"/>
          <w:color w:val="auto"/>
        </w:rPr>
        <w:t>income of $208.7 million for the year ended December 31, 2009. The increase in net income was primarily attributable to an increase in gross profit of $67.9 million and a increase in other income (expense) of $3.1 million. The increase in net income was partially offset by an increase in operating expenses of $57.4 million and an increase in the provision for income taxes of $10.3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2009 Compared to the Year Ended December 31, 2008.</w:t>
      </w:r>
    </w:p>
    <w:p>
      <w:pPr>
        <w:sectPr>
          <w:pgSz w:w="11900" w:h="16838" w:orient="portrait"/>
          <w:cols w:equalWidth="0" w:num="1">
            <w:col w:w="11420"/>
          </w:cols>
          <w:pgMar w:left="240" w:top="121" w:right="239" w:bottom="106" w:gutter="0" w:footer="0" w:header="0"/>
        </w:sectPr>
      </w:pPr>
    </w:p>
    <w:bookmarkStart w:id="29" w:name="page30"/>
    <w:bookmarkEnd w:id="29"/>
    <w:p>
      <w:pPr>
        <w:spacing w:after="0" w:line="5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Gross sales were $1,309.3 million for the year ended December 31, 2009, an increase of approximately $126.5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10.7% higher than gross sales of $1,182.9 million for the year ended December 31, 2008. The increase in gross sales was primarily attributable to increased sales by volume of our Monster Energy® brand energy drinks. To a lesser extent, the increase in gross sales was attributable to sales of certain new products such as our Monster Energy® Import energy drink, our Monster Energy® Extra Strength Nitrous Technology™ product line and our X-Presso Monster™-Hammer energy drink, as well as increased sales by volume of our Monster Hitman Energy Shooter™ product line and our Hansen’s Natural Sodas®. The increase in gross sale s was partially offset by decreased sales by volume of our Java Monster™ product line, our Lost Energy® brand energy drinks, apple juice and juice blends. Gross sales for the year ended December 31, 2009 were positively impacted by advance purchases made by our customers in the 2009 fourth quarter due to our announcement of a new per case marketing contribution program for our Monster Energy® distributors commencing January 1, 2010, as well as to avoid potential interruptions in product supply due to our announcement to transition our North American operations to the SAP enterprise resource planning system commencing January 2010. We estimate that approximately 1% of gross sales for the year ended December 31, 2009, were attributable to such advance purchases. We did not limit the amount of our customers’ purchases during the fourth quarter of 2009. Our gross sales for the year ended December 31, 2008 were impacted by a price increase announced during the fourth q uarter of 2007 for our Monster Energy® brand energy drinks in 16-ounce cans and our Java Monster™ product line, effective January 1, 2008. We estimate that gross sales for the year ended December 31, 2008 were reduced by approximately 2% as a result of purchases made by our customers in advance of such price increases. We did not limit the amount of purchases our customers could execute at our then existing 2007 fourth quarter prices. Included in gross sales for the years ended December 31, 2009 and 2008, were $8.2 million and $14.3 million, respectively, related to the recognition of deferred revenue. Promotional and other allowances were $166.0 million for the year ended December 31, 2009, an increase of $16.9 million, or 11.4% higher than promotional and other allowances of $149.1 million for the year ended December 31, 2008. Promotional and other allowances as a percentage of gross sales increased to 12.7% from 12.6% for the years ended December 31, 2009 and 2008, respectively. As a result, the percentage increase in gross sales for year ended December 31, 2009 was slightly higher than the percentage increase in net sales.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sales – see definition above.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$1,143.3 million for the year ended December 31, 2009, an increase of approximately $109.5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10.6% higher than net sales of $1,033.8 million for the year ended December 31, 2008. The increase in net sales was primarily attributable to increased sales by volume of our Monster Energy® brand energy drinks. To a lesser extent, the increase in net sales was attributable to sales of certain new products such as our Monster Energy® Import energy drink, our Monster Energy® Extra Strength Nitrous Technology™ product line and our X-Presso Monster™-Hammer energy drink as well as increased sales by volume of our Hansen’s Natural Sodas®. The increase in net sales was partially offset by decreased sales by volume of our Java Monster™ product line, our Lost Energy® brand energy drinks and apple juice. Net sales for the year ended December 31, 2009 were positively impacted by advance purchases made by our customers in the 2009 fourth quarter due to our announcement of a new per case marketing contribution program for our Monster Energy® distributors commencing January 1, 2010, as well as to avoid potential interruptions in product supply due to our announcement to transition our North American operations to the SAP enterprise resource planning system commencing January 2010. We estimate that approximately 1% of net sales for the year ended December 31, 2009, were attributable to such advance purchases. We did not limit the amount of our customers’ purchases during the fourth quarter of 2009. Our net sales for the year ended December 31, 2008 were impacted by a price increase announced during the fourth quarter of 2007 for our Monster Energy® brand energy drinks in 16-ounce cans and our Java Mon ster™ product line, effective January 1, 2008. We estimate that net sales for the year ended December 31, 2008 were reduced by approximately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2% as a result of purchases made by our customers in advance of such price increases. We did not limit the amount of purchases our customers could execute at our then existing 2007 fourth quarter prices. Net sales for the years ended December 31, 2009 and 2008, included $8.2 million and $14.3 million, respectively, related to the recognition of deferred revenue.</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Case sales, in 192-ounce case equivalents, were 110.0 million cases for the year ended December 31, 2009, an increase of approximately 7.3 million cases or 7.1% higher than case sales of 102.7 million cases for the year ended December 31, 2008. The overall average net sales price per case increased to $10.40 for the year ended December 31, 2009 or 3.2% higher than the average net sales price per case of $10.07 for the year ended December 31, 2008. The increase in the average net sales price per case was attributable to an increase in the proportion of case sales derived from higher priced products.</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Net sales for the DSD segment were $1,045.1 million for the year ended December 31, 2009, an increase of approximately $117.8 million, or 12.7% higher than net sales of $927.3 million for the year ended December 31, 2008. The increase in net sales for the DSD segment was primarily attributable to increased sales by volume of our Monster Energy® brand energy drinks. To a lesser extent, the increase in net sales for the DSD segment was attributable to sales of certain new products such as our Monster Energy® Import energy drink, our Monster Energy® Extra Strength Nitrous Technology™ product line and our X-Presso Monster™-Hammer energy drink. The increase in net sales for the DSD segment was partially offset by decreased sales by volume of our Java Monster™ product line. Net sales for the DSD segment for the years ended December 31, 2 009 and 2008, included $8.2 million and $14.3 million, respectively, related to the recognition of deferred revenue.</w:t>
      </w:r>
    </w:p>
    <w:p>
      <w:pPr>
        <w:spacing w:after="0" w:line="18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Net sales for the Warehouse segment were $98.2 million for the year ended December 31, 2009, a decrease of approximately $8.3 million, or 7.8% lower than net sales of $106.5 million for the year ended December 31, 2008. The decrease in net sales for the Warehouse segment was primarily attributable to decreased sales by volume of apple juice, juice blends, sports drinks, Junior Juice® aseptic juices and our Lost Energy® brand energy drinks. The decrease in net sales for the Warehouse segment was partially offset by increased sales by volume of Hansen’s Natural Sodas® and aseptic juice drinks as well as a decrease in promotional and other allowances as a percentage of gross sales.</w:t>
      </w:r>
    </w:p>
    <w:p>
      <w:pPr>
        <w:spacing w:after="0" w:line="14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was $612.3 million for the year ended December 31, 2009, an increase of approximately $73.5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13.6% higher than the gross profit of $538.8 million for the year ended December 31, 2008. Gross profit as a percentage of net sales increased to 53.6% for the year ended December 31, 2009 from 52.1% for the year ended December 31, 2008. The increase in net sales contributed to the increase in gross profit dollars. The increase in gross profit as a percentage of net sales was partially attributable to increased sales of DSD segment products, which have higher gross profit margins than those in the Warehouse segment, as well as a decrease in the</w:t>
      </w:r>
    </w:p>
    <w:p>
      <w:pPr>
        <w:sectPr>
          <w:pgSz w:w="11900" w:h="16891" w:orient="portrait"/>
          <w:cols w:equalWidth="0" w:num="1">
            <w:col w:w="11420"/>
          </w:cols>
          <w:pgMar w:left="240" w:top="121" w:right="239" w:bottom="0" w:gutter="0" w:footer="0" w:header="0"/>
        </w:sectPr>
      </w:pPr>
    </w:p>
    <w:bookmarkStart w:id="30" w:name="page31"/>
    <w:bookmarkEnd w:id="30"/>
    <w:p>
      <w:pPr>
        <w:jc w:val="both"/>
        <w:spacing w:after="0" w:line="292" w:lineRule="auto"/>
        <w:rPr>
          <w:sz w:val="20"/>
          <w:szCs w:val="20"/>
          <w:color w:val="auto"/>
        </w:rPr>
      </w:pPr>
      <w:r>
        <w:rPr>
          <w:rFonts w:ascii="Arial" w:cs="Arial" w:eastAsia="Arial" w:hAnsi="Arial"/>
          <w:sz w:val="18"/>
          <w:szCs w:val="18"/>
          <w:color w:val="auto"/>
        </w:rPr>
        <w:t>percentage of sales within the DSD segment of the Java Monster™ product line, which have lowe r gross profit margins than our Monster Energy® brand energy drinks. In addition, the increase in gross profit as a percentage of net sales was attributable to a decrease in the cost of certain raw materials including certain containers and packaging materials and certain juice concentrates, particularly apple juice concentrate.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 see definition above.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$275.0 million for the year ended December 31, 2009,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$100.2 million, or 26.7% lower than total operating expenses of $375.2 million for the year ended December 31, 2008. Total operating expenses as a percentage of net sales was 24.1% for the year ended December 31, 2009, compared to 36.3% for the year ended December 31, 2008. The decrease in operating expenses in dollars was primarily attributable to decreased expenditures of $116.2 million related to the costs associated with terminating existing distributors. To a lesser extent, the decrease in operating expenses was partially attributable to decreased expenditures of $5.4 million for out-bound freight, decreased expenditures of $3.6 million for merc handise displays,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decreased expenditures of $2.5 million for professional service fees, including accounting and legal costs, decreased expenditures of $2.4 million for allocated trade development, decreased expenditures of $2.1 million for samples, decreased expenditures of $2.2 million for demos and decreased expenditures of $1.6 million for storage and warehouse costs. The decrease in operating expenses in dollars was partially offset by increased expenditures of $12.7 million for sponsorships and endorsements, increased payroll expenses of $9.6 million, increased expenditures of $3.5 million for commissions and royalties, increased expenditures of $2.8 million for travel expenses, $2.8 million of increased depreciation costs, and increased expenditures of $2.1 million for advertising. Total operating expenses include costs of $24.1 million, or 2.1% of net sales, and $10.7 million, or 1.0% of net sale s, relating to the launch of the Monster Energy® brand in Europe for the years ended December 31, 2009 and 2008, respectively. Included in professional service fees are legal and accounting fees, net of insurance proceeds, of ($4.7) million and ($0.2) million, for the years ended December 31, 2009 and 2008, respectively, in connection with our special investigation of stock option grants and granting practices, related litigation and other related matters. Total operating expenses, exclusive of expenditures of: (i) $1.9 million and $118.1 million for the years ended December 31, 2009 and 2008, respectively, attributable to the costs associated with terminating existing distributors; and (ii) professional service fees, net of insurance proceeds, of ($4.7) million and ($0.2) million, for the years ended December 31, 2009 and 2008, respectively, in connection with our special investigation of stock option grants and granting practices, related litigation and other related matt ers, as a percentage of net sales, were 24.3% and 24.9% for the years ended December 31, 2009 and 2008, respectively.</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DSD segment was $391.7 million for the year ended December 31, 2009,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$173.0 million, or 79.1% higher than contribution margin of $218.7 million for the year ended December 31, 2008. The increase in the contribution margin for the DSD segment was primarily due to increased sales of Monster Energy® brand energy drinks and to decreased expenditures of $116.2 million related to the costs associated with terminating existing distributors. To a lesser extent, the increase in contribution margin for the DSD segment was attributable to sales of certain new products such as our Monster Energy® Import energy drink, our Monster Energy® Extra Strength Nitrous Technology™ product line and our X-Presso Mon ster™-Hammer energy drink. Contribution margin for the Warehouse segment was $3.6 million for the year ended December 31, 2009, approximately $5.7 million higher than contribution margin of ($2.1) million for the year ended December 31, 2008. The increase in the contribution margin for the Warehouse segment was primarily attributable to an increase in gross margin as a result of decreases in the costs of certain raw materials, particularly apple juice concentrate, and by a reduction in sales rebates within our juice product line as a result of the termination of our exclusive contracts with the State of California Department of Health Services, Women, Infant and Children (“WIC”) Supplemental Nutrition Branch in April 2008. The WIC program continues on a non-exclusive basis in which we participate with certain of our 64-ounce juice products.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$337.3 million for the year ended December 31, 2009, an increase of approximately $173.7</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106.2% higher than operating income of $163.6 million for the year ended December 31, 2008. Operating income as a percentage of net sales increased to 29.5% for the year ended December 31, 2009 from 15.8% for the year ended December 31, 2008. The increases in operating income and operating income as a percentage of net sales were primarily due to a decrease in operating expenses of $100.2 million and an increase in gross profit of $73.5 million. Operating income exclusive of: (i) recognition of deferred revenue of $8.2 million and $14.3 million for the years ended December 31, 2009 and 2008, respectively; (ii) expenditur es of $1.9 million and $118.1 million for the years ended December 31, 2009 and 2008, respectively, attributable to the costs associated with terminating existing distributors; and (iii) expenditures for professional service fees, net of insurance proceeds, in connection with our special investigation of stock option grants and granting practices, related litigation and other related matters, of ($4.7) million and ($0.2) million, for the years ended December 31, 2009 and 2008, respectively, as a percentage of net sales, was 28.5% and 25.8% for the years ended December 31, 2009 and 2008, respectively. Operating income included operating losses of $6.9 million and $10.9 million for the years ended December 31, 2009 and 2008, respectively, in relation to our operations in Europe and Australia.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(expense) was ($1.6) million for the year ended December 31, 2009, an increase of $11.5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$9.9 million for the year ended December 31, 2008. The increase was primarily attributable to decreased interest revenue earned on our cash balances and short- and long-term investments as well as a $3.9 million other-than temporary impairment of long-term investments.</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$127.0 million for the year ended December 31, 2009,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$61.5 million or 94.0% higher than the provision for income taxes of $65.4 million for the year ended December 31, 2008. The increase in the provision for income taxes was primarily due to increased operating income of $173.7 million. The effective combined federal and state tax rate was 37.8% and 37.7% for the years ended December 31, 2009 and 2008, respectively.</w:t>
      </w:r>
    </w:p>
    <w:p>
      <w:pPr>
        <w:sectPr>
          <w:pgSz w:w="11900" w:h="16838" w:orient="portrait"/>
          <w:cols w:equalWidth="0" w:num="1">
            <w:col w:w="11420"/>
          </w:cols>
          <w:pgMar w:left="240" w:top="121" w:right="239" w:bottom="0" w:gutter="0" w:footer="0" w:header="0"/>
        </w:sectPr>
      </w:pPr>
    </w:p>
    <w:bookmarkStart w:id="31" w:name="page32"/>
    <w:bookmarkEnd w:id="31"/>
    <w:p>
      <w:pPr>
        <w:spacing w:after="0" w:line="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$208.7 million for the year ended December 31, 2009, an increase of $100.7 million or 93.2% higher</w:t>
      </w:r>
      <w:r>
        <w:rPr>
          <w:rFonts w:ascii="Arial" w:cs="Arial" w:eastAsia="Arial" w:hAnsi="Arial"/>
          <w:sz w:val="19"/>
          <w:szCs w:val="19"/>
          <w:i w:val="1"/>
          <w:iCs w:val="1"/>
          <w:color w:val="auto"/>
        </w:rPr>
        <w:t xml:space="preserve"> </w:t>
      </w:r>
      <w:r>
        <w:rPr>
          <w:rFonts w:ascii="Arial" w:cs="Arial" w:eastAsia="Arial" w:hAnsi="Arial"/>
          <w:sz w:val="19"/>
          <w:szCs w:val="19"/>
          <w:color w:val="auto"/>
        </w:rPr>
        <w:t>than net income of $108.0 million for the year ended December 31, 2008. The increase in net income was primarily attributable to a decrease in operating expenses of $100.2 million and an increase in gross profit of $73.5 million. This was partially offset by an increase in provision for income taxes of $61.5 million and a decrease in other income (expense) of $11.5 million.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Cash flows provided by operating activities – </w:t>
      </w:r>
      <w:r>
        <w:rPr>
          <w:rFonts w:ascii="Arial" w:cs="Arial" w:eastAsia="Arial" w:hAnsi="Arial"/>
          <w:sz w:val="18"/>
          <w:szCs w:val="18"/>
          <w:color w:val="auto"/>
        </w:rPr>
        <w:t>Net cash provided by operating activities was $229.0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2010, as compared with net cash provided by operating activities of $156.2 million for the year ended December 31, 2009. For the year ended December 31, 2010, cash provided by operating activities was primarily attributable to net income earned of $212.0 million and adjustments for certain non-cash expenses consisting of $16.9 million of stock-based compensation, $11.7 million of depreciation and other amortization, a $4.5 million impairment loss on investments and $1.7 million of bad debt expense. For the year ended December 31, 2010, cash provided by operations al so increased due to a $37.1 million increase in accounts payable, a $9.4 million increase in accrued liabilities, a $12.5 million increase in income taxes payable, a $4.3 million decrease in distributor receivables and a $2.0 million decrease in accounts receivable. For the year ended December 31, 2010, cash provided by operating activities was reduced due to a $45.0 million increase in inventory, a $12.4 million increase in tax benefit from exercise of stock options, a $10.0 million increase in prepaid income taxes, a $5.5 million decrease in deferred revenue, a $3.8 million gain on the Put Option (defined below), a $2.8 million increase in prepaid expenses and other current assets, a $2.6 million decrease in accrued distributor terminations and a $1.4 million decrease in deferred income taxes. For the year ended December 31, 2009, cash provided by operating activities was primarily attributable to net income earned of $208.7 million and adjustments for certain non-cash expenses consisting of $14. 0 million of stock-based compensation, $5.8 million of depreciation and other amortization, a $3.9 million impairment on investments and a $0.7 million provision for doubtful accounts. For the year ended December 31, 2009, cash provided by operations also increased due to an $86.0 million decrease in distributor receivables, a $9.3 million increase in accrued liabilities, an $8.5 million decrease in inventory, a $5.0 million decrease in prepaid income taxes, a $3.9 million increase in income taxes payable and a $0.8 million increase in accrued compensation. For the year ended December 31, 2009, cash provided by operating activities was reduced due to a $99.3 million decrease in accrued distributor terminations, a $59.4 million increase in accounts receivable, a $15.8 million decrease in accounts payable, a $6.8 million decrease in deferred revenue, a $2.9 million increase in prepaid expenses and other current assets, a $3.1 million increase in tax benefit from exercise of stock options and a $3.1 m illion decrease in deferred income taxes.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Cash flows (used in) provided by investing activities – </w:t>
      </w:r>
      <w:r>
        <w:rPr>
          <w:rFonts w:ascii="Arial" w:cs="Arial" w:eastAsia="Arial" w:hAnsi="Arial"/>
          <w:sz w:val="18"/>
          <w:szCs w:val="18"/>
          <w:color w:val="auto"/>
        </w:rPr>
        <w:t>Net cash used in investing activities was $212.5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2010, as compared to net cash used in investing activities of $4.5 million for the year ended December 31, 2009. For the year ended December 31, 2010, cash provided by investing activities was primarily attributable to maturities of held-to-maturity investments, sales of available-for-sale investments and sales of trading investments, while cash used in investing activities was primarily attributable to purchases of held-to-maturity investments, purchases of property and equipment and additions to intangibles. For the year ended December 31, 2009, cash provided by investing activities was primarily attributable to maturitie s of held-to-maturity investments and sales of available-for-sale investments, while cash used in investing activities was primarily attributable to purchases of held-to-maturity and available-for-sale investments, purchases of property and equipment, and additions to intangibles. For both periods, cash used in investing activities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Management expects that the Company will continue to use a portion of its cash in excess of its requirements for operations for purchasing short- and long-term investments and for other corporate purposes. From time to time, management considers the acquisition of capital equipment, specifically items of production equipment required to produce certain of our products, storage racks, vans, trucks and promotional vehicles, coolers and other promotional equipment as well as the introduction of new product lines and businesses compatible with the image of our brands.</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Cash flows provided by (used in) financing activities – </w:t>
      </w:r>
      <w:r>
        <w:rPr>
          <w:rFonts w:ascii="Arial" w:cs="Arial" w:eastAsia="Arial" w:hAnsi="Arial"/>
          <w:sz w:val="19"/>
          <w:szCs w:val="19"/>
          <w:color w:val="auto"/>
        </w:rPr>
        <w:t>Net cash provided by financing activities was $9.2 million for the year ended</w:t>
      </w:r>
      <w:r>
        <w:rPr>
          <w:rFonts w:ascii="Arial" w:cs="Arial" w:eastAsia="Arial" w:hAnsi="Arial"/>
          <w:sz w:val="19"/>
          <w:szCs w:val="19"/>
          <w:i w:val="1"/>
          <w:iCs w:val="1"/>
          <w:color w:val="auto"/>
        </w:rPr>
        <w:t xml:space="preserve"> </w:t>
      </w:r>
      <w:r>
        <w:rPr>
          <w:rFonts w:ascii="Arial" w:cs="Arial" w:eastAsia="Arial" w:hAnsi="Arial"/>
          <w:sz w:val="19"/>
          <w:szCs w:val="19"/>
          <w:color w:val="auto"/>
        </w:rPr>
        <w:t>December 31, 2010, as compared to net cash used in financing activities of $82.1 million for the year ended December 31, 2009. For the year ended December 31, 2010, cash used in financing activities was primarily attributable to $23.5 million of purchases of common stock held in treasury. For the year ended December 31, 2010, cash provided by financing activities was primarily attributable to proceeds of $20.8 million received from the issuance of common stock in connection with the exercise of certain stock options and a $12.4 million excess tax benefit in connection with the exercise of certain stock options. For the year ended December&amp;nbs p;31, 2009, cash used in financing activities was primarily attributable to $86.2 million of purchases of common stock held in treasury.</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acquisition and maintenance of trademarks, payments of accounts payable, income taxes payable and purchases of our common stock are expected to remain our principal recurring use of cash.</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Cash and cash equivalents, short-term and long-term investments – </w:t>
      </w:r>
      <w:r>
        <w:rPr>
          <w:rFonts w:ascii="Arial" w:cs="Arial" w:eastAsia="Arial" w:hAnsi="Arial"/>
          <w:sz w:val="18"/>
          <w:szCs w:val="18"/>
          <w:color w:val="auto"/>
        </w:rPr>
        <w:t>At December 31, 2010, we had $354.8 million in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$288.8 million in short- and long-term investments. We have historically invested these amounts in U.S. Treasury bills, government agencies and municipal securities (which may have an auction reset feature), corporate notes and bonds, commercial paper and money market funds meeting certain criteria.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 se investments are subject to general credit, liquidity, market and interest rate risks, which may be exacerbated by the U.S. sub-prime mortgage defaults that have affected various sectors of the financial markets and caused credit and liquidity issues. These market risks associated with our investment portfolio may have an adverse effect on our future results of operations, liquidity and financial condition.</w:t>
      </w:r>
    </w:p>
    <w:p>
      <w:pPr>
        <w:spacing w:after="0" w:line="18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long-term investments are comprised of auction rate securities. A large portion of these notes carry an investment grade or better credit rating and are additionally backed by various federal agencies and/or monoline insurance companies. The applicable interest rate is reset</w:t>
      </w:r>
    </w:p>
    <w:p>
      <w:pPr>
        <w:sectPr>
          <w:pgSz w:w="11900" w:h="16926" w:orient="portrait"/>
          <w:cols w:equalWidth="0" w:num="1">
            <w:col w:w="11420"/>
          </w:cols>
          <w:pgMar w:left="240" w:top="121" w:right="239" w:bottom="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at pre-determined intervals, usually every 7 to 35 days. Liquidity for these auction rate securities was typically provided by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 auction process which allowed holders to sell their notes at periodic auctions. During the years ended December 31, 2010 and 2009, the auctions for these auction rate securities failed, and there is no assurance that future auctions will succeed. The auction failures have been attributable to inadequate buyers and/or buying demand and/or the lack of support from financial advisors and sponsors. In the event that there is a failed auction, the indenture governing the security in some cases requires the issuer to pay interest at a default rate that may be above market rates for similar instruments. The securities for which auctions have failed will continue to accrue and/or pay interest at their pre-determined default rates and be auctioned every 7 to 35 days until their respective auction succeeds, the issuer calls the securities, they mature or we are able to sell the securities to third parties. As a result, our ability to liquidate and fully recover the carrying value of our auction rate securities in the near term may be limited.</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March 2010, we entered into an agreement (the “ARS Agreement”), related to $54.2 million in par value auction rate securities (“ARS Securities”). Under the ARS Agreement, we have the right, but not the obligation, to sell these ARS Securities including all accrued but unpaid interest (the “Put Option”) as follows: (i) on or after March 22, 2011, up to $13.6 million aggregate par value; and (ii) semi-annual or annual installments thereafter with full sale rights available on or after March 22, 2013. The ARS Securities will continue to accrue interest until redeemed through the Put Option, or as determined by the auction process or the terms outlined in the prospectus of the respective ARS Securities when the auction process fails. During the year ended December 31, 2010, $7.4 million of par value ARS Securiti es were redeemed at par through normal market channels.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ARS Agreement represents a firm commitment in accordance with ASC 815, which defines a firm commitment with an unrelated party, binding on both parties and usually legally enforceable, with the following characteristics: (i) the commitment specifies all significant terms, including the quantity to be exchanged, the fixed price, and the timing of the transaction; and (ii) the commitment includes a disincentive for nonperformance that is sufficiently large to make performance probable. The enforceability of the ARS Agreement results in a Put Option which is recognized as a separate freestanding asset and is accounted for separately from our auction rate securities. The Put Option does not meet the definition of a derivative instrument under ASC 815. Therefore, we elected the fair value option under ASC 825-10 in accounting for the Put Option. As of Dec ember 31, 2010, we recorded $3.8 million as the fair market value of the Put Option ($3.0 million current portion included in prepaid expenses and other current assets and $0.8 million long-term portion included in other assets) in the consolidated balance sheet, with a corresponding gain of $3.8 million recorded in other income (expense) in the consolidated statements of income for the year ended December 31, 2010. The valuation of the Put Option utilized a mark-to-model approach which included estimates for interest rates, timing and amount of cash flows, adjusted for any bearer risk associated with the put issuer’s ability to repurchase the ARS Securities in installments as indicated above beginning March 22, 2011, and expected holding periods for the Put Option. These assumptions are typically volatile and subject to change as the underlying data sources and market conditions evolve. The Put Option will continue to be adjusted on each balance sheet date based on its then fair va lue, with changes in fair value recorded in earnings.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At December 31, 2010, we held auction rate securities with a face value of $79.6 million (amortized cost basis of $70.7 million). A Level 3 valuation was performed on our auction rate securities as of December 31, 2010 resulting in a fair value of $25.4 million for our available-for-sale auction rate securities (after a $7.4 million impairment) and $42.9 million for our trading auction rate securities, which are included in short- and long-term investments. This valuation utilized a mark-to-model approach which included estimates for interest rates, timing and amount of cash flows, credit and liquidity premiums, and expected holding periods for the auction rate securities. These assumptions are typically volatile and subject to change as the underlying data sources and market conditions evolve.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ASC 320-10-35 indicates that an other-than-temporary impairment must be recognized through earnings if an investor has the intent to sell the debt security or if it is more likely than not that the investor will be required to sell the debt security before recovery of its amortized cost basis. However, even if an investor does not expect to sell a debt security, it must compare the present value of cash flows expected to be collected from the security with the amortized cost basis of the security. If the present value of cash flows expected to be collected is less than the amortized cost basis of the security, the entire amortized cost basis of the security will not be recovered (that is, a “Credit Loss” exists), and an other-than-temporary impairment shall be considered to have occurred. In the event of a Credit Loss and absent the intent or requirement to se ll a debt security before recovery of its amortized cost, only the amount associated with the Credit Loss is recognized as a loss in the income statement. The amount of loss relating to other factors is recorded in accumulated other comprehensive income (loss). ASC 320-10-35 also requires additional disclosures regarding the calculation of the Credit Loss and the factors considered in reaching a conclusion that an investment is not other-than-temporarily impaired.</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connection with the ARS Agreement, during the first fiscal quarter of 2010, we reclassified $54.2 million of auction rate securities from available-for-sale to trading in accordance with ASC 320, as we have the ability and intent to exercise the related Put Option beginning March 22, 2011. We recognized a net loss through earnings on our trading securities of $3.9 million during the year ended December 31, 2010.</w:t>
      </w:r>
    </w:p>
    <w:p>
      <w:pPr>
        <w:spacing w:after="0" w:line="16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We determined that of the $7.4 million impairment of its available-for-sale auction rate securities at December 31, 2010, $2.4 million was deemed temporary and $5.0 million was deemed other-than-temporary. The other-than-temporary impairment was deemed Credit Loss related. We recorded a net charge through earnings of $0.6 million of other-than-temporary impairment that was deemed Credit Loss related during the year ended December 31, 2010 ($3.9 million and $0.5 million had been previously deemed other-than-temporary Credit Loss related and were charged through earnings for the years ended December 31, 2009 and 2008, respectively). At December 31, 2010, $2.4 million of temporary impairment has been recorded, less a tax benefit of $1.0 million, as a component of accumulated other comprehensive income (loss). The factors evaluated to differentiate betwe en temporary impairment and other-than-temporary impairment included the projected future cash</w:t>
      </w:r>
    </w:p>
    <w:p>
      <w:pPr>
        <w:sectPr>
          <w:pgSz w:w="11900" w:h="16838" w:orient="portrait"/>
          <w:cols w:equalWidth="0" w:num="1">
            <w:col w:w="11420"/>
          </w:cols>
          <w:pgMar w:left="240" w:top="121" w:right="239" w:bottom="0" w:gutter="0" w:footer="0" w:header="0"/>
        </w:sectPr>
      </w:pPr>
    </w:p>
    <w:bookmarkStart w:id="33" w:name="page34"/>
    <w:bookmarkEnd w:id="33"/>
    <w:p>
      <w:pPr>
        <w:jc w:val="both"/>
        <w:spacing w:after="0" w:line="262" w:lineRule="auto"/>
        <w:rPr>
          <w:sz w:val="20"/>
          <w:szCs w:val="20"/>
          <w:color w:val="auto"/>
        </w:rPr>
      </w:pPr>
      <w:r>
        <w:rPr>
          <w:rFonts w:ascii="Arial" w:cs="Arial" w:eastAsia="Arial" w:hAnsi="Arial"/>
          <w:sz w:val="20"/>
          <w:szCs w:val="20"/>
          <w:color w:val="auto"/>
        </w:rPr>
        <w:t>flows, credit ratings actions, and assessment of the credit quality of the underlying collateral, as well as the other factors included in the valuation model for debt securities described above.</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net effect of (i) the acquisition of the Put Option during the first fiscal quarter of 2010; (ii) the revaluation of the Put Option as of December 31, 2010; (iii) the transfer from available-for-sale to trading of the ARS Securities during the first fiscal quarter of 2010; (iv) the revaluation of trading ARS Securities as of December 31, 2010; (v) the redemption of certain ARS Securities; (vi) a recognized gain resulting from the redemption at par of a previously other-than-temporary impaired security during the first fiscal quarter of 2010; and (vii) an increase in the other-than-temporary impairment of certain auction rate securities, resulted in losses of $0.8 million, included in other income (expense) for the year ended December 31, 2010.</w:t>
      </w:r>
    </w:p>
    <w:p>
      <w:pPr>
        <w:spacing w:after="0" w:line="21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hold additional auction rate securities that do not have a related put option. These auction rate securities continue to be classified as available-for-sale. We intend to retain our investment in the securities until the earlier of the anticipated recovery in market value or maturity.</w:t>
      </w:r>
    </w:p>
    <w:p>
      <w:pPr>
        <w:spacing w:after="0" w:line="14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Based on our ability to access cash and cash equivalents and other short-term investments and based on our expected operating cash flows, we do not anticipate that the current lack of liquidity of these investments will have a material adverse effect on our liquidity or working capital. If uncertainties in the credit and capital markets continue, or uncertainties in the expected performance of the issuer of the Put Option arise, or there are rating downgrades on the auction rate securities held by us, we may be required to recognize additional impairments on these investments.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year ended December 31, 2010, the Company purchased 0.6 million shares of common stock at an average purchase price of $37.68 per share for a total amount of $23.5 million, which the Company holds in treasury. During the year ended December 31, 2009, the Company purchased 2.6 million shares of common stock at an average purchase price of $33.10 per share for a total amount of $86.2 million, which the Company holds in treasury.</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Debt and other obligations – </w:t>
      </w:r>
      <w:r>
        <w:rPr>
          <w:rFonts w:ascii="Arial" w:cs="Arial" w:eastAsia="Arial" w:hAnsi="Arial"/>
          <w:sz w:val="20"/>
          <w:szCs w:val="20"/>
          <w:color w:val="auto"/>
        </w:rPr>
        <w:t>We entered into a credit facility with Comerica Bank (“Comerica”) consisting of a revolving line of</w:t>
      </w:r>
      <w:r>
        <w:rPr>
          <w:rFonts w:ascii="Arial" w:cs="Arial" w:eastAsia="Arial" w:hAnsi="Arial"/>
          <w:sz w:val="20"/>
          <w:szCs w:val="20"/>
          <w:i w:val="1"/>
          <w:iCs w:val="1"/>
          <w:color w:val="auto"/>
        </w:rPr>
        <w:t xml:space="preserve"> </w:t>
      </w:r>
      <w:r>
        <w:rPr>
          <w:rFonts w:ascii="Arial" w:cs="Arial" w:eastAsia="Arial" w:hAnsi="Arial"/>
          <w:sz w:val="20"/>
          <w:szCs w:val="20"/>
          <w:color w:val="auto"/>
        </w:rPr>
        <w:t>credit, which was amended in May 2010, under which we may borrow up to $10.0 million of non-collateralized debt. The revolving line of credit is effective through June 1, 2012. Interest on borrowings under the line of credit is based on Comerica’s base (prime) rate minus up to 1.5%, or varying London Interbank Offered Rates up to 180 days, plus an additional percentage of up to 1.75%, depending upon certain financial ratios maintained by us. We had no outstanding borrowings on this line of credit at December 31, 2010. Letters of credit issued on our behalf, totaling $0.3 million and $0.2 million under this credit facility, were o utstanding as of December 31, 2010 and December 31, 2009, respectively.</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At December 31, 2010, we were in compliance with the terms of our line of credit, which contains certain financial covenants, including certain financial ratios. 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or equipment, through at least the next twelve months. Based on our current plans, at this time we estimate that capital expenditures are likely to be less than $30.0 million through December 31, 2011. However, future business opportunities may cause a change in this estimate.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obligations and related scheduled maturities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3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700" w:type="dxa"/>
            <w:vAlign w:val="bottom"/>
            <w:tcBorders>
              <w:bottom w:val="single" w:sz="8" w:color="auto"/>
            </w:tcBorders>
            <w:gridSpan w:val="8"/>
          </w:tcPr>
          <w:p>
            <w:pPr>
              <w:jc w:val="center"/>
              <w:ind w:right="660"/>
              <w:spacing w:after="0"/>
              <w:rPr>
                <w:sz w:val="20"/>
                <w:szCs w:val="20"/>
                <w:color w:val="auto"/>
              </w:rPr>
            </w:pPr>
            <w:r>
              <w:rPr>
                <w:rFonts w:ascii="Arial" w:cs="Arial" w:eastAsia="Arial" w:hAnsi="Arial"/>
                <w:sz w:val="22"/>
                <w:szCs w:val="22"/>
                <w:color w:val="auto"/>
                <w:w w:val="87"/>
              </w:rPr>
              <w:t>Payments due by period (in thousands)</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15"/>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520"/>
              <w:spacing w:after="0" w:line="216" w:lineRule="exact"/>
              <w:rPr>
                <w:sz w:val="20"/>
                <w:szCs w:val="20"/>
                <w:color w:val="auto"/>
              </w:rPr>
            </w:pPr>
            <w:r>
              <w:rPr>
                <w:rFonts w:ascii="Arial" w:cs="Arial" w:eastAsia="Arial" w:hAnsi="Arial"/>
                <w:sz w:val="22"/>
                <w:szCs w:val="22"/>
                <w:color w:val="auto"/>
                <w:w w:val="85"/>
              </w:rPr>
              <w:t>Less than</w:t>
            </w:r>
          </w:p>
        </w:tc>
        <w:tc>
          <w:tcPr>
            <w:tcW w:w="380" w:type="dxa"/>
            <w:vAlign w:val="bottom"/>
          </w:tcPr>
          <w:p>
            <w:pPr>
              <w:spacing w:after="0"/>
              <w:rPr>
                <w:sz w:val="18"/>
                <w:szCs w:val="18"/>
                <w:color w:val="auto"/>
              </w:rPr>
            </w:pPr>
          </w:p>
        </w:tc>
        <w:tc>
          <w:tcPr>
            <w:tcW w:w="940" w:type="dxa"/>
            <w:vAlign w:val="bottom"/>
          </w:tcPr>
          <w:p>
            <w:pPr>
              <w:jc w:val="center"/>
              <w:ind w:right="272"/>
              <w:spacing w:after="0" w:line="216" w:lineRule="exact"/>
              <w:rPr>
                <w:sz w:val="20"/>
                <w:szCs w:val="20"/>
                <w:color w:val="auto"/>
              </w:rPr>
            </w:pPr>
            <w:r>
              <w:rPr>
                <w:rFonts w:ascii="Arial" w:cs="Arial" w:eastAsia="Arial" w:hAnsi="Arial"/>
                <w:sz w:val="22"/>
                <w:szCs w:val="22"/>
                <w:color w:val="auto"/>
                <w:w w:val="87"/>
              </w:rPr>
              <w:t>1-3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472"/>
              <w:spacing w:after="0" w:line="216" w:lineRule="exact"/>
              <w:rPr>
                <w:sz w:val="20"/>
                <w:szCs w:val="20"/>
                <w:color w:val="auto"/>
              </w:rPr>
            </w:pPr>
            <w:r>
              <w:rPr>
                <w:rFonts w:ascii="Arial" w:cs="Arial" w:eastAsia="Arial" w:hAnsi="Arial"/>
                <w:sz w:val="22"/>
                <w:szCs w:val="22"/>
                <w:color w:val="auto"/>
              </w:rPr>
              <w:t>3-5</w:t>
            </w:r>
          </w:p>
        </w:tc>
        <w:tc>
          <w:tcPr>
            <w:tcW w:w="240" w:type="dxa"/>
            <w:vAlign w:val="bottom"/>
          </w:tcPr>
          <w:p>
            <w:pPr>
              <w:spacing w:after="0"/>
              <w:rPr>
                <w:sz w:val="18"/>
                <w:szCs w:val="18"/>
                <w:color w:val="auto"/>
              </w:rPr>
            </w:pPr>
          </w:p>
        </w:tc>
        <w:tc>
          <w:tcPr>
            <w:tcW w:w="1400" w:type="dxa"/>
            <w:vAlign w:val="bottom"/>
            <w:gridSpan w:val="2"/>
          </w:tcPr>
          <w:p>
            <w:pPr>
              <w:ind w:left="180"/>
              <w:spacing w:after="0" w:line="216" w:lineRule="exact"/>
              <w:rPr>
                <w:sz w:val="20"/>
                <w:szCs w:val="20"/>
                <w:color w:val="auto"/>
              </w:rPr>
            </w:pPr>
            <w:r>
              <w:rPr>
                <w:rFonts w:ascii="Arial" w:cs="Arial" w:eastAsia="Arial" w:hAnsi="Arial"/>
                <w:sz w:val="22"/>
                <w:szCs w:val="22"/>
                <w:color w:val="auto"/>
              </w:rPr>
              <w:t>More than</w:t>
            </w:r>
          </w:p>
        </w:tc>
      </w:tr>
      <w:tr>
        <w:trPr>
          <w:trHeight w:val="265"/>
        </w:trPr>
        <w:tc>
          <w:tcPr>
            <w:tcW w:w="3380" w:type="dxa"/>
            <w:vAlign w:val="bottom"/>
          </w:tcPr>
          <w:p>
            <w:pPr>
              <w:ind w:left="1080"/>
              <w:spacing w:after="0"/>
              <w:rPr>
                <w:sz w:val="20"/>
                <w:szCs w:val="20"/>
                <w:color w:val="auto"/>
              </w:rPr>
            </w:pPr>
            <w:r>
              <w:rPr>
                <w:rFonts w:ascii="Arial" w:cs="Arial" w:eastAsia="Arial" w:hAnsi="Arial"/>
                <w:sz w:val="22"/>
                <w:szCs w:val="22"/>
                <w:color w:val="auto"/>
              </w:rPr>
              <w:t>Obligations</w:t>
            </w:r>
          </w:p>
        </w:tc>
        <w:tc>
          <w:tcPr>
            <w:tcW w:w="400" w:type="dxa"/>
            <w:vAlign w:val="bottom"/>
          </w:tcPr>
          <w:p>
            <w:pPr>
              <w:spacing w:after="0"/>
              <w:rPr>
                <w:sz w:val="23"/>
                <w:szCs w:val="23"/>
                <w:color w:val="auto"/>
              </w:rPr>
            </w:pPr>
          </w:p>
        </w:tc>
        <w:tc>
          <w:tcPr>
            <w:tcW w:w="1300" w:type="dxa"/>
            <w:vAlign w:val="bottom"/>
            <w:gridSpan w:val="2"/>
          </w:tcPr>
          <w:p>
            <w:pPr>
              <w:ind w:left="80"/>
              <w:spacing w:after="0"/>
              <w:rPr>
                <w:sz w:val="20"/>
                <w:szCs w:val="20"/>
                <w:color w:val="auto"/>
              </w:rPr>
            </w:pPr>
            <w:r>
              <w:rPr>
                <w:rFonts w:ascii="Arial" w:cs="Arial" w:eastAsia="Arial" w:hAnsi="Arial"/>
                <w:sz w:val="22"/>
                <w:szCs w:val="22"/>
                <w:color w:val="auto"/>
              </w:rPr>
              <w:t>Total</w:t>
            </w:r>
          </w:p>
        </w:tc>
        <w:tc>
          <w:tcPr>
            <w:tcW w:w="240" w:type="dxa"/>
            <w:vAlign w:val="bottom"/>
          </w:tcPr>
          <w:p>
            <w:pPr>
              <w:spacing w:after="0"/>
              <w:rPr>
                <w:sz w:val="23"/>
                <w:szCs w:val="23"/>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22"/>
                <w:szCs w:val="22"/>
                <w:color w:val="auto"/>
                <w:w w:val="84"/>
              </w:rPr>
              <w:t>1 year</w:t>
            </w:r>
          </w:p>
        </w:tc>
        <w:tc>
          <w:tcPr>
            <w:tcW w:w="380" w:type="dxa"/>
            <w:vAlign w:val="bottom"/>
          </w:tcPr>
          <w:p>
            <w:pPr>
              <w:spacing w:after="0"/>
              <w:rPr>
                <w:sz w:val="23"/>
                <w:szCs w:val="23"/>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22"/>
                <w:szCs w:val="22"/>
                <w:color w:val="auto"/>
                <w:w w:val="81"/>
              </w:rPr>
              <w:t>years</w:t>
            </w:r>
          </w:p>
        </w:tc>
        <w:tc>
          <w:tcPr>
            <w:tcW w:w="38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Arial" w:cs="Arial" w:eastAsia="Arial" w:hAnsi="Arial"/>
                <w:sz w:val="22"/>
                <w:szCs w:val="22"/>
                <w:color w:val="auto"/>
              </w:rPr>
              <w:t>years</w:t>
            </w:r>
          </w:p>
        </w:tc>
        <w:tc>
          <w:tcPr>
            <w:tcW w:w="300" w:type="dxa"/>
            <w:vAlign w:val="bottom"/>
          </w:tcPr>
          <w:p>
            <w:pPr>
              <w:spacing w:after="0"/>
              <w:rPr>
                <w:sz w:val="23"/>
                <w:szCs w:val="23"/>
                <w:color w:val="auto"/>
              </w:rPr>
            </w:pPr>
          </w:p>
        </w:tc>
        <w:tc>
          <w:tcPr>
            <w:tcW w:w="1100" w:type="dxa"/>
            <w:vAlign w:val="bottom"/>
          </w:tcPr>
          <w:p>
            <w:pPr>
              <w:jc w:val="right"/>
              <w:ind w:right="352"/>
              <w:spacing w:after="0"/>
              <w:rPr>
                <w:sz w:val="20"/>
                <w:szCs w:val="20"/>
                <w:color w:val="auto"/>
              </w:rPr>
            </w:pPr>
            <w:r>
              <w:rPr>
                <w:rFonts w:ascii="Arial" w:cs="Arial" w:eastAsia="Arial" w:hAnsi="Arial"/>
                <w:sz w:val="22"/>
                <w:szCs w:val="22"/>
                <w:color w:val="auto"/>
                <w:w w:val="85"/>
              </w:rPr>
              <w:t>5 years</w:t>
            </w:r>
          </w:p>
        </w:tc>
      </w:tr>
      <w:tr>
        <w:trPr>
          <w:trHeight w:val="458"/>
        </w:trPr>
        <w:tc>
          <w:tcPr>
            <w:tcW w:w="33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Contractual Obligations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57,073</w:t>
            </w:r>
          </w:p>
        </w:tc>
        <w:tc>
          <w:tcPr>
            <w:tcW w:w="300" w:type="dxa"/>
            <w:vAlign w:val="bottom"/>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31,834</w:t>
            </w:r>
          </w:p>
        </w:tc>
        <w:tc>
          <w:tcPr>
            <w:tcW w:w="30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21,431</w:t>
            </w:r>
          </w:p>
        </w:tc>
        <w:tc>
          <w:tcPr>
            <w:tcW w:w="300" w:type="dxa"/>
            <w:vAlign w:val="bottom"/>
          </w:tcPr>
          <w:p>
            <w:pPr>
              <w:spacing w:after="0"/>
              <w:rPr>
                <w:sz w:val="24"/>
                <w:szCs w:val="24"/>
                <w:color w:val="auto"/>
              </w:rPr>
            </w:pPr>
          </w:p>
        </w:tc>
        <w:tc>
          <w:tcPr>
            <w:tcW w:w="38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3,808</w:t>
            </w:r>
          </w:p>
        </w:tc>
        <w:tc>
          <w:tcPr>
            <w:tcW w:w="240" w:type="dxa"/>
            <w:vAlign w:val="bottom"/>
          </w:tcPr>
          <w:p>
            <w:pPr>
              <w:spacing w:after="0"/>
              <w:rPr>
                <w:sz w:val="24"/>
                <w:szCs w:val="24"/>
                <w:color w:val="auto"/>
              </w:rPr>
            </w:pPr>
          </w:p>
        </w:tc>
        <w:tc>
          <w:tcPr>
            <w:tcW w:w="30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w w:val="97"/>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w:t>
            </w:r>
          </w:p>
        </w:tc>
      </w:tr>
      <w:tr>
        <w:trPr>
          <w:trHeight w:val="243"/>
        </w:trPr>
        <w:tc>
          <w:tcPr>
            <w:tcW w:w="3380" w:type="dxa"/>
            <w:vAlign w:val="bottom"/>
          </w:tcPr>
          <w:p>
            <w:pPr>
              <w:spacing w:after="0" w:line="243" w:lineRule="exact"/>
              <w:rPr>
                <w:sz w:val="20"/>
                <w:szCs w:val="20"/>
                <w:color w:val="auto"/>
              </w:rPr>
            </w:pPr>
            <w:r>
              <w:rPr>
                <w:rFonts w:ascii="Arial" w:cs="Arial" w:eastAsia="Arial" w:hAnsi="Arial"/>
                <w:sz w:val="22"/>
                <w:szCs w:val="22"/>
                <w:color w:val="auto"/>
              </w:rPr>
              <w:t>Capital Leases</w:t>
            </w:r>
          </w:p>
        </w:tc>
        <w:tc>
          <w:tcPr>
            <w:tcW w:w="40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274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274</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r>
      <w:tr>
        <w:trPr>
          <w:trHeight w:val="243"/>
        </w:trPr>
        <w:tc>
          <w:tcPr>
            <w:tcW w:w="3380" w:type="dxa"/>
            <w:vAlign w:val="bottom"/>
          </w:tcPr>
          <w:p>
            <w:pPr>
              <w:spacing w:after="0" w:line="243" w:lineRule="exact"/>
              <w:rPr>
                <w:sz w:val="20"/>
                <w:szCs w:val="20"/>
                <w:color w:val="auto"/>
              </w:rPr>
            </w:pPr>
            <w:r>
              <w:rPr>
                <w:rFonts w:ascii="Arial" w:cs="Arial" w:eastAsia="Arial" w:hAnsi="Arial"/>
                <w:sz w:val="22"/>
                <w:szCs w:val="22"/>
                <w:color w:val="auto"/>
              </w:rPr>
              <w:t>Operating Leases</w:t>
            </w:r>
          </w:p>
        </w:tc>
        <w:tc>
          <w:tcPr>
            <w:tcW w:w="40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19,188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3,366</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9,287</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
              <w:spacing w:after="0" w:line="243" w:lineRule="exact"/>
              <w:rPr>
                <w:sz w:val="20"/>
                <w:szCs w:val="20"/>
                <w:color w:val="auto"/>
              </w:rPr>
            </w:pPr>
            <w:r>
              <w:rPr>
                <w:rFonts w:ascii="Arial" w:cs="Arial" w:eastAsia="Arial" w:hAnsi="Arial"/>
                <w:sz w:val="22"/>
                <w:szCs w:val="22"/>
                <w:color w:val="auto"/>
              </w:rPr>
              <w:t>5,680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2"/>
              <w:spacing w:after="0" w:line="243" w:lineRule="exact"/>
              <w:rPr>
                <w:sz w:val="20"/>
                <w:szCs w:val="20"/>
                <w:color w:val="auto"/>
              </w:rPr>
            </w:pPr>
            <w:r>
              <w:rPr>
                <w:rFonts w:ascii="Arial" w:cs="Arial" w:eastAsia="Arial" w:hAnsi="Arial"/>
                <w:sz w:val="22"/>
                <w:szCs w:val="22"/>
                <w:color w:val="auto"/>
              </w:rPr>
              <w:t>855</w:t>
            </w:r>
          </w:p>
        </w:tc>
      </w:tr>
      <w:tr>
        <w:trPr>
          <w:trHeight w:val="265"/>
        </w:trPr>
        <w:tc>
          <w:tcPr>
            <w:tcW w:w="3380" w:type="dxa"/>
            <w:vAlign w:val="bottom"/>
          </w:tcPr>
          <w:p>
            <w:pPr>
              <w:spacing w:after="0"/>
              <w:rPr>
                <w:sz w:val="20"/>
                <w:szCs w:val="20"/>
                <w:color w:val="auto"/>
              </w:rPr>
            </w:pPr>
            <w:r>
              <w:rPr>
                <w:rFonts w:ascii="Arial" w:cs="Arial" w:eastAsia="Arial" w:hAnsi="Arial"/>
                <w:sz w:val="22"/>
                <w:szCs w:val="22"/>
                <w:color w:val="auto"/>
              </w:rPr>
              <w:t>Purchase Commitments</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27,369</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27,369</w:t>
            </w:r>
          </w:p>
        </w:tc>
        <w:tc>
          <w:tcPr>
            <w:tcW w:w="3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r>
      <w:tr>
        <w:trPr>
          <w:trHeight w:val="237"/>
        </w:trPr>
        <w:tc>
          <w:tcPr>
            <w:tcW w:w="3380" w:type="dxa"/>
            <w:vAlign w:val="bottom"/>
          </w:tcPr>
          <w:p>
            <w:pPr>
              <w:spacing w:after="0"/>
              <w:rPr>
                <w:sz w:val="20"/>
                <w:szCs w:val="20"/>
                <w:color w:val="auto"/>
              </w:rPr>
            </w:pPr>
          </w:p>
        </w:tc>
        <w:tc>
          <w:tcPr>
            <w:tcW w:w="4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103,904</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62,843</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30,718</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9,488</w:t>
            </w:r>
          </w:p>
        </w:tc>
        <w:tc>
          <w:tcPr>
            <w:tcW w:w="240" w:type="dxa"/>
            <w:vAlign w:val="bottom"/>
          </w:tcPr>
          <w:p>
            <w:pPr>
              <w:spacing w:after="0"/>
              <w:rPr>
                <w:sz w:val="20"/>
                <w:szCs w:val="20"/>
                <w:color w:val="auto"/>
              </w:rPr>
            </w:pPr>
          </w:p>
        </w:tc>
        <w:tc>
          <w:tcPr>
            <w:tcW w:w="300" w:type="dxa"/>
            <w:vAlign w:val="bottom"/>
            <w:tcBorders>
              <w:bottom w:val="single" w:sz="8" w:color="auto"/>
            </w:tcBorders>
          </w:tcPr>
          <w:p>
            <w:pPr>
              <w:ind w:left="160"/>
              <w:spacing w:after="0" w:line="237" w:lineRule="exact"/>
              <w:rPr>
                <w:sz w:val="20"/>
                <w:szCs w:val="20"/>
                <w:color w:val="auto"/>
              </w:rPr>
            </w:pPr>
            <w:r>
              <w:rPr>
                <w:rFonts w:ascii="Arial" w:cs="Arial" w:eastAsia="Arial" w:hAnsi="Arial"/>
                <w:sz w:val="22"/>
                <w:szCs w:val="22"/>
                <w:color w:val="auto"/>
                <w:w w:val="97"/>
              </w:rPr>
              <w:t>$</w:t>
            </w:r>
          </w:p>
        </w:tc>
        <w:tc>
          <w:tcPr>
            <w:tcW w:w="110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855</w:t>
            </w:r>
          </w:p>
        </w:tc>
      </w:tr>
      <w:tr>
        <w:trPr>
          <w:trHeight w:val="20"/>
        </w:trPr>
        <w:tc>
          <w:tcPr>
            <w:tcW w:w="3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Contractual obligations include our obligations related to sponsorships and other commitments.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Purchase commitments include obligations made by us and our subsidiaries to various suppliers for raw materials used in the manufacturing and packaging of our products. These obligations vary in terms.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699" w:gutter="0" w:footer="0" w:header="0"/>
        </w:sectPr>
      </w:pPr>
    </w:p>
    <w:bookmarkStart w:id="34" w:name="page35"/>
    <w:bookmarkEnd w:id="34"/>
    <w:p>
      <w:pPr>
        <w:spacing w:after="0" w:line="13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addition to the above purchase obligations, approximately $0.5 million of recognized tax benefits have been recorded as liabilities as of December 31, 2010, and we are uncertain as to if or when such amounts may be settled. Related to the unrecognized tax benefits not included in the table above, we have also recorded a liability for potential penalties and interest of $0.2 million as of December 31, 2010.</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August 2008, we completed the purchase of 1.09 acres of land for a purchase price of $1.4 million. In December 2009, we completed the purchase of an additional 2.12 acres of adjacent vacant land for a purchase price of $1.7 million. The properties are located adjacent to our leased warehouse and distribution space. We are examining various options to replace our existing leased head office space, including reviewing the feasibility of constructing a new office building and parking lot on these combined parcels of land.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Policies and Pronouncements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20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Our investments in debt securities are classified as either held-to-maturity, available-for-sale or trading,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Financial Accounting Standards Board (the “FASB”) Accounting Standards Codification (“ASC”) 320. Held-to-maturity securities are those securities that we have the positive intent and ability to hold until maturity. Trading securities are those securities that we intend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 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“Fair Value of Certain Financial Assets and Liabilities” in the notes to consolidated financial statements).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 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income (loss), net of applicable taxes. We evaluate whether the decline in fair value of our investments is other-than 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 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i w:val="1"/>
          <w:iCs w:val="1"/>
          <w:color w:val="auto"/>
        </w:rPr>
        <w:t xml:space="preserve">Accounts Receivable </w:t>
      </w:r>
      <w:r>
        <w:rPr>
          <w:rFonts w:ascii="Arial" w:cs="Arial" w:eastAsia="Arial" w:hAnsi="Arial"/>
          <w:sz w:val="19"/>
          <w:szCs w:val="19"/>
          <w:color w:val="auto"/>
        </w:rPr>
        <w:t>– We evaluate the collectability of our trade accounts receivable based on a number of factors. In circumstances</w:t>
      </w:r>
      <w:r>
        <w:rPr>
          <w:rFonts w:ascii="Arial" w:cs="Arial" w:eastAsia="Arial" w:hAnsi="Arial"/>
          <w:sz w:val="19"/>
          <w:szCs w:val="19"/>
          <w:i w:val="1"/>
          <w:iCs w:val="1"/>
          <w:color w:val="auto"/>
        </w:rPr>
        <w:t xml:space="preserve"> </w:t>
      </w:r>
      <w:r>
        <w:rPr>
          <w:rFonts w:ascii="Arial" w:cs="Arial" w:eastAsia="Arial" w:hAnsi="Arial"/>
          <w:sz w:val="19"/>
          <w:szCs w:val="19"/>
          <w:color w:val="auto"/>
        </w:rPr>
        <w:t>where we become aware of a specific customer’s inability to meet its financial obligations to us, a specific reserve for bad debts is estimated and recorded, which reduces the recognized receivable to the estimated amount we believe will ultimately be collected. In addition to specific customer identification of potential bad debts, bad debt charges are recorded based on our recent loss history and an overall assessment of past due trade accounts receivable outstanding.</w:t>
      </w:r>
    </w:p>
    <w:p>
      <w:pPr>
        <w:spacing w:after="0" w:line="194"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stated at the lower of cost to purchase and/or manufacture the inventory or the current estimated market</w:t>
      </w:r>
      <w:r>
        <w:rPr>
          <w:rFonts w:ascii="Arial" w:cs="Arial" w:eastAsia="Arial" w:hAnsi="Arial"/>
          <w:sz w:val="19"/>
          <w:szCs w:val="19"/>
          <w:i w:val="1"/>
          <w:iCs w:val="1"/>
          <w:color w:val="auto"/>
        </w:rPr>
        <w:t xml:space="preserve"> </w:t>
      </w:r>
      <w:r>
        <w:rPr>
          <w:rFonts w:ascii="Arial" w:cs="Arial" w:eastAsia="Arial" w:hAnsi="Arial"/>
          <w:sz w:val="19"/>
          <w:szCs w:val="19"/>
          <w:color w:val="auto"/>
        </w:rPr>
        <w:t>value of the inventory. We regularly review our inventory quantities on hand and record a provision for excess and obsolete inventory based primarily on our estimated forecast of product demand, production availability and/or our ability to sell the product(s) concerned. Demand for our products can fluctuate significantly. Factors that could affect demand for our products include unanticipated changes in consumer preferences, general market and economic conditions or other factors that may result in cancellations of advance orders or reductions in the rate of reorders placed by customers and/or continued weakening of economic conditions. Additionally, management’s esti mates of future product demand may be inaccurate, which could result in an understated or overstated provision required for excess and obsolete inventory.</w:t>
      </w:r>
    </w:p>
    <w:p>
      <w:pPr>
        <w:spacing w:after="0" w:line="195"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 Management regularly reviews property and equipment and other long-lived assets, including certain definite-lived identifiable intangible assets,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 alue of the future cash flows discounted at a rate commensurate with management’s estimates of the business risks. No impairment indicators were identified as of December 31, 2010 or 2009.</w:t>
      </w:r>
    </w:p>
    <w:p>
      <w:pPr>
        <w:spacing w:after="0" w:line="183" w:lineRule="exact"/>
        <w:rPr>
          <w:sz w:val="20"/>
          <w:szCs w:val="20"/>
          <w:color w:val="auto"/>
        </w:rPr>
      </w:pPr>
    </w:p>
    <w:p>
      <w:pPr>
        <w:jc w:val="both"/>
        <w:ind w:left="660"/>
        <w:spacing w:after="0" w:line="386" w:lineRule="auto"/>
        <w:rPr>
          <w:sz w:val="20"/>
          <w:szCs w:val="20"/>
          <w:color w:val="auto"/>
        </w:rPr>
      </w:pPr>
      <w:r>
        <w:rPr>
          <w:rFonts w:ascii="Arial" w:cs="Arial" w:eastAsia="Arial" w:hAnsi="Arial"/>
          <w:sz w:val="16"/>
          <w:szCs w:val="16"/>
          <w:color w:val="auto"/>
        </w:rPr>
        <w:t>Management believes that the accounting estimate related to impairment of its long-lived assets, including its trademarks (as discussed below), is a “critical accounting estimate” because: (1) the estimate is highly susceptible to change from period to period because it</w:t>
      </w:r>
    </w:p>
    <w:p>
      <w:pPr>
        <w:sectPr>
          <w:pgSz w:w="11900" w:h="16973" w:orient="portrait"/>
          <w:cols w:equalWidth="0" w:num="1">
            <w:col w:w="11420"/>
          </w:cols>
          <w:pgMar w:left="240" w:top="122" w:right="239" w:bottom="0" w:gutter="0" w:footer="0" w:header="0"/>
        </w:sectPr>
      </w:pPr>
    </w:p>
    <w:bookmarkStart w:id="35" w:name="page36"/>
    <w:bookmarkEnd w:id="35"/>
    <w:p>
      <w:pPr>
        <w:jc w:val="both"/>
        <w:spacing w:after="0" w:line="247" w:lineRule="auto"/>
        <w:rPr>
          <w:sz w:val="20"/>
          <w:szCs w:val="20"/>
          <w:color w:val="auto"/>
        </w:rPr>
      </w:pPr>
      <w:r>
        <w:rPr>
          <w:rFonts w:ascii="Arial" w:cs="Arial" w:eastAsia="Arial" w:hAnsi="Arial"/>
          <w:sz w:val="20"/>
          <w:szCs w:val="20"/>
          <w:color w:val="auto"/>
        </w:rPr>
        <w:t>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Intangibles </w:t>
      </w:r>
      <w:r>
        <w:rPr>
          <w:rFonts w:ascii="Arial" w:cs="Arial" w:eastAsia="Arial" w:hAnsi="Arial"/>
          <w:sz w:val="20"/>
          <w:szCs w:val="20"/>
          <w:color w:val="auto"/>
        </w:rPr>
        <w:t>– Intangibles are comprised primarily of trademarks that represent our exclusive ownership of the Hansen’s® trademark in</w:t>
      </w:r>
      <w:r>
        <w:rPr>
          <w:rFonts w:ascii="Arial" w:cs="Arial" w:eastAsia="Arial" w:hAnsi="Arial"/>
          <w:sz w:val="20"/>
          <w:szCs w:val="20"/>
          <w:i w:val="1"/>
          <w:iCs w:val="1"/>
          <w:color w:val="auto"/>
        </w:rPr>
        <w:t xml:space="preserve"> </w:t>
      </w:r>
      <w:r>
        <w:rPr>
          <w:rFonts w:ascii="Arial" w:cs="Arial" w:eastAsia="Arial" w:hAnsi="Arial"/>
          <w:sz w:val="20"/>
          <w:szCs w:val="20"/>
          <w:color w:val="auto"/>
        </w:rPr>
        <w:t>connection with the manufacture, sale and distribution of beverages and the Monster Energy® trademark in connection with the manufacture, sale and distribution of supplements and beverages. We also own in our own right, a number of other trademarks in the United States, as well as in a number of countries around the world. We also own the Blue Sky® trademark, which was acquired in September 2000, and the Junior Juice® trademark, which was acquired in May 2001. During 2002, we adopted ASC 350. Under the provisions of ASC 350, we discontinued amortization on indefinite-lived trademarks while continuing to amortize remaining definite-lived trademark s over one to 25 years.</w:t>
      </w:r>
    </w:p>
    <w:p>
      <w:pPr>
        <w:spacing w:after="0" w:line="20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84455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accordance with ASC 350,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2010, the estimated fair values of trademarks exceeded the carrying values.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Revenue Recognition </w:t>
      </w:r>
      <w:r>
        <w:rPr>
          <w:rFonts w:ascii="Arial" w:cs="Arial" w:eastAsia="Arial" w:hAnsi="Arial"/>
          <w:sz w:val="19"/>
          <w:szCs w:val="19"/>
          <w:color w:val="auto"/>
        </w:rPr>
        <w:t>– We recognize revenue when persuasive evidence of an arrangement exists, delivery has occurred, the sales price</w:t>
      </w:r>
      <w:r>
        <w:rPr>
          <w:rFonts w:ascii="Arial" w:cs="Arial" w:eastAsia="Arial" w:hAnsi="Arial"/>
          <w:sz w:val="19"/>
          <w:szCs w:val="19"/>
          <w:i w:val="1"/>
          <w:iCs w:val="1"/>
          <w:color w:val="auto"/>
        </w:rPr>
        <w:t xml:space="preserve"> </w:t>
      </w:r>
      <w:r>
        <w:rPr>
          <w:rFonts w:ascii="Arial" w:cs="Arial" w:eastAsia="Arial" w:hAnsi="Arial"/>
          <w:sz w:val="19"/>
          <w:szCs w:val="19"/>
          <w:color w:val="auto"/>
        </w:rPr>
        <w:t>is fixed or determinable and collectability is reasonably assured. Generally, ownership of and title to our products pass to customers upon delivery of the products to customers. Certain of our distributors may also perform a separate function as a co-packer on our behalf. In such cases, ownership of and title to our products that are co-packed on our behalf by those co-packers who are also distributors, passes to such distributors when we are notified by them that they have taken transfer or possession of the relevant portion of our finished goods. Net sales have been determined after deduction of promotional and other allowances in accordance with ASC 605-50. Amounts rec eived pursuant to new and/or amended distribution agreements entered into with certain distributors, relating to the costs associated with terminating our prior distributors, are accounted for as revenue ratably over the anticipated life of the respective distribution agreement, generally 20 years.</w:t>
      </w:r>
    </w:p>
    <w:p>
      <w:pPr>
        <w:spacing w:after="0" w:line="19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our historical experience.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our finished products and certain quality control costs. Raw materials account for the largest portion of the cost of sales. Raw materials include cans, bottles, other containers, ingredients and packaging materials.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Operating Expenses </w:t>
      </w:r>
      <w:r>
        <w:rPr>
          <w:rFonts w:ascii="Arial" w:cs="Arial" w:eastAsia="Arial" w:hAnsi="Arial"/>
          <w:sz w:val="20"/>
          <w:szCs w:val="20"/>
          <w:color w:val="auto"/>
        </w:rPr>
        <w:t>– Operating expenses include selling expenses such as distribution expenses to transport products to customers and</w:t>
      </w:r>
      <w:r>
        <w:rPr>
          <w:rFonts w:ascii="Arial" w:cs="Arial" w:eastAsia="Arial" w:hAnsi="Arial"/>
          <w:sz w:val="20"/>
          <w:szCs w:val="20"/>
          <w:i w:val="1"/>
          <w:iCs w:val="1"/>
          <w:color w:val="auto"/>
        </w:rPr>
        <w:t xml:space="preserve"> </w:t>
      </w:r>
      <w:r>
        <w:rPr>
          <w:rFonts w:ascii="Arial" w:cs="Arial" w:eastAsia="Arial" w:hAnsi="Arial"/>
          <w:sz w:val="20"/>
          <w:szCs w:val="20"/>
          <w:color w:val="auto"/>
        </w:rPr>
        <w:t>warehousing expenses after manufacture, as well as expenses for advertising, commissions, sampling and in-store demonstration costs, costs for merchandise displays, point-of-sale materials and premium items, sponsorship expenses, other marketing expenses and design expenses. Operating expenses also include payroll costs, travel costs, professional service fees including legal fees, termination payments made to certain of our prior distributors, entertainment, insurance, postage, depreciation and other general and administrative costs.</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We account for share-based compensation arrangements in accordance with the provisions of ASC 718,</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the measurement and recognition of compensation expense for all share-based payment awards to employees and directors based on estimated fair values. We use the Black-Scholes-Merton option pricing formula to estimate the fair value of our stock options at the date of grant. The Black-Scholes-Merton option pricing formula was developed for use in estimating the fair value of traded options that have no vesting restrictions and are fully transferable. Our employee stock options, however, have characteristics significantly different from those of traded options. For example, employee stock options are</w:t>
      </w:r>
    </w:p>
    <w:p>
      <w:pPr>
        <w:spacing w:after="0" w:line="17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84455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generally subject to vesting restrictions and are generally not transferable. In addition, option valuation models require the input of subjective assumptions, including the expected stock price volatility, the expected life of an option and the number of awards ultimately expected to vest. Changes in subjective input assumptions can materially affect the fair value estimates of an option. Furthermore, the estimated fair value of an option does not necessarily represent the value that will ultimately be realized by an employee. We use historical data to estimate the expected price volatility, the expected option life and the expected forfeiture rate. The risk-free rate is based on the U.S. Treasury yield curve in effect at the time of grant for the estimated life of the option. If actual results are not</w:t>
      </w:r>
    </w:p>
    <w:p>
      <w:pPr>
        <w:sectPr>
          <w:pgSz w:w="11900" w:h="16838" w:orient="portrait"/>
          <w:cols w:equalWidth="0" w:num="1">
            <w:col w:w="10760"/>
          </w:cols>
          <w:pgMar w:left="900" w:top="121" w:right="239" w:bottom="0" w:gutter="0" w:footer="0" w:header="0"/>
        </w:sectPr>
      </w:pPr>
    </w:p>
    <w:bookmarkStart w:id="36" w:name="page37"/>
    <w:bookmarkEnd w:id="36"/>
    <w:p>
      <w:pPr>
        <w:jc w:val="both"/>
        <w:ind w:left="660" w:right="20"/>
        <w:spacing w:after="0" w:line="262" w:lineRule="auto"/>
        <w:rPr>
          <w:sz w:val="20"/>
          <w:szCs w:val="20"/>
          <w:color w:val="auto"/>
        </w:rPr>
      </w:pPr>
      <w:r>
        <w:rPr>
          <w:rFonts w:ascii="Arial" w:cs="Arial" w:eastAsia="Arial" w:hAnsi="Arial"/>
          <w:sz w:val="20"/>
          <w:szCs w:val="20"/>
          <w:color w:val="auto"/>
        </w:rPr>
        <w:t>consistent with our assumptions and judgments used in estimating the key assumptions, we may be required to increase or decrease compensation expense or income tax expense, which could be material to our results of operations.</w:t>
      </w:r>
    </w:p>
    <w:p>
      <w:pPr>
        <w:spacing w:after="0" w:line="188"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We utilize the liability method of accounting for income taxes as set forth in ASC 740. Under the liability method,</w:t>
      </w:r>
      <w:r>
        <w:rPr>
          <w:rFonts w:ascii="Arial" w:cs="Arial" w:eastAsia="Arial" w:hAnsi="Arial"/>
          <w:sz w:val="19"/>
          <w:szCs w:val="19"/>
          <w:i w:val="1"/>
          <w:iCs w:val="1"/>
          <w:color w:val="auto"/>
        </w:rPr>
        <w:t xml:space="preserve"> </w:t>
      </w:r>
      <w:r>
        <w:rPr>
          <w:rFonts w:ascii="Arial" w:cs="Arial" w:eastAsia="Arial" w:hAnsi="Arial"/>
          <w:sz w:val="19"/>
          <w:szCs w:val="19"/>
          <w:color w:val="auto"/>
        </w:rPr>
        <w:t>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we consider projected future taxable income and the availability of tax planning strategies. If in the future we determine that we would not be able to realize our recorded deferred tax assets, an increase in the valuation allowance would be recorded, decreasing earnings in the per iod in which such determination is made.</w:t>
      </w:r>
    </w:p>
    <w:p>
      <w:pPr>
        <w:spacing w:after="0" w:line="193"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We assess our income tax positions and record tax benefits for all years subject to examination based upon our evaluation of the facts, circumstances and information available at the reporting date. For those tax positions where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See Part II, Item 8 “Financial Statements and Supplementary Data – Note 1 – Organization and Summary of Significant Accounting Policies – Recently Issued Accounting Pronouncements” for a full description of recent accounting pronouncements including the respective expected dates of adoption and effects on the Company’s consolidated financial position, results of operations or liquidity.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The Company defines unit case volume as the number of unit cases (or unit case equivalents) of beverages directly or indirectly sold by us.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our products is California, which has a year-long temperate climate, the effect of seasonal fluctuations on quarterly results may have been mitigated; however, such fluctuations may be more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pronounced with the expansion of the distribution of our products outside of California. Our experience with our energy drink products suggests they are less seasonal than traditional beverages. As the percentage of our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the sales of our finished products and changes in and/or increased advertising and promotional expenses. (See “Part I, Item 1 – Business – Seasonality”).</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1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20"/>
                <w:szCs w:val="20"/>
                <w:b w:val="1"/>
                <w:bCs w:val="1"/>
                <w:color w:val="auto"/>
              </w:rPr>
              <w:t>2010</w:t>
            </w:r>
          </w:p>
        </w:tc>
        <w:tc>
          <w:tcPr>
            <w:tcW w:w="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2009</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2008</w:t>
            </w:r>
          </w:p>
        </w:tc>
        <w:tc>
          <w:tcPr>
            <w:tcW w:w="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2007</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2006</w:t>
            </w:r>
          </w:p>
        </w:tc>
        <w:tc>
          <w:tcPr>
            <w:tcW w:w="0" w:type="dxa"/>
            <w:vAlign w:val="bottom"/>
          </w:tcPr>
          <w:p>
            <w:pPr>
              <w:spacing w:after="0"/>
              <w:rPr>
                <w:sz w:val="1"/>
                <w:szCs w:val="1"/>
                <w:color w:val="auto"/>
              </w:rPr>
            </w:pPr>
          </w:p>
        </w:tc>
      </w:tr>
      <w:tr>
        <w:trPr>
          <w:trHeight w:val="169"/>
        </w:trPr>
        <w:tc>
          <w:tcPr>
            <w:tcW w:w="4460" w:type="dxa"/>
            <w:vAlign w:val="bottom"/>
            <w:gridSpan w:val="6"/>
          </w:tcPr>
          <w:p>
            <w:pPr>
              <w:spacing w:after="0" w:line="169" w:lineRule="exact"/>
              <w:rPr>
                <w:sz w:val="20"/>
                <w:szCs w:val="20"/>
                <w:color w:val="auto"/>
              </w:rPr>
            </w:pPr>
            <w:r>
              <w:rPr>
                <w:rFonts w:ascii="Arial" w:cs="Arial" w:eastAsia="Arial" w:hAnsi="Arial"/>
                <w:sz w:val="19"/>
                <w:szCs w:val="19"/>
                <w:color w:val="auto"/>
              </w:rPr>
              <w:t>Unit Case Volume / Case Sales (in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Quarter 1</w:t>
            </w: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20"/>
                <w:szCs w:val="20"/>
                <w:color w:val="auto"/>
              </w:rPr>
              <w:t>24,205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23,468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22,274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19,396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14,974</w:t>
            </w: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32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35,861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29,256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28,726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26,950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19,136</w:t>
            </w: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32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37,856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29,800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28,009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26,450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21,176</w:t>
            </w:r>
          </w:p>
        </w:tc>
        <w:tc>
          <w:tcPr>
            <w:tcW w:w="0" w:type="dxa"/>
            <w:vAlign w:val="bottom"/>
          </w:tcPr>
          <w:p>
            <w:pPr>
              <w:spacing w:after="0"/>
              <w:rPr>
                <w:sz w:val="1"/>
                <w:szCs w:val="1"/>
                <w:color w:val="auto"/>
              </w:rPr>
            </w:pPr>
          </w:p>
        </w:tc>
      </w:tr>
      <w:tr>
        <w:trPr>
          <w:trHeight w:val="240"/>
        </w:trPr>
        <w:tc>
          <w:tcPr>
            <w:tcW w:w="310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rPr>
              <w:t>31,109</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27,461</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23,650</w:t>
            </w:r>
          </w:p>
        </w:tc>
        <w:tc>
          <w:tcPr>
            <w:tcW w:w="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25,657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17,454</w:t>
            </w: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line="220" w:lineRule="exact"/>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rPr>
              <w:t>129,031</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109,985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102,659</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98,453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72,740</w:t>
            </w: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spacing w:after="0"/>
              <w:rPr>
                <w:sz w:val="20"/>
                <w:szCs w:val="20"/>
                <w:color w:val="auto"/>
              </w:rPr>
            </w:pPr>
            <w:r>
              <w:rPr>
                <w:rFonts w:ascii="Arial" w:cs="Arial" w:eastAsia="Arial" w:hAnsi="Arial"/>
                <w:sz w:val="20"/>
                <w:szCs w:val="20"/>
                <w:color w:val="auto"/>
              </w:rPr>
              <w:t>Net Revenues (in Thousands)</w:t>
            </w: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Quarter 1</w:t>
            </w:r>
          </w:p>
        </w:tc>
        <w:tc>
          <w:tcPr>
            <w:tcW w:w="760" w:type="dxa"/>
            <w:vAlign w:val="bottom"/>
          </w:tcPr>
          <w:p>
            <w:pPr>
              <w:spacing w:after="0"/>
              <w:rPr>
                <w:sz w:val="20"/>
                <w:szCs w:val="20"/>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238,110</w:t>
            </w:r>
          </w:p>
        </w:tc>
        <w:tc>
          <w:tcPr>
            <w:tcW w:w="36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244,206</w:t>
            </w:r>
          </w:p>
        </w:tc>
        <w:tc>
          <w:tcPr>
            <w:tcW w:w="280" w:type="dxa"/>
            <w:vAlign w:val="bottom"/>
          </w:tcPr>
          <w:p>
            <w:pPr>
              <w:spacing w:after="0"/>
              <w:rPr>
                <w:sz w:val="20"/>
                <w:szCs w:val="20"/>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212,178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165,853</w:t>
            </w:r>
          </w:p>
        </w:tc>
        <w:tc>
          <w:tcPr>
            <w:tcW w:w="240" w:type="dxa"/>
            <w:vAlign w:val="bottom"/>
          </w:tcPr>
          <w:p>
            <w:pPr>
              <w:spacing w:after="0"/>
              <w:rPr>
                <w:sz w:val="20"/>
                <w:szCs w:val="20"/>
                <w:color w:val="auto"/>
              </w:rPr>
            </w:pP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119,746</w:t>
            </w: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32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365,701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300,250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282,244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244,763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156,037</w:t>
            </w: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32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381,466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307,929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284,986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247,211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178,647</w:t>
            </w:r>
          </w:p>
        </w:tc>
        <w:tc>
          <w:tcPr>
            <w:tcW w:w="0" w:type="dxa"/>
            <w:vAlign w:val="bottom"/>
          </w:tcPr>
          <w:p>
            <w:pPr>
              <w:spacing w:after="0"/>
              <w:rPr>
                <w:sz w:val="1"/>
                <w:szCs w:val="1"/>
                <w:color w:val="auto"/>
              </w:rPr>
            </w:pPr>
          </w:p>
        </w:tc>
      </w:tr>
      <w:tr>
        <w:trPr>
          <w:trHeight w:val="240"/>
        </w:trPr>
        <w:tc>
          <w:tcPr>
            <w:tcW w:w="310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320" w:type="dxa"/>
            <w:vAlign w:val="bottom"/>
          </w:tcPr>
          <w:p>
            <w:pPr>
              <w:spacing w:after="0"/>
              <w:rPr>
                <w:sz w:val="20"/>
                <w:szCs w:val="20"/>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318,665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290,914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254,372</w:t>
            </w:r>
          </w:p>
        </w:tc>
        <w:tc>
          <w:tcPr>
            <w:tcW w:w="300" w:type="dxa"/>
            <w:vAlign w:val="bottom"/>
            <w:gridSpan w:val="2"/>
          </w:tcPr>
          <w:p>
            <w:pPr>
              <w:jc w:val="right"/>
              <w:ind w:right="98"/>
              <w:spacing w:after="0"/>
              <w:rPr>
                <w:sz w:val="20"/>
                <w:szCs w:val="20"/>
                <w:color w:val="auto"/>
              </w:rPr>
            </w:pPr>
            <w:r>
              <w:rPr>
                <w:rFonts w:ascii="Arial" w:cs="Arial" w:eastAsia="Arial" w:hAnsi="Arial"/>
                <w:sz w:val="20"/>
                <w:szCs w:val="20"/>
                <w:color w:val="auto"/>
              </w:rPr>
              <w:t>¹</w:t>
            </w:r>
          </w:p>
        </w:tc>
        <w:tc>
          <w:tcPr>
            <w:tcW w:w="32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246,638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151,344</w:t>
            </w: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line="220" w:lineRule="exact"/>
              <w:rPr>
                <w:sz w:val="20"/>
                <w:szCs w:val="20"/>
                <w:color w:val="auto"/>
              </w:rPr>
            </w:pPr>
            <w:r>
              <w:rPr>
                <w:rFonts w:ascii="Arial" w:cs="Arial" w:eastAsia="Arial" w:hAnsi="Arial"/>
                <w:sz w:val="20"/>
                <w:szCs w:val="20"/>
                <w:color w:val="auto"/>
              </w:rPr>
              <w:t>Total</w:t>
            </w:r>
          </w:p>
        </w:tc>
        <w:tc>
          <w:tcPr>
            <w:tcW w:w="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rPr>
              <w:t>1,303,942</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1,143,299</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1,033,780</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¹</w:t>
            </w:r>
          </w:p>
        </w:tc>
        <w:tc>
          <w:tcPr>
            <w:tcW w:w="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904,465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605,774</w:t>
            </w: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spacing w:after="0"/>
              <w:rPr>
                <w:sz w:val="20"/>
                <w:szCs w:val="20"/>
                <w:color w:val="auto"/>
              </w:rPr>
            </w:pPr>
            <w:r>
              <w:rPr>
                <w:rFonts w:ascii="Arial" w:cs="Arial" w:eastAsia="Arial" w:hAnsi="Arial"/>
                <w:sz w:val="20"/>
                <w:szCs w:val="20"/>
                <w:color w:val="auto"/>
              </w:rPr>
              <w:t>Average Price per Case</w:t>
            </w: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Quarter 1</w:t>
            </w:r>
          </w:p>
        </w:tc>
        <w:tc>
          <w:tcPr>
            <w:tcW w:w="1260" w:type="dxa"/>
            <w:vAlign w:val="bottom"/>
            <w:gridSpan w:val="2"/>
          </w:tcPr>
          <w:p>
            <w:pPr>
              <w:spacing w:after="0"/>
              <w:rPr>
                <w:sz w:val="20"/>
                <w:szCs w:val="20"/>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9.84</w:t>
            </w:r>
          </w:p>
        </w:tc>
        <w:tc>
          <w:tcPr>
            <w:tcW w:w="36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10.41</w:t>
            </w:r>
          </w:p>
        </w:tc>
        <w:tc>
          <w:tcPr>
            <w:tcW w:w="280" w:type="dxa"/>
            <w:vAlign w:val="bottom"/>
          </w:tcPr>
          <w:p>
            <w:pPr>
              <w:spacing w:after="0"/>
              <w:rPr>
                <w:sz w:val="20"/>
                <w:szCs w:val="20"/>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9.53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8.55</w:t>
            </w:r>
          </w:p>
        </w:tc>
        <w:tc>
          <w:tcPr>
            <w:tcW w:w="240" w:type="dxa"/>
            <w:vAlign w:val="bottom"/>
          </w:tcPr>
          <w:p>
            <w:pPr>
              <w:spacing w:after="0"/>
              <w:rPr>
                <w:sz w:val="20"/>
                <w:szCs w:val="20"/>
                <w:color w:val="auto"/>
              </w:rPr>
            </w:pP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8.00</w:t>
            </w: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rPr>
                <w:sz w:val="20"/>
                <w:szCs w:val="20"/>
                <w:color w:val="auto"/>
              </w:rPr>
            </w:pPr>
            <w:r>
              <w:rPr>
                <w:rFonts w:ascii="Arial" w:cs="Arial" w:eastAsia="Arial" w:hAnsi="Arial"/>
                <w:sz w:val="20"/>
                <w:szCs w:val="20"/>
                <w:color w:val="auto"/>
              </w:rPr>
              <w:t>Quarter 2</w:t>
            </w:r>
          </w:p>
        </w:tc>
        <w:tc>
          <w:tcPr>
            <w:tcW w:w="32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10.20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10.26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9.83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9.08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8.15</w:t>
            </w: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rPr>
                <w:sz w:val="20"/>
                <w:szCs w:val="20"/>
                <w:color w:val="auto"/>
              </w:rPr>
            </w:pPr>
            <w:r>
              <w:rPr>
                <w:rFonts w:ascii="Arial" w:cs="Arial" w:eastAsia="Arial" w:hAnsi="Arial"/>
                <w:sz w:val="20"/>
                <w:szCs w:val="20"/>
                <w:color w:val="auto"/>
              </w:rPr>
              <w:t>Quarter 3</w:t>
            </w:r>
          </w:p>
        </w:tc>
        <w:tc>
          <w:tcPr>
            <w:tcW w:w="32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10.08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10.33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9.35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8.44</w:t>
            </w:r>
          </w:p>
        </w:tc>
        <w:tc>
          <w:tcPr>
            <w:tcW w:w="0" w:type="dxa"/>
            <w:vAlign w:val="bottom"/>
          </w:tcPr>
          <w:p>
            <w:pPr>
              <w:spacing w:after="0"/>
              <w:rPr>
                <w:sz w:val="1"/>
                <w:szCs w:val="1"/>
                <w:color w:val="auto"/>
              </w:rPr>
            </w:pPr>
          </w:p>
        </w:tc>
      </w:tr>
      <w:tr>
        <w:trPr>
          <w:trHeight w:val="240"/>
        </w:trPr>
        <w:tc>
          <w:tcPr>
            <w:tcW w:w="3100" w:type="dxa"/>
            <w:vAlign w:val="bottom"/>
            <w:gridSpan w:val="3"/>
          </w:tcPr>
          <w:p>
            <w:pPr>
              <w:spacing w:after="0"/>
              <w:rPr>
                <w:sz w:val="20"/>
                <w:szCs w:val="20"/>
                <w:color w:val="auto"/>
              </w:rPr>
            </w:pPr>
            <w:r>
              <w:rPr>
                <w:rFonts w:ascii="Arial" w:cs="Arial" w:eastAsia="Arial" w:hAnsi="Arial"/>
                <w:sz w:val="20"/>
                <w:szCs w:val="20"/>
                <w:color w:val="auto"/>
              </w:rPr>
              <w:t>Quarter 4</w:t>
            </w:r>
          </w:p>
        </w:tc>
        <w:tc>
          <w:tcPr>
            <w:tcW w:w="320" w:type="dxa"/>
            <w:vAlign w:val="bottom"/>
          </w:tcPr>
          <w:p>
            <w:pPr>
              <w:spacing w:after="0"/>
              <w:rPr>
                <w:sz w:val="20"/>
                <w:szCs w:val="20"/>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20"/>
                <w:szCs w:val="20"/>
                <w:color w:val="auto"/>
              </w:rPr>
              <w:t>10.24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10.59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10.76</w:t>
            </w:r>
          </w:p>
        </w:tc>
        <w:tc>
          <w:tcPr>
            <w:tcW w:w="300" w:type="dxa"/>
            <w:vAlign w:val="bottom"/>
            <w:gridSpan w:val="2"/>
          </w:tcPr>
          <w:p>
            <w:pPr>
              <w:jc w:val="right"/>
              <w:ind w:right="98"/>
              <w:spacing w:after="0"/>
              <w:rPr>
                <w:sz w:val="20"/>
                <w:szCs w:val="20"/>
                <w:color w:val="auto"/>
              </w:rPr>
            </w:pPr>
            <w:r>
              <w:rPr>
                <w:rFonts w:ascii="Arial" w:cs="Arial" w:eastAsia="Arial" w:hAnsi="Arial"/>
                <w:sz w:val="20"/>
                <w:szCs w:val="20"/>
                <w:color w:val="auto"/>
              </w:rPr>
              <w:t>¹</w:t>
            </w:r>
          </w:p>
        </w:tc>
        <w:tc>
          <w:tcPr>
            <w:tcW w:w="32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9.61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8.67</w:t>
            </w:r>
          </w:p>
        </w:tc>
        <w:tc>
          <w:tcPr>
            <w:tcW w:w="0" w:type="dxa"/>
            <w:vAlign w:val="bottom"/>
          </w:tcPr>
          <w:p>
            <w:pPr>
              <w:spacing w:after="0"/>
              <w:rPr>
                <w:sz w:val="1"/>
                <w:szCs w:val="1"/>
                <w:color w:val="auto"/>
              </w:rPr>
            </w:pPr>
          </w:p>
        </w:tc>
      </w:tr>
      <w:tr>
        <w:trPr>
          <w:trHeight w:val="243"/>
        </w:trPr>
        <w:tc>
          <w:tcPr>
            <w:tcW w:w="3100" w:type="dxa"/>
            <w:vAlign w:val="bottom"/>
            <w:gridSpan w:val="3"/>
          </w:tcPr>
          <w:p>
            <w:pPr>
              <w:spacing w:after="0" w:line="220" w:lineRule="exact"/>
              <w:rPr>
                <w:sz w:val="20"/>
                <w:szCs w:val="20"/>
                <w:color w:val="auto"/>
              </w:rPr>
            </w:pPr>
            <w:r>
              <w:rPr>
                <w:rFonts w:ascii="Arial" w:cs="Arial" w:eastAsia="Arial" w:hAnsi="Arial"/>
                <w:sz w:val="20"/>
                <w:szCs w:val="20"/>
                <w:color w:val="auto"/>
              </w:rPr>
              <w:t>Total</w:t>
            </w:r>
          </w:p>
        </w:tc>
        <w:tc>
          <w:tcPr>
            <w:tcW w:w="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rPr>
              <w:t>10.11</w:t>
            </w:r>
          </w:p>
        </w:tc>
        <w:tc>
          <w:tcPr>
            <w:tcW w:w="3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10.40</w:t>
            </w:r>
          </w:p>
        </w:tc>
        <w:tc>
          <w:tcPr>
            <w:tcW w:w="2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10.07</w:t>
            </w:r>
          </w:p>
        </w:tc>
        <w:tc>
          <w:tcPr>
            <w:tcW w:w="60" w:type="dxa"/>
            <w:vAlign w:val="bottom"/>
            <w:tcBorders>
              <w:top w:val="single" w:sz="8" w:color="auto"/>
              <w:bottom w:val="single" w:sz="8" w:color="auto"/>
            </w:tcBorders>
          </w:tcPr>
          <w:p>
            <w:pPr>
              <w:spacing w:after="0"/>
              <w:rPr>
                <w:sz w:val="21"/>
                <w:szCs w:val="21"/>
                <w:color w:val="auto"/>
              </w:rPr>
            </w:pP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¹</w:t>
            </w:r>
          </w:p>
        </w:tc>
        <w:tc>
          <w:tcPr>
            <w:tcW w:w="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9.19</w:t>
            </w:r>
          </w:p>
        </w:tc>
        <w:tc>
          <w:tcPr>
            <w:tcW w:w="2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8.33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30" w:gutter="0" w:footer="0" w:header="0"/>
        </w:sectPr>
      </w:pPr>
    </w:p>
    <w:bookmarkStart w:id="37" w:name="page38"/>
    <w:bookmarkEnd w:id="37"/>
    <w:p>
      <w:pPr>
        <w:jc w:val="both"/>
        <w:spacing w:after="0" w:line="281" w:lineRule="auto"/>
        <w:rPr>
          <w:sz w:val="20"/>
          <w:szCs w:val="20"/>
          <w:color w:val="auto"/>
        </w:rPr>
      </w:pPr>
      <w:r>
        <w:rPr>
          <w:rFonts w:ascii="Arial" w:cs="Arial" w:eastAsia="Arial" w:hAnsi="Arial"/>
          <w:sz w:val="16"/>
          <w:szCs w:val="16"/>
          <w:b w:val="1"/>
          <w:bCs w:val="1"/>
          <w:color w:val="auto"/>
        </w:rPr>
        <w:t>¹</w:t>
      </w:r>
      <w:r>
        <w:rPr>
          <w:rFonts w:ascii="Arial" w:cs="Arial" w:eastAsia="Arial" w:hAnsi="Arial"/>
          <w:sz w:val="16"/>
          <w:szCs w:val="16"/>
          <w:color w:val="auto"/>
        </w:rPr>
        <w:t>Net Revenues for the fourth quarter of 2008 included the recognition of $11.6 million of revenue related to the acceleration of the deferred revenue balance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our prior distributors terminated in the fourth quarter of 2008. Average price per case exclusive of this recognition was $10.26 and $9.96 for the three-months and year ended December 31, 2008,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do not believe that inflation had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(the “Securities Act”), and Section 21.E of the Exchange Act, as amended)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spacing w:after="0" w:line="15" w:lineRule="exact"/>
        <w:rPr>
          <w:rFonts w:ascii="Arial" w:cs="Arial" w:eastAsia="Arial" w:hAnsi="Arial"/>
          <w:sz w:val="20"/>
          <w:szCs w:val="20"/>
          <w:color w:val="auto"/>
        </w:rPr>
      </w:pP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impact of the acquisition of CCE’s North American business by KO;</w:t>
      </w:r>
    </w:p>
    <w:p>
      <w:pPr>
        <w:ind w:left="460" w:hanging="452"/>
        <w:spacing w:after="0" w:line="239"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impact of the acquisition of AB by InBev;</w:t>
      </w: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Unfavorable international regulations, including taxation requirements, tariffs or trade restrictions;</w:t>
      </w: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Losses arising from our operations outside the United States;</w:t>
      </w:r>
    </w:p>
    <w:p>
      <w:pPr>
        <w:ind w:left="460" w:hanging="452"/>
        <w:spacing w:after="0" w:line="239"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Arial" w:cs="Arial" w:eastAsia="Arial" w:hAnsi="Arial"/>
          <w:sz w:val="20"/>
          <w:szCs w:val="20"/>
          <w:color w:val="auto"/>
        </w:rPr>
      </w:pPr>
    </w:p>
    <w:p>
      <w:pPr>
        <w:jc w:val="both"/>
        <w:ind w:left="460" w:hanging="452"/>
        <w:spacing w:after="0" w:line="239"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continues to increase as we do not use derivative financial instruments to reduce our net exposure to currency fluctuations;</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 or other governmental agencies;</w:t>
      </w:r>
    </w:p>
    <w:p>
      <w:pPr>
        <w:ind w:left="460" w:hanging="452"/>
        <w:spacing w:after="0" w:line="239"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outcome of the shareholder derivative actions and shareholder securities litigation filed against us and/or certain of our officers and directors, and the possibility of other private litigation;</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outcome of future auctions of auction rate securities and/or our ability to recover payment thereunder or from our Put Option;</w:t>
      </w:r>
    </w:p>
    <w:p>
      <w:pPr>
        <w:spacing w:after="0" w:line="11" w:lineRule="exact"/>
        <w:rPr>
          <w:rFonts w:ascii="Arial" w:cs="Arial" w:eastAsia="Arial" w:hAnsi="Arial"/>
          <w:sz w:val="19"/>
          <w:szCs w:val="19"/>
          <w:color w:val="auto"/>
        </w:rPr>
      </w:pP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 over financial reporting;</w:t>
      </w: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generate sufficient cash flows to support capital expansion plans and general operating activities;</w:t>
      </w:r>
    </w:p>
    <w:p>
      <w:pPr>
        <w:ind w:left="460" w:hanging="452"/>
        <w:spacing w:after="0" w:line="239"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460" w:hanging="452"/>
        <w:spacing w:after="0" w:line="239"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460" w:hanging="452"/>
        <w:spacing w:after="0"/>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jc w:val="both"/>
        <w:ind w:left="460" w:hanging="452"/>
        <w:spacing w:after="0" w:line="239"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Java Monster™ line of non-carbonated dairy based coffee + energy drinks and/or our Monster Energy® Extra Strength Nitrous Technology™ drinks and/or our Peace Tea™ iced teas;</w:t>
      </w:r>
    </w:p>
    <w:p>
      <w:pPr>
        <w:spacing w:after="0" w:line="1" w:lineRule="exact"/>
        <w:rPr>
          <w:rFonts w:ascii="Arial" w:cs="Arial" w:eastAsia="Arial" w:hAnsi="Arial"/>
          <w:sz w:val="20"/>
          <w:szCs w:val="20"/>
          <w:color w:val="auto"/>
        </w:rPr>
      </w:pPr>
    </w:p>
    <w:p>
      <w:pPr>
        <w:jc w:val="both"/>
        <w:ind w:left="460" w:hanging="452"/>
        <w:spacing w:after="0" w:line="241" w:lineRule="auto"/>
        <w:tabs>
          <w:tab w:leader="none" w:pos="4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limits or otherwise restricts the sale of energy drinks to minors and/or persons below a specified age and/or the venues in which energy drinks can be sold;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460" w:hanging="452"/>
        <w:spacing w:after="0" w:line="27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existing foreign, national, state and local laws and regulations and/or any changes therein, including changes in accounting standards, taxation requirements (including tax rate changes, new tax laws and revised tax law interpretations) and environmental laws, as well as the Federal Food, Drug and Cosmetic Act, the Dietary Supplement Health and Education Act, and regulations made thereunder or in connection therewith, as well as changes in any other food and drug laws, especially those that may affect the way in which our products are marketed, and/or labeled, and/or sold, including the contents thereof, as well as laws and</w:t>
      </w:r>
    </w:p>
    <w:p>
      <w:pPr>
        <w:sectPr>
          <w:pgSz w:w="11900" w:h="16838" w:orient="portrait"/>
          <w:cols w:equalWidth="0" w:num="1">
            <w:col w:w="11420"/>
          </w:cols>
          <w:pgMar w:left="240" w:top="126" w:right="239" w:bottom="0" w:gutter="0" w:footer="0" w:header="0"/>
        </w:sectPr>
      </w:pPr>
    </w:p>
    <w:bookmarkStart w:id="38" w:name="page39"/>
    <w:bookmarkEnd w:id="38"/>
    <w:p>
      <w:pPr>
        <w:jc w:val="both"/>
        <w:ind w:left="460"/>
        <w:spacing w:after="0" w:line="245" w:lineRule="auto"/>
        <w:rPr>
          <w:sz w:val="20"/>
          <w:szCs w:val="20"/>
          <w:color w:val="auto"/>
        </w:rPr>
      </w:pPr>
      <w:r>
        <w:rPr>
          <w:rFonts w:ascii="Arial" w:cs="Arial" w:eastAsia="Arial" w:hAnsi="Arial"/>
          <w:sz w:val="20"/>
          <w:szCs w:val="20"/>
          <w:color w:val="auto"/>
        </w:rPr>
        <w:t>regulations or rules made or enforced by the Food and Drug Administration, and/or the Bureau of Alcohol, Tobacco and Firearms and Explosives, and/or the Federal Trade Commission and/or certain state regulatory agencie s and/or any other countries in which we decide to sell our products;</w:t>
      </w:r>
    </w:p>
    <w:p>
      <w:pPr>
        <w:spacing w:after="0" w:line="2" w:lineRule="exact"/>
        <w:rPr>
          <w:sz w:val="20"/>
          <w:szCs w:val="20"/>
          <w:color w:val="auto"/>
        </w:rPr>
      </w:pPr>
    </w:p>
    <w:p>
      <w:pPr>
        <w:jc w:val="both"/>
        <w:ind w:left="460" w:hanging="452"/>
        <w:spacing w:after="0" w:line="239"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the cost, quality and availability of containers, packaging materials, raw materials and juice concentrates, and the ability to obtain and/or maintain favorable supply arrangements and relationships and procure timely and/or adequate production of all or any of our products;</w:t>
      </w:r>
    </w:p>
    <w:p>
      <w:pPr>
        <w:spacing w:after="0" w:line="1" w:lineRule="exact"/>
        <w:rPr>
          <w:rFonts w:ascii="Arial" w:cs="Arial" w:eastAsia="Arial" w:hAnsi="Arial"/>
          <w:sz w:val="20"/>
          <w:szCs w:val="20"/>
          <w:color w:val="auto"/>
        </w:rPr>
      </w:pPr>
    </w:p>
    <w:p>
      <w:pPr>
        <w:ind w:left="460" w:hanging="452"/>
        <w:spacing w:after="0" w:line="239"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the increasing costs of raw materials and/or ingredients and/or commodities affecting our business;</w:t>
      </w:r>
    </w:p>
    <w:p>
      <w:pPr>
        <w:spacing w:after="0" w:line="1" w:lineRule="exact"/>
        <w:rPr>
          <w:rFonts w:ascii="Arial" w:cs="Arial" w:eastAsia="Arial" w:hAnsi="Arial"/>
          <w:sz w:val="20"/>
          <w:szCs w:val="20"/>
          <w:color w:val="auto"/>
        </w:rPr>
      </w:pPr>
    </w:p>
    <w:p>
      <w:pPr>
        <w:jc w:val="both"/>
        <w:ind w:left="460" w:hanging="452"/>
        <w:spacing w:after="0" w:line="239"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or mixes of product sales;</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penetrate new domestic or international markets;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gain approval or mitigate the delay in securing approval for the sale of our products in various countries;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secure and/or retain competent and/or effective distributors internationally;</w:t>
      </w:r>
    </w:p>
    <w:p>
      <w:pPr>
        <w:ind w:left="460" w:hanging="452"/>
        <w:spacing w:after="0" w:line="239"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460" w:hanging="452"/>
        <w:spacing w:after="0" w:line="239"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terms and/or availability of our credit facility and the actions of our creditors;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costs and/or effectiveness of our advertising, marketing and promotional programs;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460" w:right="20" w:hanging="452"/>
        <w:spacing w:after="0" w:line="239"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and/or the timely replacement of discontinued co-packing arrangements;</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procurement of non-defective raw materials;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or other opportunities;</w:t>
      </w:r>
    </w:p>
    <w:p>
      <w:pPr>
        <w:ind w:left="460" w:right="20" w:hanging="452"/>
        <w:spacing w:after="0" w:line="239"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ability of our bottlers and contract packers to manufacture our products;</w:t>
      </w: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jc w:val="both"/>
        <w:ind w:left="460" w:hanging="452"/>
        <w:spacing w:after="0" w:line="239" w:lineRule="auto"/>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could disrupt the Company’s business, negatively impact customer relationships and negatively impact the Company’s operations and abilities to operate efficiently and measure performance;</w:t>
      </w:r>
    </w:p>
    <w:p>
      <w:pPr>
        <w:spacing w:after="0" w:line="1" w:lineRule="exact"/>
        <w:rPr>
          <w:rFonts w:ascii="Arial" w:cs="Arial" w:eastAsia="Arial" w:hAnsi="Arial"/>
          <w:sz w:val="20"/>
          <w:szCs w:val="20"/>
          <w:color w:val="auto"/>
        </w:rPr>
      </w:pPr>
    </w:p>
    <w:p>
      <w:pPr>
        <w:ind w:left="460" w:hanging="452"/>
        <w:spacing w:after="0"/>
        <w:tabs>
          <w:tab w:leader="none" w:pos="4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Recruitment and retention of senior management and other key employees.</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6" w:lineRule="exact"/>
        <w:rPr>
          <w:sz w:val="20"/>
          <w:szCs w:val="20"/>
          <w:color w:val="auto"/>
        </w:rPr>
      </w:pPr>
    </w:p>
    <w:p>
      <w:pPr>
        <w:spacing w:after="0"/>
        <w:tabs>
          <w:tab w:leader="none" w:pos="154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the normal course of business, our financial position is routinely subject to a variety of risks. The principal market risks (i.e., the risk of loss arising from adverse changes in market rates and prices) to which we are exposed are fluctuations in energy and fuel prices, commodity prices affecting the costs of juice concentrates and other raw materials (including, but not limited to, increases in the price of aluminum for cans, resin for PET plastic bottles, as well as cane sugar and other sweeteners, glucose, sucrose and milk and cream, all of which are used in some or many of our products) and limited availability of certain raw materials. We are also subject to market risks with respect to the cost of commodities because our ability to recover increased costs through higher pricing is limited by the competitive environment in which we operate. In addition, we ar e subject to other risks associated with the business environment in which we operate, including the collectability of accounts receivable and inventory realization.</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do not use derivative financial instruments to protect ourselves from fluctuations in interest rates and do not hedge against fluctuations in commodity prices. We do not use hedging agreements or alternative instruments to manage the risks associated with securing sufficient ingredients or raw materials.</w:t>
      </w:r>
    </w:p>
    <w:p>
      <w:pPr>
        <w:sectPr>
          <w:pgSz w:w="11900" w:h="16838" w:orient="portrait"/>
          <w:cols w:equalWidth="0" w:num="1">
            <w:col w:w="11420"/>
          </w:cols>
          <w:pgMar w:left="240" w:top="122" w:right="239" w:bottom="63" w:gutter="0" w:footer="0" w:header="0"/>
        </w:sectPr>
      </w:pPr>
    </w:p>
    <w:bookmarkStart w:id="39" w:name="page40"/>
    <w:bookmarkEnd w:id="39"/>
    <w:p>
      <w:pPr>
        <w:spacing w:after="0" w:line="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gross sales to customers outside of the United States were approximately 16% and 13% of consolidated gross sales for both the years ended December 31, 2010 and 2009, respectively. Our growth strategy includes expanding our international business. As a result, we are subject to risks from changes in foreign currency exchange rates. These changes result in cumulative translation adjustments, which are included in accumulated other comprehensive income (loss). We do not consider the potential loss resulting from a hypothetical 10% adverse change in quoted foreign currency exchange rates as of December 31, 2010 to be significant. For the year ended December 31, 2010 we did not use derivative financial instruments to reduce our net exposure to currency fluctuations.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are primarily exposed to market risks from fluctuations in interest rates and the effects of those fluctuations on the market values of our short-term and long-term investments. Certain of our short-term and long-term investments are subject to interest rate risk because these investments generally include a fixed interest rate. As a result, the market values of these investments are affected by changes in prevailing interest rates.</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December 31, 2010, we had $354.8 million in cash and cash equivalents and $288.8 million in short- and long-term investments including U.S. treasuries, certificates of deposit, municipal securities, U.S. government agency securities, variable rate demand notes and municipal securities (which may have an auction reset feature). Certain of these investments are subject to general credit, liquidity, market and interest rate risks, which may be exacerbated by U.S. sub-prime mortgage defaults that have affected various sectors of the financial markets and caused credit and liquidity issues. At the current time, we are not increasing our investments in auction rate securities nor investing in corporate bonds.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March 2010, we entered into the ARS Agreement, related to $54.2 million in par value auction rate securities. Under the ARS Agreement, we have the right, but not the obligation, to sell the ARS Securities including all accrued but unpaid interest as follows: (i) on or after March 22, 2011, up to $13.6 million aggregate par value; and (ii) semi-annual or annual installments thereafter with full sale rights available on or after March 22, 2013. The ARS Securities will continue to accrue interest until redeemed through the Put Option, or as determined by the auction process or the terms outlined in the prospectus of the ARS Securities when the auction process fails. As of December 31, 2010, we recorded $3.8 million as the fair market value of the Put Option ($3.0 million current portion included in prepaid expenses and other current assets and $0 .8 million long-term portion included in other assets) in the consolidated balance sheet, with a corresponding gain of $3.8 million recorded in other income (expense) in the consolidated statements of income for the year ended December 31, 2010. In connection with the ARS Agreement, during the first fiscal quarter of 2010, we reclassified $54.2 million of auction rate securities from available-for-sale to trading, as we have the ability and intent to exercise the related Put Option beginning March 22, 2011. We recognized a loss on trading securities of $3.9 million through earnings during the year ended December 31, 2010. During the year ended December 31, 2010, $7.4 million of par value ARS Securities were redeemed at par through normal market channels.</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The applicable interest rate on our auction rate securities is reset at pre-determined intervals, usually every 7 to 35 days. Liquidity for auction rate securities was typically provided by an auction process which allowed holders to sell their notes. During the years ended December 31, 2010, 2009 and 2008, the auctions for these auction rate securities failed. Based on an assessment of fair value as of December 31, 2010, we determined that there was a decline in fair value of our available for sale auction rate securities of $7.4 million. We determined that of the $7.4 million decline in fair value of our auction rate securities at December 31, 2010, $2.4 million was deemed temporary and $5.0 million was deemed other-than-temporary. At December 31, 2010, $2.4 million of temporary impairment has been recorded, less a tax benefit of $1.0 million, as a component of other comprehensive income (loss). We recorded a net charge through earnings of $0.6 million of other-than-temporary impairment that was deemed Credit Loss related during the year ended December 31, 2010 ($3.9 million and $0.5 million had been previously deemed other-than-temporary Credit Loss related and were charged through earnings for the years ended December 31, 2009 and 2008, respectively). There is no assurance that future auctions of any auction rate securities in our investment portfolio will succeed. These market risks associated with our investment portfolio may have an adverse effect on our future results of operations, liquidity and financial condition. (See “Part I, Item 1A Risk Factors – </w:t>
      </w:r>
      <w:r>
        <w:rPr>
          <w:rFonts w:ascii="Arial" w:cs="Arial" w:eastAsia="Arial" w:hAnsi="Arial"/>
          <w:sz w:val="19"/>
          <w:szCs w:val="19"/>
          <w:i w:val="1"/>
          <w:iCs w:val="1"/>
          <w:color w:val="auto"/>
        </w:rPr>
        <w:t>Our investments are subject to risks which may cause losses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and affect the liquidity of these investments” </w:t>
      </w:r>
      <w:r>
        <w:rPr>
          <w:rFonts w:ascii="Arial" w:cs="Arial" w:eastAsia="Arial" w:hAnsi="Arial"/>
          <w:sz w:val="19"/>
          <w:szCs w:val="19"/>
          <w:color w:val="auto"/>
        </w:rPr>
        <w:t>and “Part I, Item 7 – Management’s Discussion and Analysis of Financial Condition and Results</w:t>
      </w:r>
      <w:r>
        <w:rPr>
          <w:rFonts w:ascii="Arial" w:cs="Arial" w:eastAsia="Arial" w:hAnsi="Arial"/>
          <w:sz w:val="19"/>
          <w:szCs w:val="19"/>
          <w:i w:val="1"/>
          <w:iCs w:val="1"/>
          <w:color w:val="auto"/>
        </w:rPr>
        <w:t xml:space="preserve"> </w:t>
      </w:r>
      <w:r>
        <w:rPr>
          <w:rFonts w:ascii="Arial" w:cs="Arial" w:eastAsia="Arial" w:hAnsi="Arial"/>
          <w:sz w:val="19"/>
          <w:szCs w:val="19"/>
          <w:color w:val="auto"/>
        </w:rPr>
        <w:t>of Operations – Liquidity and Capital Resources”).</w:t>
      </w: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information required to be furnished in response to this ITEM 8 follows the signature page hereto at pages 74 through 112.</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 iods specified in rules and forms of the Securities</w:t>
      </w:r>
    </w:p>
    <w:p>
      <w:pPr>
        <w:sectPr>
          <w:pgSz w:w="11900" w:h="16877" w:orient="portrait"/>
          <w:cols w:equalWidth="0" w:num="1">
            <w:col w:w="11420"/>
          </w:cols>
          <w:pgMar w:left="240" w:top="122" w:right="239" w:bottom="0" w:gutter="0" w:footer="0" w:header="0"/>
        </w:sectPr>
      </w:pPr>
    </w:p>
    <w:bookmarkStart w:id="40" w:name="page41"/>
    <w:bookmarkEnd w:id="40"/>
    <w:p>
      <w:pPr>
        <w:jc w:val="both"/>
        <w:spacing w:after="0" w:line="262" w:lineRule="auto"/>
        <w:rPr>
          <w:sz w:val="20"/>
          <w:szCs w:val="20"/>
          <w:color w:val="auto"/>
        </w:rPr>
      </w:pPr>
      <w:r>
        <w:rPr>
          <w:rFonts w:ascii="Arial" w:cs="Arial" w:eastAsia="Arial" w:hAnsi="Arial"/>
          <w:sz w:val="20"/>
          <w:szCs w:val="20"/>
          <w:color w:val="auto"/>
        </w:rPr>
        <w:t>Exchange Commission (the “SEC”) and (2) is accumulated and communicated to our management, including its principal executive and principal financial officers as appropriate to allow timely decisions regarding required disclosures.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Management’s Report on Internal Control Over Financial Reporting </w:t>
      </w:r>
      <w:r>
        <w:rPr>
          <w:rFonts w:ascii="Arial" w:cs="Arial" w:eastAsia="Arial" w:hAnsi="Arial"/>
          <w:sz w:val="19"/>
          <w:szCs w:val="19"/>
          <w:color w:val="auto"/>
        </w:rPr>
        <w:t>– Our management is responsible for establishing and maintaining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2010, based on the framework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Control – Integrated Framework </w:t>
      </w:r>
      <w:r>
        <w:rPr>
          <w:rFonts w:ascii="Arial" w:cs="Arial" w:eastAsia="Arial" w:hAnsi="Arial"/>
          <w:sz w:val="19"/>
          <w:szCs w:val="19"/>
          <w:color w:val="auto"/>
        </w:rPr>
        <w:t>issued by the Committee of Sponsoring Organizations of the Treadway Commission. Based on 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management’s evaluation under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our manage ment concluded that our internal control over financial reporting was effective as of December 31, 2010.</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internal control over financial reporting as of December 31, 2010, has been audited by Deloitte &amp; Touche LLP, an independent registered public accounting firm, as stated in their attestation report, which is included herein.</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Changes in Internal Control Over Financial Reporting </w:t>
      </w:r>
      <w:r>
        <w:rPr>
          <w:rFonts w:ascii="Arial" w:cs="Arial" w:eastAsia="Arial" w:hAnsi="Arial"/>
          <w:sz w:val="19"/>
          <w:szCs w:val="19"/>
          <w:color w:val="auto"/>
        </w:rPr>
        <w:t>– During the quarter ended December 31, 2010, we implemented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modules of SAP, an enterprise resource planning (“ERP”) system, at our European subsidiaries. We have modified the design and documentation of internal control processes and procedures relating to the new systems to supplement and complement existing internal controls. We expect the SAP system to further advance our control environment by automating manual processes, improving management visibility and standardizing processes as its full capabilities are utilized and we will continue to update our internal controls over financial reporting as necessary to accommodate modifications to the business processes and accounting processes. There were no other change s in the Company’s internal controls over financial reporting during the quarter ended December 31, 2010 that have materially affected, or are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Stockholders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Hansen Natural Corporation</w:t>
      </w:r>
    </w:p>
    <w:p>
      <w:pPr>
        <w:spacing w:after="0"/>
        <w:rPr>
          <w:sz w:val="20"/>
          <w:szCs w:val="20"/>
          <w:color w:val="auto"/>
        </w:rPr>
      </w:pPr>
      <w:r>
        <w:rPr>
          <w:rFonts w:ascii="Arial" w:cs="Arial" w:eastAsia="Arial" w:hAnsi="Arial"/>
          <w:sz w:val="19"/>
          <w:szCs w:val="19"/>
          <w:color w:val="auto"/>
        </w:rPr>
        <w:t>Corona, California</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Hansen Natural Corporation and subsidiaries (the “Company”) as of December 31, 2010,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w:t>
      </w:r>
    </w:p>
    <w:p>
      <w:pPr>
        <w:spacing w:after="0" w:line="184"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the consolidated financial statements and financial statement schedule as of and for the year ended December 31, 2010 of the Company and our report dated March 1, 2011 expressed an unqualified opinion on those financial statements and financial statement schedule.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Costa Mesa,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March 1, 2011</w:t>
      </w:r>
    </w:p>
    <w:p>
      <w:pPr>
        <w:sectPr>
          <w:pgSz w:w="11900" w:h="16838" w:orient="portrait"/>
          <w:cols w:equalWidth="0" w:num="1">
            <w:col w:w="11420"/>
          </w:cols>
          <w:pgMar w:left="240" w:top="122" w:right="239" w:bottom="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41" w:name="page42"/>
    <w:bookmarkEnd w:id="41"/>
    <w:p>
      <w:pPr>
        <w:spacing w:after="0" w:line="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by this item regarding our directors is included under the caption “Proposal One – Election of Directors” in our Proxy Statement for our 2011 Annual Meeting of Stockholders to be filed with the SEC within 120 days after the end of the fiscal year ended December 31, 2010 (the “2011 Proxy Statement”) and is incorporated herein by reference.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compliance with Section 16(a) of the Exchange Act is included under the caption “Section 16(a) Beneficial Ownership Reporting Compliance” in our 2011 Proxy Statement and is incorporated herein by reference.</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Information concerning the Audit Committee and the Audit Committee Financial expert is reported under the caption “Audit Committee; Report of the Audit Committee; Duties and Responsibilities” in our 2011 Proxy Statement and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and is available at </w:t>
      </w:r>
      <w:r>
        <w:rPr>
          <w:rFonts w:ascii="Arial" w:cs="Arial" w:eastAsia="Arial" w:hAnsi="Arial"/>
          <w:sz w:val="20"/>
          <w:szCs w:val="20"/>
          <w:u w:val="single" w:color="auto"/>
          <w:color w:val="auto"/>
        </w:rPr>
        <w:t>http://investor.hansens.com/documents.cfm</w:t>
      </w:r>
      <w:r>
        <w:rPr>
          <w:rFonts w:ascii="Arial" w:cs="Arial" w:eastAsia="Arial" w:hAnsi="Arial"/>
          <w:sz w:val="20"/>
          <w:szCs w:val="20"/>
          <w:color w:val="auto"/>
        </w:rPr>
        <w:t>. The Code of Business Conduct and Ethics and any amendment thereto, as well as any waivers that are required to be disclosed by the rules of the SEC or NASDAQ may be obtained at no cost to you by writing or telephoning us at the following address or telephone number: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Hansen Natural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550 Monica Circle, Suite 201</w:t>
      </w:r>
    </w:p>
    <w:p>
      <w:pPr>
        <w:jc w:val="center"/>
        <w:spacing w:after="0"/>
        <w:rPr>
          <w:sz w:val="20"/>
          <w:szCs w:val="20"/>
          <w:color w:val="auto"/>
        </w:rPr>
      </w:pPr>
      <w:r>
        <w:rPr>
          <w:rFonts w:ascii="Arial" w:cs="Arial" w:eastAsia="Arial" w:hAnsi="Arial"/>
          <w:sz w:val="20"/>
          <w:szCs w:val="20"/>
          <w:color w:val="auto"/>
        </w:rPr>
        <w:t>Corona, CA 92880</w:t>
      </w:r>
    </w:p>
    <w:p>
      <w:pPr>
        <w:ind w:left="5580" w:hanging="484"/>
        <w:spacing w:after="0"/>
        <w:tabs>
          <w:tab w:leader="none" w:pos="55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739-6200</w:t>
      </w:r>
    </w:p>
    <w:p>
      <w:pPr>
        <w:ind w:left="5500" w:hanging="482"/>
        <w:spacing w:after="0"/>
        <w:tabs>
          <w:tab w:leader="none" w:pos="55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HANSENS</w:t>
      </w:r>
    </w:p>
    <w:p>
      <w:pPr>
        <w:ind w:left="5580" w:hanging="484"/>
        <w:spacing w:after="0"/>
        <w:tabs>
          <w:tab w:leader="none" w:pos="55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2011 Proxy Statement and is incorporated herein by reference.</w:t>
      </w:r>
    </w:p>
    <w:p>
      <w:pPr>
        <w:spacing w:after="0" w:line="194" w:lineRule="exact"/>
        <w:rPr>
          <w:sz w:val="20"/>
          <w:szCs w:val="20"/>
          <w:color w:val="auto"/>
        </w:rPr>
      </w:pPr>
    </w:p>
    <w:p>
      <w:pPr>
        <w:ind w:right="92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disclosure set forth in Item 5, “Market for the Registrant’s Common Equity, Related Stockholder Matters and Issuer Repurchases of Equity Securities”, of this report is incorporated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Information concerning the beneficial ownership of the Company’s Common Stock of (a) those persons known to the Company to be the beneficial owners of more than 5% of the Company’s common stock; (b) each of the Company’s directors and nominees for director; and</w:t>
      </w:r>
    </w:p>
    <w:p>
      <w:pPr>
        <w:spacing w:after="0" w:line="1" w:lineRule="exact"/>
        <w:rPr>
          <w:sz w:val="20"/>
          <w:szCs w:val="20"/>
          <w:color w:val="auto"/>
        </w:rPr>
      </w:pPr>
    </w:p>
    <w:p>
      <w:pPr>
        <w:ind w:firstLine="8"/>
        <w:spacing w:after="0" w:line="298" w:lineRule="auto"/>
        <w:tabs>
          <w:tab w:leader="none" w:pos="2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executive officers and all of the Company’s current directors and executive officers as a group is reported under the caption “Principal Stockholders and Security Ownership of Management” in our 2011 Proxy Statement and is incorporated herein by reference.</w:t>
      </w:r>
    </w:p>
    <w:p>
      <w:pPr>
        <w:spacing w:after="0" w:line="15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23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Information concerning certain relationships and related transactions is reported under the caption “Certain Relationships and Related Transactions and Director Independence” in our 2011 Proxy Statement and is incorporated herein by reference.</w:t>
      </w:r>
    </w:p>
    <w:p>
      <w:pPr>
        <w:spacing w:after="0" w:line="184"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ACCOUNTANT FEES AND SERVICES</w:t>
      </w:r>
    </w:p>
    <w:p>
      <w:pPr>
        <w:spacing w:after="0" w:line="235" w:lineRule="exact"/>
        <w:rPr>
          <w:sz w:val="20"/>
          <w:szCs w:val="20"/>
          <w:color w:val="auto"/>
        </w:rPr>
      </w:pPr>
    </w:p>
    <w:p>
      <w:pPr>
        <w:ind w:right="240" w:firstLine="648"/>
        <w:spacing w:after="0" w:line="250" w:lineRule="auto"/>
        <w:rPr>
          <w:sz w:val="20"/>
          <w:szCs w:val="20"/>
          <w:color w:val="auto"/>
        </w:rPr>
      </w:pPr>
      <w:r>
        <w:rPr>
          <w:rFonts w:ascii="Arial" w:cs="Arial" w:eastAsia="Arial" w:hAnsi="Arial"/>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2011 Proxy Statement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29"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b w:val="1"/>
          <w:bCs w:val="1"/>
          <w:color w:val="auto"/>
        </w:rPr>
        <w:t>EXHIBITS, FINANCIAL STATEMENT SCHEDULES</w:t>
      </w:r>
    </w:p>
    <w:p>
      <w:pPr>
        <w:spacing w:after="0" w:line="235" w:lineRule="exact"/>
        <w:rPr>
          <w:sz w:val="20"/>
          <w:szCs w:val="20"/>
          <w:color w:val="auto"/>
        </w:rPr>
      </w:pPr>
    </w:p>
    <w:p>
      <w:pPr>
        <w:ind w:left="1180" w:hanging="913"/>
        <w:spacing w:after="0"/>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following documents are filed as a part of this Form 10-K:</w:t>
      </w:r>
    </w:p>
    <w:p>
      <w:pPr>
        <w:sectPr>
          <w:pgSz w:w="11900" w:h="16840" w:orient="portrait"/>
          <w:cols w:equalWidth="0" w:num="1">
            <w:col w:w="11420"/>
          </w:cols>
          <w:pgMar w:left="240" w:top="576" w:right="239" w:bottom="0" w:gutter="0" w:footer="0" w:header="0"/>
        </w:sectPr>
      </w:pPr>
    </w:p>
    <w:bookmarkStart w:id="42" w:name="page43"/>
    <w:bookmarkEnd w:id="42"/>
    <w:tbl>
      <w:tblPr>
        <w:tblLayout w:type="fixed"/>
        <w:tblInd w:w="1180" w:type="dxa"/>
        <w:tblCellMar>
          <w:top w:w="0" w:type="dxa"/>
          <w:left w:w="0" w:type="dxa"/>
          <w:bottom w:w="0" w:type="dxa"/>
          <w:right w:w="0" w:type="dxa"/>
        </w:tblCellMar>
      </w:tblPr>
      <w:tr>
        <w:trPr>
          <w:trHeight w:val="230"/>
        </w:trPr>
        <w:tc>
          <w:tcPr>
            <w:tcW w:w="9280" w:type="dxa"/>
            <w:vAlign w:val="bottom"/>
            <w:gridSpan w:val="10"/>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Report of Independent Registered Public Accounting Firm</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463"/>
        </w:trPr>
        <w:tc>
          <w:tcPr>
            <w:tcW w:w="4640" w:type="dxa"/>
            <w:vAlign w:val="bottom"/>
            <w:tcBorders>
              <w:top w:val="single" w:sz="8" w:color="0000EE"/>
            </w:tcBorders>
            <w:gridSpan w:val="4"/>
          </w:tcPr>
          <w:p>
            <w:pPr>
              <w:spacing w:after="0"/>
              <w:rPr>
                <w:sz w:val="20"/>
                <w:szCs w:val="20"/>
                <w:color w:val="auto"/>
              </w:rPr>
            </w:pPr>
            <w:r>
              <w:rPr>
                <w:rFonts w:ascii="Arial" w:cs="Arial" w:eastAsia="Arial" w:hAnsi="Arial"/>
                <w:sz w:val="20"/>
                <w:szCs w:val="20"/>
                <w:color w:val="auto"/>
              </w:rPr>
              <w:t>Financial Statements:</w:t>
            </w:r>
          </w:p>
        </w:tc>
        <w:tc>
          <w:tcPr>
            <w:tcW w:w="4640" w:type="dxa"/>
            <w:vAlign w:val="bottom"/>
            <w:gridSpan w:val="6"/>
          </w:tcPr>
          <w:p>
            <w:pPr>
              <w:spacing w:after="0"/>
              <w:rPr>
                <w:sz w:val="24"/>
                <w:szCs w:val="24"/>
                <w:color w:val="auto"/>
              </w:rPr>
            </w:pPr>
          </w:p>
        </w:tc>
        <w:tc>
          <w:tcPr>
            <w:tcW w:w="96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5120" w:type="dxa"/>
            <w:vAlign w:val="bottom"/>
            <w:tcBorders>
              <w:bottom w:val="single" w:sz="8" w:color="0000EE"/>
            </w:tcBorders>
            <w:gridSpan w:val="4"/>
          </w:tcPr>
          <w:p>
            <w:pPr>
              <w:spacing w:after="0" w:line="206" w:lineRule="exact"/>
              <w:rPr>
                <w:rFonts w:ascii="Arial" w:cs="Arial" w:eastAsia="Arial" w:hAnsi="Arial"/>
                <w:sz w:val="20"/>
                <w:szCs w:val="20"/>
                <w:color w:val="0000EE"/>
                <w:w w:val="87"/>
              </w:rPr>
            </w:pPr>
            <w:hyperlink w:anchor="page47">
              <w:r>
                <w:rPr>
                  <w:rFonts w:ascii="Arial" w:cs="Arial" w:eastAsia="Arial" w:hAnsi="Arial"/>
                  <w:sz w:val="20"/>
                  <w:szCs w:val="20"/>
                  <w:color w:val="0000EE"/>
                  <w:w w:val="87"/>
                </w:rPr>
                <w:t>Consolidated Balance Sheets as of December 31, 2010 and 2009</w:t>
              </w:r>
            </w:hyperlink>
          </w:p>
        </w:tc>
        <w:tc>
          <w:tcPr>
            <w:tcW w:w="3900" w:type="dxa"/>
            <w:vAlign w:val="bottom"/>
            <w:gridSpan w:val="5"/>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20"/>
                <w:szCs w:val="20"/>
                <w:color w:val="auto"/>
              </w:rPr>
              <w:t>75</w:t>
            </w:r>
          </w:p>
        </w:tc>
      </w:tr>
      <w:tr>
        <w:trPr>
          <w:trHeight w:val="210"/>
        </w:trPr>
        <w:tc>
          <w:tcPr>
            <w:tcW w:w="260" w:type="dxa"/>
            <w:vAlign w:val="bottom"/>
          </w:tcPr>
          <w:p>
            <w:pPr>
              <w:spacing w:after="0"/>
              <w:rPr>
                <w:sz w:val="18"/>
                <w:szCs w:val="18"/>
                <w:color w:val="auto"/>
              </w:rPr>
            </w:pPr>
          </w:p>
        </w:tc>
        <w:tc>
          <w:tcPr>
            <w:tcW w:w="9020" w:type="dxa"/>
            <w:vAlign w:val="bottom"/>
            <w:gridSpan w:val="9"/>
          </w:tcPr>
          <w:p>
            <w:pPr>
              <w:spacing w:after="0" w:line="209" w:lineRule="exact"/>
              <w:rPr>
                <w:rFonts w:ascii="Arial" w:cs="Arial" w:eastAsia="Arial" w:hAnsi="Arial"/>
                <w:sz w:val="20"/>
                <w:szCs w:val="20"/>
                <w:color w:val="0000EE"/>
              </w:rPr>
            </w:pPr>
            <w:hyperlink w:anchor="page48">
              <w:r>
                <w:rPr>
                  <w:rFonts w:ascii="Arial" w:cs="Arial" w:eastAsia="Arial" w:hAnsi="Arial"/>
                  <w:sz w:val="20"/>
                  <w:szCs w:val="20"/>
                  <w:color w:val="0000EE"/>
                </w:rPr>
                <w:t>Consolidated Statements of Income for the years ended December 31, 2010, 2009 and 2008</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76</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9020" w:type="dxa"/>
            <w:vAlign w:val="bottom"/>
            <w:gridSpan w:val="9"/>
          </w:tcPr>
          <w:p>
            <w:pPr>
              <w:spacing w:after="0" w:line="209" w:lineRule="exact"/>
              <w:rPr>
                <w:rFonts w:ascii="Arial" w:cs="Arial" w:eastAsia="Arial" w:hAnsi="Arial"/>
                <w:sz w:val="20"/>
                <w:szCs w:val="20"/>
                <w:color w:val="0000EE"/>
                <w:w w:val="96"/>
              </w:rPr>
            </w:pPr>
            <w:hyperlink w:anchor="page48">
              <w:r>
                <w:rPr>
                  <w:rFonts w:ascii="Arial" w:cs="Arial" w:eastAsia="Arial" w:hAnsi="Arial"/>
                  <w:sz w:val="20"/>
                  <w:szCs w:val="20"/>
                  <w:color w:val="0000EE"/>
                  <w:w w:val="96"/>
                </w:rPr>
                <w:t>Consolidated Statements of Stockholders’ Equity for the years ended December 31, 2010, 2009 and 2008</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77</w:t>
            </w:r>
          </w:p>
        </w:tc>
      </w:tr>
      <w:tr>
        <w:trPr>
          <w:trHeight w:val="210"/>
        </w:trPr>
        <w:tc>
          <w:tcPr>
            <w:tcW w:w="260" w:type="dxa"/>
            <w:vAlign w:val="bottom"/>
          </w:tcPr>
          <w:p>
            <w:pPr>
              <w:spacing w:after="0"/>
              <w:rPr>
                <w:sz w:val="18"/>
                <w:szCs w:val="18"/>
                <w:color w:val="auto"/>
              </w:rPr>
            </w:pPr>
          </w:p>
        </w:tc>
        <w:tc>
          <w:tcPr>
            <w:tcW w:w="8340" w:type="dxa"/>
            <w:vAlign w:val="bottom"/>
            <w:tcBorders>
              <w:top w:val="single" w:sz="8" w:color="0000EE"/>
            </w:tcBorders>
            <w:gridSpan w:val="8"/>
          </w:tcPr>
          <w:p>
            <w:pPr>
              <w:spacing w:after="0" w:line="209" w:lineRule="exact"/>
              <w:rPr>
                <w:rFonts w:ascii="Arial" w:cs="Arial" w:eastAsia="Arial" w:hAnsi="Arial"/>
                <w:sz w:val="20"/>
                <w:szCs w:val="20"/>
                <w:color w:val="0000EE"/>
                <w:w w:val="90"/>
              </w:rPr>
            </w:pPr>
            <w:hyperlink w:anchor="page49">
              <w:r>
                <w:rPr>
                  <w:rFonts w:ascii="Arial" w:cs="Arial" w:eastAsia="Arial" w:hAnsi="Arial"/>
                  <w:sz w:val="20"/>
                  <w:szCs w:val="20"/>
                  <w:color w:val="0000EE"/>
                  <w:w w:val="90"/>
                </w:rPr>
                <w:t>Consolidated Statements of Comprehensive Income for the years ended December 31, 2010, 2009 and</w:t>
              </w:r>
            </w:hyperlink>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49">
              <w:r>
                <w:rPr>
                  <w:rFonts w:ascii="Arial" w:cs="Arial" w:eastAsia="Arial" w:hAnsi="Arial"/>
                  <w:sz w:val="20"/>
                  <w:szCs w:val="20"/>
                  <w:color w:val="0000EE"/>
                  <w:w w:val="85"/>
                </w:rPr>
                <w:t>2008</w:t>
              </w:r>
            </w:hyperlink>
          </w:p>
        </w:tc>
        <w:tc>
          <w:tcPr>
            <w:tcW w:w="30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78</w:t>
            </w:r>
          </w:p>
        </w:tc>
      </w:tr>
      <w:tr>
        <w:trPr>
          <w:trHeight w:val="210"/>
        </w:trPr>
        <w:tc>
          <w:tcPr>
            <w:tcW w:w="260" w:type="dxa"/>
            <w:vAlign w:val="bottom"/>
          </w:tcPr>
          <w:p>
            <w:pPr>
              <w:spacing w:after="0"/>
              <w:rPr>
                <w:sz w:val="18"/>
                <w:szCs w:val="18"/>
                <w:color w:val="auto"/>
              </w:rPr>
            </w:pPr>
          </w:p>
        </w:tc>
        <w:tc>
          <w:tcPr>
            <w:tcW w:w="7600" w:type="dxa"/>
            <w:vAlign w:val="bottom"/>
            <w:tcBorders>
              <w:bottom w:val="single" w:sz="8" w:color="0000EE"/>
            </w:tcBorders>
            <w:gridSpan w:val="6"/>
          </w:tcPr>
          <w:p>
            <w:pPr>
              <w:spacing w:after="0" w:line="209" w:lineRule="exact"/>
              <w:rPr>
                <w:rFonts w:ascii="Arial" w:cs="Arial" w:eastAsia="Arial" w:hAnsi="Arial"/>
                <w:sz w:val="20"/>
                <w:szCs w:val="20"/>
                <w:color w:val="0000EE"/>
                <w:w w:val="88"/>
              </w:rPr>
            </w:pPr>
            <w:hyperlink w:anchor="page49">
              <w:r>
                <w:rPr>
                  <w:rFonts w:ascii="Arial" w:cs="Arial" w:eastAsia="Arial" w:hAnsi="Arial"/>
                  <w:sz w:val="20"/>
                  <w:szCs w:val="20"/>
                  <w:color w:val="0000EE"/>
                  <w:w w:val="88"/>
                </w:rPr>
                <w:t>Consolidated Statements of Cash Flows for the years ended December 31, 2010, 2009 and 2008</w:t>
              </w:r>
            </w:hyperlink>
          </w:p>
        </w:tc>
        <w:tc>
          <w:tcPr>
            <w:tcW w:w="1420" w:type="dxa"/>
            <w:vAlign w:val="bottom"/>
            <w:gridSpan w:val="3"/>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79</w:t>
            </w:r>
          </w:p>
        </w:tc>
      </w:tr>
      <w:tr>
        <w:trPr>
          <w:trHeight w:val="210"/>
        </w:trPr>
        <w:tc>
          <w:tcPr>
            <w:tcW w:w="260" w:type="dxa"/>
            <w:vAlign w:val="bottom"/>
          </w:tcPr>
          <w:p>
            <w:pPr>
              <w:spacing w:after="0"/>
              <w:rPr>
                <w:sz w:val="18"/>
                <w:szCs w:val="18"/>
                <w:color w:val="auto"/>
              </w:rPr>
            </w:pPr>
          </w:p>
        </w:tc>
        <w:tc>
          <w:tcPr>
            <w:tcW w:w="9020" w:type="dxa"/>
            <w:vAlign w:val="bottom"/>
            <w:gridSpan w:val="9"/>
          </w:tcPr>
          <w:p>
            <w:pPr>
              <w:spacing w:after="0" w:line="209" w:lineRule="exact"/>
              <w:rPr>
                <w:rFonts w:ascii="Arial" w:cs="Arial" w:eastAsia="Arial" w:hAnsi="Arial"/>
                <w:sz w:val="20"/>
                <w:szCs w:val="20"/>
                <w:color w:val="0000EE"/>
              </w:rPr>
            </w:pPr>
            <w:hyperlink w:anchor="page50">
              <w:r>
                <w:rPr>
                  <w:rFonts w:ascii="Arial" w:cs="Arial" w:eastAsia="Arial" w:hAnsi="Arial"/>
                  <w:sz w:val="20"/>
                  <w:szCs w:val="20"/>
                  <w:color w:val="0000EE"/>
                </w:rPr>
                <w:t>Notes to Consolidated Financial Statements</w:t>
              </w:r>
            </w:hyperlink>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81</w:t>
            </w:r>
          </w:p>
        </w:tc>
      </w:tr>
      <w:tr>
        <w:trPr>
          <w:trHeight w:val="20"/>
        </w:trPr>
        <w:tc>
          <w:tcPr>
            <w:tcW w:w="26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92"/>
        </w:trPr>
        <w:tc>
          <w:tcPr>
            <w:tcW w:w="9280" w:type="dxa"/>
            <w:vAlign w:val="bottom"/>
            <w:gridSpan w:val="10"/>
          </w:tcPr>
          <w:p>
            <w:pPr>
              <w:spacing w:after="0"/>
              <w:rPr>
                <w:sz w:val="20"/>
                <w:szCs w:val="20"/>
                <w:color w:val="auto"/>
              </w:rPr>
            </w:pPr>
            <w:r>
              <w:rPr>
                <w:rFonts w:ascii="Arial" w:cs="Arial" w:eastAsia="Arial" w:hAnsi="Arial"/>
                <w:sz w:val="20"/>
                <w:szCs w:val="20"/>
                <w:color w:val="auto"/>
              </w:rPr>
              <w:t>Financial Statement Schedule:</w:t>
            </w:r>
          </w:p>
        </w:tc>
        <w:tc>
          <w:tcPr>
            <w:tcW w:w="96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9020" w:type="dxa"/>
            <w:vAlign w:val="bottom"/>
            <w:gridSpan w:val="9"/>
          </w:tcPr>
          <w:p>
            <w:pPr>
              <w:spacing w:after="0" w:line="206" w:lineRule="exact"/>
              <w:rPr>
                <w:rFonts w:ascii="Arial" w:cs="Arial" w:eastAsia="Arial" w:hAnsi="Arial"/>
                <w:sz w:val="20"/>
                <w:szCs w:val="20"/>
                <w:color w:val="0000EE"/>
              </w:rPr>
            </w:pPr>
            <w:hyperlink w:anchor="page70">
              <w:r>
                <w:rPr>
                  <w:rFonts w:ascii="Arial" w:cs="Arial" w:eastAsia="Arial" w:hAnsi="Arial"/>
                  <w:sz w:val="20"/>
                  <w:szCs w:val="20"/>
                  <w:color w:val="0000EE"/>
                </w:rPr>
                <w:t>Valuation and Qualifying Accounts for the years ended December 31, 2010, 2009 and 2008</w:t>
              </w:r>
            </w:hyperlink>
          </w:p>
        </w:tc>
        <w:tc>
          <w:tcPr>
            <w:tcW w:w="960" w:type="dxa"/>
            <w:vAlign w:val="bottom"/>
          </w:tcPr>
          <w:p>
            <w:pPr>
              <w:jc w:val="right"/>
              <w:spacing w:after="0" w:line="206" w:lineRule="exact"/>
              <w:rPr>
                <w:sz w:val="20"/>
                <w:szCs w:val="20"/>
                <w:color w:val="auto"/>
              </w:rPr>
            </w:pPr>
            <w:r>
              <w:rPr>
                <w:rFonts w:ascii="Arial" w:cs="Arial" w:eastAsia="Arial" w:hAnsi="Arial"/>
                <w:sz w:val="20"/>
                <w:szCs w:val="20"/>
                <w:color w:val="auto"/>
              </w:rPr>
              <w:t>112</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40"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Exhibits:</w:t>
      </w:r>
    </w:p>
    <w:p>
      <w:pPr>
        <w:spacing w:after="0" w:line="16" w:lineRule="exact"/>
        <w:rPr>
          <w:sz w:val="20"/>
          <w:szCs w:val="20"/>
          <w:color w:val="auto"/>
        </w:rPr>
      </w:pPr>
    </w:p>
    <w:p>
      <w:pPr>
        <w:ind w:left="1440" w:right="1640"/>
        <w:spacing w:after="0" w:line="244" w:lineRule="auto"/>
        <w:rPr>
          <w:sz w:val="20"/>
          <w:szCs w:val="20"/>
          <w:color w:val="auto"/>
        </w:rPr>
      </w:pPr>
      <w:r>
        <w:rPr>
          <w:rFonts w:ascii="Arial" w:cs="Arial" w:eastAsia="Arial" w:hAnsi="Arial"/>
          <w:sz w:val="20"/>
          <w:szCs w:val="20"/>
          <w:color w:val="auto"/>
        </w:rPr>
        <w:t>The Exhibits listed in the Index of Exhibits, which appears immediately following the signature page and is incorporated herein by reference, as filed as part of this Form 10-K.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40" w:type="dxa"/>
            <w:vAlign w:val="bottom"/>
            <w:gridSpan w:val="2"/>
          </w:tcPr>
          <w:p>
            <w:pPr>
              <w:spacing w:after="0"/>
              <w:rPr>
                <w:sz w:val="20"/>
                <w:szCs w:val="20"/>
                <w:color w:val="auto"/>
              </w:rPr>
            </w:pPr>
            <w:r>
              <w:rPr>
                <w:rFonts w:ascii="Arial" w:cs="Arial" w:eastAsia="Arial" w:hAnsi="Arial"/>
                <w:sz w:val="20"/>
                <w:szCs w:val="20"/>
                <w:b w:val="1"/>
                <w:bCs w:val="1"/>
                <w:color w:val="auto"/>
              </w:rPr>
              <w:t>HANSEN NATURAL CORPORATION</w:t>
            </w:r>
          </w:p>
        </w:tc>
        <w:tc>
          <w:tcPr>
            <w:tcW w:w="370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415"/>
        </w:trPr>
        <w:tc>
          <w:tcPr>
            <w:tcW w:w="394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3700" w:type="dxa"/>
            <w:vAlign w:val="bottom"/>
          </w:tcPr>
          <w:p>
            <w:pPr>
              <w:ind w:left="540"/>
              <w:spacing w:after="0"/>
              <w:rPr>
                <w:sz w:val="20"/>
                <w:szCs w:val="20"/>
                <w:color w:val="auto"/>
              </w:rPr>
            </w:pPr>
            <w:r>
              <w:rPr>
                <w:rFonts w:ascii="Arial" w:cs="Arial" w:eastAsia="Arial" w:hAnsi="Arial"/>
                <w:sz w:val="20"/>
                <w:szCs w:val="20"/>
                <w:color w:val="auto"/>
              </w:rPr>
              <w:t>Rodney C. Sacks</w:t>
            </w:r>
          </w:p>
        </w:tc>
        <w:tc>
          <w:tcPr>
            <w:tcW w:w="3020" w:type="dxa"/>
            <w:vAlign w:val="bottom"/>
          </w:tcPr>
          <w:p>
            <w:pPr>
              <w:ind w:left="1340"/>
              <w:spacing w:after="0"/>
              <w:rPr>
                <w:sz w:val="20"/>
                <w:szCs w:val="20"/>
                <w:color w:val="auto"/>
              </w:rPr>
            </w:pPr>
            <w:r>
              <w:rPr>
                <w:rFonts w:ascii="Arial" w:cs="Arial" w:eastAsia="Arial" w:hAnsi="Arial"/>
                <w:sz w:val="20"/>
                <w:szCs w:val="20"/>
                <w:color w:val="auto"/>
                <w:w w:val="91"/>
              </w:rPr>
              <w:t>Date: March 1, 2011</w:t>
            </w:r>
          </w:p>
        </w:tc>
      </w:tr>
      <w:tr>
        <w:trPr>
          <w:trHeight w:val="254"/>
        </w:trPr>
        <w:tc>
          <w:tcPr>
            <w:tcW w:w="1980" w:type="dxa"/>
            <w:vAlign w:val="bottom"/>
            <w:tcBorders>
              <w:top w:val="single" w:sz="8" w:color="auto"/>
            </w:tcBorders>
          </w:tcPr>
          <w:p>
            <w:pPr>
              <w:spacing w:after="0"/>
              <w:rPr>
                <w:sz w:val="22"/>
                <w:szCs w:val="22"/>
                <w:color w:val="auto"/>
              </w:rPr>
            </w:pPr>
          </w:p>
        </w:tc>
        <w:tc>
          <w:tcPr>
            <w:tcW w:w="1960" w:type="dxa"/>
            <w:vAlign w:val="bottom"/>
          </w:tcPr>
          <w:p>
            <w:pPr>
              <w:spacing w:after="0"/>
              <w:rPr>
                <w:sz w:val="22"/>
                <w:szCs w:val="22"/>
                <w:color w:val="auto"/>
              </w:rPr>
            </w:pPr>
          </w:p>
        </w:tc>
        <w:tc>
          <w:tcPr>
            <w:tcW w:w="3700" w:type="dxa"/>
            <w:vAlign w:val="bottom"/>
          </w:tcPr>
          <w:p>
            <w:pPr>
              <w:ind w:left="540"/>
              <w:spacing w:after="0"/>
              <w:rPr>
                <w:sz w:val="20"/>
                <w:szCs w:val="20"/>
                <w:color w:val="auto"/>
              </w:rPr>
            </w:pPr>
            <w:r>
              <w:rPr>
                <w:rFonts w:ascii="Arial" w:cs="Arial" w:eastAsia="Arial" w:hAnsi="Arial"/>
                <w:sz w:val="20"/>
                <w:szCs w:val="20"/>
                <w:color w:val="auto"/>
              </w:rPr>
              <w:t>Chairman of the Board</w:t>
            </w:r>
          </w:p>
        </w:tc>
        <w:tc>
          <w:tcPr>
            <w:tcW w:w="3020" w:type="dxa"/>
            <w:vAlign w:val="bottom"/>
          </w:tcPr>
          <w:p>
            <w:pPr>
              <w:spacing w:after="0"/>
              <w:rPr>
                <w:sz w:val="22"/>
                <w:szCs w:val="22"/>
                <w:color w:val="auto"/>
              </w:rPr>
            </w:pPr>
          </w:p>
        </w:tc>
      </w:tr>
    </w:tbl>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420"/>
          </w:cols>
          <w:pgMar w:left="240" w:top="328" w:right="239" w:bottom="501"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244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Rodney C. Sacks</w:t>
      </w:r>
    </w:p>
    <w:p>
      <w:pPr>
        <w:spacing w:after="0" w:line="222" w:lineRule="exact"/>
        <w:rPr>
          <w:sz w:val="20"/>
          <w:szCs w:val="20"/>
          <w:color w:val="auto"/>
        </w:rPr>
      </w:pPr>
    </w:p>
    <w:p>
      <w:pPr>
        <w:ind w:right="1220"/>
        <w:spacing w:after="0" w:line="363" w:lineRule="auto"/>
        <w:rPr>
          <w:sz w:val="20"/>
          <w:szCs w:val="20"/>
          <w:color w:val="auto"/>
        </w:rPr>
      </w:pPr>
      <w:r>
        <w:rPr>
          <w:rFonts w:ascii="Arial" w:cs="Arial" w:eastAsia="Arial" w:hAnsi="Arial"/>
          <w:sz w:val="18"/>
          <w:szCs w:val="18"/>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26244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/s/ NORMAN C.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244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Norman C. Epstein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BENJAMIN M.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244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Benjamin M. Polk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SYDNEY SELATI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244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Sydney Selati</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HAROLD C. TABER,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244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Harold C. Taber, Jr.</w:t>
      </w:r>
    </w:p>
    <w:p>
      <w:pPr>
        <w:spacing w:after="0" w:line="200" w:lineRule="exact"/>
        <w:rPr>
          <w:sz w:val="20"/>
          <w:szCs w:val="20"/>
          <w:color w:val="auto"/>
        </w:rPr>
      </w:pPr>
    </w:p>
    <w:p>
      <w:pPr>
        <w:spacing w:after="0" w:line="251" w:lineRule="exact"/>
        <w:rPr>
          <w:sz w:val="20"/>
          <w:szCs w:val="20"/>
          <w:color w:val="auto"/>
        </w:rPr>
      </w:pPr>
    </w:p>
    <w:p>
      <w:pPr>
        <w:ind w:right="1500"/>
        <w:spacing w:after="0" w:line="302" w:lineRule="auto"/>
        <w:rPr>
          <w:sz w:val="20"/>
          <w:szCs w:val="20"/>
          <w:color w:val="auto"/>
        </w:rPr>
      </w:pPr>
      <w:r>
        <w:rPr>
          <w:rFonts w:ascii="Arial" w:cs="Arial" w:eastAsia="Arial" w:hAnsi="Arial"/>
          <w:sz w:val="19"/>
          <w:szCs w:val="19"/>
          <w:color w:val="auto"/>
        </w:rPr>
        <w:t>/s/ MARK S. VIDERGAUZ Mark S. Vidergauz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26244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spacing w:after="0"/>
              <w:rPr>
                <w:sz w:val="20"/>
                <w:szCs w:val="20"/>
                <w:color w:val="auto"/>
              </w:rPr>
            </w:pPr>
            <w:r>
              <w:rPr>
                <w:rFonts w:ascii="Arial" w:cs="Arial" w:eastAsia="Arial" w:hAnsi="Arial"/>
                <w:sz w:val="20"/>
                <w:szCs w:val="20"/>
                <w:color w:val="auto"/>
              </w:rPr>
              <w:t>Title</w:t>
            </w:r>
          </w:p>
        </w:tc>
        <w:tc>
          <w:tcPr>
            <w:tcW w:w="1640" w:type="dxa"/>
            <w:vAlign w:val="bottom"/>
            <w:gridSpan w:val="3"/>
          </w:tcPr>
          <w:p>
            <w:pPr>
              <w:ind w:left="160"/>
              <w:spacing w:after="0"/>
              <w:rPr>
                <w:sz w:val="20"/>
                <w:szCs w:val="20"/>
                <w:color w:val="auto"/>
              </w:rPr>
            </w:pPr>
            <w:r>
              <w:rPr>
                <w:rFonts w:ascii="Arial" w:cs="Arial" w:eastAsia="Arial" w:hAnsi="Arial"/>
                <w:sz w:val="20"/>
                <w:szCs w:val="20"/>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63"/>
        </w:trPr>
        <w:tc>
          <w:tcPr>
            <w:tcW w:w="4340" w:type="dxa"/>
            <w:vAlign w:val="bottom"/>
            <w:gridSpan w:val="2"/>
          </w:tcPr>
          <w:p>
            <w:pPr>
              <w:spacing w:after="0"/>
              <w:rPr>
                <w:sz w:val="20"/>
                <w:szCs w:val="20"/>
                <w:color w:val="auto"/>
              </w:rPr>
            </w:pPr>
            <w:r>
              <w:rPr>
                <w:rFonts w:ascii="Arial" w:cs="Arial" w:eastAsia="Arial" w:hAnsi="Arial"/>
                <w:sz w:val="20"/>
                <w:szCs w:val="20"/>
                <w:color w:val="auto"/>
              </w:rPr>
              <w:t>Chairman of the Board of Directors and</w:t>
            </w:r>
          </w:p>
        </w:tc>
        <w:tc>
          <w:tcPr>
            <w:tcW w:w="16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20"/>
                <w:szCs w:val="20"/>
                <w:color w:val="auto"/>
                <w:w w:val="87"/>
              </w:rPr>
              <w:t>March 1, 2011</w:t>
            </w:r>
          </w:p>
        </w:tc>
      </w:tr>
      <w:tr>
        <w:trPr>
          <w:trHeight w:val="250"/>
        </w:trPr>
        <w:tc>
          <w:tcPr>
            <w:tcW w:w="4340" w:type="dxa"/>
            <w:vAlign w:val="bottom"/>
            <w:gridSpan w:val="2"/>
          </w:tcPr>
          <w:p>
            <w:pPr>
              <w:spacing w:after="0"/>
              <w:rPr>
                <w:sz w:val="20"/>
                <w:szCs w:val="20"/>
                <w:color w:val="auto"/>
              </w:rPr>
            </w:pPr>
            <w:r>
              <w:rPr>
                <w:rFonts w:ascii="Arial" w:cs="Arial" w:eastAsia="Arial" w:hAnsi="Arial"/>
                <w:sz w:val="20"/>
                <w:szCs w:val="20"/>
                <w:color w:val="auto"/>
                <w:w w:val="96"/>
              </w:rPr>
              <w:t>Chief Executive Officer (principal executive officer)</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52"/>
        </w:trPr>
        <w:tc>
          <w:tcPr>
            <w:tcW w:w="4340" w:type="dxa"/>
            <w:vAlign w:val="bottom"/>
            <w:gridSpan w:val="2"/>
          </w:tcPr>
          <w:p>
            <w:pPr>
              <w:spacing w:after="0"/>
              <w:rPr>
                <w:sz w:val="20"/>
                <w:szCs w:val="20"/>
                <w:color w:val="auto"/>
              </w:rPr>
            </w:pPr>
            <w:r>
              <w:rPr>
                <w:rFonts w:ascii="Arial" w:cs="Arial" w:eastAsia="Arial" w:hAnsi="Arial"/>
                <w:sz w:val="20"/>
                <w:szCs w:val="20"/>
                <w:color w:val="auto"/>
                <w:w w:val="95"/>
              </w:rPr>
              <w:t>Vice Chairman of the Board of Directors, President,</w:t>
            </w:r>
          </w:p>
        </w:tc>
        <w:tc>
          <w:tcPr>
            <w:tcW w:w="16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20"/>
                <w:szCs w:val="20"/>
                <w:color w:val="auto"/>
                <w:w w:val="87"/>
              </w:rPr>
              <w:t>March 1, 2011</w:t>
            </w:r>
          </w:p>
        </w:tc>
      </w:tr>
      <w:tr>
        <w:trPr>
          <w:trHeight w:val="230"/>
        </w:trPr>
        <w:tc>
          <w:tcPr>
            <w:tcW w:w="4340" w:type="dxa"/>
            <w:vAlign w:val="bottom"/>
            <w:gridSpan w:val="2"/>
          </w:tcPr>
          <w:p>
            <w:pPr>
              <w:spacing w:after="0"/>
              <w:rPr>
                <w:sz w:val="20"/>
                <w:szCs w:val="20"/>
                <w:color w:val="auto"/>
              </w:rPr>
            </w:pPr>
            <w:r>
              <w:rPr>
                <w:rFonts w:ascii="Arial" w:cs="Arial" w:eastAsia="Arial" w:hAnsi="Arial"/>
                <w:sz w:val="20"/>
                <w:szCs w:val="20"/>
                <w:color w:val="auto"/>
                <w:w w:val="95"/>
              </w:rPr>
              <w:t>Chief Operating Officer, Chief Financial Officer and</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20"/>
                <w:szCs w:val="20"/>
                <w:color w:val="auto"/>
                <w:w w:val="97"/>
              </w:rPr>
              <w:t>Secretary (principal financial officer, controller and</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4340" w:type="dxa"/>
            <w:vAlign w:val="bottom"/>
            <w:gridSpan w:val="2"/>
          </w:tcPr>
          <w:p>
            <w:pPr>
              <w:spacing w:after="0"/>
              <w:rPr>
                <w:sz w:val="20"/>
                <w:szCs w:val="20"/>
                <w:color w:val="auto"/>
              </w:rPr>
            </w:pPr>
            <w:r>
              <w:rPr>
                <w:rFonts w:ascii="Arial" w:cs="Arial" w:eastAsia="Arial" w:hAnsi="Arial"/>
                <w:sz w:val="20"/>
                <w:szCs w:val="20"/>
                <w:color w:val="auto"/>
              </w:rPr>
              <w:t>principal accounting officer)</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662"/>
        </w:trPr>
        <w:tc>
          <w:tcPr>
            <w:tcW w:w="43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20"/>
                <w:szCs w:val="20"/>
                <w:color w:val="auto"/>
                <w:w w:val="87"/>
              </w:rPr>
              <w:t>March 1, 2011</w:t>
            </w:r>
          </w:p>
        </w:tc>
      </w:tr>
      <w:tr>
        <w:trPr>
          <w:trHeight w:val="932"/>
        </w:trPr>
        <w:tc>
          <w:tcPr>
            <w:tcW w:w="43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20"/>
                <w:szCs w:val="20"/>
                <w:color w:val="auto"/>
                <w:w w:val="87"/>
              </w:rPr>
              <w:t>March 1, 2011</w:t>
            </w:r>
          </w:p>
        </w:tc>
      </w:tr>
      <w:tr>
        <w:trPr>
          <w:trHeight w:val="932"/>
        </w:trPr>
        <w:tc>
          <w:tcPr>
            <w:tcW w:w="43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20"/>
                <w:szCs w:val="20"/>
                <w:color w:val="auto"/>
                <w:w w:val="87"/>
              </w:rPr>
              <w:t>March 1, 2011</w:t>
            </w:r>
          </w:p>
        </w:tc>
      </w:tr>
      <w:tr>
        <w:trPr>
          <w:trHeight w:val="932"/>
        </w:trPr>
        <w:tc>
          <w:tcPr>
            <w:tcW w:w="43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20"/>
                <w:szCs w:val="20"/>
                <w:color w:val="auto"/>
                <w:w w:val="87"/>
              </w:rPr>
              <w:t>March 1, 2011</w:t>
            </w:r>
          </w:p>
        </w:tc>
      </w:tr>
      <w:tr>
        <w:trPr>
          <w:trHeight w:val="932"/>
        </w:trPr>
        <w:tc>
          <w:tcPr>
            <w:tcW w:w="43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20"/>
                <w:szCs w:val="20"/>
                <w:color w:val="auto"/>
                <w:w w:val="87"/>
              </w:rPr>
              <w:t>March 1, 2011</w:t>
            </w:r>
          </w:p>
        </w:tc>
      </w:tr>
      <w:tr>
        <w:trPr>
          <w:trHeight w:val="652"/>
        </w:trPr>
        <w:tc>
          <w:tcPr>
            <w:tcW w:w="4340" w:type="dxa"/>
            <w:vAlign w:val="bottom"/>
            <w:gridSpan w:val="2"/>
          </w:tcPr>
          <w:p>
            <w:pPr>
              <w:ind w:left="1160"/>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70485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760" w:space="720"/>
            <w:col w:w="6940"/>
          </w:cols>
          <w:pgMar w:left="240" w:top="328" w:right="239" w:bottom="501" w:gutter="0" w:footer="0" w:header="0"/>
          <w:type w:val="continuous"/>
        </w:sectPr>
      </w:pPr>
    </w:p>
    <w:bookmarkStart w:id="43" w:name="page44"/>
    <w:bookmarkEnd w:id="43"/>
    <w:p>
      <w:pPr>
        <w:spacing w:after="0" w:line="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INDEX TO EXHIBITS</w:t>
      </w:r>
    </w:p>
    <w:p>
      <w:pPr>
        <w:spacing w:after="0" w:line="236" w:lineRule="exact"/>
        <w:rPr>
          <w:sz w:val="20"/>
          <w:szCs w:val="20"/>
          <w:color w:val="auto"/>
        </w:rPr>
      </w:pPr>
    </w:p>
    <w:p>
      <w:pPr>
        <w:jc w:val="both"/>
        <w:ind w:left="120" w:right="40" w:firstLine="648"/>
        <w:spacing w:after="0" w:line="248" w:lineRule="auto"/>
        <w:rPr>
          <w:sz w:val="20"/>
          <w:szCs w:val="20"/>
          <w:color w:val="auto"/>
        </w:rPr>
      </w:pPr>
      <w:r>
        <w:rPr>
          <w:rFonts w:ascii="Arial" w:cs="Arial" w:eastAsia="Arial" w:hAnsi="Arial"/>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tbl>
      <w:tblPr>
        <w:tblLayout w:type="fixed"/>
        <w:tblInd w:w="10" w:type="dxa"/>
        <w:tblCellMar>
          <w:top w:w="0" w:type="dxa"/>
          <w:left w:w="0" w:type="dxa"/>
          <w:bottom w:w="0" w:type="dxa"/>
          <w:right w:w="0" w:type="dxa"/>
        </w:tblCellMar>
      </w:tblPr>
      <w:tr>
        <w:trPr>
          <w:trHeight w:val="216"/>
        </w:trPr>
        <w:tc>
          <w:tcPr>
            <w:tcW w:w="13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008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3.1</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1"/>
              </w:rPr>
              <w:t>Certificate of Incorporation of Unipac Corporation (previously filed as an exhibit to our Registration Statement on Form S-3,</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File No. 33-35796)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3.2</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3"/>
              </w:rPr>
              <w:t>Certificate of Amendment of Certificate of Incorporation of Unipac Corporation (previously filed as an exhibit to our Proxy</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Statement dated October 21, 1992)</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3.3</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6"/>
              </w:rPr>
              <w:t>Certificate of Amendment of Certificate of Incorporation of Hansen Natural Corporation (incorporated by reference to</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Exhibit A to our Proxy Statement dated April 19,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3.4</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2"/>
              </w:rPr>
              <w:t>Amended and Restated Bylaws of Hansen Natural Corporation (incorporated by reference to Exhibit 3.1 to our Form 10-Q</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dated November 9, 2007).</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2"/>
              </w:rPr>
              <w:t>Amended and Restated Monster Beverages Off-Premise Distribution Coordination Agreement between Hansen Beverage</w:t>
            </w:r>
          </w:p>
        </w:tc>
        <w:tc>
          <w:tcPr>
            <w:tcW w:w="40" w:type="dxa"/>
            <w:vAlign w:val="bottom"/>
          </w:tcPr>
          <w:p>
            <w:pPr>
              <w:spacing w:after="0"/>
              <w:rPr>
                <w:sz w:val="17"/>
                <w:szCs w:val="17"/>
                <w:color w:val="auto"/>
              </w:rPr>
            </w:pPr>
          </w:p>
        </w:tc>
      </w:tr>
      <w:tr>
        <w:trPr>
          <w:trHeight w:val="230"/>
        </w:trPr>
        <w:tc>
          <w:tcPr>
            <w:tcW w:w="1340" w:type="dxa"/>
            <w:vAlign w:val="bottom"/>
            <w:tcBorders>
              <w:left w:val="single" w:sz="8" w:color="auto"/>
              <w:right w:val="single" w:sz="8" w:color="auto"/>
            </w:tcBorders>
          </w:tcPr>
          <w:p>
            <w:pPr>
              <w:spacing w:after="0"/>
              <w:rPr>
                <w:sz w:val="19"/>
                <w:szCs w:val="19"/>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Company and Anheuser-Busch, Incorporated (incorporated by reference to Exhibit 10.01 to our Form 8-K dated August 11,</w:t>
            </w:r>
          </w:p>
        </w:tc>
        <w:tc>
          <w:tcPr>
            <w:tcW w:w="40" w:type="dxa"/>
            <w:vAlign w:val="bottom"/>
          </w:tcPr>
          <w:p>
            <w:pPr>
              <w:spacing w:after="0"/>
              <w:rPr>
                <w:sz w:val="19"/>
                <w:szCs w:val="19"/>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1"/>
              </w:rPr>
              <w:t>On-Premise Distribution Coordination Agreement between Hansen Beverage Company and Anheuser-Busch, Incorporated</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10.1 to our Form 8-K dated February 12, 2007).</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3"/>
              </w:rPr>
              <w:t>Form of Amendment to Stock Option Agreement (relating to the amendment of certain stock option agreements between</w:t>
            </w:r>
          </w:p>
        </w:tc>
        <w:tc>
          <w:tcPr>
            <w:tcW w:w="40" w:type="dxa"/>
            <w:vAlign w:val="bottom"/>
          </w:tcPr>
          <w:p>
            <w:pPr>
              <w:spacing w:after="0"/>
              <w:rPr>
                <w:sz w:val="17"/>
                <w:szCs w:val="17"/>
                <w:color w:val="auto"/>
              </w:rPr>
            </w:pPr>
          </w:p>
        </w:tc>
      </w:tr>
      <w:tr>
        <w:trPr>
          <w:trHeight w:val="230"/>
        </w:trPr>
        <w:tc>
          <w:tcPr>
            <w:tcW w:w="1340" w:type="dxa"/>
            <w:vAlign w:val="bottom"/>
            <w:tcBorders>
              <w:left w:val="single" w:sz="8" w:color="auto"/>
              <w:right w:val="single" w:sz="8" w:color="auto"/>
            </w:tcBorders>
          </w:tcPr>
          <w:p>
            <w:pPr>
              <w:spacing w:after="0"/>
              <w:rPr>
                <w:sz w:val="19"/>
                <w:szCs w:val="19"/>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Hansen Natural Corporation and its executive officers and directors) (incorporated by reference to Exhibit 10.1 to our</w:t>
            </w:r>
          </w:p>
        </w:tc>
        <w:tc>
          <w:tcPr>
            <w:tcW w:w="40" w:type="dxa"/>
            <w:vAlign w:val="bottom"/>
          </w:tcPr>
          <w:p>
            <w:pPr>
              <w:spacing w:after="0"/>
              <w:rPr>
                <w:sz w:val="19"/>
                <w:szCs w:val="19"/>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Form 8-K dated January 8, 2007).</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10.4</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7"/>
              </w:rPr>
              <w:t>Form of Indemnification Agreement (to be provided by Hansen Natural Corporation to its directors) (incorporated by</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reference to Exhibit 10.1 to our Form 8-K dated November 14, 2005).</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10.5</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4"/>
              </w:rPr>
              <w:t>Amended and Restated Allied Products Distribution Coordination Agreement between Hansen Beverage Company and</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8"/>
              </w:rPr>
              <w:t>Anheuser-Busch, Incorporated (incorporated by reference to Exhibit 10.2 to our Form 8-K dated August 11,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10.6+</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8"/>
              </w:rPr>
              <w:t>Employment Agreement between Hansen Natural Corporation and Rodney C. Sacks (incorporated by reference to</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Exhibit 10.1 to our Form 8-K dated March 11, 2009).</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10.7+</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5"/>
              </w:rPr>
              <w:t>Employment Agreement between Hansen Natural Corporation and Hilton H. Schlosberg (incorporated by reference to</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Exhibit 10.2 to our Form 8-K dated March 11, 2009).</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10.8+</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Rodney C. Sacks (made as of May 28, 2003)</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10.21 to our Form 10-K dated March 30, 2004).</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10.9+</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6"/>
              </w:rPr>
              <w:t>Stock Option Agreement between Hansen Natural Corporation and Hilton H. Schlosberg (made as of May 28, 2003)</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10.22 to our Form 10-K dated March 30, 2004).</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10.10+</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89"/>
              </w:rPr>
              <w:t>Stock Option Agreement between Hansen Natural Corporation and Mark J. Hall (made as of January 15, 2004) (incorporated</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by reference to Exhibit 10.23 to our Form 10-K dated March 16, 2005).</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10.11+</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Thomas J. Kelly (made as of January 15, 2004)</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10.26 to our Form 10-K dated March 16, 2005).</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10.12</w:t>
            </w:r>
          </w:p>
        </w:tc>
        <w:tc>
          <w:tcPr>
            <w:tcW w:w="10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2"/>
              </w:rPr>
              <w:t>Contract Manufacturing and Packaging Agreement between Hansen Beverage Company and Nor-Cal Beverage Co., Inc.</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10.28 to our Form 10-K dated March 16, 2005).</w:t>
            </w:r>
          </w:p>
        </w:tc>
        <w:tc>
          <w:tcPr>
            <w:tcW w:w="40" w:type="dxa"/>
            <w:vAlign w:val="bottom"/>
          </w:tcPr>
          <w:p>
            <w:pPr>
              <w:spacing w:after="0"/>
              <w:rPr>
                <w:sz w:val="21"/>
                <w:szCs w:val="21"/>
                <w:color w:val="auto"/>
              </w:rPr>
            </w:pPr>
          </w:p>
        </w:tc>
      </w:tr>
      <w:tr>
        <w:trPr>
          <w:trHeight w:val="406"/>
        </w:trPr>
        <w:tc>
          <w:tcPr>
            <w:tcW w:w="1340" w:type="dxa"/>
            <w:vAlign w:val="bottom"/>
          </w:tcPr>
          <w:p>
            <w:pPr>
              <w:spacing w:after="0"/>
              <w:rPr>
                <w:sz w:val="24"/>
                <w:szCs w:val="24"/>
                <w:color w:val="auto"/>
              </w:rPr>
            </w:pPr>
          </w:p>
        </w:tc>
        <w:tc>
          <w:tcPr>
            <w:tcW w:w="10080" w:type="dxa"/>
            <w:vAlign w:val="bottom"/>
          </w:tcPr>
          <w:p>
            <w:pPr>
              <w:ind w:left="4300"/>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24"/>
                <w:szCs w:val="24"/>
                <w:color w:val="auto"/>
              </w:rPr>
            </w:pPr>
          </w:p>
        </w:tc>
      </w:tr>
      <w:tr>
        <w:trPr>
          <w:trHeight w:val="138"/>
        </w:trPr>
        <w:tc>
          <w:tcPr>
            <w:tcW w:w="134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77"/>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10.13</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1"/>
              </w:rPr>
              <w:t>Product Manufacture and Supply Agreement between Hansen Beverage Company and Seven-Up/RC Bottling Company of</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Southern California, Inc. (incorporated by reference to Exhibit 10.29 to our Form 10-K dated March 16, 2005).</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10.14</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0"/>
              </w:rPr>
              <w:t>Manufacturing Contract between Hansen Beverage Company and Pri-Pak, Inc. (incorporated by reference to Exhibit 10.32 to</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our Form 10-K dated March 16, 2005).</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10.15+</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Rodney C. Sacks (made as of March 23,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10.36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10.16+</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5"/>
              </w:rPr>
              <w:t>Stock Option Agreement between Hansen Natural Corporation and Hilton H. Schlosberg (made as of March 23,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10.37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10.17+</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1"/>
              </w:rPr>
              <w:t>Stock Option Agreement between Hansen Natural Corporation and Mark J. Hall (made as of March 23, 2005) (incorporated</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by reference to Exhibit 10.38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10.18+</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Mark J. Hall (made as of September 28,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10.40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10.19+</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Harold Taber (made as of November 11,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10.42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10.20+</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5"/>
              </w:rPr>
              <w:t>Stock Option Agreement between Hansen Natural Corporation and Norman Epstein (made as of November 11,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10.43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10.21+</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Stock Option Agreement between Hansen Natural Corporation and Mark Vidergauz (made as of November 11,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10.44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10.22+</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Benjamin Polk (made as of November 11,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10.45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10.23+</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2"/>
              </w:rPr>
              <w:t>Stock Option Agreement between Hansen Natural Corporation and Hilton H. Schlosberg (made as of November 11,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10.46 to our Form 10-K dated March 15, 2006).</w:t>
            </w:r>
          </w:p>
        </w:tc>
        <w:tc>
          <w:tcPr>
            <w:tcW w:w="40" w:type="dxa"/>
            <w:vAlign w:val="bottom"/>
          </w:tcPr>
          <w:p>
            <w:pPr>
              <w:spacing w:after="0"/>
              <w:rPr>
                <w:sz w:val="21"/>
                <w:szCs w:val="21"/>
                <w:color w:val="auto"/>
              </w:rPr>
            </w:pPr>
          </w:p>
        </w:tc>
      </w:tr>
      <w:tr>
        <w:trPr>
          <w:trHeight w:val="206"/>
        </w:trPr>
        <w:tc>
          <w:tcPr>
            <w:tcW w:w="13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10.24+</w:t>
            </w:r>
          </w:p>
        </w:tc>
        <w:tc>
          <w:tcPr>
            <w:tcW w:w="10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4"/>
              </w:rPr>
              <w:t>Stock Option Agreement between Hansen Natural Corporation and Rodney C. Sacks (made as of November 11, 2005)</w:t>
            </w:r>
          </w:p>
        </w:tc>
        <w:tc>
          <w:tcPr>
            <w:tcW w:w="40" w:type="dxa"/>
            <w:vAlign w:val="bottom"/>
          </w:tcPr>
          <w:p>
            <w:pPr>
              <w:spacing w:after="0"/>
              <w:rPr>
                <w:sz w:val="17"/>
                <w:szCs w:val="17"/>
                <w:color w:val="auto"/>
              </w:rPr>
            </w:pPr>
          </w:p>
        </w:tc>
      </w:tr>
      <w:tr>
        <w:trPr>
          <w:trHeight w:val="246"/>
        </w:trPr>
        <w:tc>
          <w:tcPr>
            <w:tcW w:w="1340" w:type="dxa"/>
            <w:vAlign w:val="bottom"/>
            <w:tcBorders>
              <w:left w:val="single" w:sz="8" w:color="auto"/>
              <w:bottom w:val="single" w:sz="8" w:color="auto"/>
              <w:right w:val="single" w:sz="8" w:color="auto"/>
            </w:tcBorders>
          </w:tcPr>
          <w:p>
            <w:pPr>
              <w:spacing w:after="0"/>
              <w:rPr>
                <w:sz w:val="21"/>
                <w:szCs w:val="21"/>
                <w:color w:val="auto"/>
              </w:rPr>
            </w:pPr>
          </w:p>
        </w:tc>
        <w:tc>
          <w:tcPr>
            <w:tcW w:w="10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10.47 to our Form 10-K dated March 15, 2006).</w:t>
            </w:r>
          </w:p>
        </w:tc>
        <w:tc>
          <w:tcPr>
            <w:tcW w:w="40" w:type="dxa"/>
            <w:vAlign w:val="bottom"/>
          </w:tcPr>
          <w:p>
            <w:pPr>
              <w:spacing w:after="0"/>
              <w:rPr>
                <w:sz w:val="21"/>
                <w:szCs w:val="21"/>
                <w:color w:val="auto"/>
              </w:rPr>
            </w:pPr>
          </w:p>
        </w:tc>
      </w:tr>
      <w:tr>
        <w:trPr>
          <w:trHeight w:val="244"/>
        </w:trPr>
        <w:tc>
          <w:tcPr>
            <w:tcW w:w="1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10.25+</w:t>
            </w:r>
          </w:p>
        </w:tc>
        <w:tc>
          <w:tcPr>
            <w:tcW w:w="10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9"/>
              </w:rPr>
              <w:t>Stock Option Agreement between Hansen Natural Corporation and Mark J. Hall (made as of November 11, 2005)</w:t>
            </w:r>
          </w:p>
        </w:tc>
        <w:tc>
          <w:tcPr>
            <w:tcW w:w="40" w:type="dxa"/>
            <w:vAlign w:val="bottom"/>
          </w:tcPr>
          <w:p>
            <w:pPr>
              <w:spacing w:after="0"/>
              <w:rPr>
                <w:sz w:val="21"/>
                <w:szCs w:val="21"/>
                <w:color w:val="auto"/>
              </w:rPr>
            </w:pPr>
          </w:p>
        </w:tc>
      </w:tr>
      <w:tr>
        <w:trPr>
          <w:trHeight w:val="49"/>
        </w:trPr>
        <w:tc>
          <w:tcPr>
            <w:tcW w:w="1340" w:type="dxa"/>
            <w:vAlign w:val="bottom"/>
            <w:tcBorders>
              <w:left w:val="single" w:sz="8" w:color="auto"/>
              <w:right w:val="single" w:sz="8" w:color="auto"/>
            </w:tcBorders>
          </w:tcPr>
          <w:p>
            <w:pPr>
              <w:spacing w:after="0"/>
              <w:rPr>
                <w:sz w:val="4"/>
                <w:szCs w:val="4"/>
                <w:color w:val="auto"/>
              </w:rPr>
            </w:pPr>
          </w:p>
        </w:tc>
        <w:tc>
          <w:tcPr>
            <w:tcW w:w="1008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-4196715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-4196715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16" w:right="199" w:bottom="0" w:gutter="0" w:footer="0" w:header="0"/>
        </w:sectPr>
      </w:pPr>
    </w:p>
    <w:bookmarkStart w:id="44" w:name="page45"/>
    <w:bookmarkEnd w:id="4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320" w:type="dxa"/>
            <w:vAlign w:val="bottom"/>
            <w:tcBorders>
              <w:left w:val="single" w:sz="8" w:color="auto"/>
              <w:bottom w:val="single" w:sz="8" w:color="auto"/>
              <w:right w:val="single" w:sz="8" w:color="auto"/>
            </w:tcBorders>
          </w:tcPr>
          <w:p>
            <w:pPr>
              <w:spacing w:after="0"/>
              <w:rPr>
                <w:sz w:val="19"/>
                <w:szCs w:val="19"/>
                <w:color w:val="auto"/>
              </w:rPr>
            </w:pPr>
          </w:p>
        </w:tc>
        <w:tc>
          <w:tcPr>
            <w:tcW w:w="10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10.48 to our Form 10-K dated March 15, 2006).</w:t>
            </w:r>
          </w:p>
        </w:tc>
        <w:tc>
          <w:tcPr>
            <w:tcW w:w="40" w:type="dxa"/>
            <w:vAlign w:val="bottom"/>
          </w:tcPr>
          <w:p>
            <w:pPr>
              <w:spacing w:after="0"/>
              <w:rPr>
                <w:sz w:val="19"/>
                <w:szCs w:val="19"/>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10.26+</w:t>
            </w:r>
          </w:p>
        </w:tc>
        <w:tc>
          <w:tcPr>
            <w:tcW w:w="101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5"/>
              </w:rPr>
              <w:t>Stock Option Agreement between Hansen Natural Corporation and Thomas J. Kelly (made as of November 11, 2005)</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10.50 to our Form 10-K dated March 15, 2006).</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10.27+</w:t>
            </w:r>
          </w:p>
        </w:tc>
        <w:tc>
          <w:tcPr>
            <w:tcW w:w="101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88"/>
              </w:rPr>
              <w:t>Severance and Consulting Agreement by and among Hansen Beverage Company, Hansen Natural Corporation, and Harold C.</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Taber, Jr. (incorporated by reference to Exhibit 10(YY) to our Form 10-Q dated November 12, 1997).</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10.28+</w:t>
            </w:r>
          </w:p>
        </w:tc>
        <w:tc>
          <w:tcPr>
            <w:tcW w:w="101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4"/>
              </w:rPr>
              <w:t>Stock Repurchase Agreement between Hansen Natural Corporation and Rodney C. Sacks (dated as of August 3, 1998)</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10(JJJ) to our Form 10-Q dated August 16, 1999).</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10.29+</w:t>
            </w:r>
          </w:p>
        </w:tc>
        <w:tc>
          <w:tcPr>
            <w:tcW w:w="101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1"/>
              </w:rPr>
              <w:t>Stock Repurchase Agreement between Hansen Natural Corporation and Hilton H. Schlosberg (dated as of August 3, 1998)</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(incorporated by reference to Exhibit 10(KKK) to our Form 10-Q dated August 16, 1999).</w:t>
            </w:r>
          </w:p>
        </w:tc>
        <w:tc>
          <w:tcPr>
            <w:tcW w:w="40" w:type="dxa"/>
            <w:vAlign w:val="bottom"/>
          </w:tcPr>
          <w:p>
            <w:pPr>
              <w:spacing w:after="0"/>
              <w:rPr>
                <w:sz w:val="21"/>
                <w:szCs w:val="21"/>
                <w:color w:val="auto"/>
              </w:rPr>
            </w:pPr>
          </w:p>
        </w:tc>
      </w:tr>
      <w:tr>
        <w:trPr>
          <w:trHeight w:val="406"/>
        </w:trPr>
        <w:tc>
          <w:tcPr>
            <w:tcW w:w="1320" w:type="dxa"/>
            <w:vAlign w:val="bottom"/>
          </w:tcPr>
          <w:p>
            <w:pPr>
              <w:spacing w:after="0"/>
              <w:rPr>
                <w:sz w:val="24"/>
                <w:szCs w:val="24"/>
                <w:color w:val="auto"/>
              </w:rPr>
            </w:pPr>
          </w:p>
        </w:tc>
        <w:tc>
          <w:tcPr>
            <w:tcW w:w="10100" w:type="dxa"/>
            <w:vAlign w:val="bottom"/>
          </w:tcPr>
          <w:p>
            <w:pPr>
              <w:ind w:left="4320"/>
              <w:spacing w:after="0"/>
              <w:rPr>
                <w:sz w:val="20"/>
                <w:szCs w:val="20"/>
                <w:color w:val="auto"/>
              </w:rPr>
            </w:pPr>
            <w:r>
              <w:rPr>
                <w:rFonts w:ascii="Arial" w:cs="Arial" w:eastAsia="Arial" w:hAnsi="Arial"/>
                <w:sz w:val="16"/>
                <w:szCs w:val="16"/>
                <w:color w:val="auto"/>
              </w:rPr>
              <w:t>70</w:t>
            </w:r>
          </w:p>
        </w:tc>
        <w:tc>
          <w:tcPr>
            <w:tcW w:w="40" w:type="dxa"/>
            <w:vAlign w:val="bottom"/>
          </w:tcPr>
          <w:p>
            <w:pPr>
              <w:spacing w:after="0"/>
              <w:rPr>
                <w:sz w:val="24"/>
                <w:szCs w:val="24"/>
                <w:color w:val="auto"/>
              </w:rPr>
            </w:pPr>
          </w:p>
        </w:tc>
      </w:tr>
      <w:tr>
        <w:trPr>
          <w:trHeight w:val="138"/>
        </w:trPr>
        <w:tc>
          <w:tcPr>
            <w:tcW w:w="132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77"/>
        </w:trPr>
        <w:tc>
          <w:tcPr>
            <w:tcW w:w="13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10.30+</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87"/>
              </w:rPr>
              <w:t>Settlement Agreement dated as of September 1999 between Hansen Beverage Company and Rodney C. Sacks as sole Trustee</w:t>
            </w:r>
          </w:p>
        </w:tc>
        <w:tc>
          <w:tcPr>
            <w:tcW w:w="40" w:type="dxa"/>
            <w:vAlign w:val="bottom"/>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6"/>
              </w:rPr>
              <w:t>of the Hansen’s Trust and Hansen Beverage Company, The Fresh Juice Company of California, Inc. (incorporated by</w:t>
            </w:r>
          </w:p>
        </w:tc>
        <w:tc>
          <w:tcPr>
            <w:tcW w:w="40" w:type="dxa"/>
            <w:vAlign w:val="bottom"/>
          </w:tcPr>
          <w:p>
            <w:pPr>
              <w:spacing w:after="0"/>
              <w:rPr>
                <w:sz w:val="19"/>
                <w:szCs w:val="19"/>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reference to Exhibit 10 to our Form 10-Q dated November 15, 1999).</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10.31+</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89"/>
              </w:rPr>
              <w:t>Settlement Agreement September 3, 1999 by and between The Fresh Juice Company of California, Inc., The Fresh Smoothie</w:t>
            </w:r>
          </w:p>
        </w:tc>
        <w:tc>
          <w:tcPr>
            <w:tcW w:w="40" w:type="dxa"/>
            <w:vAlign w:val="bottom"/>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5"/>
              </w:rPr>
              <w:t>Company, LLC, Barry Lublin, Hansen’s Juice Creations, LLC, Harvey Laderman and Hansen Beverage Company and</w:t>
            </w:r>
          </w:p>
        </w:tc>
        <w:tc>
          <w:tcPr>
            <w:tcW w:w="40" w:type="dxa"/>
            <w:vAlign w:val="bottom"/>
          </w:tcPr>
          <w:p>
            <w:pPr>
              <w:spacing w:after="0"/>
              <w:rPr>
                <w:sz w:val="19"/>
                <w:szCs w:val="19"/>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6"/>
              </w:rPr>
              <w:t>Rodney C. Sacks, as Trustee of The Hansen’s Trust (incorporated by reference to Exhibit 10 to our Form 10-Q dated</w:t>
            </w:r>
          </w:p>
        </w:tc>
        <w:tc>
          <w:tcPr>
            <w:tcW w:w="40" w:type="dxa"/>
            <w:vAlign w:val="bottom"/>
          </w:tcPr>
          <w:p>
            <w:pPr>
              <w:spacing w:after="0"/>
              <w:rPr>
                <w:sz w:val="19"/>
                <w:szCs w:val="19"/>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November 15, 1999).</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10.32</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2"/>
              </w:rPr>
              <w:t>Single Tenant Industrial Lease, made and entered into as of October 13, 2006 by and between Watson Land Company, a</w:t>
            </w:r>
          </w:p>
        </w:tc>
        <w:tc>
          <w:tcPr>
            <w:tcW w:w="40" w:type="dxa"/>
            <w:vAlign w:val="bottom"/>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1"/>
              </w:rPr>
              <w:t>California Corporation, and Hansen Beverage Company, a Delaware Corporation (incorporated by reference to exhibit 10 to</w:t>
            </w:r>
          </w:p>
        </w:tc>
        <w:tc>
          <w:tcPr>
            <w:tcW w:w="40" w:type="dxa"/>
            <w:vAlign w:val="bottom"/>
          </w:tcPr>
          <w:p>
            <w:pPr>
              <w:spacing w:after="0"/>
              <w:rPr>
                <w:sz w:val="19"/>
                <w:szCs w:val="19"/>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our Form 10-K dated June 6, 2007).</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10.33+</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2"/>
              </w:rPr>
              <w:t>Hansen Natural Corporation 2001 Amended and Restated Stock Option Plan (incorporated by reference to Exhibit A to our</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Proxy Statement dated September 25, 2007).</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10.34</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8"/>
              </w:rPr>
              <w:t>Business Loan Agreement between Hansen Beverage Company and Comerica Bank (incorporated by reference to</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Exhibit 10.1 to our Form 10-Q dated August 9, 2007).</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10.35</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4"/>
              </w:rPr>
              <w:t>Letter Agreement between Anheuser-Busch, Inc. and Hansen Beverage Company, dated March 6, 2007, amending and</w:t>
            </w:r>
          </w:p>
        </w:tc>
        <w:tc>
          <w:tcPr>
            <w:tcW w:w="40" w:type="dxa"/>
            <w:vAlign w:val="bottom"/>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1"/>
              </w:rPr>
              <w:t>clarifying certain terms of the Amended and Restated Allied Products Distribution Coordination Agreement between Hansen</w:t>
            </w:r>
          </w:p>
        </w:tc>
        <w:tc>
          <w:tcPr>
            <w:tcW w:w="40" w:type="dxa"/>
            <w:vAlign w:val="bottom"/>
          </w:tcPr>
          <w:p>
            <w:pPr>
              <w:spacing w:after="0"/>
              <w:rPr>
                <w:sz w:val="19"/>
                <w:szCs w:val="19"/>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2"/>
              </w:rPr>
              <w:t>Beverage Company and Anheuser-Busch (incorporated by reference to exhibit 10.62 to our Form 10-K dated February 29,</w:t>
            </w:r>
          </w:p>
        </w:tc>
        <w:tc>
          <w:tcPr>
            <w:tcW w:w="40" w:type="dxa"/>
            <w:vAlign w:val="bottom"/>
          </w:tcPr>
          <w:p>
            <w:pPr>
              <w:spacing w:after="0"/>
              <w:rPr>
                <w:sz w:val="19"/>
                <w:szCs w:val="19"/>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10.36</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4"/>
              </w:rPr>
              <w:t>Letter Agreement between Anheuser-Busch, Inc. and Hansen Beverage Company, dated March 6, 2007, amending and</w:t>
            </w:r>
          </w:p>
        </w:tc>
        <w:tc>
          <w:tcPr>
            <w:tcW w:w="40" w:type="dxa"/>
            <w:vAlign w:val="bottom"/>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1"/>
              </w:rPr>
              <w:t>clarifying certain terms of the Amended and Restated Monster Beverages Off-Premise Distribution Coordination Agreement</w:t>
            </w:r>
          </w:p>
        </w:tc>
        <w:tc>
          <w:tcPr>
            <w:tcW w:w="40" w:type="dxa"/>
            <w:vAlign w:val="bottom"/>
          </w:tcPr>
          <w:p>
            <w:pPr>
              <w:spacing w:after="0"/>
              <w:rPr>
                <w:sz w:val="19"/>
                <w:szCs w:val="19"/>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89"/>
              </w:rPr>
              <w:t>between Hansen Beverage Company and Anheuser-Busch (incorporated by reference to exhibit 10.63 to our Form 10-K dated</w:t>
            </w:r>
          </w:p>
        </w:tc>
        <w:tc>
          <w:tcPr>
            <w:tcW w:w="40" w:type="dxa"/>
            <w:vAlign w:val="bottom"/>
          </w:tcPr>
          <w:p>
            <w:pPr>
              <w:spacing w:after="0"/>
              <w:rPr>
                <w:sz w:val="19"/>
                <w:szCs w:val="19"/>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February 29, 2008).</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10.37</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0"/>
              </w:rPr>
              <w:t>Monster Energy Distribution Coordination Agreement, dated October 3, 2008, between Hansen Beverage Company and The</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Coca Cola Company (incorporated by reference to exhibit 10.1 to our Form 10-Q dated November 10, 2008).</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10.38</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0"/>
              </w:rPr>
              <w:t>Monster Energy International Distribution Coordination Agreement, dated October 3, 2008, between Tauranga Ltd, trading as</w:t>
            </w:r>
          </w:p>
        </w:tc>
        <w:tc>
          <w:tcPr>
            <w:tcW w:w="40" w:type="dxa"/>
            <w:vAlign w:val="bottom"/>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8"/>
              </w:rPr>
              <w:t>Monster Energy, and Coca-Cola Enterprises Inc. (incorporated by reference to exhibit 10.2 to our Form 10-Q dated</w:t>
            </w:r>
          </w:p>
        </w:tc>
        <w:tc>
          <w:tcPr>
            <w:tcW w:w="40" w:type="dxa"/>
            <w:vAlign w:val="bottom"/>
          </w:tcPr>
          <w:p>
            <w:pPr>
              <w:spacing w:after="0"/>
              <w:rPr>
                <w:sz w:val="19"/>
                <w:szCs w:val="19"/>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November 10, 2008).</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10.39</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5"/>
              </w:rPr>
              <w:t>Monster Energy Distribution Agreement, dated October 3, 2008, between Hansen Beverage Company and Coca-Cola</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Enterprises, Inc. (incorporated by reference to exhibit 10.3 to our Form 10-Q dated November 10, 2008).</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10.40</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1"/>
              </w:rPr>
              <w:t>Monster Energy Canadian Distribution Agreement, dated October 3, 2008, between Hansen Beverage Company and Coca-</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Cola Bottling Company. (incorporated by reference to exhibit 10.4 to our Form 10-Q dated November 10, 2008).</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10.41</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3"/>
              </w:rPr>
              <w:t>Monster Energy International Distribution Agreement, dated October 3, 2008, between Tauranga Ltd, trading as Monster</w:t>
            </w:r>
          </w:p>
        </w:tc>
        <w:tc>
          <w:tcPr>
            <w:tcW w:w="40" w:type="dxa"/>
            <w:vAlign w:val="bottom"/>
          </w:tcPr>
          <w:p>
            <w:pPr>
              <w:spacing w:after="0"/>
              <w:rPr>
                <w:sz w:val="17"/>
                <w:szCs w:val="17"/>
                <w:color w:val="auto"/>
              </w:rPr>
            </w:pPr>
          </w:p>
        </w:tc>
      </w:tr>
      <w:tr>
        <w:trPr>
          <w:trHeight w:val="230"/>
        </w:trPr>
        <w:tc>
          <w:tcPr>
            <w:tcW w:w="1320" w:type="dxa"/>
            <w:vAlign w:val="bottom"/>
            <w:tcBorders>
              <w:left w:val="single" w:sz="8" w:color="auto"/>
              <w:right w:val="single" w:sz="8" w:color="auto"/>
            </w:tcBorders>
          </w:tcPr>
          <w:p>
            <w:pPr>
              <w:spacing w:after="0"/>
              <w:rPr>
                <w:sz w:val="19"/>
                <w:szCs w:val="19"/>
                <w:color w:val="auto"/>
              </w:rPr>
            </w:pPr>
          </w:p>
        </w:tc>
        <w:tc>
          <w:tcPr>
            <w:tcW w:w="10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3"/>
              </w:rPr>
              <w:t>Energy, and Coca-Cola Enterprises Inc. (incorporated by reference to exhibit 10.5 to our Form 10-Q dated November 10,</w:t>
            </w:r>
          </w:p>
        </w:tc>
        <w:tc>
          <w:tcPr>
            <w:tcW w:w="40" w:type="dxa"/>
            <w:vAlign w:val="bottom"/>
          </w:tcPr>
          <w:p>
            <w:pPr>
              <w:spacing w:after="0"/>
              <w:rPr>
                <w:sz w:val="19"/>
                <w:szCs w:val="19"/>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10.42</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0"/>
              </w:rPr>
              <w:t>Monster Energy Belgium Distribution Agreement, dated October 3, 2008, between Tauranga Ltd, trading as Monster Energy,</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4"/>
              </w:rPr>
              <w:t>and Coca-Cola Enterprises Inc. (incorporated by reference to exhibit 10.6 to our Form 10-Q dated November 10, 2008).</w:t>
            </w:r>
          </w:p>
        </w:tc>
        <w:tc>
          <w:tcPr>
            <w:tcW w:w="40" w:type="dxa"/>
            <w:vAlign w:val="bottom"/>
          </w:tcPr>
          <w:p>
            <w:pPr>
              <w:spacing w:after="0"/>
              <w:rPr>
                <w:sz w:val="21"/>
                <w:szCs w:val="21"/>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10.43+</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Stock Option Agreement between Hansen Natural Corporation and Rodney C. Sacks (made as of June 2, 2008).</w:t>
            </w:r>
          </w:p>
        </w:tc>
        <w:tc>
          <w:tcPr>
            <w:tcW w:w="40" w:type="dxa"/>
            <w:vAlign w:val="bottom"/>
          </w:tcPr>
          <w:p>
            <w:pPr>
              <w:spacing w:after="0"/>
              <w:rPr>
                <w:sz w:val="19"/>
                <w:szCs w:val="19"/>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10.43A+</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1"/>
              </w:rPr>
              <w:t>Amendment to Stock Option Agreement between Hansen Natural Corporation and Rodney C. Sacks (made as of August 2,</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10.44+</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w w:val="97"/>
              </w:rPr>
              <w:t>Stock Option Agreement between Hansen Natural Corporation and Hilton H. Schlosberg (made as of June 2, 2008).</w:t>
            </w:r>
          </w:p>
        </w:tc>
        <w:tc>
          <w:tcPr>
            <w:tcW w:w="40" w:type="dxa"/>
            <w:vAlign w:val="bottom"/>
          </w:tcPr>
          <w:p>
            <w:pPr>
              <w:spacing w:after="0"/>
              <w:rPr>
                <w:sz w:val="19"/>
                <w:szCs w:val="19"/>
                <w:color w:val="auto"/>
              </w:rPr>
            </w:pPr>
          </w:p>
        </w:tc>
      </w:tr>
      <w:tr>
        <w:trPr>
          <w:trHeight w:val="406"/>
        </w:trPr>
        <w:tc>
          <w:tcPr>
            <w:tcW w:w="1320" w:type="dxa"/>
            <w:vAlign w:val="bottom"/>
          </w:tcPr>
          <w:p>
            <w:pPr>
              <w:spacing w:after="0"/>
              <w:rPr>
                <w:sz w:val="24"/>
                <w:szCs w:val="24"/>
                <w:color w:val="auto"/>
              </w:rPr>
            </w:pPr>
          </w:p>
        </w:tc>
        <w:tc>
          <w:tcPr>
            <w:tcW w:w="10100" w:type="dxa"/>
            <w:vAlign w:val="bottom"/>
          </w:tcPr>
          <w:p>
            <w:pPr>
              <w:ind w:left="4320"/>
              <w:spacing w:after="0"/>
              <w:rPr>
                <w:sz w:val="20"/>
                <w:szCs w:val="20"/>
                <w:color w:val="auto"/>
              </w:rPr>
            </w:pPr>
            <w:r>
              <w:rPr>
                <w:rFonts w:ascii="Arial" w:cs="Arial" w:eastAsia="Arial" w:hAnsi="Arial"/>
                <w:sz w:val="16"/>
                <w:szCs w:val="16"/>
                <w:color w:val="auto"/>
              </w:rPr>
              <w:t>71</w:t>
            </w:r>
          </w:p>
        </w:tc>
        <w:tc>
          <w:tcPr>
            <w:tcW w:w="40" w:type="dxa"/>
            <w:vAlign w:val="bottom"/>
          </w:tcPr>
          <w:p>
            <w:pPr>
              <w:spacing w:after="0"/>
              <w:rPr>
                <w:sz w:val="24"/>
                <w:szCs w:val="24"/>
                <w:color w:val="auto"/>
              </w:rPr>
            </w:pPr>
          </w:p>
        </w:tc>
      </w:tr>
      <w:tr>
        <w:trPr>
          <w:trHeight w:val="138"/>
        </w:trPr>
        <w:tc>
          <w:tcPr>
            <w:tcW w:w="132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77"/>
        </w:trPr>
        <w:tc>
          <w:tcPr>
            <w:tcW w:w="13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10.44A+</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7"/>
              </w:rPr>
              <w:t>Amendment to Stock Option Agreement between Hansen Natural Corporation and Hilton H. Schlosberg (made as of</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August 2, 2008).</w:t>
            </w:r>
          </w:p>
        </w:tc>
        <w:tc>
          <w:tcPr>
            <w:tcW w:w="40" w:type="dxa"/>
            <w:vAlign w:val="bottom"/>
          </w:tcPr>
          <w:p>
            <w:pPr>
              <w:spacing w:after="0"/>
              <w:rPr>
                <w:sz w:val="21"/>
                <w:szCs w:val="21"/>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10.45+</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Stock Option Agreement between Hansen Natural Corporation and Mark J. Hall (made as of June 2, 2008).</w:t>
            </w:r>
          </w:p>
        </w:tc>
        <w:tc>
          <w:tcPr>
            <w:tcW w:w="40" w:type="dxa"/>
            <w:vAlign w:val="bottom"/>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10.46+</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Stock Option Agreement between Hansen Natural Corporation and Thomas J. Kelly (made as of June 2, 2008).</w:t>
            </w:r>
          </w:p>
        </w:tc>
        <w:tc>
          <w:tcPr>
            <w:tcW w:w="40" w:type="dxa"/>
            <w:vAlign w:val="bottom"/>
          </w:tcPr>
          <w:p>
            <w:pPr>
              <w:spacing w:after="0"/>
              <w:rPr>
                <w:sz w:val="19"/>
                <w:szCs w:val="19"/>
                <w:color w:val="auto"/>
              </w:rPr>
            </w:pPr>
          </w:p>
        </w:tc>
      </w:tr>
      <w:tr>
        <w:trPr>
          <w:trHeight w:val="206"/>
        </w:trPr>
        <w:tc>
          <w:tcPr>
            <w:tcW w:w="13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10.47+</w:t>
            </w:r>
          </w:p>
        </w:tc>
        <w:tc>
          <w:tcPr>
            <w:tcW w:w="10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1"/>
              </w:rPr>
              <w:t>2009 Hansen Natural Corporation Stock Incentive Plan for Non-Employee Directors (incorporated by reference to Exhibit A</w:t>
            </w:r>
          </w:p>
        </w:tc>
        <w:tc>
          <w:tcPr>
            <w:tcW w:w="40" w:type="dxa"/>
            <w:vAlign w:val="bottom"/>
          </w:tcPr>
          <w:p>
            <w:pPr>
              <w:spacing w:after="0"/>
              <w:rPr>
                <w:sz w:val="17"/>
                <w:szCs w:val="17"/>
                <w:color w:val="auto"/>
              </w:rPr>
            </w:pPr>
          </w:p>
        </w:tc>
      </w:tr>
      <w:tr>
        <w:trPr>
          <w:trHeight w:val="246"/>
        </w:trPr>
        <w:tc>
          <w:tcPr>
            <w:tcW w:w="1320" w:type="dxa"/>
            <w:vAlign w:val="bottom"/>
            <w:tcBorders>
              <w:left w:val="single" w:sz="8" w:color="auto"/>
              <w:bottom w:val="single" w:sz="8" w:color="auto"/>
              <w:right w:val="single" w:sz="8" w:color="auto"/>
            </w:tcBorders>
          </w:tcPr>
          <w:p>
            <w:pPr>
              <w:spacing w:after="0"/>
              <w:rPr>
                <w:sz w:val="21"/>
                <w:szCs w:val="21"/>
                <w:color w:val="auto"/>
              </w:rPr>
            </w:pPr>
          </w:p>
        </w:tc>
        <w:tc>
          <w:tcPr>
            <w:tcW w:w="10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to our Proxy Statement dated April 24, 2009).</w:t>
            </w:r>
          </w:p>
        </w:tc>
        <w:tc>
          <w:tcPr>
            <w:tcW w:w="40" w:type="dxa"/>
            <w:vAlign w:val="bottom"/>
          </w:tcPr>
          <w:p>
            <w:pPr>
              <w:spacing w:after="0"/>
              <w:rPr>
                <w:sz w:val="21"/>
                <w:szCs w:val="21"/>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10.48+</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Stock Option Agreement between Hansen Natural Corporation and Thomas J. Kelly (made as of June 1, 2009).</w:t>
            </w:r>
          </w:p>
        </w:tc>
        <w:tc>
          <w:tcPr>
            <w:tcW w:w="40" w:type="dxa"/>
            <w:vAlign w:val="bottom"/>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10.49+</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w w:val="95"/>
              </w:rPr>
              <w:t>Stock Option Agreement between Hansen Natural Corporation and Rodney C. Sacks (made as of December 1, 2009).</w:t>
            </w:r>
          </w:p>
        </w:tc>
        <w:tc>
          <w:tcPr>
            <w:tcW w:w="40" w:type="dxa"/>
            <w:vAlign w:val="bottom"/>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10.50+</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w w:val="92"/>
              </w:rPr>
              <w:t>Stock Option Agreement between Hansen Natural Corporation and Hilton H. Schlosberg (made as of December 1, 2009).</w:t>
            </w:r>
          </w:p>
        </w:tc>
        <w:tc>
          <w:tcPr>
            <w:tcW w:w="40" w:type="dxa"/>
            <w:vAlign w:val="bottom"/>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10.51+</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Stock Option Agreement between Hansen Natural Corporation and Mark J. Hall (made as of December 1, 2009).</w:t>
            </w:r>
          </w:p>
        </w:tc>
        <w:tc>
          <w:tcPr>
            <w:tcW w:w="40" w:type="dxa"/>
            <w:vAlign w:val="bottom"/>
          </w:tcPr>
          <w:p>
            <w:pPr>
              <w:spacing w:after="0"/>
              <w:rPr>
                <w:sz w:val="19"/>
                <w:szCs w:val="19"/>
                <w:color w:val="auto"/>
              </w:rPr>
            </w:pPr>
          </w:p>
        </w:tc>
      </w:tr>
      <w:tr>
        <w:trPr>
          <w:trHeight w:val="223"/>
        </w:trPr>
        <w:tc>
          <w:tcPr>
            <w:tcW w:w="13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10.52+</w:t>
            </w:r>
          </w:p>
        </w:tc>
        <w:tc>
          <w:tcPr>
            <w:tcW w:w="1010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w w:val="96"/>
              </w:rPr>
              <w:t>Stock Option Agreement between Hansen Natural Corporation and Thomas J. Kelly (made as of December 1, 2009).</w:t>
            </w:r>
          </w:p>
        </w:tc>
        <w:tc>
          <w:tcPr>
            <w:tcW w:w="40" w:type="dxa"/>
            <w:vAlign w:val="bottom"/>
          </w:tcPr>
          <w:p>
            <w:pPr>
              <w:spacing w:after="0"/>
              <w:rPr>
                <w:sz w:val="19"/>
                <w:szCs w:val="19"/>
                <w:color w:val="auto"/>
              </w:rPr>
            </w:pPr>
          </w:p>
        </w:tc>
      </w:tr>
      <w:tr>
        <w:trPr>
          <w:trHeight w:val="50"/>
        </w:trPr>
        <w:tc>
          <w:tcPr>
            <w:tcW w:w="1320" w:type="dxa"/>
            <w:vAlign w:val="bottom"/>
            <w:tcBorders>
              <w:left w:val="single" w:sz="8" w:color="auto"/>
              <w:right w:val="single" w:sz="8" w:color="auto"/>
            </w:tcBorders>
          </w:tcPr>
          <w:p>
            <w:pPr>
              <w:spacing w:after="0"/>
              <w:rPr>
                <w:sz w:val="4"/>
                <w:szCs w:val="4"/>
                <w:color w:val="auto"/>
              </w:rPr>
            </w:pPr>
          </w:p>
        </w:tc>
        <w:tc>
          <w:tcPr>
            <w:tcW w:w="10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-8827770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-8827770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-2121535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-2121535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39" w:right="199"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48"/>
        </w:trPr>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10.53+*</w:t>
            </w:r>
          </w:p>
        </w:tc>
        <w:tc>
          <w:tcPr>
            <w:tcW w:w="1034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w w:val="96"/>
              </w:rPr>
              <w:t>Stock Option Agreement between Hansen Natural Corporation and Thomas J. Kelly (made as of December 1, 2010).</w:t>
            </w:r>
          </w:p>
        </w:tc>
      </w:tr>
      <w:tr>
        <w:trPr>
          <w:trHeight w:val="223"/>
        </w:trPr>
        <w:tc>
          <w:tcPr>
            <w:tcW w:w="108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10.54+*</w:t>
            </w:r>
          </w:p>
        </w:tc>
        <w:tc>
          <w:tcPr>
            <w:tcW w:w="10340" w:type="dxa"/>
            <w:vAlign w:val="bottom"/>
            <w:tcBorders>
              <w:bottom w:val="single" w:sz="8" w:color="auto"/>
            </w:tcBorders>
          </w:tcPr>
          <w:p>
            <w:pPr>
              <w:ind w:left="320"/>
              <w:spacing w:after="0" w:line="223" w:lineRule="exact"/>
              <w:rPr>
                <w:sz w:val="20"/>
                <w:szCs w:val="20"/>
                <w:color w:val="auto"/>
              </w:rPr>
            </w:pPr>
            <w:r>
              <w:rPr>
                <w:rFonts w:ascii="Arial" w:cs="Arial" w:eastAsia="Arial" w:hAnsi="Arial"/>
                <w:sz w:val="20"/>
                <w:szCs w:val="20"/>
                <w:color w:val="auto"/>
              </w:rPr>
              <w:t>Stock Option Agreement between Hansen Natural Corporation and Mark J. Hall (made as of December 1, 2010).</w:t>
            </w:r>
          </w:p>
        </w:tc>
      </w:tr>
      <w:tr>
        <w:trPr>
          <w:trHeight w:val="206"/>
        </w:trPr>
        <w:tc>
          <w:tcPr>
            <w:tcW w:w="1080" w:type="dxa"/>
            <w:vAlign w:val="bottom"/>
          </w:tcPr>
          <w:p>
            <w:pPr>
              <w:ind w:left="120"/>
              <w:spacing w:after="0" w:line="207" w:lineRule="exact"/>
              <w:rPr>
                <w:sz w:val="20"/>
                <w:szCs w:val="20"/>
                <w:color w:val="auto"/>
              </w:rPr>
            </w:pPr>
            <w:r>
              <w:rPr>
                <w:rFonts w:ascii="Arial" w:cs="Arial" w:eastAsia="Arial" w:hAnsi="Arial"/>
                <w:sz w:val="20"/>
                <w:szCs w:val="20"/>
                <w:color w:val="auto"/>
              </w:rPr>
              <w:t>10.55+*</w:t>
            </w:r>
          </w:p>
        </w:tc>
        <w:tc>
          <w:tcPr>
            <w:tcW w:w="10340" w:type="dxa"/>
            <w:vAlign w:val="bottom"/>
          </w:tcPr>
          <w:p>
            <w:pPr>
              <w:ind w:left="320"/>
              <w:spacing w:after="0" w:line="207" w:lineRule="exact"/>
              <w:rPr>
                <w:sz w:val="20"/>
                <w:szCs w:val="20"/>
                <w:color w:val="auto"/>
              </w:rPr>
            </w:pPr>
            <w:r>
              <w:rPr>
                <w:rFonts w:ascii="Arial" w:cs="Arial" w:eastAsia="Arial" w:hAnsi="Arial"/>
                <w:sz w:val="20"/>
                <w:szCs w:val="20"/>
                <w:color w:val="auto"/>
                <w:w w:val="93"/>
              </w:rPr>
              <w:t>Form of Restricted Stock Unit Agreement pursuant to the 2009 Hansen Natural Corporation Stock Incentive Plan for Non-</w:t>
            </w:r>
          </w:p>
        </w:tc>
      </w:tr>
      <w:tr>
        <w:trPr>
          <w:trHeight w:val="246"/>
        </w:trPr>
        <w:tc>
          <w:tcPr>
            <w:tcW w:w="10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Employee Directors.</w:t>
            </w:r>
          </w:p>
        </w:tc>
      </w:tr>
      <w:tr>
        <w:trPr>
          <w:trHeight w:val="223"/>
        </w:trPr>
        <w:tc>
          <w:tcPr>
            <w:tcW w:w="108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21*</w:t>
            </w:r>
          </w:p>
        </w:tc>
        <w:tc>
          <w:tcPr>
            <w:tcW w:w="10340" w:type="dxa"/>
            <w:vAlign w:val="bottom"/>
            <w:tcBorders>
              <w:bottom w:val="single" w:sz="8" w:color="auto"/>
            </w:tcBorders>
          </w:tcPr>
          <w:p>
            <w:pPr>
              <w:ind w:left="320"/>
              <w:spacing w:after="0" w:line="223" w:lineRule="exact"/>
              <w:rPr>
                <w:sz w:val="20"/>
                <w:szCs w:val="20"/>
                <w:color w:val="auto"/>
              </w:rPr>
            </w:pPr>
            <w:r>
              <w:rPr>
                <w:rFonts w:ascii="Arial" w:cs="Arial" w:eastAsia="Arial" w:hAnsi="Arial"/>
                <w:sz w:val="20"/>
                <w:szCs w:val="20"/>
                <w:color w:val="auto"/>
              </w:rPr>
              <w:t>Subsidiaries</w:t>
            </w:r>
          </w:p>
        </w:tc>
      </w:tr>
      <w:tr>
        <w:trPr>
          <w:trHeight w:val="223"/>
        </w:trPr>
        <w:tc>
          <w:tcPr>
            <w:tcW w:w="108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23*</w:t>
            </w:r>
          </w:p>
        </w:tc>
        <w:tc>
          <w:tcPr>
            <w:tcW w:w="10340" w:type="dxa"/>
            <w:vAlign w:val="bottom"/>
            <w:tcBorders>
              <w:bottom w:val="single" w:sz="8" w:color="auto"/>
            </w:tcBorders>
          </w:tcPr>
          <w:p>
            <w:pPr>
              <w:ind w:left="320"/>
              <w:spacing w:after="0" w:line="223" w:lineRule="exact"/>
              <w:rPr>
                <w:sz w:val="20"/>
                <w:szCs w:val="20"/>
                <w:color w:val="auto"/>
              </w:rPr>
            </w:pPr>
            <w:r>
              <w:rPr>
                <w:rFonts w:ascii="Arial" w:cs="Arial" w:eastAsia="Arial" w:hAnsi="Arial"/>
                <w:sz w:val="20"/>
                <w:szCs w:val="20"/>
                <w:color w:val="auto"/>
              </w:rPr>
              <w:t>Consent of Independent Registered Public Accounting Firm</w:t>
            </w:r>
          </w:p>
        </w:tc>
      </w:tr>
      <w:tr>
        <w:trPr>
          <w:trHeight w:val="206"/>
        </w:trPr>
        <w:tc>
          <w:tcPr>
            <w:tcW w:w="1080" w:type="dxa"/>
            <w:vAlign w:val="bottom"/>
          </w:tcPr>
          <w:p>
            <w:pPr>
              <w:ind w:left="120"/>
              <w:spacing w:after="0" w:line="207" w:lineRule="exact"/>
              <w:rPr>
                <w:sz w:val="20"/>
                <w:szCs w:val="20"/>
                <w:color w:val="auto"/>
              </w:rPr>
            </w:pPr>
            <w:r>
              <w:rPr>
                <w:rFonts w:ascii="Arial" w:cs="Arial" w:eastAsia="Arial" w:hAnsi="Arial"/>
                <w:sz w:val="20"/>
                <w:szCs w:val="20"/>
                <w:color w:val="auto"/>
              </w:rPr>
              <w:t>31.1*</w:t>
            </w:r>
          </w:p>
        </w:tc>
        <w:tc>
          <w:tcPr>
            <w:tcW w:w="10340" w:type="dxa"/>
            <w:vAlign w:val="bottom"/>
          </w:tcPr>
          <w:p>
            <w:pPr>
              <w:ind w:left="320"/>
              <w:spacing w:after="0" w:line="207" w:lineRule="exact"/>
              <w:rPr>
                <w:sz w:val="20"/>
                <w:szCs w:val="20"/>
                <w:color w:val="auto"/>
              </w:rPr>
            </w:pPr>
            <w:r>
              <w:rPr>
                <w:rFonts w:ascii="Arial" w:cs="Arial" w:eastAsia="Arial" w:hAnsi="Arial"/>
                <w:sz w:val="20"/>
                <w:szCs w:val="20"/>
                <w:color w:val="auto"/>
                <w:w w:val="91"/>
              </w:rPr>
              <w:t>Certification by CEO pursuant to Rule 13A-14(a) or 15D-14(a) of the Securities Exchange Act of 1934, as adopted pursuant</w:t>
            </w:r>
          </w:p>
        </w:tc>
      </w:tr>
      <w:tr>
        <w:trPr>
          <w:trHeight w:val="246"/>
        </w:trPr>
        <w:tc>
          <w:tcPr>
            <w:tcW w:w="10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to Section 302 of the Sarbanes-Oxley Act of 2002 *</w:t>
            </w:r>
          </w:p>
        </w:tc>
      </w:tr>
      <w:tr>
        <w:trPr>
          <w:trHeight w:val="206"/>
        </w:trPr>
        <w:tc>
          <w:tcPr>
            <w:tcW w:w="1080" w:type="dxa"/>
            <w:vAlign w:val="bottom"/>
          </w:tcPr>
          <w:p>
            <w:pPr>
              <w:ind w:left="120"/>
              <w:spacing w:after="0" w:line="207" w:lineRule="exact"/>
              <w:rPr>
                <w:sz w:val="20"/>
                <w:szCs w:val="20"/>
                <w:color w:val="auto"/>
              </w:rPr>
            </w:pPr>
            <w:r>
              <w:rPr>
                <w:rFonts w:ascii="Arial" w:cs="Arial" w:eastAsia="Arial" w:hAnsi="Arial"/>
                <w:sz w:val="20"/>
                <w:szCs w:val="20"/>
                <w:color w:val="auto"/>
              </w:rPr>
              <w:t>31.2*</w:t>
            </w:r>
          </w:p>
        </w:tc>
        <w:tc>
          <w:tcPr>
            <w:tcW w:w="10340" w:type="dxa"/>
            <w:vAlign w:val="bottom"/>
          </w:tcPr>
          <w:p>
            <w:pPr>
              <w:ind w:left="320"/>
              <w:spacing w:after="0" w:line="207" w:lineRule="exact"/>
              <w:rPr>
                <w:sz w:val="20"/>
                <w:szCs w:val="20"/>
                <w:color w:val="auto"/>
              </w:rPr>
            </w:pPr>
            <w:r>
              <w:rPr>
                <w:rFonts w:ascii="Arial" w:cs="Arial" w:eastAsia="Arial" w:hAnsi="Arial"/>
                <w:sz w:val="20"/>
                <w:szCs w:val="20"/>
                <w:color w:val="auto"/>
                <w:w w:val="91"/>
              </w:rPr>
              <w:t>Certification by CFO pursuant to Rule 13A-14(a) or 15D-14(a) of the Securities Exchange Act of 1934, as adopted pursuant</w:t>
            </w:r>
          </w:p>
        </w:tc>
      </w:tr>
      <w:tr>
        <w:trPr>
          <w:trHeight w:val="246"/>
        </w:trPr>
        <w:tc>
          <w:tcPr>
            <w:tcW w:w="10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to Section 302 of the Sarbanes-Oxley Act of 2002 *</w:t>
            </w:r>
          </w:p>
        </w:tc>
      </w:tr>
      <w:tr>
        <w:trPr>
          <w:trHeight w:val="206"/>
        </w:trPr>
        <w:tc>
          <w:tcPr>
            <w:tcW w:w="1080" w:type="dxa"/>
            <w:vAlign w:val="bottom"/>
          </w:tcPr>
          <w:p>
            <w:pPr>
              <w:ind w:left="120"/>
              <w:spacing w:after="0" w:line="207" w:lineRule="exact"/>
              <w:rPr>
                <w:sz w:val="20"/>
                <w:szCs w:val="20"/>
                <w:color w:val="auto"/>
              </w:rPr>
            </w:pPr>
            <w:r>
              <w:rPr>
                <w:rFonts w:ascii="Arial" w:cs="Arial" w:eastAsia="Arial" w:hAnsi="Arial"/>
                <w:sz w:val="20"/>
                <w:szCs w:val="20"/>
                <w:color w:val="auto"/>
              </w:rPr>
              <w:t>32.1*</w:t>
            </w:r>
          </w:p>
        </w:tc>
        <w:tc>
          <w:tcPr>
            <w:tcW w:w="10340" w:type="dxa"/>
            <w:vAlign w:val="bottom"/>
          </w:tcPr>
          <w:p>
            <w:pPr>
              <w:ind w:left="320"/>
              <w:spacing w:after="0" w:line="207" w:lineRule="exact"/>
              <w:rPr>
                <w:sz w:val="20"/>
                <w:szCs w:val="20"/>
                <w:color w:val="auto"/>
              </w:rPr>
            </w:pPr>
            <w:r>
              <w:rPr>
                <w:rFonts w:ascii="Arial" w:cs="Arial" w:eastAsia="Arial" w:hAnsi="Arial"/>
                <w:sz w:val="20"/>
                <w:szCs w:val="20"/>
                <w:color w:val="auto"/>
                <w:w w:val="91"/>
              </w:rPr>
              <w:t>Certification by CEO pursuant to 18 U.S.C. Section 1350, as adopted pursuant to Section 906 of the Sarbanes-Oxley Act of</w:t>
            </w:r>
          </w:p>
        </w:tc>
      </w:tr>
      <w:tr>
        <w:trPr>
          <w:trHeight w:val="246"/>
        </w:trPr>
        <w:tc>
          <w:tcPr>
            <w:tcW w:w="10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2002 *</w:t>
            </w:r>
          </w:p>
        </w:tc>
      </w:tr>
      <w:tr>
        <w:trPr>
          <w:trHeight w:val="206"/>
        </w:trPr>
        <w:tc>
          <w:tcPr>
            <w:tcW w:w="1080" w:type="dxa"/>
            <w:vAlign w:val="bottom"/>
          </w:tcPr>
          <w:p>
            <w:pPr>
              <w:ind w:left="120"/>
              <w:spacing w:after="0" w:line="207" w:lineRule="exact"/>
              <w:rPr>
                <w:sz w:val="20"/>
                <w:szCs w:val="20"/>
                <w:color w:val="auto"/>
              </w:rPr>
            </w:pPr>
            <w:r>
              <w:rPr>
                <w:rFonts w:ascii="Arial" w:cs="Arial" w:eastAsia="Arial" w:hAnsi="Arial"/>
                <w:sz w:val="20"/>
                <w:szCs w:val="20"/>
                <w:color w:val="auto"/>
              </w:rPr>
              <w:t>32.2*</w:t>
            </w:r>
          </w:p>
        </w:tc>
        <w:tc>
          <w:tcPr>
            <w:tcW w:w="10340" w:type="dxa"/>
            <w:vAlign w:val="bottom"/>
          </w:tcPr>
          <w:p>
            <w:pPr>
              <w:ind w:left="320"/>
              <w:spacing w:after="0" w:line="207" w:lineRule="exact"/>
              <w:rPr>
                <w:sz w:val="20"/>
                <w:szCs w:val="20"/>
                <w:color w:val="auto"/>
              </w:rPr>
            </w:pPr>
            <w:r>
              <w:rPr>
                <w:rFonts w:ascii="Arial" w:cs="Arial" w:eastAsia="Arial" w:hAnsi="Arial"/>
                <w:sz w:val="20"/>
                <w:szCs w:val="20"/>
                <w:color w:val="auto"/>
                <w:w w:val="91"/>
              </w:rPr>
              <w:t>Certification by CFO pursuant to 18 U.S.C. Section 1350, as adopted pursuant to Section 906 of the Sarbanes-Oxley Act of</w:t>
            </w:r>
          </w:p>
        </w:tc>
      </w:tr>
      <w:tr>
        <w:trPr>
          <w:trHeight w:val="246"/>
        </w:trPr>
        <w:tc>
          <w:tcPr>
            <w:tcW w:w="1080" w:type="dxa"/>
            <w:vAlign w:val="bottom"/>
            <w:tcBorders>
              <w:bottom w:val="single" w:sz="8" w:color="auto"/>
            </w:tcBorders>
          </w:tcPr>
          <w:p>
            <w:pPr>
              <w:spacing w:after="0"/>
              <w:rPr>
                <w:sz w:val="21"/>
                <w:szCs w:val="21"/>
                <w:color w:val="auto"/>
              </w:rPr>
            </w:pPr>
          </w:p>
        </w:tc>
        <w:tc>
          <w:tcPr>
            <w:tcW w:w="1034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2002 *</w:t>
            </w:r>
          </w:p>
        </w:tc>
      </w:tr>
      <w:tr>
        <w:trPr>
          <w:trHeight w:val="206"/>
        </w:trPr>
        <w:tc>
          <w:tcPr>
            <w:tcW w:w="1080" w:type="dxa"/>
            <w:vAlign w:val="bottom"/>
          </w:tcPr>
          <w:p>
            <w:pPr>
              <w:ind w:left="120"/>
              <w:spacing w:after="0" w:line="207" w:lineRule="exact"/>
              <w:rPr>
                <w:sz w:val="20"/>
                <w:szCs w:val="20"/>
                <w:color w:val="auto"/>
              </w:rPr>
            </w:pPr>
            <w:r>
              <w:rPr>
                <w:rFonts w:ascii="Arial" w:cs="Arial" w:eastAsia="Arial" w:hAnsi="Arial"/>
                <w:sz w:val="20"/>
                <w:szCs w:val="20"/>
                <w:color w:val="auto"/>
              </w:rPr>
              <w:t>101*</w:t>
            </w:r>
          </w:p>
        </w:tc>
        <w:tc>
          <w:tcPr>
            <w:tcW w:w="10340" w:type="dxa"/>
            <w:vAlign w:val="bottom"/>
          </w:tcPr>
          <w:p>
            <w:pPr>
              <w:ind w:left="320"/>
              <w:spacing w:after="0" w:line="207" w:lineRule="exact"/>
              <w:rPr>
                <w:sz w:val="20"/>
                <w:szCs w:val="20"/>
                <w:color w:val="auto"/>
              </w:rPr>
            </w:pPr>
            <w:r>
              <w:rPr>
                <w:rFonts w:ascii="Arial" w:cs="Arial" w:eastAsia="Arial" w:hAnsi="Arial"/>
                <w:sz w:val="20"/>
                <w:szCs w:val="20"/>
                <w:color w:val="auto"/>
                <w:w w:val="91"/>
              </w:rPr>
              <w:t>The following materials from Hansen Natural Corporation’s Annual Report on Form 10-K for the fiscal year ended December</w:t>
            </w:r>
          </w:p>
        </w:tc>
      </w:tr>
      <w:tr>
        <w:trPr>
          <w:trHeight w:val="230"/>
        </w:trPr>
        <w:tc>
          <w:tcPr>
            <w:tcW w:w="108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20"/>
                <w:szCs w:val="20"/>
                <w:color w:val="auto"/>
                <w:w w:val="90"/>
              </w:rPr>
              <w:t>31, 2010 are furnished herewith, formatted in XBRL (eXtensible Business Reporting Language): (i) the Consolidated Balance</w:t>
            </w:r>
          </w:p>
        </w:tc>
      </w:tr>
      <w:tr>
        <w:trPr>
          <w:trHeight w:val="230"/>
        </w:trPr>
        <w:tc>
          <w:tcPr>
            <w:tcW w:w="108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20"/>
                <w:szCs w:val="20"/>
                <w:color w:val="auto"/>
                <w:w w:val="92"/>
              </w:rPr>
              <w:t>Sheets as of December 31, 2010 and 2009, (ii) the Consolidated Statements of Income for the years ended December 31,</w:t>
            </w:r>
          </w:p>
        </w:tc>
      </w:tr>
      <w:tr>
        <w:trPr>
          <w:trHeight w:val="230"/>
        </w:trPr>
        <w:tc>
          <w:tcPr>
            <w:tcW w:w="108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20"/>
                <w:szCs w:val="20"/>
                <w:color w:val="auto"/>
                <w:w w:val="89"/>
              </w:rPr>
              <w:t>2010, 2009 and 2008, (iii) the Consolidated Statements of Stockholders’ Equity for the years ended December 31, 2010, 2009</w:t>
            </w:r>
          </w:p>
        </w:tc>
      </w:tr>
      <w:tr>
        <w:trPr>
          <w:trHeight w:val="230"/>
        </w:trPr>
        <w:tc>
          <w:tcPr>
            <w:tcW w:w="108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20"/>
                <w:szCs w:val="20"/>
                <w:color w:val="auto"/>
                <w:w w:val="90"/>
              </w:rPr>
              <w:t>and 2008, (iv) Consolidated Statements of Comprehensive Income for the years ended December 31, 2010, 2009 and 2008,</w:t>
            </w:r>
          </w:p>
        </w:tc>
      </w:tr>
      <w:tr>
        <w:trPr>
          <w:trHeight w:val="230"/>
        </w:trPr>
        <w:tc>
          <w:tcPr>
            <w:tcW w:w="108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20"/>
                <w:szCs w:val="20"/>
                <w:color w:val="auto"/>
                <w:w w:val="92"/>
              </w:rPr>
              <w:t>(v) Consolidated Statements of Cash Flows for the years ended December 31, 2010, 2009 and 2008, and (vi) the Notes to</w:t>
            </w:r>
          </w:p>
        </w:tc>
      </w:tr>
      <w:tr>
        <w:trPr>
          <w:trHeight w:val="237"/>
        </w:trPr>
        <w:tc>
          <w:tcPr>
            <w:tcW w:w="108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20"/>
                <w:szCs w:val="20"/>
                <w:color w:val="auto"/>
              </w:rPr>
              <w:t>Condensed Consolidated Financial Statements, tagged as blocks of text.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-3132455</wp:posOffset>
            </wp:positionV>
            <wp:extent cx="7246620" cy="31470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147060"/>
                    </a:xfrm>
                    <a:prstGeom prst="rect">
                      <a:avLst/>
                    </a:prstGeom>
                    <a:noFill/>
                  </pic:spPr>
                </pic:pic>
              </a:graphicData>
            </a:graphic>
          </wp:anchor>
        </w:drawing>
      </w:r>
    </w:p>
    <w:p>
      <w:pPr>
        <w:ind w:left="400" w:hanging="289"/>
        <w:spacing w:after="0" w:line="183" w:lineRule="auto"/>
        <w:tabs>
          <w:tab w:leader="none" w:pos="400" w:val="left"/>
        </w:tabs>
        <w:numPr>
          <w:ilvl w:val="0"/>
          <w:numId w:val="36"/>
        </w:numPr>
        <w:rPr>
          <w:rFonts w:ascii="Arial" w:cs="Arial" w:eastAsia="Arial" w:hAnsi="Arial"/>
          <w:sz w:val="23"/>
          <w:szCs w:val="23"/>
          <w:color w:val="auto"/>
          <w:vertAlign w:val="superscript"/>
        </w:rPr>
      </w:pPr>
      <w:r>
        <w:rPr>
          <w:rFonts w:ascii="Arial" w:cs="Arial" w:eastAsia="Arial" w:hAnsi="Arial"/>
          <w:sz w:val="13"/>
          <w:szCs w:val="13"/>
          <w:color w:val="auto"/>
        </w:rPr>
        <w:t>Filed herewith.</w:t>
      </w:r>
    </w:p>
    <w:p>
      <w:pPr>
        <w:ind w:left="400" w:hanging="289"/>
        <w:spacing w:after="0" w:line="180" w:lineRule="auto"/>
        <w:tabs>
          <w:tab w:leader="none" w:pos="400" w:val="left"/>
        </w:tabs>
        <w:numPr>
          <w:ilvl w:val="0"/>
          <w:numId w:val="37"/>
        </w:numPr>
        <w:rPr>
          <w:rFonts w:ascii="Arial" w:cs="Arial" w:eastAsia="Arial" w:hAnsi="Arial"/>
          <w:sz w:val="27"/>
          <w:szCs w:val="27"/>
          <w:color w:val="auto"/>
          <w:vertAlign w:val="superscript"/>
        </w:rPr>
      </w:pPr>
      <w:r>
        <w:rPr>
          <w:rFonts w:ascii="Arial" w:cs="Arial" w:eastAsia="Arial" w:hAnsi="Arial"/>
          <w:sz w:val="14"/>
          <w:szCs w:val="14"/>
          <w:color w:val="auto"/>
        </w:rPr>
        <w:t>Management contract or compensatory plans or arrangements.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CONSOLIDATED FINANCIAL STATEMENTS AND FINANCIAL STATEMENT SCHEDULE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60" w:type="dxa"/>
            <w:vAlign w:val="bottom"/>
            <w:gridSpan w:val="10"/>
            <w:vMerge w:val="restart"/>
          </w:tcPr>
          <w:p>
            <w:pPr>
              <w:spacing w:after="0"/>
              <w:rPr>
                <w:sz w:val="20"/>
                <w:szCs w:val="20"/>
                <w:color w:val="auto"/>
              </w:rPr>
            </w:pPr>
            <w:r>
              <w:rPr>
                <w:rFonts w:ascii="Arial" w:cs="Arial" w:eastAsia="Arial" w:hAnsi="Arial"/>
                <w:sz w:val="20"/>
                <w:szCs w:val="20"/>
                <w:color w:val="auto"/>
              </w:rPr>
              <w:t>HANSEN NATURAL CORPORATION AND SUBSIDIARIES</w:t>
            </w:r>
          </w:p>
        </w:tc>
        <w:tc>
          <w:tcPr>
            <w:tcW w:w="176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Page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9660" w:type="dxa"/>
            <w:vAlign w:val="bottom"/>
            <w:gridSpan w:val="10"/>
            <w:vMerge w:val="continue"/>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4"/>
        </w:trPr>
        <w:tc>
          <w:tcPr>
            <w:tcW w:w="9660" w:type="dxa"/>
            <w:vAlign w:val="bottom"/>
            <w:gridSpan w:val="10"/>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Report of Independent Registered Public Accounting Firm</w:t>
              </w:r>
            </w:hyperlink>
          </w:p>
        </w:tc>
        <w:tc>
          <w:tcPr>
            <w:tcW w:w="1760" w:type="dxa"/>
            <w:vAlign w:val="bottom"/>
          </w:tcPr>
          <w:p>
            <w:pPr>
              <w:jc w:val="center"/>
              <w:spacing w:after="0"/>
              <w:rPr>
                <w:sz w:val="20"/>
                <w:szCs w:val="20"/>
                <w:color w:val="auto"/>
              </w:rPr>
            </w:pPr>
            <w:r>
              <w:rPr>
                <w:rFonts w:ascii="Arial" w:cs="Arial" w:eastAsia="Arial" w:hAnsi="Arial"/>
                <w:sz w:val="20"/>
                <w:szCs w:val="20"/>
                <w:color w:val="auto"/>
                <w:w w:val="89"/>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20" w:type="dxa"/>
            <w:vAlign w:val="bottom"/>
            <w:tcBorders>
              <w:bottom w:val="single" w:sz="8" w:color="0000EE"/>
            </w:tcBorders>
            <w:gridSpan w:val="4"/>
          </w:tcPr>
          <w:p>
            <w:pPr>
              <w:spacing w:after="0"/>
              <w:rPr>
                <w:rFonts w:ascii="Arial" w:cs="Arial" w:eastAsia="Arial" w:hAnsi="Arial"/>
                <w:sz w:val="20"/>
                <w:szCs w:val="20"/>
                <w:color w:val="0000EE"/>
                <w:w w:val="87"/>
              </w:rPr>
            </w:pPr>
            <w:hyperlink w:anchor="page47">
              <w:r>
                <w:rPr>
                  <w:rFonts w:ascii="Arial" w:cs="Arial" w:eastAsia="Arial" w:hAnsi="Arial"/>
                  <w:sz w:val="20"/>
                  <w:szCs w:val="20"/>
                  <w:color w:val="0000EE"/>
                  <w:w w:val="87"/>
                </w:rPr>
                <w:t>Consolidated Balance Sheets as of December 31, 2010 and 2009</w:t>
              </w:r>
            </w:hyperlink>
          </w:p>
        </w:tc>
        <w:tc>
          <w:tcPr>
            <w:tcW w:w="4540" w:type="dxa"/>
            <w:vAlign w:val="bottom"/>
            <w:gridSpan w:val="6"/>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auto"/>
                <w:w w:val="89"/>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60" w:type="dxa"/>
            <w:vAlign w:val="bottom"/>
            <w:gridSpan w:val="10"/>
          </w:tcPr>
          <w:p>
            <w:pPr>
              <w:spacing w:after="0"/>
              <w:rPr>
                <w:rFonts w:ascii="Arial" w:cs="Arial" w:eastAsia="Arial" w:hAnsi="Arial"/>
                <w:sz w:val="20"/>
                <w:szCs w:val="20"/>
                <w:color w:val="0000EE"/>
              </w:rPr>
            </w:pPr>
            <w:hyperlink w:anchor="page48">
              <w:r>
                <w:rPr>
                  <w:rFonts w:ascii="Arial" w:cs="Arial" w:eastAsia="Arial" w:hAnsi="Arial"/>
                  <w:sz w:val="20"/>
                  <w:szCs w:val="20"/>
                  <w:color w:val="0000EE"/>
                </w:rPr>
                <w:t>Consolidated Statements of Income for the years ended December 31, 2010, 2009 and 2008</w:t>
              </w:r>
            </w:hyperlink>
          </w:p>
        </w:tc>
        <w:tc>
          <w:tcPr>
            <w:tcW w:w="1760" w:type="dxa"/>
            <w:vAlign w:val="bottom"/>
          </w:tcPr>
          <w:p>
            <w:pPr>
              <w:jc w:val="center"/>
              <w:spacing w:after="0"/>
              <w:rPr>
                <w:sz w:val="20"/>
                <w:szCs w:val="20"/>
                <w:color w:val="auto"/>
              </w:rPr>
            </w:pPr>
            <w:r>
              <w:rPr>
                <w:rFonts w:ascii="Arial" w:cs="Arial" w:eastAsia="Arial" w:hAnsi="Arial"/>
                <w:sz w:val="20"/>
                <w:szCs w:val="20"/>
                <w:color w:val="auto"/>
                <w:w w:val="89"/>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360" w:type="dxa"/>
            <w:vAlign w:val="bottom"/>
            <w:tcBorders>
              <w:bottom w:val="single" w:sz="8" w:color="0000EE"/>
            </w:tcBorders>
            <w:gridSpan w:val="7"/>
          </w:tcPr>
          <w:p>
            <w:pPr>
              <w:spacing w:after="0"/>
              <w:rPr>
                <w:rFonts w:ascii="Arial" w:cs="Arial" w:eastAsia="Arial" w:hAnsi="Arial"/>
                <w:sz w:val="20"/>
                <w:szCs w:val="20"/>
                <w:color w:val="0000EE"/>
                <w:w w:val="89"/>
              </w:rPr>
            </w:pPr>
            <w:hyperlink w:anchor="page48">
              <w:r>
                <w:rPr>
                  <w:rFonts w:ascii="Arial" w:cs="Arial" w:eastAsia="Arial" w:hAnsi="Arial"/>
                  <w:sz w:val="20"/>
                  <w:szCs w:val="20"/>
                  <w:color w:val="0000EE"/>
                  <w:w w:val="89"/>
                </w:rPr>
                <w:t>Consolidated Statements of Stockholders’ Equity for the years ended December 31, 2010, 2009 and 2008</w:t>
              </w:r>
            </w:hyperlink>
          </w:p>
        </w:tc>
        <w:tc>
          <w:tcPr>
            <w:tcW w:w="1300" w:type="dxa"/>
            <w:vAlign w:val="bottom"/>
            <w:gridSpan w:val="3"/>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auto"/>
                <w:w w:val="89"/>
              </w:rPr>
              <w:t>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60" w:type="dxa"/>
            <w:vAlign w:val="bottom"/>
            <w:gridSpan w:val="10"/>
          </w:tcPr>
          <w:p>
            <w:pPr>
              <w:spacing w:after="0"/>
              <w:rPr>
                <w:rFonts w:ascii="Arial" w:cs="Arial" w:eastAsia="Arial" w:hAnsi="Arial"/>
                <w:sz w:val="20"/>
                <w:szCs w:val="20"/>
                <w:color w:val="0000EE"/>
                <w:w w:val="99"/>
              </w:rPr>
            </w:pPr>
            <w:hyperlink w:anchor="page49">
              <w:r>
                <w:rPr>
                  <w:rFonts w:ascii="Arial" w:cs="Arial" w:eastAsia="Arial" w:hAnsi="Arial"/>
                  <w:sz w:val="20"/>
                  <w:szCs w:val="20"/>
                  <w:color w:val="0000EE"/>
                  <w:w w:val="99"/>
                </w:rPr>
                <w:t>Consolidated Statements of Comprehensive Income for the years ended December 31, 2010, 2009 and 2008</w:t>
              </w:r>
            </w:hyperlink>
          </w:p>
        </w:tc>
        <w:tc>
          <w:tcPr>
            <w:tcW w:w="1760" w:type="dxa"/>
            <w:vAlign w:val="bottom"/>
          </w:tcPr>
          <w:p>
            <w:pPr>
              <w:jc w:val="center"/>
              <w:spacing w:after="0"/>
              <w:rPr>
                <w:sz w:val="20"/>
                <w:szCs w:val="20"/>
                <w:color w:val="auto"/>
              </w:rPr>
            </w:pPr>
            <w:r>
              <w:rPr>
                <w:rFonts w:ascii="Arial" w:cs="Arial" w:eastAsia="Arial" w:hAnsi="Arial"/>
                <w:sz w:val="20"/>
                <w:szCs w:val="20"/>
                <w:color w:val="auto"/>
                <w:w w:val="89"/>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560" w:type="dxa"/>
            <w:vAlign w:val="bottom"/>
            <w:tcBorders>
              <w:top w:val="single" w:sz="8" w:color="0000EE"/>
            </w:tcBorders>
            <w:gridSpan w:val="8"/>
          </w:tcPr>
          <w:p>
            <w:pPr>
              <w:spacing w:after="0"/>
              <w:rPr>
                <w:rFonts w:ascii="Arial" w:cs="Arial" w:eastAsia="Arial" w:hAnsi="Arial"/>
                <w:sz w:val="20"/>
                <w:szCs w:val="20"/>
                <w:color w:val="0000EE"/>
                <w:w w:val="99"/>
              </w:rPr>
            </w:pPr>
            <w:hyperlink w:anchor="page49">
              <w:r>
                <w:rPr>
                  <w:rFonts w:ascii="Arial" w:cs="Arial" w:eastAsia="Arial" w:hAnsi="Arial"/>
                  <w:sz w:val="20"/>
                  <w:szCs w:val="20"/>
                  <w:color w:val="0000EE"/>
                  <w:w w:val="99"/>
                </w:rPr>
                <w:t>Consolidated Statements of Cash Flows for the years ended December 31, 2010, 2009 and 2008</w:t>
              </w:r>
            </w:hyperlink>
          </w:p>
        </w:tc>
        <w:tc>
          <w:tcPr>
            <w:tcW w:w="1100" w:type="dxa"/>
            <w:vAlign w:val="bottom"/>
            <w:gridSpan w:val="2"/>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auto"/>
                <w:w w:val="89"/>
              </w:rPr>
              <w:t>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8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88"/>
              </w:rPr>
            </w:pPr>
            <w:hyperlink w:anchor="page50">
              <w:r>
                <w:rPr>
                  <w:rFonts w:ascii="Arial" w:cs="Arial" w:eastAsia="Arial" w:hAnsi="Arial"/>
                  <w:sz w:val="20"/>
                  <w:szCs w:val="20"/>
                  <w:color w:val="0000EE"/>
                  <w:w w:val="88"/>
                </w:rPr>
                <w:t>Notes to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2060" w:type="dxa"/>
            <w:vAlign w:val="bottom"/>
            <w:gridSpan w:val="4"/>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auto"/>
                <w:w w:val="89"/>
              </w:rPr>
              <w:t>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9660" w:type="dxa"/>
            <w:vAlign w:val="bottom"/>
            <w:gridSpan w:val="10"/>
          </w:tcPr>
          <w:p>
            <w:pPr>
              <w:spacing w:after="0"/>
              <w:rPr>
                <w:rFonts w:ascii="Arial" w:cs="Arial" w:eastAsia="Arial" w:hAnsi="Arial"/>
                <w:sz w:val="20"/>
                <w:szCs w:val="20"/>
                <w:color w:val="0000EE"/>
                <w:w w:val="92"/>
              </w:rPr>
            </w:pPr>
            <w:hyperlink w:anchor="page70">
              <w:r>
                <w:rPr>
                  <w:rFonts w:ascii="Arial" w:cs="Arial" w:eastAsia="Arial" w:hAnsi="Arial"/>
                  <w:sz w:val="20"/>
                  <w:szCs w:val="20"/>
                  <w:color w:val="0000EE"/>
                  <w:w w:val="92"/>
                </w:rPr>
                <w:t>Financial Statement Schedule – Valuation and Qualifying Accounts for the years ended December 31, 2010, 2009 and</w:t>
              </w:r>
            </w:hyperlink>
          </w:p>
        </w:tc>
        <w:tc>
          <w:tcPr>
            <w:tcW w:w="1760" w:type="dxa"/>
            <w:vAlign w:val="bottom"/>
          </w:tcPr>
          <w:p>
            <w:pPr>
              <w:jc w:val="center"/>
              <w:spacing w:after="0"/>
              <w:rPr>
                <w:sz w:val="20"/>
                <w:szCs w:val="20"/>
                <w:color w:val="auto"/>
              </w:rPr>
            </w:pPr>
            <w:r>
              <w:rPr>
                <w:rFonts w:ascii="Arial" w:cs="Arial" w:eastAsia="Arial" w:hAnsi="Arial"/>
                <w:sz w:val="20"/>
                <w:szCs w:val="20"/>
                <w:color w:val="auto"/>
                <w:w w:val="83"/>
              </w:rPr>
              <w:t>112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0000EE"/>
            </w:tcBorders>
            <w:gridSpan w:val="2"/>
          </w:tcPr>
          <w:p>
            <w:pPr>
              <w:spacing w:after="0" w:line="209" w:lineRule="exact"/>
              <w:rPr>
                <w:rFonts w:ascii="Arial" w:cs="Arial" w:eastAsia="Arial" w:hAnsi="Arial"/>
                <w:sz w:val="20"/>
                <w:szCs w:val="20"/>
                <w:color w:val="0000EE"/>
              </w:rPr>
            </w:pPr>
            <w:hyperlink w:anchor="page70">
              <w:r>
                <w:rPr>
                  <w:rFonts w:ascii="Arial" w:cs="Arial" w:eastAsia="Arial" w:hAnsi="Arial"/>
                  <w:sz w:val="20"/>
                  <w:szCs w:val="20"/>
                  <w:color w:val="0000EE"/>
                </w:rPr>
                <w:t>2008</w:t>
              </w:r>
            </w:hyperlink>
          </w:p>
        </w:tc>
        <w:tc>
          <w:tcPr>
            <w:tcW w:w="1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400" w:type="dxa"/>
            <w:vAlign w:val="bottom"/>
            <w:tcBorders>
              <w:top w:val="single" w:sz="8" w:color="0000EE"/>
            </w:tcBorders>
          </w:tcPr>
          <w:p>
            <w:pPr>
              <w:spacing w:after="0"/>
              <w:rPr>
                <w:sz w:val="24"/>
                <w:szCs w:val="24"/>
                <w:color w:val="auto"/>
              </w:rPr>
            </w:pPr>
          </w:p>
        </w:tc>
        <w:tc>
          <w:tcPr>
            <w:tcW w:w="6860" w:type="dxa"/>
            <w:vAlign w:val="bottom"/>
            <w:gridSpan w:val="4"/>
          </w:tcPr>
          <w:p>
            <w:pPr>
              <w:jc w:val="right"/>
              <w:ind w:right="1460"/>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Hansen Natural Corporation</w:t>
      </w:r>
    </w:p>
    <w:p>
      <w:pPr>
        <w:spacing w:after="0"/>
        <w:rPr>
          <w:sz w:val="20"/>
          <w:szCs w:val="20"/>
          <w:color w:val="auto"/>
        </w:rPr>
      </w:pPr>
      <w:r>
        <w:rPr>
          <w:rFonts w:ascii="Arial" w:cs="Arial" w:eastAsia="Arial" w:hAnsi="Arial"/>
          <w:sz w:val="20"/>
          <w:szCs w:val="20"/>
          <w:color w:val="auto"/>
        </w:rPr>
        <w:t>Corona, California</w:t>
      </w:r>
    </w:p>
    <w:p>
      <w:pPr>
        <w:spacing w:after="0" w:line="213"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We have audited the accompanying consolidated balance sheets of Hansen Natural Corporation and subsidiaries (the “Company”) as of December 31, 2010 and 2009, and the related consolidated statements of income, stockholders’ equity, comprehensive income, and cash flows for each of the three years in the period ended December 31, 2010. Our audits also included the financial statement schedule listed in the Index at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47"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ectPr>
          <w:pgSz w:w="11900" w:h="16838" w:orient="portrait"/>
          <w:cols w:equalWidth="0" w:num="1">
            <w:col w:w="11460"/>
          </w:cols>
          <w:pgMar w:left="240" w:top="122" w:right="199" w:bottom="0" w:gutter="0" w:footer="0" w:header="0"/>
        </w:sectPr>
      </w:pPr>
    </w:p>
    <w:bookmarkStart w:id="46" w:name="page47"/>
    <w:bookmarkEnd w:id="46"/>
    <w:p>
      <w:pPr>
        <w:jc w:val="both"/>
        <w:spacing w:after="0" w:line="245" w:lineRule="auto"/>
        <w:rPr>
          <w:sz w:val="20"/>
          <w:szCs w:val="20"/>
          <w:color w:val="auto"/>
        </w:rPr>
      </w:pPr>
      <w:r>
        <w:rPr>
          <w:rFonts w:ascii="Arial" w:cs="Arial" w:eastAsia="Arial" w:hAnsi="Arial"/>
          <w:sz w:val="20"/>
          <w:szCs w:val="20"/>
          <w:color w:val="auto"/>
        </w:rPr>
        <w:t>In our opinion, such consolidated financial statements present fairly, in all material respects, the financial position of Hansen Natural Corporation and subsidiaries as of December 31, 2010 and 2009, and the results of their operations and their cash flows for each of the three years in the period ended December 31, 2010,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and our report dated March 1, 2011, expressed an 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rPr>
          <w:sz w:val="20"/>
          <w:szCs w:val="20"/>
          <w:color w:val="auto"/>
        </w:rPr>
      </w:pPr>
      <w:r>
        <w:rPr>
          <w:rFonts w:ascii="Arial" w:cs="Arial" w:eastAsia="Arial" w:hAnsi="Arial"/>
          <w:sz w:val="20"/>
          <w:szCs w:val="20"/>
          <w:b w:val="1"/>
          <w:bCs w:val="1"/>
          <w:color w:val="auto"/>
        </w:rPr>
        <w:t>AS OF DECEMBER 31, 2010 AND 2009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5880" w:type="dxa"/>
            <w:vAlign w:val="bottom"/>
            <w:gridSpan w:val="4"/>
            <w:vMerge w:val="restart"/>
          </w:tcPr>
          <w:p>
            <w:pPr>
              <w:jc w:val="center"/>
              <w:ind w:right="2360"/>
              <w:spacing w:after="0"/>
              <w:rPr>
                <w:sz w:val="20"/>
                <w:szCs w:val="20"/>
                <w:color w:val="auto"/>
              </w:rPr>
            </w:pPr>
            <w:r>
              <w:rPr>
                <w:rFonts w:ascii="Arial" w:cs="Arial" w:eastAsia="Arial" w:hAnsi="Arial"/>
                <w:sz w:val="16"/>
                <w:szCs w:val="16"/>
                <w:b w:val="1"/>
                <w:bCs w:val="1"/>
                <w:color w:val="auto"/>
                <w:w w:val="93"/>
              </w:rPr>
              <w:t>ASSETS</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58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18"/>
                <w:szCs w:val="18"/>
                <w:color w:val="auto"/>
              </w:rPr>
            </w:pPr>
          </w:p>
        </w:tc>
        <w:tc>
          <w:tcPr>
            <w:tcW w:w="38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354,842</w:t>
            </w:r>
          </w:p>
        </w:tc>
        <w:tc>
          <w:tcPr>
            <w:tcW w:w="320" w:type="dxa"/>
            <w:vAlign w:val="bottom"/>
          </w:tcPr>
          <w:p>
            <w:pPr>
              <w:spacing w:after="0"/>
              <w:rPr>
                <w:sz w:val="17"/>
                <w:szCs w:val="17"/>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328,349</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244,649</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18,487</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Trade accounts receivable, net</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101,222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104,206</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Distributor receivables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413</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4,699</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153,241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108,143</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17,022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11,270</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Prepaid income taxes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9,992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960" w:type="dxa"/>
            <w:vAlign w:val="bottom"/>
            <w:gridSpan w:val="5"/>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16,772</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10,350</w:t>
            </w:r>
          </w:p>
        </w:tc>
        <w:tc>
          <w:tcPr>
            <w:tcW w:w="0" w:type="dxa"/>
            <w:vAlign w:val="bottom"/>
          </w:tcPr>
          <w:p>
            <w:pPr>
              <w:spacing w:after="0"/>
              <w:rPr>
                <w:sz w:val="1"/>
                <w:szCs w:val="1"/>
                <w:color w:val="auto"/>
              </w:rPr>
            </w:pPr>
          </w:p>
        </w:tc>
      </w:tr>
      <w:tr>
        <w:trPr>
          <w:trHeight w:val="206"/>
        </w:trPr>
        <w:tc>
          <w:tcPr>
            <w:tcW w:w="7960" w:type="dxa"/>
            <w:vAlign w:val="bottom"/>
            <w:gridSpan w:val="5"/>
          </w:tcPr>
          <w:p>
            <w:pPr>
              <w:ind w:left="2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898,153</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585,504</w:t>
            </w:r>
          </w:p>
        </w:tc>
        <w:tc>
          <w:tcPr>
            <w:tcW w:w="0" w:type="dxa"/>
            <w:vAlign w:val="bottom"/>
          </w:tcPr>
          <w:p>
            <w:pPr>
              <w:spacing w:after="0"/>
              <w:rPr>
                <w:sz w:val="1"/>
                <w:szCs w:val="1"/>
                <w:color w:val="auto"/>
              </w:rPr>
            </w:pPr>
          </w:p>
        </w:tc>
      </w:tr>
      <w:tr>
        <w:trPr>
          <w:trHeight w:val="391"/>
        </w:trPr>
        <w:tc>
          <w:tcPr>
            <w:tcW w:w="7960" w:type="dxa"/>
            <w:vAlign w:val="bottom"/>
            <w:gridSpan w:val="5"/>
          </w:tcPr>
          <w:p>
            <w:pPr>
              <w:spacing w:after="0"/>
              <w:rPr>
                <w:sz w:val="20"/>
                <w:szCs w:val="20"/>
                <w:color w:val="auto"/>
              </w:rPr>
            </w:pPr>
            <w:r>
              <w:rPr>
                <w:rFonts w:ascii="Arial" w:cs="Arial" w:eastAsia="Arial" w:hAnsi="Arial"/>
                <w:sz w:val="16"/>
                <w:szCs w:val="16"/>
                <w:color w:val="auto"/>
              </w:rPr>
              <w:t>INVESTMENTS</w:t>
            </w:r>
          </w:p>
        </w:tc>
        <w:tc>
          <w:tcPr>
            <w:tcW w:w="3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44,189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80,836</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34,551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33,314</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58,475</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65,678</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INTANGIBLES, net</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43,316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33,512</w:t>
            </w:r>
          </w:p>
        </w:tc>
        <w:tc>
          <w:tcPr>
            <w:tcW w:w="0" w:type="dxa"/>
            <w:vAlign w:val="bottom"/>
          </w:tcPr>
          <w:p>
            <w:pPr>
              <w:spacing w:after="0"/>
              <w:rPr>
                <w:sz w:val="1"/>
                <w:szCs w:val="1"/>
                <w:color w:val="auto"/>
              </w:rPr>
            </w:pPr>
          </w:p>
        </w:tc>
      </w:tr>
      <w:tr>
        <w:trPr>
          <w:trHeight w:val="206"/>
        </w:trPr>
        <w:tc>
          <w:tcPr>
            <w:tcW w:w="7960" w:type="dxa"/>
            <w:vAlign w:val="bottom"/>
            <w:gridSpan w:val="5"/>
          </w:tcPr>
          <w:p>
            <w:pPr>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3,447</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5880" w:type="dxa"/>
            <w:vAlign w:val="bottom"/>
            <w:gridSpan w:val="4"/>
          </w:tcPr>
          <w:p>
            <w:pPr>
              <w:jc w:val="center"/>
              <w:ind w:right="2360"/>
              <w:spacing w:after="0"/>
              <w:rPr>
                <w:sz w:val="20"/>
                <w:szCs w:val="20"/>
                <w:color w:val="auto"/>
              </w:rPr>
            </w:pPr>
            <w:r>
              <w:rPr>
                <w:rFonts w:ascii="Arial" w:cs="Arial" w:eastAsia="Arial" w:hAnsi="Arial"/>
                <w:sz w:val="16"/>
                <w:szCs w:val="16"/>
                <w:b w:val="1"/>
                <w:bCs w:val="1"/>
                <w:color w:val="auto"/>
                <w:w w:val="88"/>
              </w:rPr>
              <w:t>Total Assets</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1,082,131</w:t>
            </w:r>
          </w:p>
        </w:tc>
        <w:tc>
          <w:tcPr>
            <w:tcW w:w="320" w:type="dxa"/>
            <w:vAlign w:val="bottom"/>
          </w:tcPr>
          <w:p>
            <w:pPr>
              <w:spacing w:after="0"/>
              <w:rPr>
                <w:sz w:val="17"/>
                <w:szCs w:val="17"/>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800,070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5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3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80" w:type="dxa"/>
            <w:vAlign w:val="bottom"/>
          </w:tcPr>
          <w:p>
            <w:pPr>
              <w:spacing w:after="0"/>
              <w:rPr>
                <w:sz w:val="24"/>
                <w:szCs w:val="24"/>
                <w:color w:val="auto"/>
              </w:rPr>
            </w:pPr>
          </w:p>
        </w:tc>
        <w:tc>
          <w:tcPr>
            <w:tcW w:w="3520" w:type="dxa"/>
            <w:vAlign w:val="bottom"/>
            <w:tcBorders>
              <w:bottom w:val="single" w:sz="8" w:color="auto"/>
            </w:tcBorders>
            <w:gridSpan w:val="3"/>
            <w:vMerge w:val="continue"/>
          </w:tcPr>
          <w:p>
            <w:pPr>
              <w:spacing w:after="0"/>
              <w:rPr>
                <w:sz w:val="24"/>
                <w:szCs w:val="24"/>
                <w:color w:val="auto"/>
              </w:rPr>
            </w:pPr>
          </w:p>
        </w:tc>
        <w:tc>
          <w:tcPr>
            <w:tcW w:w="2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960" w:type="dxa"/>
            <w:vAlign w:val="bottom"/>
            <w:gridSpan w:val="5"/>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85,674</w:t>
            </w:r>
          </w:p>
        </w:tc>
        <w:tc>
          <w:tcPr>
            <w:tcW w:w="320" w:type="dxa"/>
            <w:vAlign w:val="bottom"/>
          </w:tcPr>
          <w:p>
            <w:pPr>
              <w:spacing w:after="0"/>
              <w:rPr>
                <w:sz w:val="17"/>
                <w:szCs w:val="17"/>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48,863</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23,811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14,174</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10,140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9,125</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Accrued distributor terminations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407</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2,977</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Accrued compensation</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7,603</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7,623</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Current portion of debt</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274</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6"/>
        </w:trPr>
        <w:tc>
          <w:tcPr>
            <w:tcW w:w="7960" w:type="dxa"/>
            <w:vAlign w:val="bottom"/>
            <w:gridSpan w:val="5"/>
          </w:tcPr>
          <w:p>
            <w:pPr>
              <w:spacing w:after="0"/>
              <w:rPr>
                <w:sz w:val="20"/>
                <w:szCs w:val="20"/>
                <w:color w:val="auto"/>
              </w:rPr>
            </w:pPr>
            <w:r>
              <w:rPr>
                <w:rFonts w:ascii="Arial" w:cs="Arial" w:eastAsia="Arial" w:hAnsi="Arial"/>
                <w:sz w:val="16"/>
                <w:szCs w:val="16"/>
                <w:color w:val="auto"/>
              </w:rPr>
              <w:t>Income taxes payable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925</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06"/>
        </w:trPr>
        <w:tc>
          <w:tcPr>
            <w:tcW w:w="7960" w:type="dxa"/>
            <w:vAlign w:val="bottom"/>
            <w:gridSpan w:val="5"/>
          </w:tcPr>
          <w:p>
            <w:pPr>
              <w:ind w:left="22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128,834</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83,729</w:t>
            </w:r>
          </w:p>
        </w:tc>
        <w:tc>
          <w:tcPr>
            <w:tcW w:w="0" w:type="dxa"/>
            <w:vAlign w:val="bottom"/>
          </w:tcPr>
          <w:p>
            <w:pPr>
              <w:spacing w:after="0"/>
              <w:rPr>
                <w:sz w:val="1"/>
                <w:szCs w:val="1"/>
                <w:color w:val="auto"/>
              </w:rPr>
            </w:pPr>
          </w:p>
        </w:tc>
      </w:tr>
      <w:tr>
        <w:trPr>
          <w:trHeight w:val="395"/>
        </w:trPr>
        <w:tc>
          <w:tcPr>
            <w:tcW w:w="796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124,899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131,388</w:t>
            </w:r>
          </w:p>
        </w:tc>
        <w:tc>
          <w:tcPr>
            <w:tcW w:w="0" w:type="dxa"/>
            <w:vAlign w:val="bottom"/>
          </w:tcPr>
          <w:p>
            <w:pPr>
              <w:spacing w:after="0"/>
              <w:rPr>
                <w:sz w:val="1"/>
                <w:szCs w:val="1"/>
                <w:color w:val="auto"/>
              </w:rPr>
            </w:pPr>
          </w:p>
        </w:tc>
      </w:tr>
      <w:tr>
        <w:trPr>
          <w:trHeight w:val="405"/>
        </w:trPr>
        <w:tc>
          <w:tcPr>
            <w:tcW w:w="7960" w:type="dxa"/>
            <w:vAlign w:val="bottom"/>
            <w:gridSpan w:val="5"/>
          </w:tcPr>
          <w:p>
            <w:pPr>
              <w:spacing w:after="0"/>
              <w:rPr>
                <w:sz w:val="20"/>
                <w:szCs w:val="20"/>
                <w:color w:val="auto"/>
              </w:rPr>
            </w:pPr>
            <w:r>
              <w:rPr>
                <w:rFonts w:ascii="Arial" w:cs="Arial" w:eastAsia="Arial" w:hAnsi="Arial"/>
                <w:sz w:val="16"/>
                <w:szCs w:val="16"/>
                <w:color w:val="auto"/>
              </w:rPr>
              <w:t>COMMITMENTS AND CONTINGENCIES (Note 9)</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960" w:type="dxa"/>
            <w:vAlign w:val="bottom"/>
            <w:gridSpan w:val="5"/>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Common stock - $0.005 par value; 120,000 shares authorized;</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5"/>
          </w:tcPr>
          <w:p>
            <w:pPr>
              <w:ind w:left="180"/>
              <w:spacing w:after="0"/>
              <w:rPr>
                <w:sz w:val="20"/>
                <w:szCs w:val="20"/>
                <w:color w:val="auto"/>
              </w:rPr>
            </w:pPr>
            <w:r>
              <w:rPr>
                <w:rFonts w:ascii="Arial" w:cs="Arial" w:eastAsia="Arial" w:hAnsi="Arial"/>
                <w:sz w:val="16"/>
                <w:szCs w:val="16"/>
                <w:color w:val="auto"/>
              </w:rPr>
              <w:t>98,731 shares issued and 88,980 outstanding as of December 31, 2010;</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5"/>
          </w:tcPr>
          <w:p>
            <w:pPr>
              <w:ind w:left="180"/>
              <w:spacing w:after="0"/>
              <w:rPr>
                <w:sz w:val="20"/>
                <w:szCs w:val="20"/>
                <w:color w:val="auto"/>
              </w:rPr>
            </w:pPr>
            <w:r>
              <w:rPr>
                <w:rFonts w:ascii="Arial" w:cs="Arial" w:eastAsia="Arial" w:hAnsi="Arial"/>
                <w:sz w:val="16"/>
                <w:szCs w:val="16"/>
                <w:color w:val="auto"/>
              </w:rPr>
              <w:t>97,285 shares issued and 88,159 outstanding as of December 31, 2009</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494</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187,040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137,040</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882,425</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670,396</w:t>
            </w:r>
          </w:p>
        </w:tc>
        <w:tc>
          <w:tcPr>
            <w:tcW w:w="0" w:type="dxa"/>
            <w:vAlign w:val="bottom"/>
          </w:tcPr>
          <w:p>
            <w:pPr>
              <w:spacing w:after="0"/>
              <w:rPr>
                <w:sz w:val="1"/>
                <w:szCs w:val="1"/>
                <w:color w:val="auto"/>
              </w:rPr>
            </w:pPr>
          </w:p>
        </w:tc>
      </w:tr>
      <w:tr>
        <w:trPr>
          <w:trHeight w:val="203"/>
        </w:trPr>
        <w:tc>
          <w:tcPr>
            <w:tcW w:w="7960" w:type="dxa"/>
            <w:vAlign w:val="bottom"/>
            <w:gridSpan w:val="5"/>
          </w:tcPr>
          <w:p>
            <w:pPr>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281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(4,667)</w:t>
            </w:r>
          </w:p>
        </w:tc>
        <w:tc>
          <w:tcPr>
            <w:tcW w:w="0" w:type="dxa"/>
            <w:vAlign w:val="bottom"/>
          </w:tcPr>
          <w:p>
            <w:pPr>
              <w:spacing w:after="0"/>
              <w:rPr>
                <w:sz w:val="1"/>
                <w:szCs w:val="1"/>
                <w:color w:val="auto"/>
              </w:rPr>
            </w:pPr>
          </w:p>
        </w:tc>
      </w:tr>
      <w:tr>
        <w:trPr>
          <w:trHeight w:val="206"/>
        </w:trPr>
        <w:tc>
          <w:tcPr>
            <w:tcW w:w="7960" w:type="dxa"/>
            <w:vAlign w:val="bottom"/>
            <w:gridSpan w:val="5"/>
          </w:tcPr>
          <w:p>
            <w:pPr>
              <w:spacing w:after="0"/>
              <w:rPr>
                <w:sz w:val="20"/>
                <w:szCs w:val="20"/>
                <w:color w:val="auto"/>
              </w:rPr>
            </w:pPr>
            <w:r>
              <w:rPr>
                <w:rFonts w:ascii="Arial" w:cs="Arial" w:eastAsia="Arial" w:hAnsi="Arial"/>
                <w:sz w:val="16"/>
                <w:szCs w:val="16"/>
                <w:color w:val="auto"/>
                <w:w w:val="96"/>
              </w:rPr>
              <w:t>Common stock in treasury, at cost; 9,751 shares and 9,126 shares as of December 31, 2010 and 2009, respectively</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(241,842)</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(218,302)</w:t>
            </w:r>
          </w:p>
        </w:tc>
        <w:tc>
          <w:tcPr>
            <w:tcW w:w="0" w:type="dxa"/>
            <w:vAlign w:val="bottom"/>
          </w:tcPr>
          <w:p>
            <w:pPr>
              <w:spacing w:after="0"/>
              <w:rPr>
                <w:sz w:val="1"/>
                <w:szCs w:val="1"/>
                <w:color w:val="auto"/>
              </w:rPr>
            </w:pPr>
          </w:p>
        </w:tc>
      </w:tr>
      <w:tr>
        <w:trPr>
          <w:trHeight w:val="202"/>
        </w:trPr>
        <w:tc>
          <w:tcPr>
            <w:tcW w:w="7960" w:type="dxa"/>
            <w:vAlign w:val="bottom"/>
            <w:gridSpan w:val="5"/>
          </w:tcPr>
          <w:p>
            <w:pPr>
              <w:ind w:left="2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828,398</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584,953</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5880" w:type="dxa"/>
            <w:vAlign w:val="bottom"/>
            <w:gridSpan w:val="4"/>
          </w:tcPr>
          <w:p>
            <w:pPr>
              <w:jc w:val="center"/>
              <w:ind w:right="236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1,082,131</w:t>
            </w:r>
          </w:p>
        </w:tc>
        <w:tc>
          <w:tcPr>
            <w:tcW w:w="320" w:type="dxa"/>
            <w:vAlign w:val="bottom"/>
          </w:tcPr>
          <w:p>
            <w:pPr>
              <w:spacing w:after="0"/>
              <w:rPr>
                <w:sz w:val="17"/>
                <w:szCs w:val="17"/>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800,070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348"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INCOME</w:t>
      </w:r>
    </w:p>
    <w:p>
      <w:pPr>
        <w:spacing w:after="0"/>
        <w:rPr>
          <w:sz w:val="20"/>
          <w:szCs w:val="20"/>
          <w:color w:val="auto"/>
        </w:rPr>
      </w:pPr>
      <w:r>
        <w:rPr>
          <w:rFonts w:ascii="Arial" w:cs="Arial" w:eastAsia="Arial" w:hAnsi="Arial"/>
          <w:sz w:val="20"/>
          <w:szCs w:val="20"/>
          <w:b w:val="1"/>
          <w:bCs w:val="1"/>
          <w:color w:val="auto"/>
        </w:rPr>
        <w:t>FOR THE YEARS ENDED DECEMBER 31, 2010, 2009 AND 2008</w:t>
      </w:r>
    </w:p>
    <w:p>
      <w:pP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2010</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2008</w:t>
            </w:r>
          </w:p>
        </w:tc>
        <w:tc>
          <w:tcPr>
            <w:tcW w:w="0" w:type="dxa"/>
            <w:vAlign w:val="bottom"/>
          </w:tcPr>
          <w:p>
            <w:pPr>
              <w:spacing w:after="0"/>
              <w:rPr>
                <w:sz w:val="1"/>
                <w:szCs w:val="1"/>
                <w:color w:val="auto"/>
              </w:rPr>
            </w:pPr>
          </w:p>
        </w:tc>
      </w:tr>
      <w:tr>
        <w:trPr>
          <w:trHeight w:val="396"/>
        </w:trPr>
        <w:tc>
          <w:tcPr>
            <w:tcW w:w="6260" w:type="dxa"/>
            <w:vAlign w:val="bottom"/>
          </w:tcPr>
          <w:p>
            <w:pPr>
              <w:spacing w:after="0"/>
              <w:rPr>
                <w:sz w:val="20"/>
                <w:szCs w:val="20"/>
                <w:color w:val="auto"/>
              </w:rPr>
            </w:pPr>
            <w:r>
              <w:rPr>
                <w:rFonts w:ascii="Arial" w:cs="Arial" w:eastAsia="Arial" w:hAnsi="Arial"/>
                <w:sz w:val="16"/>
                <w:szCs w:val="16"/>
                <w:color w:val="auto"/>
              </w:rPr>
              <w:t>NET SALES</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1,303,942</w:t>
            </w:r>
          </w:p>
        </w:tc>
        <w:tc>
          <w:tcPr>
            <w:tcW w:w="300" w:type="dxa"/>
            <w:vAlign w:val="bottom"/>
          </w:tcPr>
          <w:p>
            <w:pPr>
              <w:spacing w:after="0"/>
              <w:rPr>
                <w:sz w:val="24"/>
                <w:szCs w:val="24"/>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1,143,299</w:t>
            </w:r>
          </w:p>
        </w:tc>
        <w:tc>
          <w:tcPr>
            <w:tcW w:w="280" w:type="dxa"/>
            <w:vAlign w:val="bottom"/>
          </w:tcPr>
          <w:p>
            <w:pPr>
              <w:spacing w:after="0"/>
              <w:rPr>
                <w:sz w:val="24"/>
                <w:szCs w:val="24"/>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1,033,780</w:t>
            </w:r>
          </w:p>
        </w:tc>
        <w:tc>
          <w:tcPr>
            <w:tcW w:w="0" w:type="dxa"/>
            <w:vAlign w:val="bottom"/>
          </w:tcPr>
          <w:p>
            <w:pPr>
              <w:spacing w:after="0"/>
              <w:rPr>
                <w:sz w:val="1"/>
                <w:szCs w:val="1"/>
                <w:color w:val="auto"/>
              </w:rPr>
            </w:pPr>
          </w:p>
        </w:tc>
      </w:tr>
      <w:tr>
        <w:trPr>
          <w:trHeight w:val="408"/>
        </w:trPr>
        <w:tc>
          <w:tcPr>
            <w:tcW w:w="6260" w:type="dxa"/>
            <w:vAlign w:val="bottom"/>
          </w:tcPr>
          <w:p>
            <w:pPr>
              <w:spacing w:after="0"/>
              <w:rPr>
                <w:sz w:val="20"/>
                <w:szCs w:val="20"/>
                <w:color w:val="auto"/>
              </w:rPr>
            </w:pPr>
            <w:r>
              <w:rPr>
                <w:rFonts w:ascii="Arial" w:cs="Arial" w:eastAsia="Arial" w:hAnsi="Arial"/>
                <w:sz w:val="16"/>
                <w:szCs w:val="16"/>
                <w:color w:val="auto"/>
              </w:rPr>
              <w:t>COST OF SALES</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623,702</w:t>
            </w: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530,983</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494,986</w:t>
            </w:r>
          </w:p>
        </w:tc>
        <w:tc>
          <w:tcPr>
            <w:tcW w:w="0" w:type="dxa"/>
            <w:vAlign w:val="bottom"/>
          </w:tcPr>
          <w:p>
            <w:pPr>
              <w:spacing w:after="0"/>
              <w:rPr>
                <w:sz w:val="1"/>
                <w:szCs w:val="1"/>
                <w:color w:val="auto"/>
              </w:rPr>
            </w:pPr>
          </w:p>
        </w:tc>
      </w:tr>
      <w:tr>
        <w:trPr>
          <w:trHeight w:val="396"/>
        </w:trPr>
        <w:tc>
          <w:tcPr>
            <w:tcW w:w="626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680,240</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612,316</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538,794</w:t>
            </w:r>
          </w:p>
        </w:tc>
        <w:tc>
          <w:tcPr>
            <w:tcW w:w="0" w:type="dxa"/>
            <w:vAlign w:val="bottom"/>
          </w:tcPr>
          <w:p>
            <w:pPr>
              <w:spacing w:after="0"/>
              <w:rPr>
                <w:sz w:val="1"/>
                <w:szCs w:val="1"/>
                <w:color w:val="auto"/>
              </w:rPr>
            </w:pPr>
          </w:p>
        </w:tc>
      </w:tr>
      <w:tr>
        <w:trPr>
          <w:trHeight w:val="408"/>
        </w:trPr>
        <w:tc>
          <w:tcPr>
            <w:tcW w:w="6260" w:type="dxa"/>
            <w:vAlign w:val="bottom"/>
          </w:tcPr>
          <w:p>
            <w:pPr>
              <w:spacing w:after="0"/>
              <w:rPr>
                <w:sz w:val="20"/>
                <w:szCs w:val="20"/>
                <w:color w:val="auto"/>
              </w:rPr>
            </w:pPr>
            <w:r>
              <w:rPr>
                <w:rFonts w:ascii="Arial" w:cs="Arial" w:eastAsia="Arial" w:hAnsi="Arial"/>
                <w:sz w:val="16"/>
                <w:szCs w:val="16"/>
                <w:color w:val="auto"/>
              </w:rPr>
              <w:t>OPERATING EXPENSES</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332,426</w:t>
            </w: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275,007</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375,203</w:t>
            </w:r>
          </w:p>
        </w:tc>
        <w:tc>
          <w:tcPr>
            <w:tcW w:w="0" w:type="dxa"/>
            <w:vAlign w:val="bottom"/>
          </w:tcPr>
          <w:p>
            <w:pPr>
              <w:spacing w:after="0"/>
              <w:rPr>
                <w:sz w:val="1"/>
                <w:szCs w:val="1"/>
                <w:color w:val="auto"/>
              </w:rPr>
            </w:pPr>
          </w:p>
        </w:tc>
      </w:tr>
      <w:tr>
        <w:trPr>
          <w:trHeight w:val="396"/>
        </w:trPr>
        <w:tc>
          <w:tcPr>
            <w:tcW w:w="6260" w:type="dxa"/>
            <w:vAlign w:val="bottom"/>
          </w:tcPr>
          <w:p>
            <w:pPr>
              <w:spacing w:after="0"/>
              <w:rPr>
                <w:sz w:val="20"/>
                <w:szCs w:val="20"/>
                <w:color w:val="auto"/>
              </w:rPr>
            </w:pPr>
            <w:r>
              <w:rPr>
                <w:rFonts w:ascii="Arial" w:cs="Arial" w:eastAsia="Arial" w:hAnsi="Arial"/>
                <w:sz w:val="16"/>
                <w:szCs w:val="16"/>
                <w:color w:val="auto"/>
              </w:rPr>
              <w:t>OPERATING INCOME</w:t>
            </w:r>
          </w:p>
        </w:tc>
        <w:tc>
          <w:tcPr>
            <w:tcW w:w="40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347,814</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337,309</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163,591</w:t>
            </w:r>
          </w:p>
        </w:tc>
        <w:tc>
          <w:tcPr>
            <w:tcW w:w="0" w:type="dxa"/>
            <w:vAlign w:val="bottom"/>
          </w:tcPr>
          <w:p>
            <w:pPr>
              <w:spacing w:after="0"/>
              <w:rPr>
                <w:sz w:val="1"/>
                <w:szCs w:val="1"/>
                <w:color w:val="auto"/>
              </w:rPr>
            </w:pPr>
          </w:p>
        </w:tc>
      </w:tr>
      <w:tr>
        <w:trPr>
          <w:trHeight w:val="401"/>
        </w:trPr>
        <w:tc>
          <w:tcPr>
            <w:tcW w:w="6260" w:type="dxa"/>
            <w:vAlign w:val="bottom"/>
          </w:tcPr>
          <w:p>
            <w:pPr>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Arial" w:cs="Arial" w:eastAsia="Arial" w:hAnsi="Arial"/>
                <w:sz w:val="16"/>
                <w:szCs w:val="16"/>
                <w:color w:val="auto"/>
              </w:rPr>
              <w:t>Interest and other income, net</w:t>
            </w:r>
          </w:p>
        </w:tc>
        <w:tc>
          <w:tcPr>
            <w:tcW w:w="4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2,246</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2,273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10,413</w:t>
            </w:r>
          </w:p>
        </w:tc>
        <w:tc>
          <w:tcPr>
            <w:tcW w:w="0" w:type="dxa"/>
            <w:vAlign w:val="bottom"/>
          </w:tcPr>
          <w:p>
            <w:pPr>
              <w:spacing w:after="0"/>
              <w:rPr>
                <w:sz w:val="1"/>
                <w:szCs w:val="1"/>
                <w:color w:val="auto"/>
              </w:rPr>
            </w:pPr>
          </w:p>
        </w:tc>
      </w:tr>
      <w:tr>
        <w:trPr>
          <w:trHeight w:val="206"/>
        </w:trPr>
        <w:tc>
          <w:tcPr>
            <w:tcW w:w="6260" w:type="dxa"/>
            <w:vAlign w:val="bottom"/>
          </w:tcPr>
          <w:p>
            <w:pPr>
              <w:spacing w:after="0"/>
              <w:rPr>
                <w:sz w:val="20"/>
                <w:szCs w:val="20"/>
                <w:color w:val="auto"/>
              </w:rPr>
            </w:pPr>
            <w:r>
              <w:rPr>
                <w:rFonts w:ascii="Arial" w:cs="Arial" w:eastAsia="Arial" w:hAnsi="Arial"/>
                <w:sz w:val="16"/>
                <w:szCs w:val="16"/>
                <w:color w:val="auto"/>
              </w:rPr>
              <w:t>Loss on investments and put option, net (Note 2)</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(3,887)</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2"/>
        </w:trPr>
        <w:tc>
          <w:tcPr>
            <w:tcW w:w="6260" w:type="dxa"/>
            <w:vAlign w:val="bottom"/>
          </w:tcPr>
          <w:p>
            <w:pPr>
              <w:ind w:left="360"/>
              <w:spacing w:after="0"/>
              <w:rPr>
                <w:sz w:val="20"/>
                <w:szCs w:val="20"/>
                <w:color w:val="auto"/>
              </w:rPr>
            </w:pPr>
            <w:r>
              <w:rPr>
                <w:rFonts w:ascii="Arial" w:cs="Arial" w:eastAsia="Arial" w:hAnsi="Arial"/>
                <w:sz w:val="16"/>
                <w:szCs w:val="16"/>
                <w:color w:val="auto"/>
              </w:rPr>
              <w:t>Total other income (expense)</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1,488</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9,886</w:t>
            </w:r>
          </w:p>
        </w:tc>
        <w:tc>
          <w:tcPr>
            <w:tcW w:w="0" w:type="dxa"/>
            <w:vAlign w:val="bottom"/>
          </w:tcPr>
          <w:p>
            <w:pPr>
              <w:spacing w:after="0"/>
              <w:rPr>
                <w:sz w:val="1"/>
                <w:szCs w:val="1"/>
                <w:color w:val="auto"/>
              </w:rPr>
            </w:pPr>
          </w:p>
        </w:tc>
      </w:tr>
      <w:tr>
        <w:trPr>
          <w:trHeight w:val="393"/>
        </w:trPr>
        <w:tc>
          <w:tcPr>
            <w:tcW w:w="6260" w:type="dxa"/>
            <w:vAlign w:val="bottom"/>
          </w:tcPr>
          <w:p>
            <w:pPr>
              <w:spacing w:after="0"/>
              <w:rPr>
                <w:sz w:val="20"/>
                <w:szCs w:val="20"/>
                <w:color w:val="auto"/>
              </w:rPr>
            </w:pPr>
            <w:r>
              <w:rPr>
                <w:rFonts w:ascii="Arial" w:cs="Arial" w:eastAsia="Arial" w:hAnsi="Arial"/>
                <w:sz w:val="16"/>
                <w:szCs w:val="16"/>
                <w:color w:val="auto"/>
              </w:rPr>
              <w:t>INCOME BEFORE PROVISION FOR INCOME TAXES</w:t>
            </w:r>
          </w:p>
        </w:tc>
        <w:tc>
          <w:tcPr>
            <w:tcW w:w="40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349,302</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335,695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173,477</w:t>
            </w:r>
          </w:p>
        </w:tc>
        <w:tc>
          <w:tcPr>
            <w:tcW w:w="0" w:type="dxa"/>
            <w:vAlign w:val="bottom"/>
          </w:tcPr>
          <w:p>
            <w:pPr>
              <w:spacing w:after="0"/>
              <w:rPr>
                <w:sz w:val="1"/>
                <w:szCs w:val="1"/>
                <w:color w:val="auto"/>
              </w:rPr>
            </w:pPr>
          </w:p>
        </w:tc>
      </w:tr>
      <w:tr>
        <w:trPr>
          <w:trHeight w:val="408"/>
        </w:trPr>
        <w:tc>
          <w:tcPr>
            <w:tcW w:w="62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137,273</w:t>
            </w: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126,979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65,445</w:t>
            </w:r>
          </w:p>
        </w:tc>
        <w:tc>
          <w:tcPr>
            <w:tcW w:w="0" w:type="dxa"/>
            <w:vAlign w:val="bottom"/>
          </w:tcPr>
          <w:p>
            <w:pPr>
              <w:spacing w:after="0"/>
              <w:rPr>
                <w:sz w:val="1"/>
                <w:szCs w:val="1"/>
                <w:color w:val="auto"/>
              </w:rPr>
            </w:pPr>
          </w:p>
        </w:tc>
      </w:tr>
      <w:tr>
        <w:trPr>
          <w:trHeight w:val="396"/>
        </w:trPr>
        <w:tc>
          <w:tcPr>
            <w:tcW w:w="6260" w:type="dxa"/>
            <w:vAlign w:val="bottom"/>
          </w:tcPr>
          <w:p>
            <w:pPr>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212,029</w:t>
            </w:r>
          </w:p>
        </w:tc>
        <w:tc>
          <w:tcPr>
            <w:tcW w:w="300" w:type="dxa"/>
            <w:vAlign w:val="bottom"/>
          </w:tcPr>
          <w:p>
            <w:pPr>
              <w:spacing w:after="0"/>
              <w:rPr>
                <w:sz w:val="24"/>
                <w:szCs w:val="2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208,716</w:t>
            </w:r>
          </w:p>
        </w:tc>
        <w:tc>
          <w:tcPr>
            <w:tcW w:w="280" w:type="dxa"/>
            <w:vAlign w:val="bottom"/>
          </w:tcPr>
          <w:p>
            <w:pPr>
              <w:spacing w:after="0"/>
              <w:rPr>
                <w:sz w:val="24"/>
                <w:szCs w:val="2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108,032</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NET INCOME PER COMMON SHARE:</w:t>
            </w: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60" w:type="dxa"/>
            <w:vAlign w:val="bottom"/>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c>
          <w:tcPr>
            <w:tcW w:w="300" w:type="dxa"/>
            <w:vAlign w:val="bottom"/>
          </w:tcPr>
          <w:p>
            <w:pPr>
              <w:spacing w:after="0"/>
              <w:rPr>
                <w:sz w:val="17"/>
                <w:szCs w:val="17"/>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60" w:type="dxa"/>
            <w:vAlign w:val="bottom"/>
            <w:vMerge w:val="continue"/>
          </w:tcPr>
          <w:p>
            <w:pPr>
              <w:spacing w:after="0"/>
              <w:rPr>
                <w:sz w:val="16"/>
                <w:szCs w:val="16"/>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2.28</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w:t>
            </w:r>
          </w:p>
        </w:tc>
        <w:tc>
          <w:tcPr>
            <w:tcW w:w="280" w:type="dxa"/>
            <w:vAlign w:val="bottom"/>
          </w:tcPr>
          <w:p>
            <w:pPr>
              <w:spacing w:after="0"/>
              <w:rPr>
                <w:sz w:val="16"/>
                <w:szCs w:val="16"/>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WEIGHTED AVERAGE NUMBER OF SHARES OF COMMON STOCK AND</w:t>
            </w: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80"/>
              <w:spacing w:after="0"/>
              <w:rPr>
                <w:sz w:val="20"/>
                <w:szCs w:val="20"/>
                <w:color w:val="auto"/>
              </w:rPr>
            </w:pPr>
            <w:r>
              <w:rPr>
                <w:rFonts w:ascii="Arial" w:cs="Arial" w:eastAsia="Arial" w:hAnsi="Arial"/>
                <w:sz w:val="16"/>
                <w:szCs w:val="16"/>
                <w:color w:val="auto"/>
              </w:rPr>
              <w:t>COMMON STOCK EQUIVALENTS:</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tcPr>
          <w:p>
            <w:pPr>
              <w:ind w:left="36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88,514</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89,967</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92,515</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36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60" w:type="dxa"/>
            <w:vAlign w:val="bottom"/>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93,021</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94,643</w:t>
            </w: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97,530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rPr>
          <w:sz w:val="20"/>
          <w:szCs w:val="20"/>
          <w:color w:val="auto"/>
        </w:rPr>
      </w:pPr>
      <w:r>
        <w:rPr>
          <w:rFonts w:ascii="Arial" w:cs="Arial" w:eastAsia="Arial" w:hAnsi="Arial"/>
          <w:sz w:val="20"/>
          <w:szCs w:val="20"/>
          <w:b w:val="1"/>
          <w:bCs w:val="1"/>
          <w:color w:val="auto"/>
        </w:rPr>
        <w:t>FOR THE YEARS ENDED DECEMBER 31, 2010, 2009 AND 2008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24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1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2160" w:type="dxa"/>
            <w:vAlign w:val="bottom"/>
            <w:gridSpan w:val="5"/>
            <w:vMerge w:val="continue"/>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Captial</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8"/>
              <w:spacing w:after="0" w:line="142"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January 1, 2008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95,849</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479</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96,749</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353,648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(2,658)</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(28,662)</w:t>
            </w:r>
          </w:p>
        </w:tc>
        <w:tc>
          <w:tcPr>
            <w:tcW w:w="18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422,167</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13,771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13,771</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2,252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0"/>
                <w:szCs w:val="20"/>
                <w:color w:val="auto"/>
              </w:rPr>
            </w:pPr>
            <w:r>
              <w:rPr>
                <w:rFonts w:ascii="Arial" w:cs="Arial" w:eastAsia="Arial" w:hAnsi="Arial"/>
                <w:sz w:val="14"/>
                <w:szCs w:val="14"/>
                <w:color w:val="auto"/>
              </w:rPr>
              <w:t>Excess tax benefits from share</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180"/>
              <w:spacing w:after="0"/>
              <w:rPr>
                <w:sz w:val="20"/>
                <w:szCs w:val="20"/>
                <w:color w:val="auto"/>
              </w:rPr>
            </w:pPr>
            <w:r>
              <w:rPr>
                <w:rFonts w:ascii="Arial" w:cs="Arial" w:eastAsia="Arial" w:hAnsi="Arial"/>
                <w:sz w:val="14"/>
                <w:szCs w:val="14"/>
                <w:color w:val="auto"/>
              </w:rPr>
              <w:t>based payment arrangements</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4,334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(3,865)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(103,467)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(103,467)</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(2,118)</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0"/>
                <w:szCs w:val="20"/>
                <w:color w:val="auto"/>
              </w:rPr>
            </w:pPr>
            <w:r>
              <w:rPr>
                <w:rFonts w:ascii="Arial" w:cs="Arial" w:eastAsia="Arial" w:hAnsi="Arial"/>
                <w:sz w:val="14"/>
                <w:szCs w:val="14"/>
                <w:color w:val="auto"/>
              </w:rPr>
              <w:t>Change in unrealized loss on</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available-for-sale securities, net</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20"/>
                <w:szCs w:val="20"/>
                <w:color w:val="auto"/>
              </w:rPr>
            </w:pPr>
            <w:r>
              <w:rPr>
                <w:rFonts w:ascii="Arial" w:cs="Arial" w:eastAsia="Arial" w:hAnsi="Arial"/>
                <w:sz w:val="14"/>
                <w:szCs w:val="14"/>
                <w:color w:val="auto"/>
              </w:rPr>
              <w:t>of tax</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(8,660)</w:t>
            </w: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(8,660)</w:t>
            </w:r>
          </w:p>
        </w:tc>
        <w:tc>
          <w:tcPr>
            <w:tcW w:w="0" w:type="dxa"/>
            <w:vAlign w:val="bottom"/>
          </w:tcPr>
          <w:p>
            <w:pPr>
              <w:spacing w:after="0"/>
              <w:rPr>
                <w:sz w:val="1"/>
                <w:szCs w:val="1"/>
                <w:color w:val="auto"/>
              </w:rPr>
            </w:pPr>
          </w:p>
        </w:tc>
      </w:tr>
      <w:tr>
        <w:trPr>
          <w:trHeight w:val="282"/>
        </w:trPr>
        <w:tc>
          <w:tcPr>
            <w:tcW w:w="216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108,032</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108,032</w:t>
            </w: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December 31, 2008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96,851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117,106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461,680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(10,825)</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(6,523)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(132,129)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436,316</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14,303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14,303</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2,500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2,502</w:t>
            </w: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0"/>
                <w:szCs w:val="20"/>
                <w:color w:val="auto"/>
              </w:rPr>
            </w:pPr>
            <w:r>
              <w:rPr>
                <w:rFonts w:ascii="Arial" w:cs="Arial" w:eastAsia="Arial" w:hAnsi="Arial"/>
                <w:sz w:val="14"/>
                <w:szCs w:val="14"/>
                <w:color w:val="auto"/>
              </w:rPr>
              <w:t>Excess tax benefits from share</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180"/>
              <w:spacing w:after="0"/>
              <w:rPr>
                <w:sz w:val="20"/>
                <w:szCs w:val="20"/>
                <w:color w:val="auto"/>
              </w:rPr>
            </w:pPr>
            <w:r>
              <w:rPr>
                <w:rFonts w:ascii="Arial" w:cs="Arial" w:eastAsia="Arial" w:hAnsi="Arial"/>
                <w:sz w:val="14"/>
                <w:szCs w:val="14"/>
                <w:color w:val="auto"/>
              </w:rPr>
              <w:t>based payment arrangements</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(86,173)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(86,173)</w:t>
            </w:r>
          </w:p>
        </w:tc>
        <w:tc>
          <w:tcPr>
            <w:tcW w:w="0" w:type="dxa"/>
            <w:vAlign w:val="bottom"/>
          </w:tcPr>
          <w:p>
            <w:pPr>
              <w:spacing w:after="0"/>
              <w:rPr>
                <w:sz w:val="1"/>
                <w:szCs w:val="1"/>
                <w:color w:val="auto"/>
              </w:rPr>
            </w:pP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2,087</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0"/>
                <w:szCs w:val="20"/>
                <w:color w:val="auto"/>
              </w:rPr>
            </w:pPr>
            <w:r>
              <w:rPr>
                <w:rFonts w:ascii="Arial" w:cs="Arial" w:eastAsia="Arial" w:hAnsi="Arial"/>
                <w:sz w:val="14"/>
                <w:szCs w:val="14"/>
                <w:color w:val="auto"/>
              </w:rPr>
              <w:t>Change in unrealized loss on</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available-for-sale securities, net</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20"/>
                <w:szCs w:val="20"/>
                <w:color w:val="auto"/>
              </w:rPr>
            </w:pPr>
            <w:r>
              <w:rPr>
                <w:rFonts w:ascii="Arial" w:cs="Arial" w:eastAsia="Arial" w:hAnsi="Arial"/>
                <w:sz w:val="14"/>
                <w:szCs w:val="14"/>
                <w:color w:val="auto"/>
              </w:rPr>
              <w:t>of tax</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4,071</w:t>
            </w: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4,071</w:t>
            </w:r>
          </w:p>
        </w:tc>
        <w:tc>
          <w:tcPr>
            <w:tcW w:w="0" w:type="dxa"/>
            <w:vAlign w:val="bottom"/>
          </w:tcPr>
          <w:p>
            <w:pPr>
              <w:spacing w:after="0"/>
              <w:rPr>
                <w:sz w:val="1"/>
                <w:szCs w:val="1"/>
                <w:color w:val="auto"/>
              </w:rPr>
            </w:pPr>
          </w:p>
        </w:tc>
      </w:tr>
      <w:tr>
        <w:trPr>
          <w:trHeight w:val="282"/>
        </w:trPr>
        <w:tc>
          <w:tcPr>
            <w:tcW w:w="216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208,716</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208,716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December 31, 2009</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97,285</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137,040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670,396</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(4,667)</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(9,126)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(218,302)</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584,953</w:t>
            </w: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16,810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16,810</w:t>
            </w: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1,446</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20,816</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20,824</w:t>
            </w:r>
          </w:p>
        </w:tc>
      </w:tr>
      <w:tr>
        <w:trPr>
          <w:trHeight w:val="263"/>
        </w:trPr>
        <w:tc>
          <w:tcPr>
            <w:tcW w:w="2160" w:type="dxa"/>
            <w:vAlign w:val="bottom"/>
          </w:tcPr>
          <w:p>
            <w:pPr>
              <w:spacing w:after="0"/>
              <w:rPr>
                <w:sz w:val="20"/>
                <w:szCs w:val="20"/>
                <w:color w:val="auto"/>
              </w:rPr>
            </w:pPr>
            <w:r>
              <w:rPr>
                <w:rFonts w:ascii="Arial" w:cs="Arial" w:eastAsia="Arial" w:hAnsi="Arial"/>
                <w:sz w:val="14"/>
                <w:szCs w:val="14"/>
                <w:color w:val="auto"/>
              </w:rPr>
              <w:t>Excess tax benefits from share</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82"/>
        </w:trPr>
        <w:tc>
          <w:tcPr>
            <w:tcW w:w="2160" w:type="dxa"/>
            <w:vAlign w:val="bottom"/>
          </w:tcPr>
          <w:p>
            <w:pPr>
              <w:ind w:left="180"/>
              <w:spacing w:after="0"/>
              <w:rPr>
                <w:sz w:val="20"/>
                <w:szCs w:val="20"/>
                <w:color w:val="auto"/>
              </w:rPr>
            </w:pPr>
            <w:r>
              <w:rPr>
                <w:rFonts w:ascii="Arial" w:cs="Arial" w:eastAsia="Arial" w:hAnsi="Arial"/>
                <w:sz w:val="14"/>
                <w:szCs w:val="14"/>
                <w:color w:val="auto"/>
              </w:rPr>
              <w:t>based payment arrangements</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12,374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12,374</w:t>
            </w: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(23,540)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(23,540)</w:t>
            </w:r>
          </w:p>
        </w:tc>
      </w:tr>
      <w:tr>
        <w:trPr>
          <w:trHeight w:val="297"/>
        </w:trPr>
        <w:tc>
          <w:tcPr>
            <w:tcW w:w="216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1,837</w:t>
            </w:r>
          </w:p>
        </w:tc>
        <w:tc>
          <w:tcPr>
            <w:tcW w:w="1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1,837</w:t>
            </w:r>
          </w:p>
        </w:tc>
      </w:tr>
      <w:tr>
        <w:trPr>
          <w:trHeight w:val="263"/>
        </w:trPr>
        <w:tc>
          <w:tcPr>
            <w:tcW w:w="2160" w:type="dxa"/>
            <w:vAlign w:val="bottom"/>
          </w:tcPr>
          <w:p>
            <w:pPr>
              <w:spacing w:after="0"/>
              <w:rPr>
                <w:sz w:val="20"/>
                <w:szCs w:val="20"/>
                <w:color w:val="auto"/>
              </w:rPr>
            </w:pPr>
            <w:r>
              <w:rPr>
                <w:rFonts w:ascii="Arial" w:cs="Arial" w:eastAsia="Arial" w:hAnsi="Arial"/>
                <w:sz w:val="14"/>
                <w:szCs w:val="14"/>
                <w:color w:val="auto"/>
              </w:rPr>
              <w:t>Change in unrealized loss on</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available-for-sale securities, net</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2160" w:type="dxa"/>
            <w:vAlign w:val="bottom"/>
          </w:tcPr>
          <w:p>
            <w:pPr>
              <w:spacing w:after="0"/>
              <w:rPr>
                <w:sz w:val="20"/>
                <w:szCs w:val="20"/>
                <w:color w:val="auto"/>
              </w:rPr>
            </w:pPr>
            <w:r>
              <w:rPr>
                <w:rFonts w:ascii="Arial" w:cs="Arial" w:eastAsia="Arial" w:hAnsi="Arial"/>
                <w:sz w:val="14"/>
                <w:szCs w:val="14"/>
                <w:color w:val="auto"/>
              </w:rPr>
              <w:t>of tax</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3,111</w:t>
            </w:r>
          </w:p>
        </w:tc>
        <w:tc>
          <w:tcPr>
            <w:tcW w:w="1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3,111</w:t>
            </w:r>
          </w:p>
        </w:tc>
      </w:tr>
      <w:tr>
        <w:trPr>
          <w:trHeight w:val="282"/>
        </w:trPr>
        <w:tc>
          <w:tcPr>
            <w:tcW w:w="216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212,029</w:t>
            </w: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212,029</w:t>
            </w:r>
          </w:p>
        </w:tc>
      </w:tr>
      <w:tr>
        <w:trPr>
          <w:trHeight w:val="291"/>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December 31, 2010</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98,731</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w:t>
            </w:r>
          </w:p>
        </w:tc>
        <w:tc>
          <w:tcPr>
            <w:tcW w:w="20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187,040</w:t>
            </w:r>
          </w:p>
        </w:tc>
        <w:tc>
          <w:tcPr>
            <w:tcW w:w="140" w:type="dxa"/>
            <w:vAlign w:val="bottom"/>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882,425</w:t>
            </w:r>
          </w:p>
        </w:tc>
        <w:tc>
          <w:tcPr>
            <w:tcW w:w="180" w:type="dxa"/>
            <w:vAlign w:val="bottom"/>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w:t>
            </w:r>
          </w:p>
        </w:tc>
        <w:tc>
          <w:tcPr>
            <w:tcW w:w="1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(9,751)</w:t>
            </w:r>
          </w:p>
        </w:tc>
        <w:tc>
          <w:tcPr>
            <w:tcW w:w="200" w:type="dxa"/>
            <w:vAlign w:val="bottom"/>
          </w:tcPr>
          <w:p>
            <w:pPr>
              <w:spacing w:after="0"/>
              <w:rPr>
                <w:sz w:val="24"/>
                <w:szCs w:val="2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(241,842)</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828,398</w:t>
            </w: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rPr>
          <w:sz w:val="20"/>
          <w:szCs w:val="20"/>
          <w:color w:val="auto"/>
        </w:rPr>
      </w:pPr>
      <w:r>
        <w:rPr>
          <w:rFonts w:ascii="Arial" w:cs="Arial" w:eastAsia="Arial" w:hAnsi="Arial"/>
          <w:sz w:val="20"/>
          <w:szCs w:val="20"/>
          <w:b w:val="1"/>
          <w:bCs w:val="1"/>
          <w:color w:val="auto"/>
        </w:rPr>
        <w:t>FOR THE YEARS ENDED DECEMBER 31, 2010, 2009 AND 2008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60" w:type="dxa"/>
            <w:vAlign w:val="bottom"/>
            <w:vMerge w:val="restart"/>
          </w:tcPr>
          <w:p>
            <w:pPr>
              <w:spacing w:after="0"/>
              <w:rPr>
                <w:sz w:val="20"/>
                <w:szCs w:val="20"/>
                <w:color w:val="auto"/>
              </w:rPr>
            </w:pPr>
            <w:r>
              <w:rPr>
                <w:rFonts w:ascii="Arial" w:cs="Arial" w:eastAsia="Arial" w:hAnsi="Arial"/>
                <w:sz w:val="21"/>
                <w:szCs w:val="21"/>
                <w:color w:val="auto"/>
              </w:rPr>
              <w:t>Net income, as reported</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21"/>
                <w:szCs w:val="21"/>
                <w:color w:val="auto"/>
              </w:rPr>
              <w:t>2010</w:t>
            </w:r>
          </w:p>
        </w:tc>
        <w:tc>
          <w:tcPr>
            <w:tcW w:w="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2009</w:t>
            </w: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2008</w:t>
            </w: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980" w:type="dxa"/>
            <w:vAlign w:val="bottom"/>
          </w:tcPr>
          <w:p>
            <w:pPr>
              <w:jc w:val="right"/>
              <w:spacing w:after="0" w:line="223" w:lineRule="exact"/>
              <w:rPr>
                <w:sz w:val="20"/>
                <w:szCs w:val="20"/>
                <w:color w:val="auto"/>
              </w:rPr>
            </w:pPr>
            <w:r>
              <w:rPr>
                <w:rFonts w:ascii="Arial" w:cs="Arial" w:eastAsia="Arial" w:hAnsi="Arial"/>
                <w:sz w:val="21"/>
                <w:szCs w:val="21"/>
                <w:color w:val="auto"/>
              </w:rPr>
              <w:t>212,029</w:t>
            </w:r>
          </w:p>
        </w:tc>
        <w:tc>
          <w:tcPr>
            <w:tcW w:w="30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980" w:type="dxa"/>
            <w:vAlign w:val="bottom"/>
          </w:tcPr>
          <w:p>
            <w:pPr>
              <w:jc w:val="right"/>
              <w:spacing w:after="0" w:line="223" w:lineRule="exact"/>
              <w:rPr>
                <w:sz w:val="20"/>
                <w:szCs w:val="20"/>
                <w:color w:val="auto"/>
              </w:rPr>
            </w:pPr>
            <w:r>
              <w:rPr>
                <w:rFonts w:ascii="Arial" w:cs="Arial" w:eastAsia="Arial" w:hAnsi="Arial"/>
                <w:sz w:val="21"/>
                <w:szCs w:val="21"/>
                <w:color w:val="auto"/>
              </w:rPr>
              <w:t>208,716</w:t>
            </w:r>
          </w:p>
        </w:tc>
        <w:tc>
          <w:tcPr>
            <w:tcW w:w="28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140" w:type="dxa"/>
            <w:vAlign w:val="bottom"/>
          </w:tcPr>
          <w:p>
            <w:pPr>
              <w:jc w:val="right"/>
              <w:ind w:right="56"/>
              <w:spacing w:after="0" w:line="223" w:lineRule="exact"/>
              <w:rPr>
                <w:sz w:val="20"/>
                <w:szCs w:val="20"/>
                <w:color w:val="auto"/>
              </w:rPr>
            </w:pPr>
            <w:r>
              <w:rPr>
                <w:rFonts w:ascii="Arial" w:cs="Arial" w:eastAsia="Arial" w:hAnsi="Arial"/>
                <w:sz w:val="21"/>
                <w:szCs w:val="21"/>
                <w:color w:val="auto"/>
              </w:rPr>
              <w:t>108,032</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21"/>
                <w:szCs w:val="21"/>
                <w:color w:val="auto"/>
              </w:rPr>
              <w:t>Other comprehensive income (loss):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0"/>
              <w:spacing w:after="0"/>
              <w:rPr>
                <w:sz w:val="20"/>
                <w:szCs w:val="20"/>
                <w:color w:val="auto"/>
              </w:rPr>
            </w:pPr>
            <w:r>
              <w:rPr>
                <w:rFonts w:ascii="Arial" w:cs="Arial" w:eastAsia="Arial" w:hAnsi="Arial"/>
                <w:sz w:val="21"/>
                <w:szCs w:val="21"/>
                <w:color w:val="auto"/>
              </w:rPr>
              <w:t>Change in unrealized gain (loss) on available-for-sale</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440"/>
              <w:spacing w:after="0"/>
              <w:rPr>
                <w:sz w:val="20"/>
                <w:szCs w:val="20"/>
                <w:color w:val="auto"/>
              </w:rPr>
            </w:pPr>
            <w:r>
              <w:rPr>
                <w:rFonts w:ascii="Arial" w:cs="Arial" w:eastAsia="Arial" w:hAnsi="Arial"/>
                <w:sz w:val="21"/>
                <w:szCs w:val="21"/>
                <w:color w:val="auto"/>
              </w:rPr>
              <w:t>securities, net of tax</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3,111</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4,071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(8,660)</w:t>
            </w:r>
          </w:p>
        </w:tc>
        <w:tc>
          <w:tcPr>
            <w:tcW w:w="0" w:type="dxa"/>
            <w:vAlign w:val="bottom"/>
          </w:tcPr>
          <w:p>
            <w:pPr>
              <w:spacing w:after="0"/>
              <w:rPr>
                <w:sz w:val="1"/>
                <w:szCs w:val="1"/>
                <w:color w:val="auto"/>
              </w:rPr>
            </w:pPr>
          </w:p>
        </w:tc>
      </w:tr>
      <w:tr>
        <w:trPr>
          <w:trHeight w:val="256"/>
        </w:trPr>
        <w:tc>
          <w:tcPr>
            <w:tcW w:w="5460" w:type="dxa"/>
            <w:vAlign w:val="bottom"/>
          </w:tcPr>
          <w:p>
            <w:pPr>
              <w:ind w:left="180"/>
              <w:spacing w:after="0"/>
              <w:rPr>
                <w:sz w:val="20"/>
                <w:szCs w:val="20"/>
                <w:color w:val="auto"/>
              </w:rPr>
            </w:pPr>
            <w:r>
              <w:rPr>
                <w:rFonts w:ascii="Arial" w:cs="Arial" w:eastAsia="Arial" w:hAnsi="Arial"/>
                <w:sz w:val="21"/>
                <w:szCs w:val="21"/>
                <w:color w:val="auto"/>
              </w:rPr>
              <w:t>Foreign currency translation adjustments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1,837</w:t>
            </w:r>
          </w:p>
        </w:tc>
        <w:tc>
          <w:tcPr>
            <w:tcW w:w="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2,087</w:t>
            </w: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(2,118)</w:t>
            </w:r>
          </w:p>
        </w:tc>
        <w:tc>
          <w:tcPr>
            <w:tcW w:w="0" w:type="dxa"/>
            <w:vAlign w:val="bottom"/>
          </w:tcPr>
          <w:p>
            <w:pPr>
              <w:spacing w:after="0"/>
              <w:rPr>
                <w:sz w:val="1"/>
                <w:szCs w:val="1"/>
                <w:color w:val="auto"/>
              </w:rPr>
            </w:pPr>
          </w:p>
        </w:tc>
      </w:tr>
      <w:tr>
        <w:trPr>
          <w:trHeight w:val="237"/>
        </w:trPr>
        <w:tc>
          <w:tcPr>
            <w:tcW w:w="5460" w:type="dxa"/>
            <w:vAlign w:val="bottom"/>
          </w:tcPr>
          <w:p>
            <w:pPr>
              <w:spacing w:after="0" w:line="237" w:lineRule="exact"/>
              <w:rPr>
                <w:sz w:val="20"/>
                <w:szCs w:val="20"/>
                <w:color w:val="auto"/>
              </w:rPr>
            </w:pPr>
            <w:r>
              <w:rPr>
                <w:rFonts w:ascii="Arial" w:cs="Arial" w:eastAsia="Arial" w:hAnsi="Arial"/>
                <w:sz w:val="21"/>
                <w:szCs w:val="21"/>
                <w:color w:val="auto"/>
              </w:rPr>
              <w:t>Comprehensive income</w:t>
            </w: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216,977</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214,874</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97,254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HANSEN NATURAL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FOR THE YEARS ENDED DECEMBER 31, 2010, 2009 AND 2008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2009</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2008</w:t>
            </w:r>
          </w:p>
        </w:tc>
        <w:tc>
          <w:tcPr>
            <w:tcW w:w="0" w:type="dxa"/>
            <w:vAlign w:val="bottom"/>
          </w:tcPr>
          <w:p>
            <w:pPr>
              <w:spacing w:after="0"/>
              <w:rPr>
                <w:sz w:val="1"/>
                <w:szCs w:val="1"/>
                <w:color w:val="auto"/>
              </w:rPr>
            </w:pPr>
          </w:p>
        </w:tc>
      </w:tr>
      <w:tr>
        <w:trPr>
          <w:trHeight w:val="176"/>
        </w:trPr>
        <w:tc>
          <w:tcPr>
            <w:tcW w:w="65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212,029</w:t>
            </w:r>
          </w:p>
        </w:tc>
        <w:tc>
          <w:tcPr>
            <w:tcW w:w="280" w:type="dxa"/>
            <w:vAlign w:val="bottom"/>
          </w:tcPr>
          <w:p>
            <w:pPr>
              <w:spacing w:after="0"/>
              <w:rPr>
                <w:sz w:val="17"/>
                <w:szCs w:val="17"/>
                <w:color w:val="auto"/>
              </w:rPr>
            </w:pP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208,716</w:t>
            </w:r>
          </w:p>
        </w:tc>
        <w:tc>
          <w:tcPr>
            <w:tcW w:w="28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108,032</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Amortization of trademark</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11,728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5,839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3,417</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Loss (gain) on disposal of property and equipment</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16,862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14,040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13,899</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Gain on put option</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Loss on investments, net</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4,526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3,887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(44,594)</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Tax benefit from exercise of stock options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(12,374)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Provision (benefit) for doubtful accounts</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1,659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6"/>
                <w:szCs w:val="16"/>
                <w:color w:val="auto"/>
              </w:rPr>
              <w:t>Effect on cash of changes in operating assets and liabilities:</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2,031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(59,418)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30,609</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Distributor receivables</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4,286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86,023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(85,348)</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(44,973)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8,545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(19,671)</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(2,872)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(4,686)</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Prepaid income taxes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(9,992)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4,977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(4,977)</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37,096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(15,786)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7,517</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Accrued liabilities</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9,432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9,341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3,272</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Accrued distributor terminations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(99,332)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98,082</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838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03"/>
        </w:trPr>
        <w:tc>
          <w:tcPr>
            <w:tcW w:w="6580" w:type="dxa"/>
            <w:vAlign w:val="bottom"/>
          </w:tcPr>
          <w:p>
            <w:pPr>
              <w:ind w:left="540"/>
              <w:spacing w:after="0"/>
              <w:rPr>
                <w:sz w:val="20"/>
                <w:szCs w:val="20"/>
                <w:color w:val="auto"/>
              </w:rPr>
            </w:pPr>
            <w:r>
              <w:rPr>
                <w:rFonts w:ascii="Arial" w:cs="Arial" w:eastAsia="Arial" w:hAnsi="Arial"/>
                <w:sz w:val="16"/>
                <w:szCs w:val="16"/>
                <w:color w:val="auto"/>
              </w:rPr>
              <w:t>Income taxes payable</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12,505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3,892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06"/>
        </w:trPr>
        <w:tc>
          <w:tcPr>
            <w:tcW w:w="6580" w:type="dxa"/>
            <w:vAlign w:val="bottom"/>
          </w:tcPr>
          <w:p>
            <w:pPr>
              <w:ind w:left="54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(5,474)</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98,632</w:t>
            </w:r>
          </w:p>
        </w:tc>
        <w:tc>
          <w:tcPr>
            <w:tcW w:w="0" w:type="dxa"/>
            <w:vAlign w:val="bottom"/>
          </w:tcPr>
          <w:p>
            <w:pPr>
              <w:spacing w:after="0"/>
              <w:rPr>
                <w:sz w:val="1"/>
                <w:szCs w:val="1"/>
                <w:color w:val="auto"/>
              </w:rPr>
            </w:pPr>
          </w:p>
        </w:tc>
      </w:tr>
      <w:tr>
        <w:trPr>
          <w:trHeight w:val="206"/>
        </w:trPr>
        <w:tc>
          <w:tcPr>
            <w:tcW w:w="658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229,044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156,192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199,496</w:t>
            </w:r>
          </w:p>
        </w:tc>
        <w:tc>
          <w:tcPr>
            <w:tcW w:w="0" w:type="dxa"/>
            <w:vAlign w:val="bottom"/>
          </w:tcPr>
          <w:p>
            <w:pPr>
              <w:spacing w:after="0"/>
              <w:rPr>
                <w:sz w:val="1"/>
                <w:szCs w:val="1"/>
                <w:color w:val="auto"/>
              </w:rPr>
            </w:pPr>
          </w:p>
        </w:tc>
      </w:tr>
      <w:tr>
        <w:trPr>
          <w:trHeight w:val="391"/>
        </w:trPr>
        <w:tc>
          <w:tcPr>
            <w:tcW w:w="65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Maturities of held-to-maturity investments</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107,992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79,919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4,997</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Sales of available-for-sale investments</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13,201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17,254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283,241</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Sales of trading investments</w:t>
            </w:r>
          </w:p>
        </w:tc>
        <w:tc>
          <w:tcPr>
            <w:tcW w:w="4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7,400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6"/>
                <w:szCs w:val="16"/>
                <w:color w:val="auto"/>
              </w:rPr>
              <w:t>Purchases of held-to-maturity investments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(257,474)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(74,976)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(24,938)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49" w:name="page50"/>
    <w:bookmarkEnd w:id="49"/>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Purchases of available-for-sale investments</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(59,907)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(106,685)</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(23,554)</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(6,718)</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4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Additions to trademarks</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(9,852)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(5,215)</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(4,354)</w:t>
            </w:r>
          </w:p>
        </w:tc>
        <w:tc>
          <w:tcPr>
            <w:tcW w:w="0" w:type="dxa"/>
            <w:vAlign w:val="bottom"/>
          </w:tcPr>
          <w:p>
            <w:pPr>
              <w:spacing w:after="0"/>
              <w:rPr>
                <w:sz w:val="1"/>
                <w:szCs w:val="1"/>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6"/>
                <w:szCs w:val="16"/>
                <w:color w:val="auto"/>
              </w:rPr>
              <w:t>(Increase) Decrease in other assets</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1,226</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06"/>
        </w:trPr>
        <w:tc>
          <w:tcPr>
            <w:tcW w:w="6580" w:type="dxa"/>
            <w:vAlign w:val="bottom"/>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(212,510)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143,982</w:t>
            </w:r>
          </w:p>
        </w:tc>
        <w:tc>
          <w:tcPr>
            <w:tcW w:w="0" w:type="dxa"/>
            <w:vAlign w:val="bottom"/>
          </w:tcPr>
          <w:p>
            <w:pPr>
              <w:spacing w:after="0"/>
              <w:rPr>
                <w:sz w:val="1"/>
                <w:szCs w:val="1"/>
                <w:color w:val="auto"/>
              </w:rPr>
            </w:pPr>
          </w:p>
        </w:tc>
      </w:tr>
      <w:tr>
        <w:trPr>
          <w:trHeight w:val="391"/>
        </w:trPr>
        <w:tc>
          <w:tcPr>
            <w:tcW w:w="65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Principal payments on debt</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(1,539)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Tax benefit from exercise of stock options</w:t>
            </w:r>
          </w:p>
        </w:tc>
        <w:tc>
          <w:tcPr>
            <w:tcW w:w="4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12,374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3,131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4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20,824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2,502</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2,257</w:t>
            </w:r>
          </w:p>
        </w:tc>
        <w:tc>
          <w:tcPr>
            <w:tcW w:w="0" w:type="dxa"/>
            <w:vAlign w:val="bottom"/>
          </w:tcPr>
          <w:p>
            <w:pPr>
              <w:spacing w:after="0"/>
              <w:rPr>
                <w:sz w:val="1"/>
                <w:szCs w:val="1"/>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6"/>
                <w:szCs w:val="16"/>
                <w:color w:val="auto"/>
              </w:rPr>
              <w:t>Purchases of common stock held in treasury</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(23,540)</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(86,173)</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(103,467)</w:t>
            </w:r>
          </w:p>
        </w:tc>
        <w:tc>
          <w:tcPr>
            <w:tcW w:w="0" w:type="dxa"/>
            <w:vAlign w:val="bottom"/>
          </w:tcPr>
          <w:p>
            <w:pPr>
              <w:spacing w:after="0"/>
              <w:rPr>
                <w:sz w:val="1"/>
                <w:szCs w:val="1"/>
                <w:color w:val="auto"/>
              </w:rPr>
            </w:pPr>
          </w:p>
        </w:tc>
      </w:tr>
      <w:tr>
        <w:trPr>
          <w:trHeight w:val="202"/>
        </w:trPr>
        <w:tc>
          <w:tcPr>
            <w:tcW w:w="658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9,238</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(82,079)</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(98,046)</w:t>
            </w:r>
          </w:p>
        </w:tc>
        <w:tc>
          <w:tcPr>
            <w:tcW w:w="0" w:type="dxa"/>
            <w:vAlign w:val="bottom"/>
          </w:tcPr>
          <w:p>
            <w:pPr>
              <w:spacing w:after="0"/>
              <w:rPr>
                <w:sz w:val="1"/>
                <w:szCs w:val="1"/>
                <w:color w:val="auto"/>
              </w:rPr>
            </w:pPr>
          </w:p>
        </w:tc>
      </w:tr>
      <w:tr>
        <w:trPr>
          <w:trHeight w:val="393"/>
        </w:trPr>
        <w:tc>
          <w:tcPr>
            <w:tcW w:w="65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4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721</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1,904</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401"/>
        </w:trPr>
        <w:tc>
          <w:tcPr>
            <w:tcW w:w="658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4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26,493</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71,548</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244,361</w:t>
            </w:r>
          </w:p>
        </w:tc>
        <w:tc>
          <w:tcPr>
            <w:tcW w:w="0" w:type="dxa"/>
            <w:vAlign w:val="bottom"/>
          </w:tcPr>
          <w:p>
            <w:pPr>
              <w:spacing w:after="0"/>
              <w:rPr>
                <w:sz w:val="1"/>
                <w:szCs w:val="1"/>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328,349</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256,801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12,440</w:t>
            </w:r>
          </w:p>
        </w:tc>
        <w:tc>
          <w:tcPr>
            <w:tcW w:w="0" w:type="dxa"/>
            <w:vAlign w:val="bottom"/>
          </w:tcPr>
          <w:p>
            <w:pPr>
              <w:spacing w:after="0"/>
              <w:rPr>
                <w:sz w:val="1"/>
                <w:szCs w:val="1"/>
                <w:color w:val="auto"/>
              </w:rPr>
            </w:pPr>
          </w:p>
        </w:tc>
      </w:tr>
      <w:tr>
        <w:trPr>
          <w:trHeight w:val="202"/>
        </w:trPr>
        <w:tc>
          <w:tcPr>
            <w:tcW w:w="6580" w:type="dxa"/>
            <w:vAlign w:val="bottom"/>
          </w:tcPr>
          <w:p>
            <w:pPr>
              <w:spacing w:after="0"/>
              <w:rPr>
                <w:sz w:val="20"/>
                <w:szCs w:val="20"/>
                <w:color w:val="auto"/>
              </w:rPr>
            </w:pPr>
            <w:r>
              <w:rPr>
                <w:rFonts w:ascii="Arial" w:cs="Arial" w:eastAsia="Arial" w:hAnsi="Arial"/>
                <w:sz w:val="16"/>
                <w:szCs w:val="16"/>
                <w:color w:val="auto"/>
              </w:rPr>
              <w:t>CASH AND CASH EQUIVALENTS, end of year</w:t>
            </w: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354,842</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328,349</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256,801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6"/>
                <w:szCs w:val="16"/>
                <w:color w:val="auto"/>
              </w:rPr>
              <w:t>SUPPLEMENTAL INFORMATION:</w:t>
            </w: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rPr>
                <w:sz w:val="20"/>
                <w:szCs w:val="20"/>
                <w:color w:val="auto"/>
              </w:rPr>
            </w:pPr>
            <w:r>
              <w:rPr>
                <w:rFonts w:ascii="Arial" w:cs="Arial" w:eastAsia="Arial" w:hAnsi="Arial"/>
                <w:sz w:val="16"/>
                <w:szCs w:val="16"/>
                <w:color w:val="auto"/>
              </w:rPr>
              <w:t>Cash paid during the year for:</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80" w:type="dxa"/>
            <w:vAlign w:val="bottom"/>
          </w:tcPr>
          <w:p>
            <w:pPr>
              <w:ind w:left="360"/>
              <w:spacing w:after="0"/>
              <w:rPr>
                <w:sz w:val="20"/>
                <w:szCs w:val="20"/>
                <w:color w:val="auto"/>
              </w:rPr>
            </w:pPr>
            <w:r>
              <w:rPr>
                <w:rFonts w:ascii="Arial" w:cs="Arial" w:eastAsia="Arial" w:hAnsi="Arial"/>
                <w:sz w:val="16"/>
                <w:szCs w:val="16"/>
                <w:color w:val="auto"/>
              </w:rPr>
              <w:t>Interest</w:t>
            </w: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360"/>
              <w:spacing w:after="0"/>
              <w:rPr>
                <w:sz w:val="20"/>
                <w:szCs w:val="20"/>
                <w:color w:val="auto"/>
              </w:rPr>
            </w:pPr>
            <w:r>
              <w:rPr>
                <w:rFonts w:ascii="Arial" w:cs="Arial" w:eastAsia="Arial" w:hAnsi="Arial"/>
                <w:sz w:val="16"/>
                <w:szCs w:val="16"/>
                <w:color w:val="auto"/>
              </w:rPr>
              <w:t>Income taxes</w:t>
            </w: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8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136,369</w:t>
            </w:r>
          </w:p>
        </w:tc>
        <w:tc>
          <w:tcPr>
            <w:tcW w:w="280" w:type="dxa"/>
            <w:vAlign w:val="bottom"/>
          </w:tcPr>
          <w:p>
            <w:pPr>
              <w:spacing w:after="0"/>
              <w:rPr>
                <w:sz w:val="16"/>
                <w:szCs w:val="16"/>
                <w:color w:val="auto"/>
              </w:rPr>
            </w:pP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125,838</w:t>
            </w:r>
          </w:p>
        </w:tc>
        <w:tc>
          <w:tcPr>
            <w:tcW w:w="280" w:type="dxa"/>
            <w:vAlign w:val="bottom"/>
          </w:tcPr>
          <w:p>
            <w:pPr>
              <w:spacing w:after="0"/>
              <w:rPr>
                <w:sz w:val="16"/>
                <w:szCs w:val="16"/>
                <w:color w:val="auto"/>
              </w:rPr>
            </w:pPr>
          </w:p>
        </w:tc>
        <w:tc>
          <w:tcPr>
            <w:tcW w:w="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118,338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680"/>
        <w:spacing w:after="0" w:line="273" w:lineRule="auto"/>
        <w:rPr>
          <w:sz w:val="20"/>
          <w:szCs w:val="20"/>
          <w:color w:val="auto"/>
        </w:rPr>
      </w:pPr>
      <w:r>
        <w:rPr>
          <w:rFonts w:ascii="Arial" w:cs="Arial" w:eastAsia="Arial" w:hAnsi="Arial"/>
          <w:sz w:val="19"/>
          <w:szCs w:val="19"/>
          <w:b w:val="1"/>
          <w:bCs w:val="1"/>
          <w:color w:val="auto"/>
        </w:rPr>
        <w:t>HANSEN NATURAL CORPORATION AND SUBSIDIARIES CONSOLIDATED STATEMENTS OF CASH FLOWS (Continued) FOR THE YEARS ENDED DECEMBER 31, 2010,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the years ended December 31, 2010, 2009 and 2008, the Company entered into capital leases of $0.5 million, $0.8 million and $1.4 million, respectively, for the acquisition of promotional vehicles.</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Included in accounts payable was equipment purchased of $0.2 million, $0.7 million and $1.5 million as of December 31, 2010, 2009 and 2008,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ORGANIZATION AND SUMMARY OF SIGNIFICANT ACCOUNTING POLICIES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Organization </w:t>
      </w:r>
      <w:r>
        <w:rPr>
          <w:rFonts w:ascii="Arial" w:cs="Arial" w:eastAsia="Arial" w:hAnsi="Arial"/>
          <w:sz w:val="20"/>
          <w:szCs w:val="20"/>
          <w:color w:val="auto"/>
        </w:rPr>
        <w:t>– Hansen Natural Corporation (the “Company” or “Hansen”) was incorporated in Delaware on April 25, 1990.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is a holding company and has no operating business except through its consolidated subsidiaries.</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Nature of Operations </w:t>
      </w:r>
      <w:r>
        <w:rPr>
          <w:rFonts w:ascii="Arial" w:cs="Arial" w:eastAsia="Arial" w:hAnsi="Arial"/>
          <w:sz w:val="19"/>
          <w:szCs w:val="19"/>
          <w:color w:val="auto"/>
        </w:rPr>
        <w:t>– The Company develops, markets, sells and distributes “alternative” beverage category beverages primarily</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following brand names: Monster Energy®, Java Monster™, Monster Energy® Extra Strength, Nitrous Technology™, Monster Rehab™, Peace Tea™, Hansen’s®, Hansen’s Natural Sodas®, Junior Juice®, Blue Sky®, X-Presso Monster™, Vidration™, Worx Energy™, Admiral™, Lost® Energy™, Hubert’s™, Rumba®, Samba and Tango. The “alternative” beverage category combines non-carbonated ready-to-drink iced teas, lemonades, juice cocktails, single-serve juices and fruit beverages, ready-to-drink dairy and coffee drinks, energy drinks, sports drinks, and single-serve s till water (flavored, unflavored and enhanced) with “new age” beverages, including sodas that are considered natural, sparkling juices and flavored sparkling beverages.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Basis of Presentation </w:t>
      </w:r>
      <w:r>
        <w:rPr>
          <w:rFonts w:ascii="Arial" w:cs="Arial" w:eastAsia="Arial" w:hAnsi="Arial"/>
          <w:sz w:val="19"/>
          <w:szCs w:val="19"/>
          <w:color w:val="auto"/>
        </w:rPr>
        <w:t>– The accompanying consolidated financial statements have been prepared in accordance with accounting</w:t>
      </w:r>
      <w:r>
        <w:rPr>
          <w:rFonts w:ascii="Arial" w:cs="Arial" w:eastAsia="Arial" w:hAnsi="Arial"/>
          <w:sz w:val="19"/>
          <w:szCs w:val="19"/>
          <w:i w:val="1"/>
          <w:iCs w:val="1"/>
          <w:color w:val="auto"/>
        </w:rPr>
        <w:t xml:space="preserve"> </w:t>
      </w:r>
      <w:r>
        <w:rPr>
          <w:rFonts w:ascii="Arial" w:cs="Arial" w:eastAsia="Arial" w:hAnsi="Arial"/>
          <w:sz w:val="19"/>
          <w:szCs w:val="19"/>
          <w:color w:val="auto"/>
        </w:rPr>
        <w:t>principles generally accepted in the United States of America (“GAAP”) and include the accounts of the Company and its consolidated subsidiaries. The Company has reclassified $9.1 million of current deferred revenue from accrued liabilities on the consolidated balance sheet as of December 31, 2009 in order to conform to the current year presentation as a separate line item.</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Subsequent Events </w:t>
      </w:r>
      <w:r>
        <w:rPr>
          <w:rFonts w:ascii="Arial" w:cs="Arial" w:eastAsia="Arial" w:hAnsi="Arial"/>
          <w:sz w:val="20"/>
          <w:szCs w:val="20"/>
          <w:color w:val="auto"/>
        </w:rPr>
        <w:t>– Management has reviewed and evaluated subsequent events and transactions occurring after the balance sheet date</w:t>
      </w:r>
      <w:r>
        <w:rPr>
          <w:rFonts w:ascii="Arial" w:cs="Arial" w:eastAsia="Arial" w:hAnsi="Arial"/>
          <w:sz w:val="20"/>
          <w:szCs w:val="20"/>
          <w:i w:val="1"/>
          <w:iCs w:val="1"/>
          <w:color w:val="auto"/>
        </w:rPr>
        <w:t xml:space="preserve"> </w:t>
      </w:r>
      <w:r>
        <w:rPr>
          <w:rFonts w:ascii="Arial" w:cs="Arial" w:eastAsia="Arial" w:hAnsi="Arial"/>
          <w:sz w:val="20"/>
          <w:szCs w:val="20"/>
          <w:color w:val="auto"/>
        </w:rPr>
        <w:t>through the filing of this annual report on Form 10-K on March 1, 2011.</w:t>
      </w:r>
    </w:p>
    <w:p>
      <w:pPr>
        <w:sectPr>
          <w:pgSz w:w="11900" w:h="16906" w:orient="portrait"/>
          <w:cols w:equalWidth="0" w:num="1">
            <w:col w:w="11420"/>
          </w:cols>
          <w:pgMar w:left="240" w:top="130" w:right="239" w:bottom="0" w:gutter="0" w:footer="0" w:header="0"/>
        </w:sectPr>
      </w:pPr>
    </w:p>
    <w:bookmarkStart w:id="50" w:name="page51"/>
    <w:bookmarkEnd w:id="50"/>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Principles of Consolidation </w:t>
      </w:r>
      <w:r>
        <w:rPr>
          <w:rFonts w:ascii="Arial" w:cs="Arial" w:eastAsia="Arial" w:hAnsi="Arial"/>
          <w:sz w:val="20"/>
          <w:szCs w:val="20"/>
          <w:color w:val="auto"/>
        </w:rPr>
        <w:t>– The Company consolidates all entities that it controls by ownership of a majority voting interest as well</w:t>
      </w:r>
      <w:r>
        <w:rPr>
          <w:rFonts w:ascii="Arial" w:cs="Arial" w:eastAsia="Arial" w:hAnsi="Arial"/>
          <w:sz w:val="20"/>
          <w:szCs w:val="20"/>
          <w:i w:val="1"/>
          <w:iCs w:val="1"/>
          <w:color w:val="auto"/>
        </w:rPr>
        <w:t xml:space="preserve"> </w:t>
      </w:r>
      <w:r>
        <w:rPr>
          <w:rFonts w:ascii="Arial" w:cs="Arial" w:eastAsia="Arial" w:hAnsi="Arial"/>
          <w:sz w:val="20"/>
          <w:szCs w:val="20"/>
          <w:color w:val="auto"/>
        </w:rPr>
        <w:t>as variable interest entities for which the Company is the primary beneficiary. All intercompany balances and transactions have been eliminated in consolidation.</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w:t>
      </w:r>
      <w:r>
        <w:rPr>
          <w:rFonts w:ascii="Arial" w:cs="Arial" w:eastAsia="Arial" w:hAnsi="Arial"/>
          <w:sz w:val="20"/>
          <w:szCs w:val="20"/>
          <w:i w:val="1"/>
          <w:iCs w:val="1"/>
          <w:color w:val="auto"/>
        </w:rPr>
        <w:t xml:space="preserve"> </w:t>
      </w:r>
      <w:r>
        <w:rPr>
          <w:rFonts w:ascii="Arial" w:cs="Arial" w:eastAsia="Arial" w:hAnsi="Arial"/>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20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9"/>
          <w:szCs w:val="19"/>
          <w:i w:val="1"/>
          <w:iCs w:val="1"/>
          <w:color w:val="auto"/>
        </w:rPr>
        <w:t xml:space="preserve">Investments </w:t>
      </w:r>
      <w:r>
        <w:rPr>
          <w:rFonts w:ascii="Arial" w:cs="Arial" w:eastAsia="Arial" w:hAnsi="Arial"/>
          <w:sz w:val="19"/>
          <w:szCs w:val="19"/>
          <w:color w:val="auto"/>
        </w:rPr>
        <w:t>– The Company’s investments in debt securities are classified as either held-to-maturity, available-for-sale or trading,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Financial Accounting Standards Board (the “FASB”) Accounting Standards Codification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 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Under ASC 320-10-35, a security is considered to be other-than-temporarily impaired if the present value of cash flows expected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income (loss), net of applicable taxes. The Company evaluates whether the decline in fair value of its investments is other-than temporary at each quarter-end. This evaluation consi 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Accounts Receivable – </w:t>
      </w:r>
      <w:r>
        <w:rPr>
          <w:rFonts w:ascii="Arial" w:cs="Arial" w:eastAsia="Arial" w:hAnsi="Arial"/>
          <w:sz w:val="19"/>
          <w:szCs w:val="19"/>
          <w:color w:val="auto"/>
        </w:rPr>
        <w:t>The Company evaluates the collectability of its trade accounts receivable based on a number of factors. In</w:t>
      </w:r>
      <w:r>
        <w:rPr>
          <w:rFonts w:ascii="Arial" w:cs="Arial" w:eastAsia="Arial" w:hAnsi="Arial"/>
          <w:sz w:val="19"/>
          <w:szCs w:val="19"/>
          <w:i w:val="1"/>
          <w:iCs w:val="1"/>
          <w:color w:val="auto"/>
        </w:rPr>
        <w:t xml:space="preserve"> </w:t>
      </w:r>
      <w:r>
        <w:rPr>
          <w:rFonts w:ascii="Arial" w:cs="Arial" w:eastAsia="Arial" w:hAnsi="Arial"/>
          <w:sz w:val="19"/>
          <w:szCs w:val="19"/>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Inventories </w:t>
      </w:r>
      <w:r>
        <w:rPr>
          <w:rFonts w:ascii="Arial" w:cs="Arial" w:eastAsia="Arial" w:hAnsi="Arial"/>
          <w:sz w:val="20"/>
          <w:szCs w:val="20"/>
          <w:color w:val="auto"/>
        </w:rPr>
        <w:t>– Inventories are valued at the lower of first-in, first-out, cost or market value (net realizable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 and computer</w:t>
      </w:r>
      <w:r>
        <w:rPr>
          <w:rFonts w:ascii="Arial" w:cs="Arial" w:eastAsia="Arial" w:hAnsi="Arial"/>
          <w:sz w:val="19"/>
          <w:szCs w:val="19"/>
          <w:i w:val="1"/>
          <w:iCs w:val="1"/>
          <w:color w:val="auto"/>
        </w:rPr>
        <w:t xml:space="preserve"> </w:t>
      </w:r>
      <w:r>
        <w:rPr>
          <w:rFonts w:ascii="Arial" w:cs="Arial" w:eastAsia="Arial" w:hAnsi="Arial"/>
          <w:sz w:val="19"/>
          <w:szCs w:val="19"/>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Capitalized Software Costs </w:t>
      </w:r>
      <w:r>
        <w:rPr>
          <w:rFonts w:ascii="Arial" w:cs="Arial" w:eastAsia="Arial" w:hAnsi="Arial"/>
          <w:sz w:val="20"/>
          <w:szCs w:val="20"/>
          <w:color w:val="auto"/>
        </w:rPr>
        <w:t>– In accordance with ASC 350-40, the Company capitalizes certain costs incurred in connection with</w:t>
      </w:r>
      <w:r>
        <w:rPr>
          <w:rFonts w:ascii="Arial" w:cs="Arial" w:eastAsia="Arial" w:hAnsi="Arial"/>
          <w:sz w:val="20"/>
          <w:szCs w:val="20"/>
          <w:i w:val="1"/>
          <w:iCs w:val="1"/>
          <w:color w:val="auto"/>
        </w:rPr>
        <w:t xml:space="preserve"> </w:t>
      </w:r>
      <w:r>
        <w:rPr>
          <w:rFonts w:ascii="Arial" w:cs="Arial" w:eastAsia="Arial" w:hAnsi="Arial"/>
          <w:sz w:val="20"/>
          <w:szCs w:val="20"/>
          <w:color w:val="auto"/>
        </w:rPr>
        <w:t>developing or obtaining internal use software. Costs incurred in the preliminary project stage are expensed. All direct external costs incurred to develop internal use software during the development stage are capitalized and amortized using the straight-line method over the remaining useful lives. Costs such as maintenance and training are expensed as incurred.</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Intangibles </w:t>
      </w:r>
      <w:r>
        <w:rPr>
          <w:rFonts w:ascii="Arial" w:cs="Arial" w:eastAsia="Arial" w:hAnsi="Arial"/>
          <w:sz w:val="18"/>
          <w:szCs w:val="18"/>
          <w:color w:val="auto"/>
        </w:rPr>
        <w:t>– Intangibles are comprised of trademarks representing the Company’s exclusive ownership of the Hansen’s® trademark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manufacture, sale and distribution of beverages and the Monster Energy® trademark in connection with the manufacture, sale and distribution of supplements and beverages. The Company also owns a number of other trademarks in the United States as well as in a number of countries around the world. In addition, the Company owns the Blue Sky® trademark, which was acquired in September 2000, and the Junior Juice® trademark, which was acquired in May 2001. In accordance with ASC 350, intangible assets with indefinite lives are not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2" w:right="239" w:bottom="78" w:gutter="0" w:footer="0" w:header="0"/>
        </w:sectPr>
      </w:pPr>
    </w:p>
    <w:bookmarkStart w:id="51" w:name="page52"/>
    <w:bookmarkEnd w:id="51"/>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which range from 1 to 25 years. For the fiscal years ended December 31, 2010, 2009 and 2008, there were no impairments recorded.</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 urate with management’s estimates of the business risks. Preparation of estimated expected future cash flows is inherently subjective and is based on management’s best estimate of assumptions concerning expected future conditions. For the fiscal years ended December 31, 2010, 2009 and 2008, there were no impairment indicators identified.</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Foreign Currency Translation and Transactions </w:t>
      </w:r>
      <w:r>
        <w:rPr>
          <w:rFonts w:ascii="Arial" w:cs="Arial" w:eastAsia="Arial" w:hAnsi="Arial"/>
          <w:sz w:val="20"/>
          <w:szCs w:val="20"/>
          <w:color w:val="auto"/>
        </w:rPr>
        <w:t>– The accounts of the Company’s foreign subsidiaries are translated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ASC 830. Foreign currency transaction gains and losses are recognized in interest and other income,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w:t>
      </w: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persuasive evidence of an arrangement exists, delivery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sales price 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 s. Net sales have been determined after deduction of promotional and other allowances in accordance with ASC 605-50. 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 generally 20 years.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90" w:lineRule="exact"/>
        <w:rPr>
          <w:sz w:val="20"/>
          <w:szCs w:val="20"/>
          <w:color w:val="auto"/>
        </w:rPr>
      </w:pPr>
    </w:p>
    <w:p>
      <w:pPr>
        <w:jc w:val="both"/>
        <w:ind w:firstLine="702"/>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i w:val="1"/>
          <w:iCs w:val="1"/>
          <w:color w:val="auto"/>
        </w:rPr>
        <w:t xml:space="preserve">Freight-Out Costs </w:t>
      </w:r>
      <w:r>
        <w:rPr>
          <w:rFonts w:ascii="Arial" w:cs="Arial" w:eastAsia="Arial" w:hAnsi="Arial"/>
          <w:sz w:val="16"/>
          <w:szCs w:val="16"/>
          <w:color w:val="auto"/>
        </w:rPr>
        <w:t>– For the years ended December 31, 2010, 2009 and 2008, freight-out costs amounted to $47.4 million, $39.8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$45.1 million, respectively, and have been recorded in operating expenses in the accompanying consolidated statements of income.</w:t>
      </w:r>
    </w:p>
    <w:p>
      <w:pPr>
        <w:spacing w:after="0" w:line="9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Advertising and Promotional Expenses </w:t>
      </w:r>
      <w:r>
        <w:rPr>
          <w:rFonts w:ascii="Arial" w:cs="Arial" w:eastAsia="Arial" w:hAnsi="Arial"/>
          <w:sz w:val="18"/>
          <w:szCs w:val="18"/>
          <w:color w:val="auto"/>
        </w:rPr>
        <w:t>– The Company accounts for advertising production costs by expensing such production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periodic performance compliance provisions of the contracts. Advertising and promotional expenses, including but not limited to production</w:t>
      </w:r>
    </w:p>
    <w:p>
      <w:pPr>
        <w:sectPr>
          <w:pgSz w:w="11900" w:h="16838" w:orient="portrait"/>
          <w:cols w:equalWidth="0" w:num="1">
            <w:col w:w="11420"/>
          </w:cols>
          <w:pgMar w:left="240" w:top="571" w:right="239" w:bottom="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costs, amounted to $104.9 million, $86.7 million and $84.6 million for the years ended December 31, 2010, 2009 and 2 008,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Advertising and promotional expenses are included in operating expenses in the accompanying consolidated statements of income.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utilizes the liability method of accounting for income taxes as set forth in ASC 740. Under the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 e recorded, decreasing earnings in the period in which such determination is made.</w:t>
      </w:r>
    </w:p>
    <w:p>
      <w:pPr>
        <w:spacing w:after="0" w:line="19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Stock-Based Compensation </w:t>
      </w:r>
      <w:r>
        <w:rPr>
          <w:rFonts w:ascii="Arial" w:cs="Arial" w:eastAsia="Arial" w:hAnsi="Arial"/>
          <w:sz w:val="20"/>
          <w:szCs w:val="20"/>
          <w:color w:val="auto"/>
        </w:rPr>
        <w:t>– The Company accounts for stock-based compensation under the provisions of ASC 718. ASC 718</w:t>
      </w:r>
      <w:r>
        <w:rPr>
          <w:rFonts w:ascii="Arial" w:cs="Arial" w:eastAsia="Arial" w:hAnsi="Arial"/>
          <w:sz w:val="20"/>
          <w:szCs w:val="20"/>
          <w:i w:val="1"/>
          <w:iCs w:val="1"/>
          <w:color w:val="auto"/>
        </w:rPr>
        <w:t xml:space="preserve"> </w:t>
      </w:r>
      <w:r>
        <w:rPr>
          <w:rFonts w:ascii="Arial" w:cs="Arial" w:eastAsia="Arial" w:hAnsi="Arial"/>
          <w:sz w:val="20"/>
          <w:szCs w:val="20"/>
          <w:color w:val="auto"/>
        </w:rPr>
        <w:t>requires the fair value of all stock option awards issued to employees to be recorded as an expense over the related vesting period. Generally, the Company recognizes these compensation costs net of an estimated forfeiture rate on a straight-line basis over the requisite service period of the reward, which is typically the vesting term of five years.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Net Income Per Common Share </w:t>
      </w:r>
      <w:r>
        <w:rPr>
          <w:rFonts w:ascii="Arial" w:cs="Arial" w:eastAsia="Arial" w:hAnsi="Arial"/>
          <w:sz w:val="19"/>
          <w:szCs w:val="19"/>
          <w:color w:val="auto"/>
        </w:rPr>
        <w:t>– In accordance with ASC 260, net income per common share, on a basic and diluted basis, is</w:t>
      </w:r>
      <w:r>
        <w:rPr>
          <w:rFonts w:ascii="Arial" w:cs="Arial" w:eastAsia="Arial" w:hAnsi="Arial"/>
          <w:sz w:val="19"/>
          <w:szCs w:val="19"/>
          <w:i w:val="1"/>
          <w:iCs w:val="1"/>
          <w:color w:val="auto"/>
        </w:rPr>
        <w:t xml:space="preserve"> </w:t>
      </w:r>
      <w:r>
        <w:rPr>
          <w:rFonts w:ascii="Arial" w:cs="Arial" w:eastAsia="Arial" w:hAnsi="Arial"/>
          <w:sz w:val="19"/>
          <w:szCs w:val="19"/>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Concentration of Risk – </w:t>
      </w:r>
      <w:r>
        <w:rPr>
          <w:rFonts w:ascii="Arial" w:cs="Arial" w:eastAsia="Arial" w:hAnsi="Arial"/>
          <w:sz w:val="20"/>
          <w:szCs w:val="20"/>
          <w:color w:val="auto"/>
        </w:rPr>
        <w:t>Certain of the Company’s products utilize components (raw materials and/or co-packing services) from a</w:t>
      </w:r>
      <w:r>
        <w:rPr>
          <w:rFonts w:ascii="Arial" w:cs="Arial" w:eastAsia="Arial" w:hAnsi="Arial"/>
          <w:sz w:val="20"/>
          <w:szCs w:val="20"/>
          <w:i w:val="1"/>
          <w:iCs w:val="1"/>
          <w:color w:val="auto"/>
        </w:rPr>
        <w:t xml:space="preserve"> </w:t>
      </w:r>
      <w:r>
        <w:rPr>
          <w:rFonts w:ascii="Arial" w:cs="Arial" w:eastAsia="Arial" w:hAnsi="Arial"/>
          <w:sz w:val="20"/>
          <w:szCs w:val="20"/>
          <w:color w:val="auto"/>
        </w:rPr>
        <w:t>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October 2, 2010, The Coca-Cola Company (“TCCC”) completed its acquisition of the North American business operations of Coca-Cola Enterprises, Inc. (“CCE”), through a merger with a wholly owned subsidiary of TCCC. The surviving wholly owned subsidiary was subsequently renamed Coca-Cola Refreshments (“CCR”), and currently distributes the Company’s products in those portions of the United States in which CCE previously distributed our products. Concurrently with this acquisition, a new entity, which retained the name Coca-Cola Enterprises, Inc. (“New CCE”) was formed which is currently the Company’s distributor in Great Britain, France, Belgium, the Netherlands, Luxembourg, Monaco and Sweden (added during the first quarter of 2011).</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CCE (including the Coca-Cola Bottling Company up to September 30, 2010) (CCE replaced by New CCE from October 1, 2010), a customer of the Direct Store Delivery segment (“DSD”) with sales within specific markets in the United States, Canada, the United Kingdom and certain countries in Europe, accounted for approximately 28% and 27% of the Company’s net sales for the years ended December 31, 2010 and 2009, respectively. The Dr. Pepper Snapple Group (“DPS”), a former customer of the DSD segment, accounted for approximately 13% of the Company’s net sales for the year ended December 31, 2008. Wal-Mart, Inc. (including Sam’s Club), a customer of both the DSD and Warehouse segments, accounted for approximately 11% of our net sales for the year ended December 31, 2008.</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and internationally, primarily to full service beverage distributors, retail</w:t>
      </w:r>
      <w:r>
        <w:rPr>
          <w:rFonts w:ascii="Arial" w:cs="Arial" w:eastAsia="Arial" w:hAnsi="Arial"/>
          <w:sz w:val="18"/>
          <w:szCs w:val="18"/>
          <w:i w:val="1"/>
          <w:iCs w:val="1"/>
          <w:color w:val="auto"/>
        </w:rPr>
        <w:t xml:space="preserve"> </w:t>
      </w:r>
      <w:r>
        <w:rPr>
          <w:rFonts w:ascii="Arial" w:cs="Arial" w:eastAsia="Arial" w:hAnsi="Arial"/>
          <w:sz w:val="18"/>
          <w:szCs w:val="18"/>
          <w:color w:val="auto"/>
        </w:rPr>
        <w:t>grocery and specialty chains, wholesalers, club stores, drug chains, mass merchandisers, convenience chains, health food distributors and food service customers. The Company performs ongoing credit evaluations of its customers and generally does not require collateral. The Company maintains reserves for estimated credit losses, and historically, such losses have been within management’s expectations.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Fair Value of Financial Instruments </w:t>
      </w:r>
      <w:r>
        <w:rPr>
          <w:rFonts w:ascii="Arial" w:cs="Arial" w:eastAsia="Arial" w:hAnsi="Arial"/>
          <w:sz w:val="20"/>
          <w:szCs w:val="20"/>
          <w:color w:val="auto"/>
        </w:rPr>
        <w:t>– The carrying value of the Company’s financial instruments, including cash and cash equivalents,</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accounts payable and accrued liabilities, approximate fair value due to the relatively short maturity of the respective instruments.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Use of Estimates </w:t>
      </w:r>
      <w:r>
        <w:rPr>
          <w:rFonts w:ascii="Arial" w:cs="Arial" w:eastAsia="Arial" w:hAnsi="Arial"/>
          <w:sz w:val="20"/>
          <w:szCs w:val="20"/>
          <w:color w:val="auto"/>
        </w:rPr>
        <w:t>– The preparation of the consolidated financial statements in conformity with GAAP requires management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ectPr>
          <w:pgSz w:w="11900" w:h="16838" w:orient="portrait"/>
          <w:cols w:equalWidth="0" w:num="1">
            <w:col w:w="11420"/>
          </w:cols>
          <w:pgMar w:left="240" w:top="122" w:right="239" w:bottom="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53" w:name="page54"/>
    <w:bookmarkEnd w:id="53"/>
    <w:p>
      <w:pPr>
        <w:spacing w:after="0" w:line="36"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Recent Accounting Pronouncements </w:t>
      </w:r>
      <w:r>
        <w:rPr>
          <w:rFonts w:ascii="Arial" w:cs="Arial" w:eastAsia="Arial" w:hAnsi="Arial"/>
          <w:sz w:val="19"/>
          <w:szCs w:val="19"/>
          <w:color w:val="auto"/>
        </w:rPr>
        <w:t>– In January 2010, the FASB issued Accounting Standards Update (“ASU”) 2010-06, “Improving</w:t>
      </w:r>
      <w:r>
        <w:rPr>
          <w:rFonts w:ascii="Arial" w:cs="Arial" w:eastAsia="Arial" w:hAnsi="Arial"/>
          <w:sz w:val="19"/>
          <w:szCs w:val="19"/>
          <w:i w:val="1"/>
          <w:iCs w:val="1"/>
          <w:color w:val="auto"/>
        </w:rPr>
        <w:t xml:space="preserve"> </w:t>
      </w:r>
      <w:r>
        <w:rPr>
          <w:rFonts w:ascii="Arial" w:cs="Arial" w:eastAsia="Arial" w:hAnsi="Arial"/>
          <w:sz w:val="19"/>
          <w:szCs w:val="19"/>
          <w:color w:val="auto"/>
        </w:rPr>
        <w:t>Disclosures about Fair Value Measurements”. ASU 2010-06 requires additional disclosures about fair value measurements including transfers in and out of Levels 1 and 2, and a higher level of disaggregation for the different types of financial instruments. In addition, with respect to the reconciliation of Level 3 fair value measurements, information on purchases, sales, issuances and settlements, requires separate presentation. The guidance also requires disclosure of valuation techniques and inputs used for fair value measurement of the Company’s Level 3 financial assets. The Company adopted the new guidance as of March 31, 2010 , except for disclosures about purchases, sales, issuances and settlements in the roll forward of activity in Level 3 fair value measurements, which are required for fiscal years beginning after December 15, 2010. The new guidance requires expanded disclosures only, and did not and is not expected to have a material effect on the Company’s financial position, results of operations and liquidity.</w:t>
      </w:r>
    </w:p>
    <w:p>
      <w:pPr>
        <w:spacing w:after="0" w:line="19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September 2009, the FASB issued Update No. 2009-13, which updates the existing guidance regarding multiple-element revenue arrangements currently included under ASC 605-25.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The guidance also expands the disclosure requirements for revenue recognition and will be effective for the first annual reporting period beginning on or after June 15, 2010, with early adoption permitted, provided that the revised guidance is retroactively applied to the beginning of the year of adoption. The Company is currently evaluating the effect of this updat e on its financial position, results of operations and liquidity.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Continuous</w:t>
            </w: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92"/>
              </w:rPr>
              <w:t>Continuous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Unrealized</w:t>
            </w: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280" w:type="dxa"/>
            <w:vAlign w:val="bottom"/>
          </w:tcPr>
          <w:p>
            <w:pPr>
              <w:spacing w:after="0"/>
              <w:rPr>
                <w:sz w:val="18"/>
                <w:szCs w:val="18"/>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Gross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Loss</w:t>
            </w:r>
          </w:p>
        </w:tc>
        <w:tc>
          <w:tcPr>
            <w:tcW w:w="320" w:type="dxa"/>
            <w:vAlign w:val="bottom"/>
          </w:tcPr>
          <w:p>
            <w:pPr>
              <w:spacing w:after="0"/>
              <w:rPr>
                <w:sz w:val="18"/>
                <w:szCs w:val="18"/>
                <w:color w:val="auto"/>
              </w:rPr>
            </w:pPr>
          </w:p>
        </w:tc>
        <w:tc>
          <w:tcPr>
            <w:tcW w:w="900" w:type="dxa"/>
            <w:vAlign w:val="bottom"/>
          </w:tcPr>
          <w:p>
            <w:pPr>
              <w:jc w:val="center"/>
              <w:ind w:right="350"/>
              <w:spacing w:after="0"/>
              <w:rPr>
                <w:sz w:val="20"/>
                <w:szCs w:val="20"/>
                <w:color w:val="auto"/>
              </w:rPr>
            </w:pPr>
            <w:r>
              <w:rPr>
                <w:rFonts w:ascii="Arial" w:cs="Arial" w:eastAsia="Arial" w:hAnsi="Arial"/>
                <w:sz w:val="18"/>
                <w:szCs w:val="18"/>
                <w:color w:val="auto"/>
                <w:w w:val="89"/>
              </w:rPr>
              <w:t>Loss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180"/>
              <w:spacing w:after="0"/>
              <w:rPr>
                <w:sz w:val="20"/>
                <w:szCs w:val="20"/>
                <w:color w:val="auto"/>
              </w:rPr>
            </w:pPr>
            <w:r>
              <w:rPr>
                <w:rFonts w:ascii="Arial" w:cs="Arial" w:eastAsia="Arial" w:hAnsi="Arial"/>
                <w:sz w:val="18"/>
                <w:szCs w:val="18"/>
                <w:color w:val="auto"/>
              </w:rPr>
              <w:t>Unrealized</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Unrealized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Position less</w:t>
            </w: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Position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Amortized</w:t>
            </w:r>
          </w:p>
        </w:tc>
        <w:tc>
          <w:tcPr>
            <w:tcW w:w="280" w:type="dxa"/>
            <w:vAlign w:val="bottom"/>
          </w:tcPr>
          <w:p>
            <w:pPr>
              <w:spacing w:after="0"/>
              <w:rPr>
                <w:sz w:val="18"/>
                <w:szCs w:val="18"/>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Holding</w:t>
            </w:r>
          </w:p>
        </w:tc>
        <w:tc>
          <w:tcPr>
            <w:tcW w:w="28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Holding</w:t>
            </w:r>
          </w:p>
        </w:tc>
        <w:tc>
          <w:tcPr>
            <w:tcW w:w="340" w:type="dxa"/>
            <w:vAlign w:val="bottom"/>
          </w:tcPr>
          <w:p>
            <w:pPr>
              <w:spacing w:after="0"/>
              <w:rPr>
                <w:sz w:val="18"/>
                <w:szCs w:val="18"/>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color w:val="auto"/>
                <w:w w:val="90"/>
              </w:rPr>
              <w:t>Fair</w:t>
            </w:r>
          </w:p>
        </w:tc>
        <w:tc>
          <w:tcPr>
            <w:tcW w:w="16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than 12</w:t>
            </w:r>
          </w:p>
        </w:tc>
        <w:tc>
          <w:tcPr>
            <w:tcW w:w="122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greater than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2010</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86"/>
              </w:rPr>
              <w:t>Cost</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Gains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84"/>
              </w:rPr>
              <w:t>Losses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6"/>
              </w:rPr>
              <w:t>Value</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1"/>
              </w:rPr>
              <w:t>Months</w:t>
            </w:r>
          </w:p>
        </w:tc>
        <w:tc>
          <w:tcPr>
            <w:tcW w:w="12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12 Months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b w:val="1"/>
                <w:bCs w:val="1"/>
                <w:color w:val="auto"/>
              </w:rPr>
              <w:t>Held to Maturity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66,521</w:t>
            </w:r>
          </w:p>
        </w:tc>
        <w:tc>
          <w:tcPr>
            <w:tcW w:w="24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71,251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19,680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Variable rate demand notes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56,107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56,107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Auction rate securities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2,408</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248,376</w:t>
            </w:r>
          </w:p>
        </w:tc>
        <w:tc>
          <w:tcPr>
            <w:tcW w:w="240" w:type="dxa"/>
            <w:vAlign w:val="bottom"/>
          </w:tcPr>
          <w:p>
            <w:pPr>
              <w:spacing w:after="0"/>
              <w:rPr>
                <w:sz w:val="18"/>
                <w:szCs w:val="18"/>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2,433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245,943</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Trading</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Auction rate securities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24,063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Auction rate securities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0"/>
              </w:rPr>
              <w:t>Continuous</w:t>
            </w:r>
          </w:p>
        </w:tc>
        <w:tc>
          <w:tcPr>
            <w:tcW w:w="1220" w:type="dxa"/>
            <w:vAlign w:val="bottom"/>
            <w:gridSpan w:val="2"/>
            <w:vMerge w:val="restart"/>
          </w:tcPr>
          <w:p>
            <w:pPr>
              <w:jc w:val="center"/>
              <w:ind w:right="10"/>
              <w:spacing w:after="0"/>
              <w:rPr>
                <w:sz w:val="20"/>
                <w:szCs w:val="20"/>
                <w:color w:val="auto"/>
              </w:rPr>
            </w:pPr>
            <w:r>
              <w:rPr>
                <w:rFonts w:ascii="Arial" w:cs="Arial" w:eastAsia="Arial" w:hAnsi="Arial"/>
                <w:sz w:val="18"/>
                <w:szCs w:val="18"/>
                <w:color w:val="auto"/>
                <w:w w:val="92"/>
              </w:rPr>
              <w:t>Continuous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22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280" w:type="dxa"/>
            <w:vAlign w:val="bottom"/>
          </w:tcPr>
          <w:p>
            <w:pPr>
              <w:spacing w:after="0"/>
              <w:rPr>
                <w:sz w:val="18"/>
                <w:szCs w:val="18"/>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Gross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Loss</w:t>
            </w:r>
          </w:p>
        </w:tc>
        <w:tc>
          <w:tcPr>
            <w:tcW w:w="320" w:type="dxa"/>
            <w:vAlign w:val="bottom"/>
          </w:tcPr>
          <w:p>
            <w:pPr>
              <w:spacing w:after="0"/>
              <w:rPr>
                <w:sz w:val="18"/>
                <w:szCs w:val="18"/>
                <w:color w:val="auto"/>
              </w:rPr>
            </w:pPr>
          </w:p>
        </w:tc>
        <w:tc>
          <w:tcPr>
            <w:tcW w:w="900" w:type="dxa"/>
            <w:vAlign w:val="bottom"/>
          </w:tcPr>
          <w:p>
            <w:pPr>
              <w:jc w:val="center"/>
              <w:ind w:right="350"/>
              <w:spacing w:after="0"/>
              <w:rPr>
                <w:sz w:val="20"/>
                <w:szCs w:val="20"/>
                <w:color w:val="auto"/>
              </w:rPr>
            </w:pPr>
            <w:r>
              <w:rPr>
                <w:rFonts w:ascii="Arial" w:cs="Arial" w:eastAsia="Arial" w:hAnsi="Arial"/>
                <w:sz w:val="18"/>
                <w:szCs w:val="18"/>
                <w:color w:val="auto"/>
                <w:w w:val="89"/>
              </w:rPr>
              <w:t>Loss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Unrealized</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Unrealized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Position less</w:t>
            </w:r>
          </w:p>
        </w:tc>
        <w:tc>
          <w:tcPr>
            <w:tcW w:w="122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Position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Amortized</w:t>
            </w:r>
          </w:p>
        </w:tc>
        <w:tc>
          <w:tcPr>
            <w:tcW w:w="280" w:type="dxa"/>
            <w:vAlign w:val="bottom"/>
          </w:tcPr>
          <w:p>
            <w:pPr>
              <w:spacing w:after="0"/>
              <w:rPr>
                <w:sz w:val="18"/>
                <w:szCs w:val="18"/>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Holding</w:t>
            </w:r>
          </w:p>
        </w:tc>
        <w:tc>
          <w:tcPr>
            <w:tcW w:w="28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Holding</w:t>
            </w:r>
          </w:p>
        </w:tc>
        <w:tc>
          <w:tcPr>
            <w:tcW w:w="340" w:type="dxa"/>
            <w:vAlign w:val="bottom"/>
          </w:tcPr>
          <w:p>
            <w:pPr>
              <w:spacing w:after="0"/>
              <w:rPr>
                <w:sz w:val="18"/>
                <w:szCs w:val="18"/>
                <w:color w:val="auto"/>
              </w:rPr>
            </w:pPr>
          </w:p>
        </w:tc>
        <w:tc>
          <w:tcPr>
            <w:tcW w:w="88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than 12</w:t>
            </w:r>
          </w:p>
        </w:tc>
        <w:tc>
          <w:tcPr>
            <w:tcW w:w="1220" w:type="dxa"/>
            <w:vAlign w:val="bottom"/>
            <w:gridSpan w:val="2"/>
          </w:tcPr>
          <w:p>
            <w:pPr>
              <w:jc w:val="center"/>
              <w:ind w:right="10"/>
              <w:spacing w:after="0"/>
              <w:rPr>
                <w:sz w:val="20"/>
                <w:szCs w:val="20"/>
                <w:color w:val="auto"/>
              </w:rPr>
            </w:pPr>
            <w:r>
              <w:rPr>
                <w:rFonts w:ascii="Arial" w:cs="Arial" w:eastAsia="Arial" w:hAnsi="Arial"/>
                <w:sz w:val="18"/>
                <w:szCs w:val="18"/>
                <w:color w:val="auto"/>
                <w:w w:val="86"/>
              </w:rPr>
              <w:t>greater than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2009</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1"/>
              </w:rPr>
              <w:t>Cost</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89"/>
              </w:rPr>
              <w:t>Gains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84"/>
              </w:rPr>
              <w:t>Losses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1"/>
              </w:rPr>
              <w:t>Months</w:t>
            </w:r>
          </w:p>
        </w:tc>
        <w:tc>
          <w:tcPr>
            <w:tcW w:w="12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0"/>
              </w:rPr>
              <w:t>12 Months</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b w:val="1"/>
                <w:bCs w:val="1"/>
                <w:color w:val="auto"/>
              </w:rPr>
              <w:t>Held to Maturity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14,998</w:t>
            </w:r>
          </w:p>
        </w:tc>
        <w:tc>
          <w:tcPr>
            <w:tcW w:w="24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Short-term:</w:t>
      </w:r>
    </w:p>
    <w:p>
      <w:pPr>
        <w:sectPr>
          <w:pgSz w:w="11900" w:h="16875" w:orient="portrait"/>
          <w:cols w:equalWidth="0" w:num="1">
            <w:col w:w="11420"/>
          </w:cols>
          <w:pgMar w:left="240" w:top="571" w:right="239" w:bottom="0" w:gutter="0" w:footer="0" w:header="0"/>
        </w:sectPr>
      </w:pPr>
    </w:p>
    <w:bookmarkStart w:id="54" w:name="page55"/>
    <w:bookmarkEnd w:id="54"/>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Auction rate securities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3,651</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162</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Long-term:</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Auction rate securities</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88,334</w:t>
            </w:r>
          </w:p>
        </w:tc>
        <w:tc>
          <w:tcPr>
            <w:tcW w:w="2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7,498</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80,836</w:t>
            </w:r>
          </w:p>
        </w:tc>
        <w:tc>
          <w:tcPr>
            <w:tcW w:w="2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7,498</w:t>
            </w:r>
          </w:p>
        </w:tc>
      </w:tr>
      <w:tr>
        <w:trPr>
          <w:trHeight w:val="210"/>
        </w:trPr>
        <w:tc>
          <w:tcPr>
            <w:tcW w:w="3260" w:type="dxa"/>
            <w:vAlign w:val="bottom"/>
          </w:tcPr>
          <w:p>
            <w:pPr>
              <w:ind w:left="5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106,983</w:t>
            </w: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7,660</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99,323</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7,660</w:t>
            </w:r>
          </w:p>
        </w:tc>
      </w:tr>
      <w:tr>
        <w:trPr>
          <w:trHeight w:val="20"/>
        </w:trPr>
        <w:tc>
          <w:tcPr>
            <w:tcW w:w="3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years ended December 31, 2010, 2009 and 2008, realized gains or losses recognized on the sale of investments were not significant.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All of the Company’s investments at December 31, 2010 in U.S. treasuries, certificates of deposit, municipal securities, U.S. government agency securities and variable rate demand notes (“VRDNs” see Note 3) carry investment grade or better credit ratings. The majority of the Company’s investments at December 31, 2010 in municipal, educational or other public body securities with an auction reset feature (“auction rate securities” see Note 3) also carry investment grade or better credit ratings.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9"/>
                <w:szCs w:val="19"/>
                <w:color w:val="auto"/>
              </w:rPr>
              <w:t>December 31, 2010</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9"/>
                <w:szCs w:val="19"/>
                <w:color w:val="auto"/>
              </w:rPr>
              <w:t>December 31, 2009</w:t>
            </w:r>
          </w:p>
        </w:tc>
        <w:tc>
          <w:tcPr>
            <w:tcW w:w="0" w:type="dxa"/>
            <w:vAlign w:val="bottom"/>
          </w:tcPr>
          <w:p>
            <w:pPr>
              <w:spacing w:after="0"/>
              <w:rPr>
                <w:sz w:val="1"/>
                <w:szCs w:val="1"/>
                <w:color w:val="auto"/>
              </w:rPr>
            </w:pPr>
          </w:p>
        </w:tc>
      </w:tr>
      <w:tr>
        <w:trPr>
          <w:trHeight w:val="426"/>
        </w:trPr>
        <w:tc>
          <w:tcPr>
            <w:tcW w:w="494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72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3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9"/>
                <w:szCs w:val="19"/>
                <w:color w:val="auto"/>
              </w:rPr>
              <w:t>Fair Value</w:t>
            </w:r>
          </w:p>
        </w:tc>
        <w:tc>
          <w:tcPr>
            <w:tcW w:w="172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200" w:type="dxa"/>
            <w:vAlign w:val="bottom"/>
          </w:tcPr>
          <w:p>
            <w:pPr>
              <w:jc w:val="right"/>
              <w:ind w:right="305"/>
              <w:spacing w:after="0"/>
              <w:rPr>
                <w:sz w:val="20"/>
                <w:szCs w:val="20"/>
                <w:color w:val="auto"/>
              </w:rPr>
            </w:pPr>
            <w:r>
              <w:rPr>
                <w:rFonts w:ascii="Arial" w:cs="Arial" w:eastAsia="Arial" w:hAnsi="Arial"/>
                <w:sz w:val="19"/>
                <w:szCs w:val="19"/>
                <w:color w:val="auto"/>
                <w:w w:val="90"/>
              </w:rPr>
              <w:t>Fair Value</w:t>
            </w:r>
          </w:p>
        </w:tc>
        <w:tc>
          <w:tcPr>
            <w:tcW w:w="0" w:type="dxa"/>
            <w:vAlign w:val="bottom"/>
          </w:tcPr>
          <w:p>
            <w:pPr>
              <w:spacing w:after="0"/>
              <w:rPr>
                <w:sz w:val="1"/>
                <w:szCs w:val="1"/>
                <w:color w:val="auto"/>
              </w:rPr>
            </w:pPr>
          </w:p>
        </w:tc>
      </w:tr>
      <w:tr>
        <w:trPr>
          <w:trHeight w:val="174"/>
        </w:trPr>
        <w:tc>
          <w:tcPr>
            <w:tcW w:w="4940" w:type="dxa"/>
            <w:vAlign w:val="bottom"/>
            <w:vMerge w:val="continue"/>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U.S. Treasuries</w:t>
            </w:r>
          </w:p>
        </w:tc>
        <w:tc>
          <w:tcPr>
            <w:tcW w:w="500" w:type="dxa"/>
            <w:vAlign w:val="bottom"/>
          </w:tcPr>
          <w:p>
            <w:pPr>
              <w:ind w:left="160"/>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66,521</w:t>
            </w:r>
          </w:p>
        </w:tc>
        <w:tc>
          <w:tcPr>
            <w:tcW w:w="220" w:type="dxa"/>
            <w:vAlign w:val="bottom"/>
          </w:tcPr>
          <w:p>
            <w:pPr>
              <w:spacing w:after="0"/>
              <w:rPr>
                <w:sz w:val="18"/>
                <w:szCs w:val="18"/>
                <w:color w:val="auto"/>
              </w:rPr>
            </w:pPr>
          </w:p>
        </w:tc>
        <w:tc>
          <w:tcPr>
            <w:tcW w:w="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66,519</w:t>
            </w:r>
          </w:p>
        </w:tc>
        <w:tc>
          <w:tcPr>
            <w:tcW w:w="220" w:type="dxa"/>
            <w:vAlign w:val="bottom"/>
          </w:tcPr>
          <w:p>
            <w:pPr>
              <w:spacing w:after="0"/>
              <w:rPr>
                <w:sz w:val="18"/>
                <w:szCs w:val="18"/>
                <w:color w:val="auto"/>
              </w:rPr>
            </w:pPr>
          </w:p>
        </w:tc>
        <w:tc>
          <w:tcPr>
            <w:tcW w:w="5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14,998</w:t>
            </w:r>
          </w:p>
        </w:tc>
        <w:tc>
          <w:tcPr>
            <w:tcW w:w="22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14,998</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7,004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7,004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71,266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71,251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agencies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19,688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19,680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393</w:t>
            </w:r>
          </w:p>
        </w:tc>
        <w:tc>
          <w:tcPr>
            <w:tcW w:w="0" w:type="dxa"/>
            <w:vAlign w:val="bottom"/>
          </w:tcPr>
          <w:p>
            <w:pPr>
              <w:spacing w:after="0"/>
              <w:rPr>
                <w:sz w:val="1"/>
                <w:szCs w:val="1"/>
                <w:color w:val="auto"/>
              </w:rPr>
            </w:pPr>
          </w:p>
        </w:tc>
      </w:tr>
      <w:tr>
        <w:trPr>
          <w:trHeight w:val="216"/>
        </w:trPr>
        <w:tc>
          <w:tcPr>
            <w:tcW w:w="4940" w:type="dxa"/>
            <w:vAlign w:val="bottom"/>
          </w:tcPr>
          <w:p>
            <w:pPr>
              <w:spacing w:after="0" w:line="216" w:lineRule="exact"/>
              <w:rPr>
                <w:sz w:val="20"/>
                <w:szCs w:val="20"/>
                <w:color w:val="auto"/>
              </w:rPr>
            </w:pPr>
            <w:r>
              <w:rPr>
                <w:rFonts w:ascii="Arial" w:cs="Arial" w:eastAsia="Arial" w:hAnsi="Arial"/>
                <w:sz w:val="19"/>
                <w:szCs w:val="19"/>
                <w:color w:val="auto"/>
              </w:rPr>
              <w:t>Due 1 - 10 years: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3,001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3,001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282</w:t>
            </w:r>
          </w:p>
        </w:tc>
        <w:tc>
          <w:tcPr>
            <w:tcW w:w="0" w:type="dxa"/>
            <w:vAlign w:val="bottom"/>
          </w:tcPr>
          <w:p>
            <w:pPr>
              <w:spacing w:after="0"/>
              <w:rPr>
                <w:sz w:val="1"/>
                <w:szCs w:val="1"/>
                <w:color w:val="auto"/>
              </w:rPr>
            </w:pPr>
          </w:p>
        </w:tc>
      </w:tr>
      <w:tr>
        <w:trPr>
          <w:trHeight w:val="216"/>
        </w:trPr>
        <w:tc>
          <w:tcPr>
            <w:tcW w:w="494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11,002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11,002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10,305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9,819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8,201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7,674</w:t>
            </w:r>
          </w:p>
        </w:tc>
        <w:tc>
          <w:tcPr>
            <w:tcW w:w="0" w:type="dxa"/>
            <w:vAlign w:val="bottom"/>
          </w:tcPr>
          <w:p>
            <w:pPr>
              <w:spacing w:after="0"/>
              <w:rPr>
                <w:sz w:val="1"/>
                <w:szCs w:val="1"/>
                <w:color w:val="auto"/>
              </w:rPr>
            </w:pPr>
          </w:p>
        </w:tc>
      </w:tr>
      <w:tr>
        <w:trPr>
          <w:trHeight w:val="216"/>
        </w:trPr>
        <w:tc>
          <w:tcPr>
            <w:tcW w:w="494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30,426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30,426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48,779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46,857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58,925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53,570</w:t>
            </w:r>
          </w:p>
        </w:tc>
        <w:tc>
          <w:tcPr>
            <w:tcW w:w="0" w:type="dxa"/>
            <w:vAlign w:val="bottom"/>
          </w:tcPr>
          <w:p>
            <w:pPr>
              <w:spacing w:after="0"/>
              <w:rPr>
                <w:sz w:val="1"/>
                <w:szCs w:val="1"/>
                <w:color w:val="auto"/>
              </w:rPr>
            </w:pPr>
          </w:p>
        </w:tc>
      </w:tr>
      <w:tr>
        <w:trPr>
          <w:trHeight w:val="216"/>
        </w:trPr>
        <w:tc>
          <w:tcPr>
            <w:tcW w:w="4940" w:type="dxa"/>
            <w:vAlign w:val="bottom"/>
          </w:tcPr>
          <w:p>
            <w:pPr>
              <w:spacing w:after="0" w:line="216" w:lineRule="exact"/>
              <w:rPr>
                <w:sz w:val="20"/>
                <w:szCs w:val="20"/>
                <w:color w:val="auto"/>
              </w:rPr>
            </w:pPr>
            <w:r>
              <w:rPr>
                <w:rFonts w:ascii="Arial" w:cs="Arial" w:eastAsia="Arial" w:hAnsi="Arial"/>
                <w:sz w:val="19"/>
                <w:szCs w:val="19"/>
                <w:color w:val="auto"/>
              </w:rPr>
              <w:t>Due 31 - 40 years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11,678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11,678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500" w:type="dxa"/>
            <w:vAlign w:val="bottom"/>
          </w:tcPr>
          <w:p>
            <w:pPr>
              <w:spacing w:after="0"/>
              <w:rPr>
                <w:sz w:val="18"/>
                <w:szCs w:val="18"/>
                <w:color w:val="auto"/>
              </w:rPr>
            </w:pPr>
          </w:p>
        </w:tc>
        <w:tc>
          <w:tcPr>
            <w:tcW w:w="10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11,576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11,576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24,159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22,406</w:t>
            </w:r>
          </w:p>
        </w:tc>
        <w:tc>
          <w:tcPr>
            <w:tcW w:w="0" w:type="dxa"/>
            <w:vAlign w:val="bottom"/>
          </w:tcPr>
          <w:p>
            <w:pPr>
              <w:spacing w:after="0"/>
              <w:rPr>
                <w:sz w:val="1"/>
                <w:szCs w:val="1"/>
                <w:color w:val="auto"/>
              </w:rPr>
            </w:pPr>
          </w:p>
        </w:tc>
      </w:tr>
      <w:tr>
        <w:trPr>
          <w:trHeight w:val="22"/>
        </w:trPr>
        <w:tc>
          <w:tcPr>
            <w:tcW w:w="494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500" w:type="dxa"/>
            <w:vAlign w:val="bottom"/>
            <w:tcBorders>
              <w:bottom w:val="single" w:sz="8" w:color="auto"/>
            </w:tcBorders>
          </w:tcPr>
          <w:p>
            <w:pPr>
              <w:ind w:left="160"/>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291,246</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288,813</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14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106,983</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0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99,323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4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5620"/>
        <w:spacing w:after="0" w:line="280" w:lineRule="auto"/>
        <w:rPr>
          <w:sz w:val="20"/>
          <w:szCs w:val="20"/>
          <w:color w:val="auto"/>
        </w:rPr>
      </w:pPr>
      <w:r>
        <w:rPr>
          <w:rFonts w:ascii="Arial" w:cs="Arial" w:eastAsia="Arial" w:hAnsi="Arial"/>
          <w:sz w:val="21"/>
          <w:szCs w:val="21"/>
          <w:b w:val="1"/>
          <w:bCs w:val="1"/>
          <w:color w:val="auto"/>
        </w:rPr>
        <w:t>HANSEN NATURAL CORPORATION AND SUBSIDIARIES NOTES TO CONSOLIDATED FINANCIAL STATEMENTS</w:t>
      </w:r>
    </w:p>
    <w:p>
      <w:pPr>
        <w:sectPr>
          <w:pgSz w:w="11900" w:h="16947" w:orient="portrait"/>
          <w:cols w:equalWidth="0" w:num="1">
            <w:col w:w="11420"/>
          </w:cols>
          <w:pgMar w:left="240" w:top="125" w:right="239" w:bottom="0" w:gutter="0" w:footer="0" w:header="0"/>
          <w:type w:val="continuous"/>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tables present the fair value of the Company’s financial assets recorded at fair value on a recurring basis, segregated among the appropriate levels within the fair value hierarchy at: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December 31, 2010</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w w:val="97"/>
              </w:rPr>
              <w:t>Level 1</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21"/>
                <w:szCs w:val="21"/>
                <w:color w:val="auto"/>
              </w:rPr>
              <w:t>Level 2</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Level 3</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rPr>
              <w:t>Total</w:t>
            </w:r>
          </w:p>
        </w:tc>
        <w:tc>
          <w:tcPr>
            <w:tcW w:w="0" w:type="dxa"/>
            <w:vAlign w:val="bottom"/>
          </w:tcPr>
          <w:p>
            <w:pPr>
              <w:spacing w:after="0"/>
              <w:rPr>
                <w:sz w:val="1"/>
                <w:szCs w:val="1"/>
                <w:color w:val="auto"/>
              </w:rPr>
            </w:pPr>
          </w:p>
        </w:tc>
      </w:tr>
      <w:tr>
        <w:trPr>
          <w:trHeight w:val="223"/>
        </w:trPr>
        <w:tc>
          <w:tcPr>
            <w:tcW w:w="4960" w:type="dxa"/>
            <w:vAlign w:val="bottom"/>
          </w:tcPr>
          <w:p>
            <w:pPr>
              <w:spacing w:after="0" w:line="223" w:lineRule="exact"/>
              <w:rPr>
                <w:sz w:val="20"/>
                <w:szCs w:val="20"/>
                <w:color w:val="auto"/>
              </w:rPr>
            </w:pPr>
            <w:r>
              <w:rPr>
                <w:rFonts w:ascii="Arial" w:cs="Arial" w:eastAsia="Arial" w:hAnsi="Arial"/>
                <w:sz w:val="21"/>
                <w:szCs w:val="21"/>
                <w:color w:val="auto"/>
              </w:rPr>
              <w:t>Cash</w:t>
            </w:r>
          </w:p>
        </w:tc>
        <w:tc>
          <w:tcPr>
            <w:tcW w:w="38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200" w:type="dxa"/>
            <w:vAlign w:val="bottom"/>
          </w:tcPr>
          <w:p>
            <w:pPr>
              <w:jc w:val="right"/>
              <w:ind w:right="76"/>
              <w:spacing w:after="0" w:line="223" w:lineRule="exact"/>
              <w:rPr>
                <w:sz w:val="20"/>
                <w:szCs w:val="20"/>
                <w:color w:val="auto"/>
              </w:rPr>
            </w:pPr>
            <w:r>
              <w:rPr>
                <w:rFonts w:ascii="Arial" w:cs="Arial" w:eastAsia="Arial" w:hAnsi="Arial"/>
                <w:sz w:val="21"/>
                <w:szCs w:val="21"/>
                <w:color w:val="auto"/>
              </w:rPr>
              <w:t>50,202</w:t>
            </w:r>
          </w:p>
        </w:tc>
        <w:tc>
          <w:tcPr>
            <w:tcW w:w="42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260" w:type="dxa"/>
            <w:vAlign w:val="bottom"/>
          </w:tcPr>
          <w:p>
            <w:pPr>
              <w:jc w:val="right"/>
              <w:ind w:right="296"/>
              <w:spacing w:after="0" w:line="223" w:lineRule="exact"/>
              <w:rPr>
                <w:sz w:val="20"/>
                <w:szCs w:val="20"/>
                <w:color w:val="auto"/>
              </w:rPr>
            </w:pPr>
            <w:r>
              <w:rPr>
                <w:rFonts w:ascii="Arial" w:cs="Arial" w:eastAsia="Arial" w:hAnsi="Arial"/>
                <w:sz w:val="21"/>
                <w:szCs w:val="21"/>
                <w:color w:val="auto"/>
              </w:rPr>
              <w:t>-</w:t>
            </w:r>
          </w:p>
        </w:tc>
        <w:tc>
          <w:tcPr>
            <w:tcW w:w="40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220" w:type="dxa"/>
            <w:vAlign w:val="bottom"/>
          </w:tcPr>
          <w:p>
            <w:pPr>
              <w:jc w:val="right"/>
              <w:ind w:right="276"/>
              <w:spacing w:after="0" w:line="223" w:lineRule="exact"/>
              <w:rPr>
                <w:sz w:val="20"/>
                <w:szCs w:val="20"/>
                <w:color w:val="auto"/>
              </w:rPr>
            </w:pPr>
            <w:r>
              <w:rPr>
                <w:rFonts w:ascii="Arial" w:cs="Arial" w:eastAsia="Arial" w:hAnsi="Arial"/>
                <w:sz w:val="21"/>
                <w:szCs w:val="21"/>
                <w:color w:val="auto"/>
              </w:rPr>
              <w:t>-</w:t>
            </w:r>
          </w:p>
        </w:tc>
        <w:tc>
          <w:tcPr>
            <w:tcW w:w="460" w:type="dxa"/>
            <w:vAlign w:val="bottom"/>
          </w:tcPr>
          <w:p>
            <w:pPr>
              <w:jc w:val="right"/>
              <w:ind w:right="76"/>
              <w:spacing w:after="0" w:line="223" w:lineRule="exact"/>
              <w:rPr>
                <w:sz w:val="20"/>
                <w:szCs w:val="20"/>
                <w:color w:val="auto"/>
              </w:rPr>
            </w:pPr>
            <w:r>
              <w:rPr>
                <w:rFonts w:ascii="Arial" w:cs="Arial" w:eastAsia="Arial" w:hAnsi="Arial"/>
                <w:sz w:val="21"/>
                <w:szCs w:val="21"/>
                <w:color w:val="auto"/>
              </w:rPr>
              <w:t>$</w:t>
            </w:r>
          </w:p>
        </w:tc>
        <w:tc>
          <w:tcPr>
            <w:tcW w:w="1120" w:type="dxa"/>
            <w:vAlign w:val="bottom"/>
          </w:tcPr>
          <w:p>
            <w:pPr>
              <w:jc w:val="right"/>
              <w:spacing w:after="0" w:line="223" w:lineRule="exact"/>
              <w:rPr>
                <w:sz w:val="20"/>
                <w:szCs w:val="20"/>
                <w:color w:val="auto"/>
              </w:rPr>
            </w:pPr>
            <w:r>
              <w:rPr>
                <w:rFonts w:ascii="Arial" w:cs="Arial" w:eastAsia="Arial" w:hAnsi="Arial"/>
                <w:sz w:val="21"/>
                <w:szCs w:val="21"/>
                <w:color w:val="auto"/>
              </w:rPr>
              <w:t>50,202</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Money market funds</w:t>
            </w:r>
          </w:p>
        </w:tc>
        <w:tc>
          <w:tcPr>
            <w:tcW w:w="3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21"/>
                <w:szCs w:val="21"/>
                <w:color w:val="auto"/>
              </w:rPr>
              <w:t>242,001</w:t>
            </w:r>
          </w:p>
        </w:tc>
        <w:tc>
          <w:tcPr>
            <w:tcW w:w="420" w:type="dxa"/>
            <w:vAlign w:val="bottom"/>
          </w:tcPr>
          <w:p>
            <w:pPr>
              <w:spacing w:after="0"/>
              <w:rPr>
                <w:sz w:val="21"/>
                <w:szCs w:val="21"/>
                <w:color w:val="auto"/>
              </w:rPr>
            </w:pP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21"/>
                <w:szCs w:val="21"/>
                <w:color w:val="auto"/>
              </w:rPr>
            </w:pP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242,001</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U.S. Treasuries</w:t>
            </w:r>
          </w:p>
        </w:tc>
        <w:tc>
          <w:tcPr>
            <w:tcW w:w="3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21"/>
                <w:szCs w:val="21"/>
                <w:color w:val="auto"/>
              </w:rPr>
              <w:t>85,521</w:t>
            </w:r>
          </w:p>
        </w:tc>
        <w:tc>
          <w:tcPr>
            <w:tcW w:w="420" w:type="dxa"/>
            <w:vAlign w:val="bottom"/>
          </w:tcPr>
          <w:p>
            <w:pPr>
              <w:spacing w:after="0"/>
              <w:rPr>
                <w:sz w:val="21"/>
                <w:szCs w:val="21"/>
                <w:color w:val="auto"/>
              </w:rPr>
            </w:pP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21"/>
                <w:szCs w:val="21"/>
                <w:color w:val="auto"/>
              </w:rPr>
            </w:pP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85,521</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Certificates of deposit</w:t>
            </w:r>
          </w:p>
        </w:tc>
        <w:tc>
          <w:tcPr>
            <w:tcW w:w="380" w:type="dxa"/>
            <w:vAlign w:val="bottom"/>
          </w:tcPr>
          <w:p>
            <w:pPr>
              <w:spacing w:after="0"/>
              <w:rPr>
                <w:sz w:val="21"/>
                <w:szCs w:val="21"/>
                <w:color w:val="auto"/>
              </w:rPr>
            </w:pPr>
          </w:p>
        </w:tc>
        <w:tc>
          <w:tcPr>
            <w:tcW w:w="120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21"/>
                <w:szCs w:val="21"/>
                <w:color w:val="auto"/>
              </w:rPr>
              <w:t>40,010</w:t>
            </w:r>
          </w:p>
        </w:tc>
        <w:tc>
          <w:tcPr>
            <w:tcW w:w="400" w:type="dxa"/>
            <w:vAlign w:val="bottom"/>
          </w:tcPr>
          <w:p>
            <w:pPr>
              <w:spacing w:after="0"/>
              <w:rPr>
                <w:sz w:val="21"/>
                <w:szCs w:val="21"/>
                <w:color w:val="auto"/>
              </w:rPr>
            </w:pP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40,010</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Municipal securities</w:t>
            </w:r>
          </w:p>
        </w:tc>
        <w:tc>
          <w:tcPr>
            <w:tcW w:w="380" w:type="dxa"/>
            <w:vAlign w:val="bottom"/>
          </w:tcPr>
          <w:p>
            <w:pPr>
              <w:spacing w:after="0"/>
              <w:rPr>
                <w:sz w:val="21"/>
                <w:szCs w:val="21"/>
                <w:color w:val="auto"/>
              </w:rPr>
            </w:pPr>
          </w:p>
        </w:tc>
        <w:tc>
          <w:tcPr>
            <w:tcW w:w="120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21"/>
                <w:szCs w:val="21"/>
                <w:color w:val="auto"/>
              </w:rPr>
              <w:t>81,899</w:t>
            </w:r>
          </w:p>
        </w:tc>
        <w:tc>
          <w:tcPr>
            <w:tcW w:w="400" w:type="dxa"/>
            <w:vAlign w:val="bottom"/>
          </w:tcPr>
          <w:p>
            <w:pPr>
              <w:spacing w:after="0"/>
              <w:rPr>
                <w:sz w:val="21"/>
                <w:szCs w:val="21"/>
                <w:color w:val="auto"/>
              </w:rPr>
            </w:pP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81,899</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U.S. government agencies</w:t>
            </w:r>
          </w:p>
        </w:tc>
        <w:tc>
          <w:tcPr>
            <w:tcW w:w="380" w:type="dxa"/>
            <w:vAlign w:val="bottom"/>
          </w:tcPr>
          <w:p>
            <w:pPr>
              <w:spacing w:after="0"/>
              <w:rPr>
                <w:sz w:val="21"/>
                <w:szCs w:val="21"/>
                <w:color w:val="auto"/>
              </w:rPr>
            </w:pPr>
          </w:p>
        </w:tc>
        <w:tc>
          <w:tcPr>
            <w:tcW w:w="120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21"/>
                <w:szCs w:val="21"/>
                <w:color w:val="auto"/>
              </w:rPr>
              <w:t>19,688</w:t>
            </w:r>
          </w:p>
        </w:tc>
        <w:tc>
          <w:tcPr>
            <w:tcW w:w="400" w:type="dxa"/>
            <w:vAlign w:val="bottom"/>
          </w:tcPr>
          <w:p>
            <w:pPr>
              <w:spacing w:after="0"/>
              <w:rPr>
                <w:sz w:val="21"/>
                <w:szCs w:val="21"/>
                <w:color w:val="auto"/>
              </w:rPr>
            </w:pP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19,688</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Variable rate demand notes</w:t>
            </w:r>
          </w:p>
        </w:tc>
        <w:tc>
          <w:tcPr>
            <w:tcW w:w="380" w:type="dxa"/>
            <w:vAlign w:val="bottom"/>
          </w:tcPr>
          <w:p>
            <w:pPr>
              <w:spacing w:after="0"/>
              <w:rPr>
                <w:sz w:val="21"/>
                <w:szCs w:val="21"/>
                <w:color w:val="auto"/>
              </w:rPr>
            </w:pPr>
          </w:p>
        </w:tc>
        <w:tc>
          <w:tcPr>
            <w:tcW w:w="120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21"/>
                <w:szCs w:val="21"/>
                <w:color w:val="auto"/>
              </w:rPr>
              <w:t>56,107</w:t>
            </w:r>
          </w:p>
        </w:tc>
        <w:tc>
          <w:tcPr>
            <w:tcW w:w="400" w:type="dxa"/>
            <w:vAlign w:val="bottom"/>
          </w:tcPr>
          <w:p>
            <w:pPr>
              <w:spacing w:after="0"/>
              <w:rPr>
                <w:sz w:val="21"/>
                <w:szCs w:val="21"/>
                <w:color w:val="auto"/>
              </w:rPr>
            </w:pP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56,107</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Auction rate securities</w:t>
            </w:r>
          </w:p>
        </w:tc>
        <w:tc>
          <w:tcPr>
            <w:tcW w:w="380" w:type="dxa"/>
            <w:vAlign w:val="bottom"/>
          </w:tcPr>
          <w:p>
            <w:pPr>
              <w:spacing w:after="0"/>
              <w:rPr>
                <w:sz w:val="21"/>
                <w:szCs w:val="21"/>
                <w:color w:val="auto"/>
              </w:rPr>
            </w:pPr>
          </w:p>
        </w:tc>
        <w:tc>
          <w:tcPr>
            <w:tcW w:w="120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Pr>
          <w:p>
            <w:pPr>
              <w:spacing w:after="0"/>
              <w:rPr>
                <w:sz w:val="21"/>
                <w:szCs w:val="21"/>
                <w:color w:val="auto"/>
              </w:rPr>
            </w:pP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21"/>
                <w:szCs w:val="21"/>
                <w:color w:val="auto"/>
              </w:rPr>
              <w:t>68,252</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68,252</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Put option related to auction rate securities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3,768</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3,768</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line="237" w:lineRule="exact"/>
              <w:rPr>
                <w:sz w:val="20"/>
                <w:szCs w:val="20"/>
                <w:color w:val="auto"/>
              </w:rPr>
            </w:pPr>
            <w:r>
              <w:rPr>
                <w:rFonts w:ascii="Arial" w:cs="Arial" w:eastAsia="Arial" w:hAnsi="Arial"/>
                <w:sz w:val="21"/>
                <w:szCs w:val="21"/>
                <w:color w:val="auto"/>
              </w:rPr>
              <w:t>Total</w:t>
            </w: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377,724</w:t>
            </w:r>
          </w:p>
        </w:tc>
        <w:tc>
          <w:tcPr>
            <w:tcW w:w="4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26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197,704</w:t>
            </w:r>
          </w:p>
        </w:tc>
        <w:tc>
          <w:tcPr>
            <w:tcW w:w="4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72,020</w:t>
            </w:r>
          </w:p>
        </w:tc>
        <w:tc>
          <w:tcPr>
            <w:tcW w:w="46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647,448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21"/>
                <w:szCs w:val="21"/>
                <w:color w:val="auto"/>
              </w:rPr>
              <w:t>Amounts included in:</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21"/>
                <w:szCs w:val="21"/>
                <w:color w:val="auto"/>
              </w:rPr>
              <w:t>$</w:t>
            </w:r>
          </w:p>
        </w:tc>
        <w:tc>
          <w:tcPr>
            <w:tcW w:w="1200" w:type="dxa"/>
            <w:vAlign w:val="bottom"/>
          </w:tcPr>
          <w:p>
            <w:pPr>
              <w:jc w:val="right"/>
              <w:ind w:right="76"/>
              <w:spacing w:after="0"/>
              <w:rPr>
                <w:sz w:val="20"/>
                <w:szCs w:val="20"/>
                <w:color w:val="auto"/>
              </w:rPr>
            </w:pPr>
            <w:r>
              <w:rPr>
                <w:rFonts w:ascii="Arial" w:cs="Arial" w:eastAsia="Arial" w:hAnsi="Arial"/>
                <w:sz w:val="21"/>
                <w:szCs w:val="21"/>
                <w:color w:val="auto"/>
              </w:rPr>
              <w:t>311,202</w:t>
            </w:r>
          </w:p>
        </w:tc>
        <w:tc>
          <w:tcPr>
            <w:tcW w:w="42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1260" w:type="dxa"/>
            <w:vAlign w:val="bottom"/>
          </w:tcPr>
          <w:p>
            <w:pPr>
              <w:jc w:val="right"/>
              <w:ind w:right="76"/>
              <w:spacing w:after="0"/>
              <w:rPr>
                <w:sz w:val="20"/>
                <w:szCs w:val="20"/>
                <w:color w:val="auto"/>
              </w:rPr>
            </w:pPr>
            <w:r>
              <w:rPr>
                <w:rFonts w:ascii="Arial" w:cs="Arial" w:eastAsia="Arial" w:hAnsi="Arial"/>
                <w:sz w:val="21"/>
                <w:szCs w:val="21"/>
                <w:color w:val="auto"/>
              </w:rPr>
              <w:t>43,640</w:t>
            </w:r>
          </w:p>
        </w:tc>
        <w:tc>
          <w:tcPr>
            <w:tcW w:w="40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1120" w:type="dxa"/>
            <w:vAlign w:val="bottom"/>
          </w:tcPr>
          <w:p>
            <w:pPr>
              <w:jc w:val="right"/>
              <w:spacing w:after="0"/>
              <w:rPr>
                <w:sz w:val="20"/>
                <w:szCs w:val="20"/>
                <w:color w:val="auto"/>
              </w:rPr>
            </w:pPr>
            <w:r>
              <w:rPr>
                <w:rFonts w:ascii="Arial" w:cs="Arial" w:eastAsia="Arial" w:hAnsi="Arial"/>
                <w:sz w:val="21"/>
                <w:szCs w:val="21"/>
                <w:color w:val="auto"/>
              </w:rPr>
              <w:t>354,842</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Short-term investments</w:t>
            </w:r>
          </w:p>
        </w:tc>
        <w:tc>
          <w:tcPr>
            <w:tcW w:w="3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21"/>
                <w:szCs w:val="21"/>
                <w:color w:val="auto"/>
              </w:rPr>
              <w:t>66,522</w:t>
            </w:r>
          </w:p>
        </w:tc>
        <w:tc>
          <w:tcPr>
            <w:tcW w:w="4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21"/>
                <w:szCs w:val="21"/>
                <w:color w:val="auto"/>
              </w:rPr>
              <w:t>154,064</w:t>
            </w:r>
          </w:p>
        </w:tc>
        <w:tc>
          <w:tcPr>
            <w:tcW w:w="40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21"/>
                <w:szCs w:val="21"/>
                <w:color w:val="auto"/>
              </w:rPr>
              <w:t>24,063</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244,649</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Investments</w:t>
            </w:r>
          </w:p>
        </w:tc>
        <w:tc>
          <w:tcPr>
            <w:tcW w:w="380" w:type="dxa"/>
            <w:vAlign w:val="bottom"/>
          </w:tcPr>
          <w:p>
            <w:pPr>
              <w:spacing w:after="0"/>
              <w:rPr>
                <w:sz w:val="21"/>
                <w:szCs w:val="21"/>
                <w:color w:val="auto"/>
              </w:rPr>
            </w:pPr>
          </w:p>
        </w:tc>
        <w:tc>
          <w:tcPr>
            <w:tcW w:w="120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Pr>
          <w:p>
            <w:pPr>
              <w:spacing w:after="0"/>
              <w:rPr>
                <w:sz w:val="21"/>
                <w:szCs w:val="21"/>
                <w:color w:val="auto"/>
              </w:rPr>
            </w:pP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21"/>
                <w:szCs w:val="21"/>
                <w:color w:val="auto"/>
              </w:rPr>
              <w:t>44,189</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44,189</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Prepaid expenses and other current assets</w:t>
            </w:r>
          </w:p>
        </w:tc>
        <w:tc>
          <w:tcPr>
            <w:tcW w:w="380" w:type="dxa"/>
            <w:vAlign w:val="bottom"/>
          </w:tcPr>
          <w:p>
            <w:pPr>
              <w:spacing w:after="0"/>
              <w:rPr>
                <w:sz w:val="21"/>
                <w:szCs w:val="21"/>
                <w:color w:val="auto"/>
              </w:rPr>
            </w:pPr>
          </w:p>
        </w:tc>
        <w:tc>
          <w:tcPr>
            <w:tcW w:w="120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Pr>
          <w:p>
            <w:pPr>
              <w:spacing w:after="0"/>
              <w:rPr>
                <w:sz w:val="21"/>
                <w:szCs w:val="21"/>
                <w:color w:val="auto"/>
              </w:rPr>
            </w:pP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21"/>
                <w:szCs w:val="21"/>
                <w:color w:val="auto"/>
              </w:rPr>
              <w:t>2,983</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2,983</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Other assets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785</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785</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line="237" w:lineRule="exact"/>
              <w:rPr>
                <w:sz w:val="20"/>
                <w:szCs w:val="20"/>
                <w:color w:val="auto"/>
              </w:rPr>
            </w:pPr>
            <w:r>
              <w:rPr>
                <w:rFonts w:ascii="Arial" w:cs="Arial" w:eastAsia="Arial" w:hAnsi="Arial"/>
                <w:sz w:val="21"/>
                <w:szCs w:val="21"/>
                <w:color w:val="auto"/>
              </w:rPr>
              <w:t>Total</w:t>
            </w: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377,724</w:t>
            </w:r>
          </w:p>
        </w:tc>
        <w:tc>
          <w:tcPr>
            <w:tcW w:w="4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26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197,704</w:t>
            </w:r>
          </w:p>
        </w:tc>
        <w:tc>
          <w:tcPr>
            <w:tcW w:w="4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72,020</w:t>
            </w:r>
          </w:p>
        </w:tc>
        <w:tc>
          <w:tcPr>
            <w:tcW w:w="46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647,448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December 31, 2009</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w w:val="97"/>
              </w:rPr>
              <w:t>Level 1</w:t>
            </w: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21"/>
                <w:szCs w:val="21"/>
                <w:color w:val="auto"/>
              </w:rPr>
              <w:t>Level 2</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Level 3</w:t>
            </w: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rPr>
              <w:t>Total</w:t>
            </w:r>
          </w:p>
        </w:tc>
        <w:tc>
          <w:tcPr>
            <w:tcW w:w="0" w:type="dxa"/>
            <w:vAlign w:val="bottom"/>
          </w:tcPr>
          <w:p>
            <w:pPr>
              <w:spacing w:after="0"/>
              <w:rPr>
                <w:sz w:val="1"/>
                <w:szCs w:val="1"/>
                <w:color w:val="auto"/>
              </w:rPr>
            </w:pPr>
          </w:p>
        </w:tc>
      </w:tr>
      <w:tr>
        <w:trPr>
          <w:trHeight w:val="223"/>
        </w:trPr>
        <w:tc>
          <w:tcPr>
            <w:tcW w:w="4960" w:type="dxa"/>
            <w:vAlign w:val="bottom"/>
          </w:tcPr>
          <w:p>
            <w:pPr>
              <w:spacing w:after="0" w:line="223" w:lineRule="exact"/>
              <w:rPr>
                <w:sz w:val="20"/>
                <w:szCs w:val="20"/>
                <w:color w:val="auto"/>
              </w:rPr>
            </w:pPr>
            <w:r>
              <w:rPr>
                <w:rFonts w:ascii="Arial" w:cs="Arial" w:eastAsia="Arial" w:hAnsi="Arial"/>
                <w:sz w:val="21"/>
                <w:szCs w:val="21"/>
                <w:color w:val="auto"/>
              </w:rPr>
              <w:t>Cash</w:t>
            </w:r>
          </w:p>
        </w:tc>
        <w:tc>
          <w:tcPr>
            <w:tcW w:w="38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200" w:type="dxa"/>
            <w:vAlign w:val="bottom"/>
          </w:tcPr>
          <w:p>
            <w:pPr>
              <w:jc w:val="right"/>
              <w:ind w:right="76"/>
              <w:spacing w:after="0" w:line="223" w:lineRule="exact"/>
              <w:rPr>
                <w:sz w:val="20"/>
                <w:szCs w:val="20"/>
                <w:color w:val="auto"/>
              </w:rPr>
            </w:pPr>
            <w:r>
              <w:rPr>
                <w:rFonts w:ascii="Arial" w:cs="Arial" w:eastAsia="Arial" w:hAnsi="Arial"/>
                <w:sz w:val="21"/>
                <w:szCs w:val="21"/>
                <w:color w:val="auto"/>
              </w:rPr>
              <w:t>16,474</w:t>
            </w:r>
          </w:p>
        </w:tc>
        <w:tc>
          <w:tcPr>
            <w:tcW w:w="42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260" w:type="dxa"/>
            <w:vAlign w:val="bottom"/>
          </w:tcPr>
          <w:p>
            <w:pPr>
              <w:jc w:val="right"/>
              <w:ind w:right="296"/>
              <w:spacing w:after="0" w:line="223" w:lineRule="exact"/>
              <w:rPr>
                <w:sz w:val="20"/>
                <w:szCs w:val="20"/>
                <w:color w:val="auto"/>
              </w:rPr>
            </w:pPr>
            <w:r>
              <w:rPr>
                <w:rFonts w:ascii="Arial" w:cs="Arial" w:eastAsia="Arial" w:hAnsi="Arial"/>
                <w:sz w:val="21"/>
                <w:szCs w:val="21"/>
                <w:color w:val="auto"/>
              </w:rPr>
              <w:t>-</w:t>
            </w:r>
          </w:p>
        </w:tc>
        <w:tc>
          <w:tcPr>
            <w:tcW w:w="40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220" w:type="dxa"/>
            <w:vAlign w:val="bottom"/>
          </w:tcPr>
          <w:p>
            <w:pPr>
              <w:jc w:val="right"/>
              <w:ind w:right="276"/>
              <w:spacing w:after="0" w:line="223" w:lineRule="exact"/>
              <w:rPr>
                <w:sz w:val="20"/>
                <w:szCs w:val="20"/>
                <w:color w:val="auto"/>
              </w:rPr>
            </w:pPr>
            <w:r>
              <w:rPr>
                <w:rFonts w:ascii="Arial" w:cs="Arial" w:eastAsia="Arial" w:hAnsi="Arial"/>
                <w:sz w:val="21"/>
                <w:szCs w:val="21"/>
                <w:color w:val="auto"/>
              </w:rPr>
              <w:t>-</w:t>
            </w:r>
          </w:p>
        </w:tc>
        <w:tc>
          <w:tcPr>
            <w:tcW w:w="460" w:type="dxa"/>
            <w:vAlign w:val="bottom"/>
          </w:tcPr>
          <w:p>
            <w:pPr>
              <w:jc w:val="right"/>
              <w:ind w:right="76"/>
              <w:spacing w:after="0" w:line="223" w:lineRule="exact"/>
              <w:rPr>
                <w:sz w:val="20"/>
                <w:szCs w:val="20"/>
                <w:color w:val="auto"/>
              </w:rPr>
            </w:pPr>
            <w:r>
              <w:rPr>
                <w:rFonts w:ascii="Arial" w:cs="Arial" w:eastAsia="Arial" w:hAnsi="Arial"/>
                <w:sz w:val="21"/>
                <w:szCs w:val="21"/>
                <w:color w:val="auto"/>
              </w:rPr>
              <w:t>$</w:t>
            </w:r>
          </w:p>
        </w:tc>
        <w:tc>
          <w:tcPr>
            <w:tcW w:w="1120" w:type="dxa"/>
            <w:vAlign w:val="bottom"/>
          </w:tcPr>
          <w:p>
            <w:pPr>
              <w:jc w:val="right"/>
              <w:spacing w:after="0" w:line="223" w:lineRule="exact"/>
              <w:rPr>
                <w:sz w:val="20"/>
                <w:szCs w:val="20"/>
                <w:color w:val="auto"/>
              </w:rPr>
            </w:pPr>
            <w:r>
              <w:rPr>
                <w:rFonts w:ascii="Arial" w:cs="Arial" w:eastAsia="Arial" w:hAnsi="Arial"/>
                <w:sz w:val="21"/>
                <w:szCs w:val="21"/>
                <w:color w:val="auto"/>
              </w:rPr>
              <w:t>16,474</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Money market funds</w:t>
            </w:r>
          </w:p>
        </w:tc>
        <w:tc>
          <w:tcPr>
            <w:tcW w:w="3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21"/>
                <w:szCs w:val="21"/>
                <w:color w:val="auto"/>
              </w:rPr>
              <w:t>266,877</w:t>
            </w:r>
          </w:p>
        </w:tc>
        <w:tc>
          <w:tcPr>
            <w:tcW w:w="420" w:type="dxa"/>
            <w:vAlign w:val="bottom"/>
          </w:tcPr>
          <w:p>
            <w:pPr>
              <w:spacing w:after="0"/>
              <w:rPr>
                <w:sz w:val="21"/>
                <w:szCs w:val="21"/>
                <w:color w:val="auto"/>
              </w:rPr>
            </w:pP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21"/>
                <w:szCs w:val="21"/>
                <w:color w:val="auto"/>
              </w:rPr>
            </w:pP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266,877</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U.S. Treasuries</w:t>
            </w:r>
          </w:p>
        </w:tc>
        <w:tc>
          <w:tcPr>
            <w:tcW w:w="3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21"/>
                <w:szCs w:val="21"/>
                <w:color w:val="auto"/>
              </w:rPr>
              <w:t>59,996</w:t>
            </w:r>
          </w:p>
        </w:tc>
        <w:tc>
          <w:tcPr>
            <w:tcW w:w="420" w:type="dxa"/>
            <w:vAlign w:val="bottom"/>
          </w:tcPr>
          <w:p>
            <w:pPr>
              <w:spacing w:after="0"/>
              <w:rPr>
                <w:sz w:val="21"/>
                <w:szCs w:val="21"/>
                <w:color w:val="auto"/>
              </w:rPr>
            </w:pP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21"/>
                <w:szCs w:val="21"/>
                <w:color w:val="auto"/>
              </w:rPr>
            </w:pP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59,996</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Auction rate securities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84,325</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84,325</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line="237" w:lineRule="exact"/>
              <w:rPr>
                <w:sz w:val="20"/>
                <w:szCs w:val="20"/>
                <w:color w:val="auto"/>
              </w:rPr>
            </w:pPr>
            <w:r>
              <w:rPr>
                <w:rFonts w:ascii="Arial" w:cs="Arial" w:eastAsia="Arial" w:hAnsi="Arial"/>
                <w:sz w:val="21"/>
                <w:szCs w:val="21"/>
                <w:color w:val="auto"/>
              </w:rPr>
              <w:t>Total</w:t>
            </w: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343,347</w:t>
            </w:r>
          </w:p>
        </w:tc>
        <w:tc>
          <w:tcPr>
            <w:tcW w:w="4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260" w:type="dxa"/>
            <w:vAlign w:val="bottom"/>
            <w:tcBorders>
              <w:bottom w:val="single" w:sz="8" w:color="auto"/>
            </w:tcBorders>
          </w:tcPr>
          <w:p>
            <w:pPr>
              <w:jc w:val="right"/>
              <w:ind w:right="296"/>
              <w:spacing w:after="0" w:line="237" w:lineRule="exact"/>
              <w:rPr>
                <w:sz w:val="20"/>
                <w:szCs w:val="20"/>
                <w:color w:val="auto"/>
              </w:rPr>
            </w:pPr>
            <w:r>
              <w:rPr>
                <w:rFonts w:ascii="Arial" w:cs="Arial" w:eastAsia="Arial" w:hAnsi="Arial"/>
                <w:sz w:val="21"/>
                <w:szCs w:val="21"/>
                <w:color w:val="auto"/>
              </w:rPr>
              <w:t>-</w:t>
            </w:r>
          </w:p>
        </w:tc>
        <w:tc>
          <w:tcPr>
            <w:tcW w:w="4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84,325</w:t>
            </w:r>
          </w:p>
        </w:tc>
        <w:tc>
          <w:tcPr>
            <w:tcW w:w="46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427,672</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21"/>
                <w:szCs w:val="21"/>
                <w:color w:val="auto"/>
              </w:rPr>
              <w:t>Amounts included in:</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21"/>
                <w:szCs w:val="21"/>
                <w:color w:val="auto"/>
              </w:rPr>
              <w:t>$</w:t>
            </w:r>
          </w:p>
        </w:tc>
        <w:tc>
          <w:tcPr>
            <w:tcW w:w="1200" w:type="dxa"/>
            <w:vAlign w:val="bottom"/>
          </w:tcPr>
          <w:p>
            <w:pPr>
              <w:jc w:val="right"/>
              <w:ind w:right="76"/>
              <w:spacing w:after="0"/>
              <w:rPr>
                <w:sz w:val="20"/>
                <w:szCs w:val="20"/>
                <w:color w:val="auto"/>
              </w:rPr>
            </w:pPr>
            <w:r>
              <w:rPr>
                <w:rFonts w:ascii="Arial" w:cs="Arial" w:eastAsia="Arial" w:hAnsi="Arial"/>
                <w:sz w:val="21"/>
                <w:szCs w:val="21"/>
                <w:color w:val="auto"/>
              </w:rPr>
              <w:t>328,349</w:t>
            </w:r>
          </w:p>
        </w:tc>
        <w:tc>
          <w:tcPr>
            <w:tcW w:w="42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w:t>
            </w:r>
          </w:p>
        </w:tc>
        <w:tc>
          <w:tcPr>
            <w:tcW w:w="46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1120" w:type="dxa"/>
            <w:vAlign w:val="bottom"/>
          </w:tcPr>
          <w:p>
            <w:pPr>
              <w:jc w:val="right"/>
              <w:spacing w:after="0"/>
              <w:rPr>
                <w:sz w:val="20"/>
                <w:szCs w:val="20"/>
                <w:color w:val="auto"/>
              </w:rPr>
            </w:pPr>
            <w:r>
              <w:rPr>
                <w:rFonts w:ascii="Arial" w:cs="Arial" w:eastAsia="Arial" w:hAnsi="Arial"/>
                <w:sz w:val="21"/>
                <w:szCs w:val="21"/>
                <w:color w:val="auto"/>
              </w:rPr>
              <w:t>328,349</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1"/>
                <w:szCs w:val="21"/>
                <w:color w:val="auto"/>
              </w:rPr>
              <w:t>Short-term investments</w:t>
            </w:r>
          </w:p>
        </w:tc>
        <w:tc>
          <w:tcPr>
            <w:tcW w:w="38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21"/>
                <w:szCs w:val="21"/>
                <w:color w:val="auto"/>
              </w:rPr>
              <w:t>14,998</w:t>
            </w:r>
          </w:p>
        </w:tc>
        <w:tc>
          <w:tcPr>
            <w:tcW w:w="420" w:type="dxa"/>
            <w:vAlign w:val="bottom"/>
          </w:tcPr>
          <w:p>
            <w:pPr>
              <w:spacing w:after="0"/>
              <w:rPr>
                <w:sz w:val="21"/>
                <w:szCs w:val="21"/>
                <w:color w:val="auto"/>
              </w:rPr>
            </w:pPr>
          </w:p>
        </w:tc>
        <w:tc>
          <w:tcPr>
            <w:tcW w:w="1260" w:type="dxa"/>
            <w:vAlign w:val="bottom"/>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21"/>
                <w:szCs w:val="21"/>
                <w:color w:val="auto"/>
              </w:rPr>
              <w:t>3,489</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18,487</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Investments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21"/>
                <w:szCs w:val="21"/>
                <w:color w:val="auto"/>
              </w:rPr>
              <w:t>-</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21"/>
                <w:szCs w:val="21"/>
                <w:color w:val="auto"/>
              </w:rPr>
              <w:t>-</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80,836</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80,836</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line="237" w:lineRule="exact"/>
              <w:rPr>
                <w:sz w:val="20"/>
                <w:szCs w:val="20"/>
                <w:color w:val="auto"/>
              </w:rPr>
            </w:pPr>
            <w:r>
              <w:rPr>
                <w:rFonts w:ascii="Arial" w:cs="Arial" w:eastAsia="Arial" w:hAnsi="Arial"/>
                <w:sz w:val="21"/>
                <w:szCs w:val="21"/>
                <w:color w:val="auto"/>
              </w:rPr>
              <w:t>Total</w:t>
            </w: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343,347</w:t>
            </w:r>
          </w:p>
        </w:tc>
        <w:tc>
          <w:tcPr>
            <w:tcW w:w="4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260" w:type="dxa"/>
            <w:vAlign w:val="bottom"/>
            <w:tcBorders>
              <w:bottom w:val="single" w:sz="8" w:color="auto"/>
            </w:tcBorders>
          </w:tcPr>
          <w:p>
            <w:pPr>
              <w:jc w:val="right"/>
              <w:ind w:right="296"/>
              <w:spacing w:after="0" w:line="237" w:lineRule="exact"/>
              <w:rPr>
                <w:sz w:val="20"/>
                <w:szCs w:val="20"/>
                <w:color w:val="auto"/>
              </w:rPr>
            </w:pPr>
            <w:r>
              <w:rPr>
                <w:rFonts w:ascii="Arial" w:cs="Arial" w:eastAsia="Arial" w:hAnsi="Arial"/>
                <w:sz w:val="21"/>
                <w:szCs w:val="21"/>
                <w:color w:val="auto"/>
              </w:rPr>
              <w:t>-</w:t>
            </w:r>
          </w:p>
        </w:tc>
        <w:tc>
          <w:tcPr>
            <w:tcW w:w="4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84,325</w:t>
            </w:r>
          </w:p>
        </w:tc>
        <w:tc>
          <w:tcPr>
            <w:tcW w:w="46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427,672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 large portion of the Company’s short-term investments are classified within Level 1 or Level 2 of the fair value hierarchy as they are valued using quoted market prices, market prices for similar securities, or alternative pricing sources with reasonable levels of price transparency. The types of instruments valued based on quoted market prices in active markets include the Company’s investment in money market funds, U.S. government notes and bills. The types of instruments valued based on other observable inputs include the Company’s certificates of deposit, municipal securities, U.S. government agency securities and VRDNs. Such instruments are classified within Level 2 of the fair value hierarchy.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generally, on a seven day settlement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changes in fair value of the Company’s Level 3 financial assets as of December 31, 2010:</w:t>
      </w:r>
    </w:p>
    <w:p>
      <w:pPr>
        <w:spacing w:after="0" w:line="200" w:lineRule="exact"/>
        <w:rPr>
          <w:sz w:val="20"/>
          <w:szCs w:val="20"/>
          <w:color w:val="auto"/>
        </w:rPr>
      </w:pPr>
    </w:p>
    <w:p>
      <w:pPr>
        <w:spacing w:after="0" w:line="2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20"/>
                <w:szCs w:val="20"/>
                <w:color w:val="auto"/>
                <w:w w:val="92"/>
              </w:rPr>
              <w:t>Level 3</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60" w:type="dxa"/>
            <w:vAlign w:val="bottom"/>
            <w:gridSpan w:val="3"/>
          </w:tcPr>
          <w:p>
            <w:pPr>
              <w:ind w:left="220"/>
              <w:spacing w:after="0"/>
              <w:rPr>
                <w:sz w:val="20"/>
                <w:szCs w:val="20"/>
                <w:color w:val="auto"/>
              </w:rPr>
            </w:pPr>
            <w:r>
              <w:rPr>
                <w:rFonts w:ascii="Arial" w:cs="Arial" w:eastAsia="Arial" w:hAnsi="Arial"/>
                <w:sz w:val="20"/>
                <w:szCs w:val="20"/>
                <w:color w:val="auto"/>
              </w:rPr>
              <w:t>Auction Rate</w:t>
            </w:r>
          </w:p>
        </w:tc>
        <w:tc>
          <w:tcPr>
            <w:tcW w:w="1500" w:type="dxa"/>
            <w:vAlign w:val="bottom"/>
            <w:gridSpan w:val="2"/>
          </w:tcPr>
          <w:p>
            <w:pPr>
              <w:ind w:left="240"/>
              <w:spacing w:after="0"/>
              <w:rPr>
                <w:sz w:val="20"/>
                <w:szCs w:val="20"/>
                <w:color w:val="auto"/>
              </w:rPr>
            </w:pPr>
            <w:r>
              <w:rPr>
                <w:rFonts w:ascii="Arial" w:cs="Arial" w:eastAsia="Arial" w:hAnsi="Arial"/>
                <w:sz w:val="20"/>
                <w:szCs w:val="20"/>
                <w:color w:val="auto"/>
              </w:rPr>
              <w:t>Level 3 Put</w:t>
            </w:r>
          </w:p>
        </w:tc>
        <w:tc>
          <w:tcPr>
            <w:tcW w:w="0" w:type="dxa"/>
            <w:vAlign w:val="bottom"/>
          </w:tcPr>
          <w:p>
            <w:pPr>
              <w:spacing w:after="0"/>
              <w:rPr>
                <w:sz w:val="1"/>
                <w:szCs w:val="1"/>
                <w:color w:val="auto"/>
              </w:rPr>
            </w:pPr>
          </w:p>
        </w:tc>
      </w:tr>
      <w:tr>
        <w:trPr>
          <w:trHeight w:val="246"/>
        </w:trPr>
        <w:tc>
          <w:tcPr>
            <w:tcW w:w="5860" w:type="dxa"/>
            <w:vAlign w:val="bottom"/>
            <w:vMerge w:val="restart"/>
          </w:tcPr>
          <w:p>
            <w:pPr>
              <w:spacing w:after="0"/>
              <w:rPr>
                <w:sz w:val="20"/>
                <w:szCs w:val="20"/>
                <w:color w:val="auto"/>
              </w:rPr>
            </w:pPr>
            <w:r>
              <w:rPr>
                <w:rFonts w:ascii="Arial" w:cs="Arial" w:eastAsia="Arial" w:hAnsi="Arial"/>
                <w:sz w:val="20"/>
                <w:szCs w:val="20"/>
                <w:color w:val="auto"/>
              </w:rPr>
              <w:t>Balance at December 31, 2009</w:t>
            </w:r>
          </w:p>
        </w:tc>
        <w:tc>
          <w:tcPr>
            <w:tcW w:w="320" w:type="dxa"/>
            <w:vAlign w:val="bottom"/>
          </w:tcPr>
          <w:p>
            <w:pPr>
              <w:spacing w:after="0"/>
              <w:rPr>
                <w:sz w:val="21"/>
                <w:szCs w:val="21"/>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20"/>
                <w:szCs w:val="20"/>
                <w:color w:val="auto"/>
                <w:w w:val="88"/>
              </w:rPr>
              <w:t>Securities</w:t>
            </w:r>
          </w:p>
        </w:tc>
        <w:tc>
          <w:tcPr>
            <w:tcW w:w="380" w:type="dxa"/>
            <w:vAlign w:val="bottom"/>
          </w:tcPr>
          <w:p>
            <w:pPr>
              <w:spacing w:after="0"/>
              <w:rPr>
                <w:sz w:val="21"/>
                <w:szCs w:val="21"/>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w w:val="94"/>
              </w:rPr>
              <w:t>Option</w:t>
            </w:r>
          </w:p>
        </w:tc>
        <w:tc>
          <w:tcPr>
            <w:tcW w:w="0" w:type="dxa"/>
            <w:vAlign w:val="bottom"/>
          </w:tcPr>
          <w:p>
            <w:pPr>
              <w:spacing w:after="0"/>
              <w:rPr>
                <w:sz w:val="1"/>
                <w:szCs w:val="1"/>
                <w:color w:val="auto"/>
              </w:rPr>
            </w:pPr>
          </w:p>
        </w:tc>
      </w:tr>
      <w:tr>
        <w:trPr>
          <w:trHeight w:val="206"/>
        </w:trPr>
        <w:tc>
          <w:tcPr>
            <w:tcW w:w="5860" w:type="dxa"/>
            <w:vAlign w:val="bottom"/>
            <w:vMerge w:val="continue"/>
          </w:tcPr>
          <w:p>
            <w:pPr>
              <w:spacing w:after="0"/>
              <w:rPr>
                <w:sz w:val="17"/>
                <w:szCs w:val="17"/>
                <w:color w:val="auto"/>
              </w:rPr>
            </w:pPr>
          </w:p>
        </w:tc>
        <w:tc>
          <w:tcPr>
            <w:tcW w:w="320" w:type="dxa"/>
            <w:vAlign w:val="bottom"/>
            <w:tcBorders>
              <w:top w:val="single" w:sz="8" w:color="auto"/>
            </w:tcBorders>
          </w:tcPr>
          <w:p>
            <w:pPr>
              <w:ind w:left="200"/>
              <w:spacing w:after="0" w:line="207"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84,325</w:t>
            </w:r>
          </w:p>
        </w:tc>
        <w:tc>
          <w:tcPr>
            <w:tcW w:w="280" w:type="dxa"/>
            <w:vAlign w:val="bottom"/>
          </w:tcPr>
          <w:p>
            <w:pPr>
              <w:spacing w:after="0"/>
              <w:rPr>
                <w:sz w:val="17"/>
                <w:szCs w:val="17"/>
                <w:color w:val="auto"/>
              </w:rPr>
            </w:pPr>
          </w:p>
        </w:tc>
        <w:tc>
          <w:tcPr>
            <w:tcW w:w="380" w:type="dxa"/>
            <w:vAlign w:val="bottom"/>
            <w:tcBorders>
              <w:top w:val="single" w:sz="8" w:color="auto"/>
            </w:tcBorders>
          </w:tcPr>
          <w:p>
            <w:pPr>
              <w:ind w:left="220"/>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20"/>
                <w:szCs w:val="20"/>
                <w:color w:val="auto"/>
              </w:rPr>
              <w:t>Transfers to Level 3</w:t>
            </w:r>
          </w:p>
        </w:tc>
        <w:tc>
          <w:tcPr>
            <w:tcW w:w="3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20"/>
                <w:szCs w:val="20"/>
                <w:color w:val="auto"/>
              </w:rPr>
              <w:t>Recognized (loss) gain included in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(4,526)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3,768</w:t>
            </w: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20"/>
                <w:szCs w:val="20"/>
                <w:color w:val="auto"/>
              </w:rPr>
              <w:t>Unrealized gain included in other comprehensive loss</w:t>
            </w:r>
          </w:p>
        </w:tc>
        <w:tc>
          <w:tcPr>
            <w:tcW w:w="3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5,253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860" w:type="dxa"/>
            <w:vAlign w:val="bottom"/>
          </w:tcPr>
          <w:p>
            <w:pPr>
              <w:ind w:left="360"/>
              <w:spacing w:after="0"/>
              <w:rPr>
                <w:sz w:val="20"/>
                <w:szCs w:val="20"/>
                <w:color w:val="auto"/>
              </w:rPr>
            </w:pPr>
            <w:r>
              <w:rPr>
                <w:rFonts w:ascii="Arial" w:cs="Arial" w:eastAsia="Arial" w:hAnsi="Arial"/>
                <w:sz w:val="20"/>
                <w:szCs w:val="20"/>
                <w:color w:val="auto"/>
              </w:rPr>
              <w:t>Net Settlements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(16,800)</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860" w:type="dxa"/>
            <w:vAlign w:val="bottom"/>
          </w:tcPr>
          <w:p>
            <w:pPr>
              <w:spacing w:after="0" w:line="220" w:lineRule="exact"/>
              <w:rPr>
                <w:sz w:val="20"/>
                <w:szCs w:val="20"/>
                <w:color w:val="auto"/>
              </w:rPr>
            </w:pPr>
            <w:r>
              <w:rPr>
                <w:rFonts w:ascii="Arial" w:cs="Arial" w:eastAsia="Arial" w:hAnsi="Arial"/>
                <w:sz w:val="20"/>
                <w:szCs w:val="20"/>
                <w:color w:val="auto"/>
              </w:rPr>
              <w:t>Balance at December 31, 2010</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68,252</w:t>
            </w:r>
          </w:p>
        </w:tc>
        <w:tc>
          <w:tcPr>
            <w:tcW w:w="280" w:type="dxa"/>
            <w:vAlign w:val="bottom"/>
          </w:tcPr>
          <w:p>
            <w:pPr>
              <w:spacing w:after="0"/>
              <w:rPr>
                <w:sz w:val="19"/>
                <w:szCs w:val="19"/>
                <w:color w:val="auto"/>
              </w:rPr>
            </w:pP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3,768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2" w:right="239" w:bottom="0" w:gutter="0" w:footer="0" w:header="0"/>
        </w:sectPr>
      </w:pPr>
    </w:p>
    <w:bookmarkStart w:id="56" w:name="page57"/>
    <w:bookmarkEnd w:id="56"/>
    <w:p>
      <w:pPr>
        <w:jc w:val="both"/>
        <w:ind w:firstLine="648"/>
        <w:spacing w:after="0" w:line="270" w:lineRule="auto"/>
        <w:rPr>
          <w:sz w:val="20"/>
          <w:szCs w:val="20"/>
          <w:color w:val="auto"/>
        </w:rPr>
      </w:pPr>
      <w:r>
        <w:rPr>
          <w:rFonts w:ascii="Arial" w:cs="Arial" w:eastAsia="Arial" w:hAnsi="Arial"/>
          <w:sz w:val="18"/>
          <w:szCs w:val="18"/>
          <w:color w:val="auto"/>
        </w:rPr>
        <w:t>The Company’s Level 3 assets are comprised of auction rate securities. A large portion of these notes carry an investment grade or better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During the years ended December 31, 2010, 2009 and 2008, the auctions for these auction rate securities failed. The auction failures have been attributable to inadequate buyers and/or buying demand and/or the lack of support from financial advisors and sponsors. In the event that there is a failed auction, the indenture governing the security in some cases requires the is suer to pay interest at a default rate that may be above market rates for similar instruments. The securities for which auctions have failed will continue to accrue and/or pay interest at their pre-determined rates and be auctioned every 7 to 35 days until their respective auction succeeds, the issuer calls the securities, they mature or the Company is able to sell the securities to third parties. As a result, the Company’s ability to liquidate and fully recover the carrying value of its auction rate securities in the near term may be limited. Consequently, these securities, except those that were redeemed at par after December 31, 2010 and December 31, 2009, or those that the Company intends to sell prior to December 31, 2011 as a result of the agreement described below, are classified as long-term investments in the accompanying consolidated balance sheets.</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March 2010, the Company entered into an agreement (the “ARS Agreement”), related to $54.2 million in par value auction rate securities (“ARS Securities”). Under the ARS Agreement, the Company has the right, but not the obligation, to sell these ARS Securities including all accrued but unpaid interest (the “Put Option”) as follows: (i) on or after March 22, 2011, up to $13.6 million aggregate par value; and (ii) semi-annual or annual installments thereafter with full sale rights available on or after March 22, 2013. The ARS Securities will continue to accrue interest until redeemed through the Put Option, or as determined by the auction process or the terms outlined in the prospectus of the respective ARS Securities when the auction process fails. During the year ended December 31, 2010, $7.4 million of par v alue ARS Securities were redeemed at par through normal market channels.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ARS Agreement represents a firm commitment in accordance with ASC 815, which defines a firm commitment with an unrelated party, binding on both parties and usually legally enforceable, with the following characteristics: (i) the commitment specifies all significant terms, including the quantity to be exchanged, the fixed price, and the timing of the transaction; and (ii) the commitment includes a disincentive for nonperformance that is sufficiently large to make performance probable. The enforceability of the ARS Agreement results in a Put Option and should be recognized as a separate freestanding asset and is accounted for separately from the Company’s auction rate securities. The Put Option does not meet the definition of a derivative instrument under ASC 815. Therefore, the Company elected the fair value option under ASC 825-10 in accounting for th e Put Option. As of December 31, 2010, the Company recorded $3.8 million as the fair market value of the Put Option ($3.0 million current portion included in prepaid expenses and other current assets and $0.8 million long-term portion included in other assets) in the consolidated balance sheet, with a corresponding gain of $3.8 million recorded in other income (expense) in the consolidated statement of income for the year ended December 31, 2010. The valuation of the Put Option utilized a mark-to-model approach which included estimates for interest rates, timing and amount of cash flows, adjusted for any bearer risk associated with the put issuer’s ability to repurchase the ARS Securities in installments as indicated above beginning March 22, 2011, and expected holding periods for the Put Option. These assumptions are typically volatile and subject to change as the underlying data sources and market conditions evolve. The Put Option will continue to be adjusted on each balance sheet date based on its then fair value, with changes in fair value recorded in earnings.</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December 31, 2010, the Company held auction rate securities with a face value of $79.6 million (amortized cost basis of $70.7 million). A Level 3 valuation was performed on the Company’s auction rate securities as of December 31, 2010 resulting in a fair value of $25.4 million for the Company’s available-for-sale auction rate securities (after a $7.4 million impairment) and $42.9 million for the Company’s trading auction rate securities, which are included in short- and long-term investments. This valuation utilized a mark-to-model approach which included estimates for interest rates, timing and amount of cash flows, credit and liquidity premiums, and expected holding periods for the auction rate securities. These assumptions are typically volatile and subject to change as the underlying data sources and market conditions evolve.</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ASC 320-10-35 indicates that an other-than-temporary impairment must be recognized through earnings if an investor has the intent to sell the debt security or if it is more likely than not that the investor will be required to sell the debt security before recovery of its amortized cost basis. However, even if an investor does not expect to sell a debt security, it must compare the present value of cash flows expected to be collected from the security with the amortized cost basis of the security. If the present value of cash flows expected to be collected is less than the amortized cost basis of the security, the entire amortized cost basis of the security will not be recovered (that is, a “Credit Loss” exists), and an other-than-temporary impairment shall be considered to have occurred. In the event of a Credit Loss and absent the intent or requirement to se ll a debt security before recovery of its amortized cost, only the amount associated with the Credit Loss is recognized as a loss in the income statement. The amount of loss relating to other factors is recorded in accumulated other comprehensive income (loss). ASC 320-10-35 also requires additional disclosures regarding the calculation of the Credit Loss and the factors considered in reaching a conclusion that an investment is not other-than-temporarily impaired.</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connection with the ARS Agreement, during the first fiscal quarter of 2010, the Company reclassified $54.2 million of auction rate securities from available-for-sale to trading in accordance with ASC 320, as the Company has the ability and intent to exercise the related Put Option beginning March 22, 2011. The Company recognized a net loss through earnings on its trading securities of $3.9 million during the year ended December 31, 2010.</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9" w:right="239" w:bottom="0" w:gutter="0" w:footer="0" w:header="0"/>
        </w:sectPr>
      </w:pPr>
    </w:p>
    <w:bookmarkStart w:id="57" w:name="page58"/>
    <w:bookmarkEnd w:id="57"/>
    <w:p>
      <w:pPr>
        <w:spacing w:after="0" w:line="29"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1"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9"/>
          <w:szCs w:val="19"/>
          <w:color w:val="auto"/>
        </w:rPr>
        <w:t>The Company determined that of the $7.4 million impairment of its available-for-sale auction rate securities at December 31, 2010, $2.4 million was deemed temporary and $5.0 million was deemed other-than-temporary. The other-than-temporary impairment was deemed Credit Loss related. The Company recorded a net charge through earnings of $0.6 million of other-than-temporary impairment that was deemed Credit Loss during the year ended December 31, 2010 ($3.9 million and $0.5 million had been previously deemed other-than-temporary Credit Loss related and were charged through earnings for the years ended December 31, 2009 and 2008, respectively). At December 31, 2010, $2.4 million of temporary impairment has been recorded, less a tax benefit of $1.0 million, as a component of accumulated other comprehensive income (loss). The factors evaluated to different iate between temporary impairment and other-than-temporary impairment included the projected future cash flows, credit ratings actions, and assessment of the credit quality of the underlying collateral, as well as the other factors included in the valuation model for debt securities described above.</w:t>
      </w:r>
    </w:p>
    <w:p>
      <w:pPr>
        <w:spacing w:after="0" w:line="198"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20"/>
          <w:szCs w:val="20"/>
          <w:color w:val="auto"/>
        </w:rPr>
        <w:t>The net effect of (i) the acquisition of the Put Option during the first fiscal quarter of 2010; (ii) the revaluation of the Put Option as of December 31, 2010; (iii) the transfer from available-for-sale to trading of the ARS Securities during the first fiscal quarter of 2010; (iv) the revaluation of trading ARS Securities as of December 31, 2010; (v) the redemption at par of certain ARS Securities; (vi) a recognized gain resulting from the redemption at par of a previously other-than-temporary impaired security during the first fiscal quarter of 2010; and (vii) an increase in the other-than-temporary impairment of certain auction rate securities, resulted in losses of $0.8 million, included in other income (expense) for the year ended December 31, 2010. The net effect of an other-than-temporary impairment of certain auction r ate securities, resulted in losses of $3.9 million and $0.5 million, included in other income (expense) for the years ended December 31, 2009 and 2008, respectively.</w:t>
      </w:r>
    </w:p>
    <w:p>
      <w:pPr>
        <w:spacing w:after="0" w:line="211"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 holds additional auction rate securities that do not have a related put option. These auction rate securities continue to be classified as available-for-sale securities. The Company intends to retain its investment in the issuers until the earlier of the anticipated recovery in market value or maturity.</w:t>
      </w:r>
    </w:p>
    <w:p>
      <w:pPr>
        <w:spacing w:after="0" w:line="20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19"/>
          <w:szCs w:val="19"/>
          <w:color w:val="auto"/>
        </w:rPr>
        <w:t>Based on the Company’s ability to access cash and cash equivalents and other short-term investments and based on the Company’s expected operating cash flows, the Company does not anticipate that the current lack of liquidity of these investments will have a material adverse effect on its liquidity or working capital. If uncertainties in the credit and capital markets continue, or uncertainties in the expected performance of the issuer of the Put Option arise, or there are rating downgrades on the auction rate securities held by the Company, the Company may be required to recognize additional impairments on these investments.</w:t>
      </w:r>
    </w:p>
    <w:p>
      <w:pPr>
        <w:spacing w:after="0" w:line="19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80" w:type="dxa"/>
            <w:vAlign w:val="bottom"/>
            <w:vMerge w:val="restart"/>
          </w:tcPr>
          <w:p>
            <w:pPr>
              <w:ind w:left="660"/>
              <w:spacing w:after="0"/>
              <w:rPr>
                <w:sz w:val="20"/>
                <w:szCs w:val="20"/>
                <w:color w:val="auto"/>
              </w:rPr>
            </w:pPr>
            <w:r>
              <w:rPr>
                <w:rFonts w:ascii="Arial" w:cs="Arial" w:eastAsia="Arial" w:hAnsi="Arial"/>
                <w:sz w:val="21"/>
                <w:szCs w:val="21"/>
                <w:color w:val="auto"/>
              </w:rPr>
              <w:t>Raw materials</w:t>
            </w:r>
          </w:p>
        </w:tc>
        <w:tc>
          <w:tcPr>
            <w:tcW w:w="41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rPr>
              <w:t>2010</w:t>
            </w:r>
          </w:p>
        </w:tc>
        <w:tc>
          <w:tcPr>
            <w:tcW w:w="3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21"/>
                <w:szCs w:val="21"/>
                <w:color w:val="auto"/>
              </w:rPr>
              <w:t>2009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040" w:type="dxa"/>
            <w:vAlign w:val="bottom"/>
          </w:tcPr>
          <w:p>
            <w:pPr>
              <w:jc w:val="right"/>
              <w:ind w:right="16"/>
              <w:spacing w:after="0" w:line="223" w:lineRule="exact"/>
              <w:rPr>
                <w:sz w:val="20"/>
                <w:szCs w:val="20"/>
                <w:color w:val="auto"/>
              </w:rPr>
            </w:pPr>
            <w:r>
              <w:rPr>
                <w:rFonts w:ascii="Arial" w:cs="Arial" w:eastAsia="Arial" w:hAnsi="Arial"/>
                <w:sz w:val="21"/>
                <w:szCs w:val="21"/>
                <w:color w:val="auto"/>
              </w:rPr>
              <w:t>61,010</w:t>
            </w:r>
          </w:p>
        </w:tc>
        <w:tc>
          <w:tcPr>
            <w:tcW w:w="360" w:type="dxa"/>
            <w:vAlign w:val="bottom"/>
          </w:tcPr>
          <w:p>
            <w:pPr>
              <w:spacing w:after="0"/>
              <w:rPr>
                <w:sz w:val="19"/>
                <w:szCs w:val="19"/>
                <w:color w:val="auto"/>
              </w:rPr>
            </w:pPr>
          </w:p>
        </w:tc>
        <w:tc>
          <w:tcPr>
            <w:tcW w:w="42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100" w:type="dxa"/>
            <w:vAlign w:val="bottom"/>
          </w:tcPr>
          <w:p>
            <w:pPr>
              <w:jc w:val="right"/>
              <w:ind w:right="36"/>
              <w:spacing w:after="0" w:line="223" w:lineRule="exact"/>
              <w:rPr>
                <w:sz w:val="20"/>
                <w:szCs w:val="20"/>
                <w:color w:val="auto"/>
              </w:rPr>
            </w:pPr>
            <w:r>
              <w:rPr>
                <w:rFonts w:ascii="Arial" w:cs="Arial" w:eastAsia="Arial" w:hAnsi="Arial"/>
                <w:sz w:val="21"/>
                <w:szCs w:val="21"/>
                <w:color w:val="auto"/>
              </w:rPr>
              <w:t>43,663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780" w:type="dxa"/>
            <w:vAlign w:val="bottom"/>
          </w:tcPr>
          <w:p>
            <w:pPr>
              <w:ind w:left="660"/>
              <w:spacing w:after="0"/>
              <w:rPr>
                <w:sz w:val="20"/>
                <w:szCs w:val="20"/>
                <w:color w:val="auto"/>
              </w:rPr>
            </w:pPr>
            <w:r>
              <w:rPr>
                <w:rFonts w:ascii="Arial" w:cs="Arial" w:eastAsia="Arial" w:hAnsi="Arial"/>
                <w:sz w:val="21"/>
                <w:szCs w:val="21"/>
                <w:color w:val="auto"/>
              </w:rPr>
              <w:t>Finished goods</w:t>
            </w:r>
          </w:p>
        </w:tc>
        <w:tc>
          <w:tcPr>
            <w:tcW w:w="41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92,231</w:t>
            </w:r>
          </w:p>
        </w:tc>
        <w:tc>
          <w:tcPr>
            <w:tcW w:w="3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64,480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153,241</w:t>
            </w:r>
          </w:p>
        </w:tc>
        <w:tc>
          <w:tcPr>
            <w:tcW w:w="360" w:type="dxa"/>
            <w:vAlign w:val="bottom"/>
          </w:tcPr>
          <w:p>
            <w:pPr>
              <w:spacing w:after="0"/>
              <w:rPr>
                <w:sz w:val="20"/>
                <w:szCs w:val="20"/>
                <w:color w:val="auto"/>
              </w:rPr>
            </w:pPr>
          </w:p>
        </w:tc>
        <w:tc>
          <w:tcPr>
            <w:tcW w:w="4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108,143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160" w:type="dxa"/>
            <w:vAlign w:val="bottom"/>
            <w:vMerge w:val="restart"/>
          </w:tcPr>
          <w:p>
            <w:pPr>
              <w:jc w:val="right"/>
              <w:ind w:right="2059"/>
              <w:spacing w:after="0"/>
              <w:rPr>
                <w:sz w:val="20"/>
                <w:szCs w:val="20"/>
                <w:color w:val="auto"/>
              </w:rPr>
            </w:pPr>
            <w:r>
              <w:rPr>
                <w:rFonts w:ascii="Arial" w:cs="Arial" w:eastAsia="Arial" w:hAnsi="Arial"/>
                <w:sz w:val="16"/>
                <w:szCs w:val="16"/>
                <w:color w:val="auto"/>
              </w:rPr>
              <w:t>92</w:t>
            </w: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7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78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 December 31:</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7160" w:type="dxa"/>
            <w:vAlign w:val="bottom"/>
            <w:vMerge w:val="restart"/>
          </w:tcPr>
          <w:p>
            <w:pPr>
              <w:spacing w:after="0"/>
              <w:rPr>
                <w:sz w:val="20"/>
                <w:szCs w:val="20"/>
                <w:color w:val="auto"/>
              </w:rPr>
            </w:pPr>
            <w:r>
              <w:rPr>
                <w:rFonts w:ascii="Arial" w:cs="Arial" w:eastAsia="Arial" w:hAnsi="Arial"/>
                <w:sz w:val="21"/>
                <w:szCs w:val="21"/>
                <w:color w:val="auto"/>
              </w:rPr>
              <w:t>Land</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21"/>
                <w:szCs w:val="21"/>
                <w:color w:val="auto"/>
              </w:rPr>
              <w:t>2010</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2009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36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080" w:type="dxa"/>
            <w:vAlign w:val="bottom"/>
          </w:tcPr>
          <w:p>
            <w:pPr>
              <w:jc w:val="right"/>
              <w:ind w:right="36"/>
              <w:spacing w:after="0" w:line="223" w:lineRule="exact"/>
              <w:rPr>
                <w:sz w:val="20"/>
                <w:szCs w:val="20"/>
                <w:color w:val="auto"/>
              </w:rPr>
            </w:pPr>
            <w:r>
              <w:rPr>
                <w:rFonts w:ascii="Arial" w:cs="Arial" w:eastAsia="Arial" w:hAnsi="Arial"/>
                <w:sz w:val="21"/>
                <w:szCs w:val="21"/>
                <w:color w:val="auto"/>
              </w:rPr>
              <w:t>3,076</w:t>
            </w:r>
          </w:p>
        </w:tc>
        <w:tc>
          <w:tcPr>
            <w:tcW w:w="300" w:type="dxa"/>
            <w:vAlign w:val="bottom"/>
          </w:tcPr>
          <w:p>
            <w:pPr>
              <w:spacing w:after="0"/>
              <w:rPr>
                <w:sz w:val="19"/>
                <w:szCs w:val="19"/>
                <w:color w:val="auto"/>
              </w:rPr>
            </w:pPr>
          </w:p>
        </w:tc>
        <w:tc>
          <w:tcPr>
            <w:tcW w:w="36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020" w:type="dxa"/>
            <w:vAlign w:val="bottom"/>
          </w:tcPr>
          <w:p>
            <w:pPr>
              <w:jc w:val="right"/>
              <w:spacing w:after="0" w:line="223" w:lineRule="exact"/>
              <w:rPr>
                <w:sz w:val="20"/>
                <w:szCs w:val="20"/>
                <w:color w:val="auto"/>
              </w:rPr>
            </w:pPr>
            <w:r>
              <w:rPr>
                <w:rFonts w:ascii="Arial" w:cs="Arial" w:eastAsia="Arial" w:hAnsi="Arial"/>
                <w:sz w:val="21"/>
                <w:szCs w:val="21"/>
                <w:color w:val="auto"/>
              </w:rPr>
              <w:t>3,076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21"/>
                <w:szCs w:val="21"/>
                <w:color w:val="auto"/>
              </w:rPr>
              <w:t>Leasehold improvements</w:t>
            </w:r>
          </w:p>
        </w:tc>
        <w:tc>
          <w:tcPr>
            <w:tcW w:w="3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21"/>
                <w:szCs w:val="21"/>
                <w:color w:val="auto"/>
              </w:rPr>
              <w:t>1,998</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1"/>
                <w:szCs w:val="21"/>
                <w:color w:val="auto"/>
              </w:rPr>
              <w:t>2,365</w:t>
            </w: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21"/>
                <w:szCs w:val="21"/>
                <w:color w:val="auto"/>
              </w:rPr>
              <w:t>Furniture and fixtures</w:t>
            </w:r>
          </w:p>
        </w:tc>
        <w:tc>
          <w:tcPr>
            <w:tcW w:w="3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21"/>
                <w:szCs w:val="21"/>
                <w:color w:val="auto"/>
              </w:rPr>
              <w:t>1,959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1"/>
                <w:szCs w:val="21"/>
                <w:color w:val="auto"/>
              </w:rPr>
              <w:t>1,752</w:t>
            </w: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3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21"/>
                <w:szCs w:val="21"/>
                <w:color w:val="auto"/>
              </w:rPr>
              <w:t>5,541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1"/>
                <w:szCs w:val="21"/>
                <w:color w:val="auto"/>
              </w:rPr>
              <w:t>5,585</w:t>
            </w: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21"/>
                <w:szCs w:val="21"/>
                <w:color w:val="auto"/>
              </w:rPr>
              <w:t>Computer software</w:t>
            </w:r>
          </w:p>
        </w:tc>
        <w:tc>
          <w:tcPr>
            <w:tcW w:w="3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21"/>
                <w:szCs w:val="21"/>
                <w:color w:val="auto"/>
              </w:rPr>
              <w:t>8,428</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1"/>
                <w:szCs w:val="21"/>
                <w:color w:val="auto"/>
              </w:rPr>
              <w:t>8,313</w:t>
            </w: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21"/>
                <w:szCs w:val="21"/>
                <w:color w:val="auto"/>
              </w:rPr>
              <w:t>Equipment</w:t>
            </w:r>
          </w:p>
        </w:tc>
        <w:tc>
          <w:tcPr>
            <w:tcW w:w="3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21"/>
                <w:szCs w:val="21"/>
                <w:color w:val="auto"/>
              </w:rPr>
              <w:t>20,150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1"/>
                <w:szCs w:val="21"/>
                <w:color w:val="auto"/>
              </w:rPr>
              <w:t>12,377</w:t>
            </w:r>
          </w:p>
        </w:tc>
        <w:tc>
          <w:tcPr>
            <w:tcW w:w="0" w:type="dxa"/>
            <w:vAlign w:val="bottom"/>
          </w:tcPr>
          <w:p>
            <w:pPr>
              <w:spacing w:after="0"/>
              <w:rPr>
                <w:sz w:val="1"/>
                <w:szCs w:val="1"/>
                <w:color w:val="auto"/>
              </w:rPr>
            </w:pPr>
          </w:p>
        </w:tc>
      </w:tr>
      <w:tr>
        <w:trPr>
          <w:trHeight w:val="256"/>
        </w:trPr>
        <w:tc>
          <w:tcPr>
            <w:tcW w:w="7160" w:type="dxa"/>
            <w:vAlign w:val="bottom"/>
          </w:tcPr>
          <w:p>
            <w:pPr>
              <w:spacing w:after="0"/>
              <w:rPr>
                <w:sz w:val="20"/>
                <w:szCs w:val="20"/>
                <w:color w:val="auto"/>
              </w:rPr>
            </w:pPr>
            <w:r>
              <w:rPr>
                <w:rFonts w:ascii="Arial" w:cs="Arial" w:eastAsia="Arial" w:hAnsi="Arial"/>
                <w:sz w:val="21"/>
                <w:szCs w:val="21"/>
                <w:color w:val="auto"/>
              </w:rPr>
              <w:t>Vehicles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15,696</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1"/>
                <w:szCs w:val="21"/>
                <w:color w:val="auto"/>
              </w:rPr>
              <w:t>12,170</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6"/>
              <w:spacing w:after="0" w:line="223" w:lineRule="exact"/>
              <w:rPr>
                <w:sz w:val="20"/>
                <w:szCs w:val="20"/>
                <w:color w:val="auto"/>
              </w:rPr>
            </w:pPr>
            <w:r>
              <w:rPr>
                <w:rFonts w:ascii="Arial" w:cs="Arial" w:eastAsia="Arial" w:hAnsi="Arial"/>
                <w:sz w:val="21"/>
                <w:szCs w:val="21"/>
                <w:color w:val="auto"/>
              </w:rPr>
              <w:t>56,848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120"/>
              <w:spacing w:after="0" w:line="223" w:lineRule="exact"/>
              <w:rPr>
                <w:sz w:val="20"/>
                <w:szCs w:val="20"/>
                <w:color w:val="auto"/>
              </w:rPr>
            </w:pPr>
            <w:r>
              <w:rPr>
                <w:rFonts w:ascii="Arial" w:cs="Arial" w:eastAsia="Arial" w:hAnsi="Arial"/>
                <w:sz w:val="21"/>
                <w:szCs w:val="21"/>
                <w:color w:val="auto"/>
              </w:rPr>
              <w:t>45,638</w:t>
            </w:r>
          </w:p>
        </w:tc>
        <w:tc>
          <w:tcPr>
            <w:tcW w:w="0" w:type="dxa"/>
            <w:vAlign w:val="bottom"/>
          </w:tcPr>
          <w:p>
            <w:pPr>
              <w:spacing w:after="0"/>
              <w:rPr>
                <w:sz w:val="1"/>
                <w:szCs w:val="1"/>
                <w:color w:val="auto"/>
              </w:rPr>
            </w:pPr>
          </w:p>
        </w:tc>
      </w:tr>
      <w:tr>
        <w:trPr>
          <w:trHeight w:val="256"/>
        </w:trPr>
        <w:tc>
          <w:tcPr>
            <w:tcW w:w="7160" w:type="dxa"/>
            <w:vAlign w:val="bottom"/>
          </w:tcPr>
          <w:p>
            <w:pPr>
              <w:spacing w:after="0"/>
              <w:rPr>
                <w:sz w:val="20"/>
                <w:szCs w:val="20"/>
                <w:color w:val="auto"/>
              </w:rPr>
            </w:pPr>
            <w:r>
              <w:rPr>
                <w:rFonts w:ascii="Arial" w:cs="Arial" w:eastAsia="Arial" w:hAnsi="Arial"/>
                <w:sz w:val="21"/>
                <w:szCs w:val="21"/>
                <w:color w:val="auto"/>
              </w:rPr>
              <w:t>Less: accumulated depreciation and amortization</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(22,297)</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1"/>
                <w:szCs w:val="21"/>
                <w:color w:val="auto"/>
              </w:rPr>
              <w:t>(12,324)</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36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34,551</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gridSpan w:val="2"/>
          </w:tcPr>
          <w:p>
            <w:pPr>
              <w:jc w:val="right"/>
              <w:ind w:right="120"/>
              <w:spacing w:after="0" w:line="237" w:lineRule="exact"/>
              <w:rPr>
                <w:sz w:val="20"/>
                <w:szCs w:val="20"/>
                <w:color w:val="auto"/>
              </w:rPr>
            </w:pPr>
            <w:r>
              <w:rPr>
                <w:rFonts w:ascii="Arial" w:cs="Arial" w:eastAsia="Arial" w:hAnsi="Arial"/>
                <w:sz w:val="21"/>
                <w:szCs w:val="21"/>
                <w:color w:val="auto"/>
              </w:rPr>
              <w:t>33,314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INTANGIBLES, Net</w:t>
      </w:r>
    </w:p>
    <w:p>
      <w:pPr>
        <w:sectPr>
          <w:pgSz w:w="11900" w:h="16868" w:orient="portrait"/>
          <w:cols w:equalWidth="0" w:num="1">
            <w:col w:w="11460"/>
          </w:cols>
          <w:pgMar w:left="240" w:top="571" w:right="199" w:bottom="0" w:gutter="0" w:footer="0" w:header="0"/>
        </w:sectPr>
      </w:pPr>
    </w:p>
    <w:bookmarkStart w:id="58" w:name="page59"/>
    <w:bookmarkEnd w:id="58"/>
    <w:p>
      <w:pPr>
        <w:ind w:left="660"/>
        <w:spacing w:after="0"/>
        <w:rPr>
          <w:sz w:val="20"/>
          <w:szCs w:val="20"/>
          <w:color w:val="auto"/>
        </w:rPr>
      </w:pPr>
      <w:r>
        <w:rPr>
          <w:rFonts w:ascii="Arial" w:cs="Arial" w:eastAsia="Arial" w:hAnsi="Arial"/>
          <w:sz w:val="20"/>
          <w:szCs w:val="20"/>
          <w:color w:val="auto"/>
        </w:rPr>
        <w:t>The following provides additional information concerning the Company’s intangibles as of December 31:</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7200" w:type="dxa"/>
            <w:vAlign w:val="bottom"/>
            <w:vMerge w:val="restart"/>
          </w:tcPr>
          <w:p>
            <w:pPr>
              <w:spacing w:after="0"/>
              <w:rPr>
                <w:sz w:val="20"/>
                <w:szCs w:val="20"/>
                <w:color w:val="auto"/>
              </w:rPr>
            </w:pPr>
            <w:r>
              <w:rPr>
                <w:rFonts w:ascii="Arial" w:cs="Arial" w:eastAsia="Arial" w:hAnsi="Arial"/>
                <w:sz w:val="21"/>
                <w:szCs w:val="21"/>
                <w:color w:val="auto"/>
              </w:rPr>
              <w:t>Amortizing intangibles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21"/>
                <w:szCs w:val="21"/>
                <w:color w:val="auto"/>
              </w:rPr>
              <w:t>2010</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2009</w:t>
            </w:r>
          </w:p>
        </w:tc>
        <w:tc>
          <w:tcPr>
            <w:tcW w:w="0" w:type="dxa"/>
            <w:vAlign w:val="bottom"/>
          </w:tcPr>
          <w:p>
            <w:pPr>
              <w:spacing w:after="0"/>
              <w:rPr>
                <w:sz w:val="1"/>
                <w:szCs w:val="1"/>
                <w:color w:val="auto"/>
              </w:rPr>
            </w:pPr>
          </w:p>
        </w:tc>
      </w:tr>
      <w:tr>
        <w:trPr>
          <w:trHeight w:val="223"/>
        </w:trPr>
        <w:tc>
          <w:tcPr>
            <w:tcW w:w="7200" w:type="dxa"/>
            <w:vAlign w:val="bottom"/>
            <w:vMerge w:val="continue"/>
          </w:tcPr>
          <w:p>
            <w:pPr>
              <w:spacing w:after="0"/>
              <w:rPr>
                <w:sz w:val="19"/>
                <w:szCs w:val="19"/>
                <w:color w:val="auto"/>
              </w:rPr>
            </w:pPr>
          </w:p>
        </w:tc>
        <w:tc>
          <w:tcPr>
            <w:tcW w:w="360" w:type="dxa"/>
            <w:vAlign w:val="bottom"/>
          </w:tcPr>
          <w:p>
            <w:pPr>
              <w:jc w:val="right"/>
              <w:ind w:right="36"/>
              <w:spacing w:after="0" w:line="223" w:lineRule="exact"/>
              <w:rPr>
                <w:sz w:val="20"/>
                <w:szCs w:val="20"/>
                <w:color w:val="auto"/>
              </w:rPr>
            </w:pPr>
            <w:r>
              <w:rPr>
                <w:rFonts w:ascii="Arial" w:cs="Arial" w:eastAsia="Arial" w:hAnsi="Arial"/>
                <w:sz w:val="21"/>
                <w:szCs w:val="21"/>
                <w:color w:val="auto"/>
              </w:rPr>
              <w:t>$</w:t>
            </w:r>
          </w:p>
        </w:tc>
        <w:tc>
          <w:tcPr>
            <w:tcW w:w="1080" w:type="dxa"/>
            <w:vAlign w:val="bottom"/>
          </w:tcPr>
          <w:p>
            <w:pPr>
              <w:jc w:val="right"/>
              <w:ind w:right="16"/>
              <w:spacing w:after="0" w:line="223" w:lineRule="exact"/>
              <w:rPr>
                <w:sz w:val="20"/>
                <w:szCs w:val="20"/>
                <w:color w:val="auto"/>
              </w:rPr>
            </w:pPr>
            <w:r>
              <w:rPr>
                <w:rFonts w:ascii="Arial" w:cs="Arial" w:eastAsia="Arial" w:hAnsi="Arial"/>
                <w:sz w:val="21"/>
                <w:szCs w:val="21"/>
                <w:color w:val="auto"/>
              </w:rPr>
              <w:t>1,047</w:t>
            </w:r>
          </w:p>
        </w:tc>
        <w:tc>
          <w:tcPr>
            <w:tcW w:w="280" w:type="dxa"/>
            <w:vAlign w:val="bottom"/>
          </w:tcPr>
          <w:p>
            <w:pPr>
              <w:spacing w:after="0"/>
              <w:rPr>
                <w:sz w:val="19"/>
                <w:szCs w:val="19"/>
                <w:color w:val="auto"/>
              </w:rPr>
            </w:pPr>
          </w:p>
        </w:tc>
        <w:tc>
          <w:tcPr>
            <w:tcW w:w="340" w:type="dxa"/>
            <w:vAlign w:val="bottom"/>
          </w:tcPr>
          <w:p>
            <w:pPr>
              <w:jc w:val="right"/>
              <w:ind w:right="16"/>
              <w:spacing w:after="0" w:line="223" w:lineRule="exact"/>
              <w:rPr>
                <w:sz w:val="20"/>
                <w:szCs w:val="20"/>
                <w:color w:val="auto"/>
              </w:rPr>
            </w:pPr>
            <w:r>
              <w:rPr>
                <w:rFonts w:ascii="Arial" w:cs="Arial" w:eastAsia="Arial" w:hAnsi="Arial"/>
                <w:sz w:val="21"/>
                <w:szCs w:val="21"/>
                <w:color w:val="auto"/>
              </w:rPr>
              <w:t>$</w:t>
            </w:r>
          </w:p>
        </w:tc>
        <w:tc>
          <w:tcPr>
            <w:tcW w:w="1140" w:type="dxa"/>
            <w:vAlign w:val="bottom"/>
          </w:tcPr>
          <w:p>
            <w:pPr>
              <w:jc w:val="right"/>
              <w:ind w:right="16"/>
              <w:spacing w:after="0" w:line="223" w:lineRule="exact"/>
              <w:rPr>
                <w:sz w:val="20"/>
                <w:szCs w:val="20"/>
                <w:color w:val="auto"/>
              </w:rPr>
            </w:pPr>
            <w:r>
              <w:rPr>
                <w:rFonts w:ascii="Arial" w:cs="Arial" w:eastAsia="Arial" w:hAnsi="Arial"/>
                <w:sz w:val="21"/>
                <w:szCs w:val="21"/>
                <w:color w:val="auto"/>
              </w:rPr>
              <w:t>1,073</w:t>
            </w:r>
          </w:p>
        </w:tc>
        <w:tc>
          <w:tcPr>
            <w:tcW w:w="0" w:type="dxa"/>
            <w:vAlign w:val="bottom"/>
          </w:tcPr>
          <w:p>
            <w:pPr>
              <w:spacing w:after="0"/>
              <w:rPr>
                <w:sz w:val="1"/>
                <w:szCs w:val="1"/>
                <w:color w:val="auto"/>
              </w:rPr>
            </w:pPr>
          </w:p>
        </w:tc>
      </w:tr>
      <w:tr>
        <w:trPr>
          <w:trHeight w:val="256"/>
        </w:trPr>
        <w:tc>
          <w:tcPr>
            <w:tcW w:w="7200" w:type="dxa"/>
            <w:vAlign w:val="bottom"/>
          </w:tcPr>
          <w:p>
            <w:pPr>
              <w:spacing w:after="0"/>
              <w:rPr>
                <w:sz w:val="20"/>
                <w:szCs w:val="20"/>
                <w:color w:val="auto"/>
              </w:rPr>
            </w:pPr>
            <w:r>
              <w:rPr>
                <w:rFonts w:ascii="Arial" w:cs="Arial" w:eastAsia="Arial" w:hAnsi="Arial"/>
                <w:sz w:val="21"/>
                <w:szCs w:val="21"/>
                <w:color w:val="auto"/>
              </w:rPr>
              <w:t>Accumulated amortization</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(452)</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(414)</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6"/>
              <w:spacing w:after="0" w:line="223" w:lineRule="exact"/>
              <w:rPr>
                <w:sz w:val="20"/>
                <w:szCs w:val="20"/>
                <w:color w:val="auto"/>
              </w:rPr>
            </w:pPr>
            <w:r>
              <w:rPr>
                <w:rFonts w:ascii="Arial" w:cs="Arial" w:eastAsia="Arial" w:hAnsi="Arial"/>
                <w:sz w:val="21"/>
                <w:szCs w:val="21"/>
                <w:color w:val="auto"/>
              </w:rPr>
              <w:t>595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6"/>
              <w:spacing w:after="0" w:line="223" w:lineRule="exact"/>
              <w:rPr>
                <w:sz w:val="20"/>
                <w:szCs w:val="20"/>
                <w:color w:val="auto"/>
              </w:rPr>
            </w:pPr>
            <w:r>
              <w:rPr>
                <w:rFonts w:ascii="Arial" w:cs="Arial" w:eastAsia="Arial" w:hAnsi="Arial"/>
                <w:sz w:val="21"/>
                <w:szCs w:val="21"/>
                <w:color w:val="auto"/>
              </w:rPr>
              <w:t>659</w:t>
            </w:r>
          </w:p>
        </w:tc>
        <w:tc>
          <w:tcPr>
            <w:tcW w:w="0" w:type="dxa"/>
            <w:vAlign w:val="bottom"/>
          </w:tcPr>
          <w:p>
            <w:pPr>
              <w:spacing w:after="0"/>
              <w:rPr>
                <w:sz w:val="1"/>
                <w:szCs w:val="1"/>
                <w:color w:val="auto"/>
              </w:rPr>
            </w:pPr>
          </w:p>
        </w:tc>
      </w:tr>
      <w:tr>
        <w:trPr>
          <w:trHeight w:val="256"/>
        </w:trPr>
        <w:tc>
          <w:tcPr>
            <w:tcW w:w="7200" w:type="dxa"/>
            <w:vAlign w:val="bottom"/>
          </w:tcPr>
          <w:p>
            <w:pPr>
              <w:spacing w:after="0"/>
              <w:rPr>
                <w:sz w:val="20"/>
                <w:szCs w:val="20"/>
                <w:color w:val="auto"/>
              </w:rPr>
            </w:pPr>
            <w:r>
              <w:rPr>
                <w:rFonts w:ascii="Arial" w:cs="Arial" w:eastAsia="Arial" w:hAnsi="Arial"/>
                <w:sz w:val="21"/>
                <w:szCs w:val="21"/>
                <w:color w:val="auto"/>
              </w:rPr>
              <w:t>Non-amortizing trademarks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42,721</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32,853</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6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43,316</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33,512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All amortizing trademarks have been assigned an estimated finite useful life and such trademarks are amortized on a straight-line basis over the number of years that approximate their respective useful lives ranging from one to 25 years (weighted-average life of 20 years). Total amortization expense recorded was $0.05 million, $0.07 million and $0.06 million for the years ended December 31, 2010, 2009 and 2008, respectively. As of December 31, 2010, future estimated amortization expense related to amortizing trademarks through the year ending December 31, 2015 is approximately $0.05 million per year.</w:t>
      </w:r>
    </w:p>
    <w:p>
      <w:pPr>
        <w:spacing w:after="0" w:line="20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Amounts received pursuant to distribution agreements entered into with certain distributors have been accounted for as deferred revenue in the accompanying consolidated balance sheets and are recognized as revenue ratably over the anticipated life of the respective distribution agreement, generally 20 years. Revenue recognized was $8.0 million, $7.5 million and $14.3 million for the years ended December 31, 2010, 2009 and 2008,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incurred termination costs to certain of its prior distributors amounting to $0.3 million, $1.9 million and $118.1 million in aggregate for the years ended December 31, 2010, 2009 and 2008, respectively. Such termination costs have been expensed in full and are included in operating expenses for the years ended December 31, 2010, 2009 and 2008. Accrued distributor terminations in the accompanying consolidated balance sheets as of December 31, 2010 and 2009 were $0.4 million and $3.0 million, respectively.</w:t>
      </w:r>
    </w:p>
    <w:p>
      <w:pPr>
        <w:spacing w:after="0" w:line="19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DEBT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entered into a credit facility with Comerica Bank (“Comerica”) consisting of a revolving line of credit, which was amended in May 2010, under which the Company may borrow up to $10.0 million of non-collateralized debt. The revolving line of credit is effective through June 1, 2012. Interest on borrowings under the line of credit is based on Comerica’s base (prime) rate minus up to 1.5%, or varying London Interbank Offered Rates up to 180 days, plus an additional percentage of up to 1.75%, depending upon certain financial ratios maintained by us. The Company had no outstanding borrowings on this line of credit at December 31, 2010. Letters of credit issued on our behalf, totaling $0.3 million and $0.2 million under this credit facility, were outstanding as of December 31, 2010 and 2009, respectively.</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At December 31, 2010, the Company was in compliance with the terms of its line of credit, which contains certain financial covenants, including certain financial ratios. 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debt of $0.3 million and $0.2 million at December 31, 2010 and 2009, respectively, consisted of capital leases, collateralized by vehicles, payable over 12 months in monthly installments at various effective interest rates, with final payments ending on or before December 31, 2011.</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December 31, 2010 and 2009, the assets acquired under capital leases had a net book value of $2.1 million and $2.5 million, net of accumulated depreciation of $2.3 million and $1.7 million,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Interest expense for capital lease obligations amounted to $0.01 million, $0.05 million and $0.04 million for the years ended December 31, 2010, 2009 and 2008, respectively.</w:t>
      </w:r>
    </w:p>
    <w:p>
      <w:pPr>
        <w:spacing w:after="0" w:line="19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Operating Leases </w:t>
      </w:r>
      <w:r>
        <w:rPr>
          <w:rFonts w:ascii="Arial" w:cs="Arial" w:eastAsia="Arial" w:hAnsi="Arial"/>
          <w:sz w:val="20"/>
          <w:szCs w:val="20"/>
          <w:color w:val="auto"/>
        </w:rPr>
        <w:t>– In October 2006, the Company entered into a lease agreement pursuant to which the Company leased 346,495</w:t>
      </w:r>
      <w:r>
        <w:rPr>
          <w:rFonts w:ascii="Arial" w:cs="Arial" w:eastAsia="Arial" w:hAnsi="Arial"/>
          <w:sz w:val="20"/>
          <w:szCs w:val="20"/>
          <w:i w:val="1"/>
          <w:iCs w:val="1"/>
          <w:color w:val="auto"/>
        </w:rPr>
        <w:t xml:space="preserve"> </w:t>
      </w:r>
      <w:r>
        <w:rPr>
          <w:rFonts w:ascii="Arial" w:cs="Arial" w:eastAsia="Arial" w:hAnsi="Arial"/>
          <w:sz w:val="20"/>
          <w:szCs w:val="20"/>
          <w:color w:val="auto"/>
        </w:rPr>
        <w:t>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In September 2007, the Company relocated its corporate offices to newly leased offices in Corona, California.</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rents additional warehouse space on a short-term basis from time to time in the countries in which it operates.</w:t>
      </w:r>
    </w:p>
    <w:p>
      <w:pPr>
        <w:sectPr>
          <w:pgSz w:w="11900" w:h="16838" w:orient="portrait"/>
          <w:cols w:equalWidth="0" w:num="1">
            <w:col w:w="11420"/>
          </w:cols>
          <w:pgMar w:left="240" w:top="352" w:right="239" w:bottom="129" w:gutter="0" w:footer="0" w:header="0"/>
        </w:sectPr>
      </w:pPr>
    </w:p>
    <w:bookmarkStart w:id="59" w:name="page60"/>
    <w:bookmarkEnd w:id="59"/>
    <w:p>
      <w:pPr>
        <w:spacing w:after="0" w:line="25" w:lineRule="exact"/>
        <w:rPr>
          <w:sz w:val="20"/>
          <w:szCs w:val="20"/>
          <w:color w:val="auto"/>
        </w:rPr>
      </w:pPr>
    </w:p>
    <w:p>
      <w:pPr>
        <w:ind w:right="20" w:firstLine="648"/>
        <w:spacing w:after="0" w:line="262" w:lineRule="auto"/>
        <w:rPr>
          <w:sz w:val="20"/>
          <w:szCs w:val="20"/>
          <w:color w:val="auto"/>
        </w:rPr>
      </w:pPr>
      <w:r>
        <w:rPr>
          <w:rFonts w:ascii="Arial" w:cs="Arial" w:eastAsia="Arial" w:hAnsi="Arial"/>
          <w:sz w:val="20"/>
          <w:szCs w:val="20"/>
          <w:color w:val="auto"/>
        </w:rPr>
        <w:t>Rent expense under operating leases was $3.8 million, $3.8 million and $3.5 million for the years ended December 31, 2010, 2009 and 2008,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rental payments at December 31, 2010 under the operating leases referred to above are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940" w:type="dxa"/>
            <w:vAlign w:val="bottom"/>
          </w:tcPr>
          <w:p>
            <w:pPr>
              <w:spacing w:after="0"/>
              <w:rPr>
                <w:sz w:val="20"/>
                <w:szCs w:val="20"/>
                <w:color w:val="auto"/>
              </w:rPr>
            </w:pPr>
            <w:r>
              <w:rPr>
                <w:rFonts w:ascii="Arial" w:cs="Arial" w:eastAsia="Arial" w:hAnsi="Arial"/>
                <w:sz w:val="20"/>
                <w:szCs w:val="20"/>
                <w:color w:val="auto"/>
              </w:rPr>
              <w:t>Year ending December 31:</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38"/>
        </w:trPr>
        <w:tc>
          <w:tcPr>
            <w:tcW w:w="4940" w:type="dxa"/>
            <w:vAlign w:val="bottom"/>
          </w:tcPr>
          <w:p>
            <w:pPr>
              <w:spacing w:after="0"/>
              <w:rPr>
                <w:sz w:val="20"/>
                <w:szCs w:val="20"/>
                <w:color w:val="auto"/>
              </w:rPr>
            </w:pPr>
            <w:r>
              <w:rPr>
                <w:rFonts w:ascii="Arial" w:cs="Arial" w:eastAsia="Arial" w:hAnsi="Arial"/>
                <w:sz w:val="20"/>
                <w:szCs w:val="20"/>
                <w:color w:val="auto"/>
              </w:rPr>
              <w:t>2011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3,366</w:t>
            </w: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2012</w:t>
            </w:r>
          </w:p>
        </w:tc>
        <w:tc>
          <w:tcPr>
            <w:tcW w:w="5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3,221</w:t>
            </w: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2013</w:t>
            </w:r>
          </w:p>
        </w:tc>
        <w:tc>
          <w:tcPr>
            <w:tcW w:w="5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3,039</w:t>
            </w: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2014</w:t>
            </w:r>
          </w:p>
        </w:tc>
        <w:tc>
          <w:tcPr>
            <w:tcW w:w="5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3,027</w:t>
            </w:r>
          </w:p>
        </w:tc>
      </w:tr>
      <w:tr>
        <w:trPr>
          <w:trHeight w:val="246"/>
        </w:trPr>
        <w:tc>
          <w:tcPr>
            <w:tcW w:w="4940" w:type="dxa"/>
            <w:vAlign w:val="bottom"/>
          </w:tcPr>
          <w:p>
            <w:pPr>
              <w:spacing w:after="0"/>
              <w:rPr>
                <w:sz w:val="20"/>
                <w:szCs w:val="20"/>
                <w:color w:val="auto"/>
              </w:rPr>
            </w:pPr>
            <w:r>
              <w:rPr>
                <w:rFonts w:ascii="Arial" w:cs="Arial" w:eastAsia="Arial" w:hAnsi="Arial"/>
                <w:sz w:val="20"/>
                <w:szCs w:val="20"/>
                <w:color w:val="auto"/>
              </w:rPr>
              <w:t>2015 and thereafter</w:t>
            </w: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6,535</w:t>
            </w:r>
          </w:p>
        </w:tc>
      </w:tr>
      <w:tr>
        <w:trPr>
          <w:trHeight w:val="223"/>
        </w:trPr>
        <w:tc>
          <w:tcPr>
            <w:tcW w:w="4940" w:type="dxa"/>
            <w:vAlign w:val="bottom"/>
          </w:tcPr>
          <w:p>
            <w:pPr>
              <w:spacing w:after="0"/>
              <w:rPr>
                <w:sz w:val="19"/>
                <w:szCs w:val="19"/>
                <w:color w:val="auto"/>
              </w:rPr>
            </w:pPr>
          </w:p>
        </w:tc>
        <w:tc>
          <w:tcPr>
            <w:tcW w:w="56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19,188</w:t>
            </w:r>
          </w:p>
        </w:tc>
      </w:tr>
      <w:tr>
        <w:trPr>
          <w:trHeight w:val="20"/>
        </w:trPr>
        <w:tc>
          <w:tcPr>
            <w:tcW w:w="4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Purchase Commitments </w:t>
      </w:r>
      <w:r>
        <w:rPr>
          <w:rFonts w:ascii="Arial" w:cs="Arial" w:eastAsia="Arial" w:hAnsi="Arial"/>
          <w:sz w:val="20"/>
          <w:szCs w:val="20"/>
          <w:color w:val="auto"/>
        </w:rPr>
        <w:t>– The Company has purchase commitments aggregating approximately $27.4 million, which represent</w:t>
      </w:r>
      <w:r>
        <w:rPr>
          <w:rFonts w:ascii="Arial" w:cs="Arial" w:eastAsia="Arial" w:hAnsi="Arial"/>
          <w:sz w:val="20"/>
          <w:szCs w:val="20"/>
          <w:i w:val="1"/>
          <w:iCs w:val="1"/>
          <w:color w:val="auto"/>
        </w:rPr>
        <w:t xml:space="preserve"> </w:t>
      </w:r>
      <w:r>
        <w:rPr>
          <w:rFonts w:ascii="Arial" w:cs="Arial" w:eastAsia="Arial" w:hAnsi="Arial"/>
          <w:sz w:val="20"/>
          <w:szCs w:val="20"/>
          <w:color w:val="auto"/>
        </w:rPr>
        <w:t>commitments made by the Company and its subsidiaries to various suppliers of raw materials for the manufacturing and packaging of its products. These obligations vary in terms.</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purchases various raw material items, including, but not limited to, flavors, ingredients, containers, milk and cream, from a limited number of resources. An interuption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2010, 2009 and 2008 was $186.4 million, $168.6 million and $116.2 million, respectively.</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Contractual obligations </w:t>
      </w:r>
      <w:r>
        <w:rPr>
          <w:rFonts w:ascii="Arial" w:cs="Arial" w:eastAsia="Arial" w:hAnsi="Arial"/>
          <w:sz w:val="20"/>
          <w:szCs w:val="20"/>
          <w:color w:val="auto"/>
        </w:rPr>
        <w:t>– The Company has contractual obligations aggregating approximately $57.1 million related primarily to</w:t>
      </w:r>
      <w:r>
        <w:rPr>
          <w:rFonts w:ascii="Arial" w:cs="Arial" w:eastAsia="Arial" w:hAnsi="Arial"/>
          <w:sz w:val="20"/>
          <w:szCs w:val="20"/>
          <w:i w:val="1"/>
          <w:iCs w:val="1"/>
          <w:color w:val="auto"/>
        </w:rPr>
        <w:t xml:space="preserve"> </w:t>
      </w:r>
      <w:r>
        <w:rPr>
          <w:rFonts w:ascii="Arial" w:cs="Arial" w:eastAsia="Arial" w:hAnsi="Arial"/>
          <w:sz w:val="20"/>
          <w:szCs w:val="20"/>
          <w:color w:val="auto"/>
        </w:rPr>
        <w:t>sponsorships and other commitments, payable over within one to four years.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Licensing Agreements </w:t>
      </w:r>
      <w:r>
        <w:rPr>
          <w:rFonts w:ascii="Arial" w:cs="Arial" w:eastAsia="Arial" w:hAnsi="Arial"/>
          <w:sz w:val="20"/>
          <w:szCs w:val="20"/>
          <w:color w:val="auto"/>
        </w:rPr>
        <w:t>– The Company produces, sells and distributes Lost® Energy™ drinks under an exclusive license with Lost</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LLC. The license agreement requires certain royalty payments to be made related to the sale of Lost® brand products. Royalty expense under this agreement for the years ended December 31, 2010, 2009 and 2008 was $0.1 million, $0.1 million, and $0.3 million, respectively.</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Guarantees </w:t>
      </w:r>
      <w:r>
        <w:rPr>
          <w:rFonts w:ascii="Arial" w:cs="Arial" w:eastAsia="Arial" w:hAnsi="Arial"/>
          <w:sz w:val="19"/>
          <w:szCs w:val="19"/>
          <w:color w:val="auto"/>
        </w:rPr>
        <w:t>– The Company from time to time enters into certain types of contracts that contingently require the Company to</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and (iii) certain real estate leases, under which the Company may be required t 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 Consequently, the Company does not believe the fair value of these guarantees is material to the Company’s consolidated financial statements.</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September 2006, Christopher Chavez purporting to act on behalf of himself and a certain class of consumers filed an</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 e 11, 2007, the District Court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The hearing for all three motions occurred on May 27, 2010.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w:t>
      </w:r>
    </w:p>
    <w:p>
      <w:pPr>
        <w:sectPr>
          <w:pgSz w:w="11900" w:h="16864" w:orient="portrait"/>
          <w:cols w:equalWidth="0" w:num="1">
            <w:col w:w="11420"/>
          </w:cols>
          <w:pgMar w:left="240" w:top="122" w:right="239" w:bottom="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9"/>
          <w:szCs w:val="19"/>
          <w:color w:val="auto"/>
        </w:rPr>
        <w:t>e Blue Sky mark or brand in the United States at any time between May 16, 2002 and June 30, 2006. The Company subsequently filed a petition with the Ninth Circuit seeking permission to file an appeal to reverse the decision to certify a class. On August 27, 2010, the Ninth Circuit denied the Company’s petition. On September 9, 2010, the District Court approved the form of the class notice and its distribution plan; and set an opt-out date of December 10, 2010 and a trial date for March, 2011. On September 28, 2010, the Company filed a Request for Leave to file a motion for reconsideration of the order certifying the class action. On November 11, 2010, the Company filed two dispositive motions: a motion to decertify the class and a motion for summary judgment. The plaintiff filed his motion for partial summary judgment. The District Court took all motions under submission without oral argument. The District Court judge assigned to the case, Judge Vaughn Walker, recently announced his retirement from the bench, with such retirement effective February, 2011. On January 31, 2011, Judge Jeffrey S. White was assigned to the case and subsequently vacated all pending hearing dates. A case management conference has been set for March 18, 2011 and the pending motions have been rescheduled to be heard on April 1, 2011. The Company believes it has meritorious defenses to all the allegations and plans a vigorous defense.</w:t>
      </w: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August 28, 2008, the Company initiated an action against Oppenheimer Holdings Inc., Oppenheimer &amp; Co. Inc., and Oppenheimer Asset Management Inc., in the United States District Court, Central District of California, for violations of federal securities laws and the Investment Advisers Act of 1940, as amended, arising out of the Company’s purchase of auction rate securities. The Company stipulated to arbitration before the Financial Industry Regulatory Authority (“FINRA”), where the matter is now proceeding and a hearing has been scheduled for June, 2011. The Company has voluntarily dismissed, without prejudice, its claims against Oppenheimer Asset Management, Inc. The FINRA panel denied Oppenheimer Holdings, Inc.’s motion to be dismissed from the proceeding.</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 e plaintiff claims general damages on behalf of the putative class in the amount of CDN $20 million, together with punitive damages of CDN$5 million, plus legal costs and interest. The plaintiff’s certification motion materials have not yet been filed.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w:t>
      </w:r>
      <w:r>
        <w:rPr>
          <w:rFonts w:ascii="Arial" w:cs="Arial" w:eastAsia="Arial" w:hAnsi="Arial"/>
          <w:sz w:val="19"/>
          <w:szCs w:val="19"/>
          <w:color w:val="auto"/>
        </w:rPr>
        <w:t>, et 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9"/>
          <w:szCs w:val="19"/>
          <w:i w:val="1"/>
          <w:iCs w:val="1"/>
          <w:color w:val="auto"/>
        </w:rPr>
        <w:t>Brown v. Hansen Natural Corp., et al.</w:t>
      </w:r>
      <w:r>
        <w:rPr>
          <w:rFonts w:ascii="Arial" w:cs="Arial" w:eastAsia="Arial" w:hAnsi="Arial"/>
          <w:sz w:val="19"/>
          <w:szCs w:val="19"/>
          <w:color w:val="auto"/>
        </w:rPr>
        <w:t xml:space="preserve"> was also filed in the District Court.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 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 - -5 promulgated</w:t>
      </w:r>
    </w:p>
    <w:p>
      <w:pPr>
        <w:sectPr>
          <w:pgSz w:w="11900" w:h="16838" w:orient="portrait"/>
          <w:cols w:equalWidth="0" w:num="1">
            <w:col w:w="11420"/>
          </w:cols>
          <w:pgMar w:left="240" w:top="122" w:right="239" w:bottom="0" w:gutter="0" w:footer="0" w:header="0"/>
        </w:sectPr>
      </w:pPr>
    </w:p>
    <w:bookmarkStart w:id="61" w:name="page62"/>
    <w:bookmarkEnd w:id="61"/>
    <w:p>
      <w:pPr>
        <w:jc w:val="both"/>
        <w:spacing w:after="0" w:line="292" w:lineRule="auto"/>
        <w:rPr>
          <w:sz w:val="20"/>
          <w:szCs w:val="20"/>
          <w:color w:val="auto"/>
        </w:rPr>
      </w:pPr>
      <w:r>
        <w:rPr>
          <w:rFonts w:ascii="Arial" w:cs="Arial" w:eastAsia="Arial" w:hAnsi="Arial"/>
          <w:sz w:val="18"/>
          <w:szCs w:val="18"/>
          <w:color w:val="auto"/>
        </w:rPr>
        <w:t>thereunder, and seeks an unspecified amount of damages. Defendants filed a motion to dismiss the Amended Class Action Complaint on November 8, 2010. Plaintiff’s opposition to defendants’ motion was filed on January 14, 2011, and defendants’ reply brief was filed on February 11, 2011. A hearing on defendants’ motion to dismiss the Amended Class Action Complaint is currently scheduled for April 14, 2011.</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Derivative Litigation </w:t>
      </w:r>
      <w:r>
        <w:rPr>
          <w:rFonts w:ascii="Arial" w:cs="Arial" w:eastAsia="Arial" w:hAnsi="Arial"/>
          <w:sz w:val="20"/>
          <w:szCs w:val="20"/>
          <w:color w:val="auto"/>
        </w:rPr>
        <w:t>— On October 15, 2008, a derivative complaint was filed in the United States District Court for the Central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District of California (the “District Court”), styled </w:t>
      </w:r>
      <w:r>
        <w:rPr>
          <w:rFonts w:ascii="Arial" w:cs="Arial" w:eastAsia="Arial" w:hAnsi="Arial"/>
          <w:sz w:val="20"/>
          <w:szCs w:val="20"/>
          <w:i w:val="1"/>
          <w:iCs w:val="1"/>
          <w:color w:val="auto"/>
        </w:rPr>
        <w:t>Merckel v. Sacks, et al</w:t>
      </w:r>
      <w:r>
        <w:rPr>
          <w:rFonts w:ascii="Arial" w:cs="Arial" w:eastAsia="Arial" w:hAnsi="Arial"/>
          <w:sz w:val="20"/>
          <w:szCs w:val="20"/>
          <w:color w:val="auto"/>
        </w:rPr>
        <w:t xml:space="preserve">. On November 17, 2008, a second derivative complaint styled </w:t>
      </w:r>
      <w:r>
        <w:rPr>
          <w:rFonts w:ascii="Arial" w:cs="Arial" w:eastAsia="Arial" w:hAnsi="Arial"/>
          <w:sz w:val="20"/>
          <w:szCs w:val="20"/>
          <w:i w:val="1"/>
          <w:iCs w:val="1"/>
          <w:color w:val="auto"/>
        </w:rPr>
        <w:t>Dislevy v. Sacks, et al</w:t>
      </w:r>
      <w:r>
        <w:rPr>
          <w:rFonts w:ascii="Arial" w:cs="Arial" w:eastAsia="Arial" w:hAnsi="Arial"/>
          <w:sz w:val="20"/>
          <w:szCs w:val="20"/>
          <w:color w:val="auto"/>
        </w:rPr>
        <w:t>. was also filed in the District Court. The derivative suits were each brought, purportedly on behalf of the Company, by a</w:t>
      </w:r>
      <w:r>
        <w:rPr>
          <w:rFonts w:ascii="Arial" w:cs="Arial" w:eastAsia="Arial" w:hAnsi="Arial"/>
          <w:sz w:val="20"/>
          <w:szCs w:val="20"/>
          <w:i w:val="1"/>
          <w:iCs w:val="1"/>
          <w:color w:val="auto"/>
        </w:rPr>
        <w:t xml:space="preserve"> </w:t>
      </w:r>
      <w:r>
        <w:rPr>
          <w:rFonts w:ascii="Arial" w:cs="Arial" w:eastAsia="Arial" w:hAnsi="Arial"/>
          <w:sz w:val="20"/>
          <w:szCs w:val="20"/>
          <w:color w:val="auto"/>
        </w:rPr>
        <w:t>shareholder of the Company who made no prior demand on the Company’s Board of Directors.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June 29, 2009, the District Court entered an order consolidating the Merckel and Dislevy actions. On July 13, 2009, the District Court entered an order re-styling the consolidated actions as In re Hansen Derivative Shareholder Litigation, appointing Raymond Merckel as lead plaintiff and appointing lead counsel, and establishing a schedule for the filing of a consolidated amended complaint and for defendants’ response to such complaint.</w:t>
      </w:r>
    </w:p>
    <w:p>
      <w:pPr>
        <w:spacing w:after="0" w:line="20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On October 13, 2009, a purported Consolidated Shareholder Derivative Complaint (the “Consolidated Derivative Complaint”) was filed. The Consolidated Derivative Complaint named as defendants certain current and former officers, directors, and employees of the Company, including Rodney C. Sacks, Hilton H. Schlosberg, Harold C. Taber, Jr., Benjamin M. Polk, Norman C. Epstein, Mark S. Vidergauz, Sydney Selati, Thomas J. Kelly, Mark J. Hall, and Kirk S. Blower, as well as Hilrod Holdings, L.P. The Company was named as a nominal defendant. The factual allegations of the Consolidated Derivative Complaint were similar to those set forth in the Class Action Complaint described above. Plaintiff alleged that, from November 2006 to the present, the defendants caused the Company to issue false and misleading statements concerning its business pros pects and failed to properly disclose problems related to its non-Monster energy drinks, the prospects for the Anheuser-Busch distribution relationship, and alleged “inventory loading” that affected the Company’s results for the second quarter of 2007. Plaintiff further alleged that while the Company’s shares were purportedly artificially inflated because of those improper statements, certain of the defendants sold Company stock while in possession of material non-public information. The Consolidated Derivative Complaint asserted various causes of action, including breach of fiduciary duty, aiding and abetting breach of fiduciary duty, violation of Cal. Corp. Code</w:t>
      </w:r>
    </w:p>
    <w:p>
      <w:pPr>
        <w:spacing w:after="0" w:line="9" w:lineRule="exact"/>
        <w:rPr>
          <w:sz w:val="20"/>
          <w:szCs w:val="20"/>
          <w:color w:val="auto"/>
        </w:rPr>
      </w:pPr>
    </w:p>
    <w:p>
      <w:pPr>
        <w:ind w:firstLine="8"/>
        <w:spacing w:after="0" w:line="244" w:lineRule="auto"/>
        <w:tabs>
          <w:tab w:leader="none" w:pos="255" w:val="left"/>
        </w:tabs>
        <w:numPr>
          <w:ilvl w:val="0"/>
          <w:numId w:val="48"/>
        </w:numPr>
        <w:rPr>
          <w:rFonts w:ascii="Arial" w:cs="Arial" w:eastAsia="Arial" w:hAnsi="Arial"/>
          <w:sz w:val="20"/>
          <w:szCs w:val="20"/>
          <w:color w:val="auto"/>
        </w:rPr>
      </w:pPr>
      <w:r>
        <w:rPr>
          <w:rFonts w:ascii="Arial" w:cs="Arial" w:eastAsia="Arial" w:hAnsi="Arial"/>
          <w:sz w:val="20"/>
          <w:szCs w:val="20"/>
          <w:color w:val="auto"/>
        </w:rPr>
        <w:t>25402 and 25403 for insider selling, and unjust enrichment. The suit sought an unspecified amount of damages to be paid to the Company and adoption of corporate governance reforms, among other things.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January 8, 2010, the Company filed its motion to dismiss the Consolidated Derivative Complaint pursuant to Federal Rules of Civil Procedure 12(b)(6) and 23.1. Plaintiff’s counsel filed an opposition to the motion on February 22, 2010, in which it stated that lead plaintiff Raymond Merckel was no longer communicating with counsel and that it had located another shareholder of the Company, Anastasia Brueckheimer, who was willing to act as lead plaintiff. On March 2, 2010, plaintiff’s counsel filed a motion to amend the Consolidated Derivative Complaint pursuant to Rule 15(a)(2) for the purpose of replacing Mr. Merckel as lead plaintiff.</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On July 12, 2010, the District Court held a hearing on the Company’s motion to dismiss and on plaintiff counsel’s motion to amend the Derivative Complaint. In conjunction with the hearing, the District Court issued a tentative ruling that did not grant the motion to amend and instead indicated that the proposed substitute lead plaintiff, Ms. Brueckheimer, should have sought to intervene in the action pursuant to Rule 24. The District Court’s tentative ruling further stated that (assuming that Ms. Brueckheimer were allowed to substitute as lead plaintiff) the Company’s motion to dismiss the Consolidated Derivative Complaint would be granted, with leave to amend, on the ground that the allegations of demand futility were insufficient to excuse the failure to make a pre-suit demand on the Company’s Board of Directors. Foll owing the hearing, the District Court allowed Ms. Brueckheimer to file a motion for leave to intervene, and Ms. Brueckheimer subsequently filed a motion to intervene on July 16, 2010. On August 5, 2010, the parties filed a stipulation and proposed order with the District Court pursuant to which Ms. Brueckheimer would be permitted to intervene in the Derivative Litigation as lead plaintiff and to file a Verified Complaint in Intervention (the “Complaint in Intervention”) similar in all material respects to the Consolidated Derivative Complaint. The District Court so-ordered the stipulation and proposed order and, as a result, the Complaint in Intervention was deemed to have been dismissed with leave to amend for the reasons set forth in the District Court’s July 12, 2010 ruling.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1, 2010, Ms. Brueckheimer filed a Verified Amended Consolidated Shareholder Derivative Complaint (the “Amended Derivative Complaint”). While the Amended Derivative Complaint asserts the same causes of action and contains many of the same substantive allegations as the Consolidated Derivative Complaint, it also advances new allegations about “channel stuffing,” which are substantially similar to the allegations pled in the Amended Class Action Complaint. The Company filed a motion to dismiss the Amended Derivative Complaint on December 20, 2010. Ms. Brueckheimer’s opposition to the Company’s motion was filed on February 11, 2011, and the Company’s reply is due on March 11, 2011. A hearing on the Company’s motion to dismiss the Amended Derivative Complaint is currently schedu led for April 14, 2011.</w:t>
      </w:r>
    </w:p>
    <w:p>
      <w:pPr>
        <w:sectPr>
          <w:pgSz w:w="11900" w:h="16838" w:orient="portrait"/>
          <w:cols w:equalWidth="0" w:num="1">
            <w:col w:w="11420"/>
          </w:cols>
          <w:pgMar w:left="240" w:top="122" w:right="239" w:bottom="0" w:gutter="0" w:footer="0" w:header="0"/>
        </w:sectPr>
      </w:pPr>
    </w:p>
    <w:bookmarkStart w:id="62" w:name="page63"/>
    <w:bookmarkEnd w:id="62"/>
    <w:p>
      <w:pPr>
        <w:jc w:val="both"/>
        <w:ind w:firstLine="648"/>
        <w:spacing w:after="0" w:line="250" w:lineRule="auto"/>
        <w:rPr>
          <w:sz w:val="20"/>
          <w:szCs w:val="20"/>
          <w:color w:val="auto"/>
        </w:rPr>
      </w:pPr>
      <w:r>
        <w:rPr>
          <w:rFonts w:ascii="Arial" w:cs="Arial" w:eastAsia="Arial" w:hAnsi="Arial"/>
          <w:sz w:val="20"/>
          <w:szCs w:val="20"/>
          <w:color w:val="auto"/>
        </w:rPr>
        <w:t>Although the ultimate outcome of these matters cannot be determined with certainty, the Company believes that the allegations in the Amended Class Action Complaint and the Amended Derivative Complaint are without merit. The Company intends to vigorously defend against these lawsuits.</w:t>
      </w:r>
    </w:p>
    <w:p>
      <w:pPr>
        <w:spacing w:after="0" w:line="20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ACCUMULATED OTHER COMPREHENSIVE INCOME (LOSS)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components of accumulated other comprehensive income (loss) are as follows at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 w:type="dxa"/>
            <w:vAlign w:val="bottom"/>
          </w:tcPr>
          <w:p>
            <w:pPr>
              <w:spacing w:after="0"/>
              <w:rPr>
                <w:sz w:val="21"/>
                <w:szCs w:val="21"/>
                <w:color w:val="auto"/>
              </w:rPr>
            </w:pPr>
          </w:p>
        </w:tc>
        <w:tc>
          <w:tcPr>
            <w:tcW w:w="7700" w:type="dxa"/>
            <w:vAlign w:val="bottom"/>
            <w:vMerge w:val="restart"/>
          </w:tcPr>
          <w:p>
            <w:pPr>
              <w:ind w:left="200"/>
              <w:spacing w:after="0"/>
              <w:rPr>
                <w:sz w:val="20"/>
                <w:szCs w:val="20"/>
                <w:color w:val="auto"/>
              </w:rPr>
            </w:pPr>
            <w:r>
              <w:rPr>
                <w:rFonts w:ascii="Arial" w:cs="Arial" w:eastAsia="Arial" w:hAnsi="Arial"/>
                <w:sz w:val="20"/>
                <w:szCs w:val="20"/>
                <w:color w:val="auto"/>
                <w:w w:val="94"/>
              </w:rPr>
              <w:t>Accumulated net unrealized loss on available-for-sale securities, net of tax benefit of $1.0</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2010</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77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700" w:type="dxa"/>
            <w:vAlign w:val="bottom"/>
          </w:tcPr>
          <w:p>
            <w:pPr>
              <w:ind w:left="380"/>
              <w:spacing w:after="0"/>
              <w:rPr>
                <w:sz w:val="20"/>
                <w:szCs w:val="20"/>
                <w:color w:val="auto"/>
              </w:rPr>
            </w:pPr>
            <w:r>
              <w:rPr>
                <w:rFonts w:ascii="Arial" w:cs="Arial" w:eastAsia="Arial" w:hAnsi="Arial"/>
                <w:sz w:val="20"/>
                <w:szCs w:val="20"/>
                <w:color w:val="auto"/>
              </w:rPr>
              <w:t>million and $3.1 million as of December 31, 2010 and 2009, respectively</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(1,478)</w:t>
            </w:r>
          </w:p>
        </w:tc>
        <w:tc>
          <w:tcPr>
            <w:tcW w:w="300" w:type="dxa"/>
            <w:vAlign w:val="bottom"/>
          </w:tcPr>
          <w:p>
            <w:pPr>
              <w:spacing w:after="0"/>
              <w:rPr>
                <w:sz w:val="19"/>
                <w:szCs w:val="19"/>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(4,589)</w:t>
            </w:r>
          </w:p>
        </w:tc>
        <w:tc>
          <w:tcPr>
            <w:tcW w:w="0" w:type="dxa"/>
            <w:vAlign w:val="bottom"/>
          </w:tcPr>
          <w:p>
            <w:pPr>
              <w:spacing w:after="0"/>
              <w:rPr>
                <w:sz w:val="1"/>
                <w:szCs w:val="1"/>
                <w:color w:val="auto"/>
              </w:rPr>
            </w:pPr>
          </w:p>
        </w:tc>
      </w:tr>
      <w:tr>
        <w:trPr>
          <w:trHeight w:val="240"/>
        </w:trPr>
        <w:tc>
          <w:tcPr>
            <w:tcW w:w="46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20"/>
                <w:szCs w:val="20"/>
                <w:color w:val="auto"/>
              </w:rPr>
              <w:t>Foreign currency translation adjustments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1,759</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7700" w:type="dxa"/>
            <w:vAlign w:val="bottom"/>
          </w:tcPr>
          <w:p>
            <w:pPr>
              <w:ind w:left="200"/>
              <w:spacing w:after="0" w:line="220" w:lineRule="exact"/>
              <w:rPr>
                <w:sz w:val="20"/>
                <w:szCs w:val="20"/>
                <w:color w:val="auto"/>
              </w:rPr>
            </w:pPr>
            <w:r>
              <w:rPr>
                <w:rFonts w:ascii="Arial" w:cs="Arial" w:eastAsia="Arial" w:hAnsi="Arial"/>
                <w:sz w:val="20"/>
                <w:szCs w:val="20"/>
                <w:color w:val="auto"/>
              </w:rPr>
              <w:t>Total accumulated other comprehensive income (loss)</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281</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(4,667)</w:t>
            </w: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121"/>
              <w:spacing w:after="0"/>
              <w:rPr>
                <w:sz w:val="20"/>
                <w:szCs w:val="20"/>
                <w:color w:val="auto"/>
              </w:rPr>
            </w:pPr>
            <w:r>
              <w:rPr>
                <w:rFonts w:ascii="Arial" w:cs="Arial" w:eastAsia="Arial" w:hAnsi="Arial"/>
                <w:sz w:val="20"/>
                <w:szCs w:val="20"/>
                <w:color w:val="auto"/>
                <w:w w:val="78"/>
              </w:rPr>
              <w:t>11.</w:t>
            </w:r>
          </w:p>
        </w:tc>
        <w:tc>
          <w:tcPr>
            <w:tcW w:w="7700" w:type="dxa"/>
            <w:vAlign w:val="bottom"/>
            <w:vMerge w:val="restart"/>
          </w:tcPr>
          <w:p>
            <w:pPr>
              <w:ind w:left="200"/>
              <w:spacing w:after="0"/>
              <w:rPr>
                <w:sz w:val="20"/>
                <w:szCs w:val="20"/>
                <w:color w:val="auto"/>
              </w:rPr>
            </w:pPr>
            <w:r>
              <w:rPr>
                <w:rFonts w:ascii="Arial" w:cs="Arial" w:eastAsia="Arial" w:hAnsi="Arial"/>
                <w:sz w:val="20"/>
                <w:szCs w:val="20"/>
                <w:color w:val="auto"/>
              </w:rPr>
              <w:t>TREASURY STOCK PURCHASE</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60" w:type="dxa"/>
            <w:vAlign w:val="bottom"/>
            <w:vMerge w:val="continue"/>
          </w:tcPr>
          <w:p>
            <w:pPr>
              <w:spacing w:after="0"/>
              <w:rPr>
                <w:sz w:val="24"/>
                <w:szCs w:val="24"/>
                <w:color w:val="auto"/>
              </w:rPr>
            </w:pPr>
          </w:p>
        </w:tc>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On April 25, 2008, the Company’s Board of Directors had authorized the repurchase of up to $200.0 million of the Company’s common stock. During the years ended December 31, 2009 and 2008, the Company purchased 2.6 million and 3.9 million shares, respectively, of the Company’s common stock at an average purchase price of $33.10 per share and $26.77 per share, respectively, which the Company holds in treasury. As of December 31, 2009, approximately $10.2 million remained available under the April 25, 2008 plan, however, the April 25, 2008 plan was subsequently terminated in March, 2010 with no further repurchase activity. On March 10, 2010, the Company’s Board of Directors authorized the repurchase of up to $200.0 million of the Company’s common stock. During the year ended De cember 31, 2010, the Company purchased 0.6 million shares of the Company’s common stock at an average purchase price of $37.68 per share for a total amount of $23.5 million, which the Company holds in treasury. As of December 31, 2010, approximately $176.4 million remained available under the plan for the repurchase of the Company’s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two stock option plans under which shares were available for grant at December 31, 2010: the Hansen Natural Corporation Amended and Restated 2001 Stock Option Plan (the “2001 Option Plan”) and the 2009 Hansen Natural Corporation Stock Incentive Plan for Non-Employee Directors (the “2009 Directors Plan”).</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2001 Option Plan permits the granting of options to purchase up to 22,000,000 shares of the common stock of the Company to certain key employees or non-employees of the Company and its subsidiaries. Options granted under the 2001 Option Plan may be incentive stock options under Section 422 of the Internal Revenue Code, as amended, non-qualified stock options or stock appreciation rights. The Compensation Committee of the Board of Directors (the “Compensation Committee”) has sole and exclusive authority to grant stock option awards to all employees who are not new hires and to all new hires who are subject to Section 16 of the Exchange Act. The Compensation Committee and the Executive Committee of the Board of Directors (the “Executive Committee”) each independently has the authority to grant awards to new hires who are not Section 16 emp loyees. Awards granted by the Executive Committee are not subject to approval or ratification by the Board or the Compensation Committee. Outstanding options under the 2001 Option Plan generally vest over five years from the grant date and are generally exercisable up to 10 years after the grant date. As of December 31, 2010, options to purchase 19,065,900 shares of the Company’s common stock had been granted, net of cancellations, and options to purchase 2,934,100 shares of the Company’s common stock remain available for grant under the 2001 Option Plan.</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2009 Directors Plan permits the granting of options, stock appreciation rights (each, an “SAR”), and other stock-based awards to purchase up to an aggregate of 800,000 shares of common stock of the Company to non-employee directors of the Company. The 2009 Directors Plan is administered by the Board of Directors. Each award granted under the 2009 Directors Plan will be evidenced by a written agreement and will contain the terms and conditions that the Board of Directors deems appropriate. The Board of Directors may grant such awards on the last business day prior to the date of the annual meeting of stockholders. Any award granted under the 2009 Directors Plan will vest, with respect to 100% of such award, on the last business day prior to the date of the annual meeting, in the calendar year following the calendar year in which such award is granted. The Board o f Directors may determine the exercise price per share of the Company’s common stock under each option, but such price may not be less than 100% of the closing price of the Company’s common stock on the date an option is granted. Option grants may be made under the 2009 Directors Plan for 10 years from June 4, 2009. The Board of Directors may also grant SARs, independently, or in connection with an option grant. The Board of Directors may determine the exercise price per share of the Company’s common stock under each SAR, but such price may not be less than the greater of (i) the fair market value of a share on the date the SAR is granted and (ii) the price of the related option, if the SAR is granted in connection with an option grant. Additionally, the Board of Directors may grant other stock-based awards, which include awards of shares of the Company’s common stock, restricted shares of the Company’s common stock, and awards that are valued based on the fair market value of shares of the Company’s common stock. SARs and other stock-based awards are subject to the general provisions of the 2009 Directors Plan. The Board of Directors may amend or terminate the 2009 Directors Plan at any time. As of December 31, 2010, options to purchase 16,695 shares of the Company’s common stock had been granted under the 2009 Directors Plan, and options to purchase 783,305 shares of the Company’s common stock remained available for grant.</w:t>
      </w:r>
    </w:p>
    <w:p>
      <w:pPr>
        <w:sectPr>
          <w:pgSz w:w="11900" w:h="16838" w:orient="portrait"/>
          <w:cols w:equalWidth="0" w:num="1">
            <w:col w:w="11420"/>
          </w:cols>
          <w:pgMar w:left="240" w:top="122" w:right="23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63" w:name="page64"/>
    <w:bookmarkEnd w:id="63"/>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2005 Directors Plan, which was replaced by the 2009 Directors Plan, permitted the granting of options to purchase up to an aggregate of 800,000 shares of common stock of the Company to non-employee directors of the Company. On the date of the annual meeting of stockholders at which an eligible director was initially elected, each eligible director was entitled to receive a one-time grant of an option to purchase 24,000 shares of the Company’s common stock exercisable at the closing price for a share of common stock on the date of grant. Additionally, on the fifth anniversary of the election of eligible directors elected or appointed to the Board of Directors, and each fifth anniversary thereafter, each eligible director was to receive an additional grant of an option to purchase 19,200 shares of the Company’s common stock. Options became exercisable in four equa l installments, with the grant immediately vested with respect to 25% of the grant and the remaining installments vesting on the three successive anniversaries of the date of grant; provided that all options held by an eligible director became fully and immediately exercisable upon a change in control of the Company. Options granted under the 2005 Directors Plan that were not exercised generally expired 10 years after the date of grant. Option grants could be made under the 2005 Directors Plan for 10 years from the effective date of the 2005 Directors Plan. The 2005 Directors Plan was a “formula plan” so that a non-employee director’s participation in the 2005 Directors Plan did not affect his status as a “disinterested person” (as defined in Rule 16b-3 of the Exchange Act). As of December 31, 2009, options to purchase 76,800 shares of the Company’s common stock had been granted under the 2005 Directors Plan.</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Under the Company’s stock option plans, all grants are made at prices based on the fair-value of the options on the date of grant. The Company recorded $16.9 million, $14.0 million and $13.9 million of compensation expense relating to outstanding options during the years ended December 31, 2010, 2009 and 2008, respectively. Refer to “Change in Estimated Forfeiture Rate” within this Note 12 for additional information.</w:t>
      </w:r>
    </w:p>
    <w:p>
      <w:pPr>
        <w:spacing w:after="0" w:line="20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and (2) the date at which the non-employee’s performance is complete, using the Black-Scholes-Merton option pricing formula with the assumptions included in the table below. The Company uses historical data to determine the exercise behavior, volatility and forfeiture rate of the options. The following weighted-average assumptions were used to estimate the fair value of options granted during the years ended December 31, 2010, 2009 and 2008, respectively:</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246"/>
        </w:trPr>
        <w:tc>
          <w:tcPr>
            <w:tcW w:w="326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2010</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2009</w:t>
            </w:r>
          </w:p>
        </w:tc>
        <w:tc>
          <w:tcPr>
            <w:tcW w:w="300" w:type="dxa"/>
            <w:vAlign w:val="bottom"/>
          </w:tcPr>
          <w:p>
            <w:pPr>
              <w:spacing w:after="0"/>
              <w:rPr>
                <w:sz w:val="21"/>
                <w:szCs w:val="21"/>
                <w:color w:val="auto"/>
              </w:rPr>
            </w:pPr>
          </w:p>
        </w:tc>
        <w:tc>
          <w:tcPr>
            <w:tcW w:w="15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2008</w:t>
            </w:r>
          </w:p>
        </w:tc>
        <w:tc>
          <w:tcPr>
            <w:tcW w:w="0" w:type="dxa"/>
            <w:vAlign w:val="bottom"/>
          </w:tcPr>
          <w:p>
            <w:pPr>
              <w:spacing w:after="0"/>
              <w:rPr>
                <w:sz w:val="1"/>
                <w:szCs w:val="1"/>
                <w:color w:val="auto"/>
              </w:rPr>
            </w:pPr>
          </w:p>
        </w:tc>
      </w:tr>
      <w:tr>
        <w:trPr>
          <w:trHeight w:val="206"/>
        </w:trPr>
        <w:tc>
          <w:tcPr>
            <w:tcW w:w="3260" w:type="dxa"/>
            <w:vAlign w:val="bottom"/>
            <w:vMerge w:val="continue"/>
          </w:tcPr>
          <w:p>
            <w:pPr>
              <w:spacing w:after="0"/>
              <w:rPr>
                <w:sz w:val="17"/>
                <w:szCs w:val="17"/>
                <w:color w:val="auto"/>
              </w:rPr>
            </w:pPr>
          </w:p>
        </w:tc>
        <w:tc>
          <w:tcPr>
            <w:tcW w:w="136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80" w:type="dxa"/>
            <w:vAlign w:val="bottom"/>
          </w:tcPr>
          <w:p>
            <w:pPr>
              <w:spacing w:after="0"/>
              <w:rPr>
                <w:sz w:val="17"/>
                <w:szCs w:val="17"/>
                <w:color w:val="auto"/>
              </w:rPr>
            </w:pPr>
          </w:p>
        </w:tc>
        <w:tc>
          <w:tcPr>
            <w:tcW w:w="136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300" w:type="dxa"/>
            <w:vAlign w:val="bottom"/>
          </w:tcPr>
          <w:p>
            <w:pPr>
              <w:spacing w:after="0"/>
              <w:rPr>
                <w:sz w:val="17"/>
                <w:szCs w:val="17"/>
                <w:color w:val="auto"/>
              </w:rPr>
            </w:pPr>
          </w:p>
        </w:tc>
        <w:tc>
          <w:tcPr>
            <w:tcW w:w="156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20"/>
                <w:szCs w:val="20"/>
                <w:color w:val="auto"/>
              </w:rPr>
              <w:t>Expected volatility</w:t>
            </w:r>
          </w:p>
        </w:tc>
        <w:tc>
          <w:tcPr>
            <w:tcW w:w="1360" w:type="dxa"/>
            <w:vAlign w:val="bottom"/>
          </w:tcPr>
          <w:p>
            <w:pPr>
              <w:jc w:val="right"/>
              <w:spacing w:after="0"/>
              <w:rPr>
                <w:sz w:val="20"/>
                <w:szCs w:val="20"/>
                <w:color w:val="auto"/>
              </w:rPr>
            </w:pPr>
            <w:r>
              <w:rPr>
                <w:rFonts w:ascii="Arial" w:cs="Arial" w:eastAsia="Arial" w:hAnsi="Arial"/>
                <w:sz w:val="20"/>
                <w:szCs w:val="20"/>
                <w:color w:val="auto"/>
              </w:rPr>
              <w:t>58.2 %</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62.8 %</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62.4 %</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20"/>
                <w:szCs w:val="20"/>
                <w:color w:val="auto"/>
              </w:rPr>
              <w:t>Risk free interest rate</w:t>
            </w:r>
          </w:p>
        </w:tc>
        <w:tc>
          <w:tcPr>
            <w:tcW w:w="1360" w:type="dxa"/>
            <w:vAlign w:val="bottom"/>
          </w:tcPr>
          <w:p>
            <w:pPr>
              <w:jc w:val="right"/>
              <w:spacing w:after="0"/>
              <w:rPr>
                <w:sz w:val="20"/>
                <w:szCs w:val="20"/>
                <w:color w:val="auto"/>
              </w:rPr>
            </w:pPr>
            <w:r>
              <w:rPr>
                <w:rFonts w:ascii="Arial" w:cs="Arial" w:eastAsia="Arial" w:hAnsi="Arial"/>
                <w:sz w:val="20"/>
                <w:szCs w:val="20"/>
                <w:color w:val="auto"/>
              </w:rPr>
              <w:t>1.9 %</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2.5 %</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3.4 %</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20"/>
                <w:szCs w:val="20"/>
                <w:color w:val="auto"/>
              </w:rPr>
              <w:t>Expected term</w:t>
            </w:r>
          </w:p>
        </w:tc>
        <w:tc>
          <w:tcPr>
            <w:tcW w:w="1640" w:type="dxa"/>
            <w:vAlign w:val="bottom"/>
            <w:gridSpan w:val="2"/>
          </w:tcPr>
          <w:p>
            <w:pPr>
              <w:ind w:left="580"/>
              <w:spacing w:after="0"/>
              <w:rPr>
                <w:sz w:val="20"/>
                <w:szCs w:val="20"/>
                <w:color w:val="auto"/>
              </w:rPr>
            </w:pPr>
            <w:r>
              <w:rPr>
                <w:rFonts w:ascii="Arial" w:cs="Arial" w:eastAsia="Arial" w:hAnsi="Arial"/>
                <w:sz w:val="20"/>
                <w:szCs w:val="20"/>
                <w:color w:val="auto"/>
              </w:rPr>
              <w:t>5.9 Years</w:t>
            </w:r>
          </w:p>
        </w:tc>
        <w:tc>
          <w:tcPr>
            <w:tcW w:w="1660" w:type="dxa"/>
            <w:vAlign w:val="bottom"/>
            <w:gridSpan w:val="2"/>
          </w:tcPr>
          <w:p>
            <w:pPr>
              <w:ind w:left="600"/>
              <w:spacing w:after="0"/>
              <w:rPr>
                <w:sz w:val="20"/>
                <w:szCs w:val="20"/>
                <w:color w:val="auto"/>
              </w:rPr>
            </w:pPr>
            <w:r>
              <w:rPr>
                <w:rFonts w:ascii="Arial" w:cs="Arial" w:eastAsia="Arial" w:hAnsi="Arial"/>
                <w:sz w:val="20"/>
                <w:szCs w:val="20"/>
                <w:color w:val="auto"/>
              </w:rPr>
              <w:t>6.4 Years</w:t>
            </w:r>
          </w:p>
        </w:tc>
        <w:tc>
          <w:tcPr>
            <w:tcW w:w="1560" w:type="dxa"/>
            <w:vAlign w:val="bottom"/>
          </w:tcPr>
          <w:p>
            <w:pPr>
              <w:jc w:val="right"/>
              <w:spacing w:after="0"/>
              <w:rPr>
                <w:sz w:val="20"/>
                <w:szCs w:val="20"/>
                <w:color w:val="auto"/>
              </w:rPr>
            </w:pPr>
            <w:r>
              <w:rPr>
                <w:rFonts w:ascii="Arial" w:cs="Arial" w:eastAsia="Arial" w:hAnsi="Arial"/>
                <w:sz w:val="20"/>
                <w:szCs w:val="20"/>
                <w:color w:val="auto"/>
              </w:rPr>
              <w:t>5.7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Company uses historical volatility as it provides a reasonable estimate of the expected volatility. Historical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b w:val="1"/>
          <w:bCs w:val="1"/>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expected term of the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The Company’s expected term represents the weighted-average period that the Company’s stock options are expected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21"/>
                <w:szCs w:val="21"/>
                <w:color w:val="auto"/>
                <w:w w:val="89"/>
              </w:rPr>
              <w:t>Weighted-</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316"/>
              <w:spacing w:after="0"/>
              <w:rPr>
                <w:sz w:val="20"/>
                <w:szCs w:val="20"/>
                <w:color w:val="auto"/>
              </w:rPr>
            </w:pPr>
            <w:r>
              <w:rPr>
                <w:rFonts w:ascii="Arial" w:cs="Arial" w:eastAsia="Arial" w:hAnsi="Arial"/>
                <w:sz w:val="21"/>
                <w:szCs w:val="21"/>
                <w:color w:val="auto"/>
                <w:w w:val="87"/>
              </w:rPr>
              <w:t>Weighted-</w:t>
            </w:r>
          </w:p>
        </w:tc>
        <w:tc>
          <w:tcPr>
            <w:tcW w:w="1600" w:type="dxa"/>
            <w:vAlign w:val="bottom"/>
          </w:tcPr>
          <w:p>
            <w:pPr>
              <w:jc w:val="center"/>
              <w:spacing w:after="0"/>
              <w:rPr>
                <w:sz w:val="20"/>
                <w:szCs w:val="20"/>
                <w:color w:val="auto"/>
              </w:rPr>
            </w:pPr>
            <w:r>
              <w:rPr>
                <w:rFonts w:ascii="Arial" w:cs="Arial" w:eastAsia="Arial" w:hAnsi="Arial"/>
                <w:sz w:val="21"/>
                <w:szCs w:val="21"/>
                <w:color w:val="auto"/>
                <w:w w:val="86"/>
              </w:rPr>
              <w:t>Average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316"/>
              <w:spacing w:after="0"/>
              <w:rPr>
                <w:sz w:val="20"/>
                <w:szCs w:val="20"/>
                <w:color w:val="auto"/>
              </w:rPr>
            </w:pPr>
            <w:r>
              <w:rPr>
                <w:rFonts w:ascii="Arial" w:cs="Arial" w:eastAsia="Arial" w:hAnsi="Arial"/>
                <w:sz w:val="21"/>
                <w:szCs w:val="21"/>
                <w:color w:val="auto"/>
                <w:w w:val="86"/>
              </w:rPr>
              <w:t>Average</w:t>
            </w:r>
          </w:p>
        </w:tc>
        <w:tc>
          <w:tcPr>
            <w:tcW w:w="1600" w:type="dxa"/>
            <w:vAlign w:val="bottom"/>
          </w:tcPr>
          <w:p>
            <w:pPr>
              <w:jc w:val="center"/>
              <w:spacing w:after="0"/>
              <w:rPr>
                <w:sz w:val="20"/>
                <w:szCs w:val="20"/>
                <w:color w:val="auto"/>
              </w:rPr>
            </w:pPr>
            <w:r>
              <w:rPr>
                <w:rFonts w:ascii="Arial" w:cs="Arial" w:eastAsia="Arial" w:hAnsi="Arial"/>
                <w:sz w:val="21"/>
                <w:szCs w:val="21"/>
                <w:color w:val="auto"/>
                <w:w w:val="91"/>
              </w:rPr>
              <w:t>Remaining</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540" w:type="dxa"/>
            <w:vAlign w:val="bottom"/>
          </w:tcPr>
          <w:p>
            <w:pPr>
              <w:jc w:val="center"/>
              <w:ind w:left="796"/>
              <w:spacing w:after="0"/>
              <w:rPr>
                <w:sz w:val="20"/>
                <w:szCs w:val="20"/>
                <w:color w:val="auto"/>
              </w:rPr>
            </w:pPr>
            <w:r>
              <w:rPr>
                <w:rFonts w:ascii="Arial" w:cs="Arial" w:eastAsia="Arial" w:hAnsi="Arial"/>
                <w:sz w:val="21"/>
                <w:szCs w:val="21"/>
                <w:color w:val="auto"/>
                <w:w w:val="93"/>
              </w:rPr>
              <w:t>Number of</w:t>
            </w:r>
          </w:p>
        </w:tc>
        <w:tc>
          <w:tcPr>
            <w:tcW w:w="400" w:type="dxa"/>
            <w:vAlign w:val="bottom"/>
          </w:tcPr>
          <w:p>
            <w:pPr>
              <w:spacing w:after="0"/>
              <w:rPr>
                <w:sz w:val="21"/>
                <w:szCs w:val="21"/>
                <w:color w:val="auto"/>
              </w:rPr>
            </w:pPr>
          </w:p>
        </w:tc>
        <w:tc>
          <w:tcPr>
            <w:tcW w:w="1300" w:type="dxa"/>
            <w:vAlign w:val="bottom"/>
          </w:tcPr>
          <w:p>
            <w:pPr>
              <w:jc w:val="center"/>
              <w:ind w:right="316"/>
              <w:spacing w:after="0"/>
              <w:rPr>
                <w:sz w:val="20"/>
                <w:szCs w:val="20"/>
                <w:color w:val="auto"/>
              </w:rPr>
            </w:pPr>
            <w:r>
              <w:rPr>
                <w:rFonts w:ascii="Arial" w:cs="Arial" w:eastAsia="Arial" w:hAnsi="Arial"/>
                <w:sz w:val="21"/>
                <w:szCs w:val="21"/>
                <w:color w:val="auto"/>
                <w:w w:val="89"/>
              </w:rPr>
              <w:t>Exercise</w:t>
            </w:r>
          </w:p>
        </w:tc>
        <w:tc>
          <w:tcPr>
            <w:tcW w:w="1600" w:type="dxa"/>
            <w:vAlign w:val="bottom"/>
          </w:tcPr>
          <w:p>
            <w:pPr>
              <w:jc w:val="center"/>
              <w:spacing w:after="0"/>
              <w:rPr>
                <w:sz w:val="20"/>
                <w:szCs w:val="20"/>
                <w:color w:val="auto"/>
              </w:rPr>
            </w:pPr>
            <w:r>
              <w:rPr>
                <w:rFonts w:ascii="Arial" w:cs="Arial" w:eastAsia="Arial" w:hAnsi="Arial"/>
                <w:sz w:val="21"/>
                <w:szCs w:val="21"/>
                <w:color w:val="auto"/>
                <w:w w:val="89"/>
              </w:rPr>
              <w:t>Contractual</w:t>
            </w:r>
          </w:p>
        </w:tc>
        <w:tc>
          <w:tcPr>
            <w:tcW w:w="380" w:type="dxa"/>
            <w:vAlign w:val="bottom"/>
          </w:tcPr>
          <w:p>
            <w:pPr>
              <w:spacing w:after="0"/>
              <w:rPr>
                <w:sz w:val="21"/>
                <w:szCs w:val="21"/>
                <w:color w:val="auto"/>
              </w:rPr>
            </w:pPr>
          </w:p>
        </w:tc>
        <w:tc>
          <w:tcPr>
            <w:tcW w:w="1240" w:type="dxa"/>
            <w:vAlign w:val="bottom"/>
          </w:tcPr>
          <w:p>
            <w:pPr>
              <w:jc w:val="center"/>
              <w:ind w:right="236"/>
              <w:spacing w:after="0"/>
              <w:rPr>
                <w:sz w:val="20"/>
                <w:szCs w:val="20"/>
                <w:color w:val="auto"/>
              </w:rPr>
            </w:pPr>
            <w:r>
              <w:rPr>
                <w:rFonts w:ascii="Arial" w:cs="Arial" w:eastAsia="Arial" w:hAnsi="Arial"/>
                <w:sz w:val="21"/>
                <w:szCs w:val="21"/>
                <w:color w:val="auto"/>
                <w:w w:val="88"/>
              </w:rPr>
              <w:t>Aggregate</w:t>
            </w: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540" w:type="dxa"/>
            <w:vAlign w:val="bottom"/>
          </w:tcPr>
          <w:p>
            <w:pPr>
              <w:jc w:val="center"/>
              <w:ind w:left="796"/>
              <w:spacing w:after="0"/>
              <w:rPr>
                <w:sz w:val="20"/>
                <w:szCs w:val="20"/>
                <w:color w:val="auto"/>
              </w:rPr>
            </w:pPr>
            <w:r>
              <w:rPr>
                <w:rFonts w:ascii="Arial" w:cs="Arial" w:eastAsia="Arial" w:hAnsi="Arial"/>
                <w:sz w:val="21"/>
                <w:szCs w:val="21"/>
                <w:color w:val="auto"/>
                <w:w w:val="86"/>
              </w:rPr>
              <w:t>Shares (In</w:t>
            </w:r>
          </w:p>
        </w:tc>
        <w:tc>
          <w:tcPr>
            <w:tcW w:w="400" w:type="dxa"/>
            <w:vAlign w:val="bottom"/>
          </w:tcPr>
          <w:p>
            <w:pPr>
              <w:spacing w:after="0"/>
              <w:rPr>
                <w:sz w:val="21"/>
                <w:szCs w:val="21"/>
                <w:color w:val="auto"/>
              </w:rPr>
            </w:pPr>
          </w:p>
        </w:tc>
        <w:tc>
          <w:tcPr>
            <w:tcW w:w="1300" w:type="dxa"/>
            <w:vAlign w:val="bottom"/>
          </w:tcPr>
          <w:p>
            <w:pPr>
              <w:jc w:val="center"/>
              <w:ind w:right="316"/>
              <w:spacing w:after="0"/>
              <w:rPr>
                <w:sz w:val="20"/>
                <w:szCs w:val="20"/>
                <w:color w:val="auto"/>
              </w:rPr>
            </w:pPr>
            <w:r>
              <w:rPr>
                <w:rFonts w:ascii="Arial" w:cs="Arial" w:eastAsia="Arial" w:hAnsi="Arial"/>
                <w:sz w:val="21"/>
                <w:szCs w:val="21"/>
                <w:color w:val="auto"/>
                <w:w w:val="87"/>
              </w:rPr>
              <w:t>Price Per</w:t>
            </w:r>
          </w:p>
        </w:tc>
        <w:tc>
          <w:tcPr>
            <w:tcW w:w="1600" w:type="dxa"/>
            <w:vAlign w:val="bottom"/>
          </w:tcPr>
          <w:p>
            <w:pPr>
              <w:jc w:val="center"/>
              <w:spacing w:after="0"/>
              <w:rPr>
                <w:sz w:val="20"/>
                <w:szCs w:val="20"/>
                <w:color w:val="auto"/>
              </w:rPr>
            </w:pPr>
            <w:r>
              <w:rPr>
                <w:rFonts w:ascii="Arial" w:cs="Arial" w:eastAsia="Arial" w:hAnsi="Arial"/>
                <w:sz w:val="21"/>
                <w:szCs w:val="21"/>
                <w:color w:val="auto"/>
                <w:w w:val="90"/>
              </w:rPr>
              <w:t>Term (In</w:t>
            </w:r>
          </w:p>
        </w:tc>
        <w:tc>
          <w:tcPr>
            <w:tcW w:w="380" w:type="dxa"/>
            <w:vAlign w:val="bottom"/>
          </w:tcPr>
          <w:p>
            <w:pPr>
              <w:spacing w:after="0"/>
              <w:rPr>
                <w:sz w:val="21"/>
                <w:szCs w:val="21"/>
                <w:color w:val="auto"/>
              </w:rPr>
            </w:pPr>
          </w:p>
        </w:tc>
        <w:tc>
          <w:tcPr>
            <w:tcW w:w="1240" w:type="dxa"/>
            <w:vAlign w:val="bottom"/>
          </w:tcPr>
          <w:p>
            <w:pPr>
              <w:jc w:val="center"/>
              <w:ind w:right="236"/>
              <w:spacing w:after="0"/>
              <w:rPr>
                <w:sz w:val="20"/>
                <w:szCs w:val="20"/>
                <w:color w:val="auto"/>
              </w:rPr>
            </w:pPr>
            <w:r>
              <w:rPr>
                <w:rFonts w:ascii="Arial" w:cs="Arial" w:eastAsia="Arial" w:hAnsi="Arial"/>
                <w:sz w:val="21"/>
                <w:szCs w:val="21"/>
                <w:color w:val="auto"/>
                <w:w w:val="96"/>
              </w:rPr>
              <w:t>Intrinsic</w:t>
            </w:r>
          </w:p>
        </w:tc>
      </w:tr>
      <w:tr>
        <w:trPr>
          <w:trHeight w:val="256"/>
        </w:trPr>
        <w:tc>
          <w:tcPr>
            <w:tcW w:w="20" w:type="dxa"/>
            <w:vAlign w:val="bottom"/>
          </w:tcPr>
          <w:p>
            <w:pPr>
              <w:spacing w:after="0"/>
              <w:rPr>
                <w:sz w:val="22"/>
                <w:szCs w:val="22"/>
                <w:color w:val="auto"/>
              </w:rPr>
            </w:pPr>
          </w:p>
        </w:tc>
        <w:tc>
          <w:tcPr>
            <w:tcW w:w="3940" w:type="dxa"/>
            <w:vAlign w:val="bottom"/>
            <w:tcBorders>
              <w:bottom w:val="single" w:sz="8" w:color="auto"/>
            </w:tcBorders>
          </w:tcPr>
          <w:p>
            <w:pPr>
              <w:ind w:left="2000"/>
              <w:spacing w:after="0"/>
              <w:rPr>
                <w:sz w:val="20"/>
                <w:szCs w:val="20"/>
                <w:color w:val="auto"/>
              </w:rPr>
            </w:pPr>
            <w:r>
              <w:rPr>
                <w:rFonts w:ascii="Arial" w:cs="Arial" w:eastAsia="Arial" w:hAnsi="Arial"/>
                <w:sz w:val="21"/>
                <w:szCs w:val="21"/>
                <w:color w:val="auto"/>
              </w:rPr>
              <w:t>Options</w:t>
            </w:r>
          </w:p>
        </w:tc>
        <w:tc>
          <w:tcPr>
            <w:tcW w:w="2540" w:type="dxa"/>
            <w:vAlign w:val="bottom"/>
            <w:tcBorders>
              <w:bottom w:val="single" w:sz="8" w:color="auto"/>
            </w:tcBorders>
          </w:tcPr>
          <w:p>
            <w:pPr>
              <w:jc w:val="center"/>
              <w:ind w:left="796"/>
              <w:spacing w:after="0"/>
              <w:rPr>
                <w:sz w:val="20"/>
                <w:szCs w:val="20"/>
                <w:color w:val="auto"/>
              </w:rPr>
            </w:pPr>
            <w:r>
              <w:rPr>
                <w:rFonts w:ascii="Arial" w:cs="Arial" w:eastAsia="Arial" w:hAnsi="Arial"/>
                <w:sz w:val="21"/>
                <w:szCs w:val="21"/>
                <w:color w:val="auto"/>
                <w:w w:val="86"/>
              </w:rPr>
              <w:t>Thousands)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16"/>
              <w:spacing w:after="0"/>
              <w:rPr>
                <w:sz w:val="20"/>
                <w:szCs w:val="20"/>
                <w:color w:val="auto"/>
              </w:rPr>
            </w:pPr>
            <w:r>
              <w:rPr>
                <w:rFonts w:ascii="Arial" w:cs="Arial" w:eastAsia="Arial" w:hAnsi="Arial"/>
                <w:sz w:val="21"/>
                <w:szCs w:val="21"/>
                <w:color w:val="auto"/>
                <w:w w:val="85"/>
              </w:rPr>
              <w:t>Share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4"/>
              </w:rPr>
              <w:t>Years)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236"/>
              <w:spacing w:after="0"/>
              <w:rPr>
                <w:sz w:val="20"/>
                <w:szCs w:val="20"/>
                <w:color w:val="auto"/>
              </w:rPr>
            </w:pPr>
            <w:r>
              <w:rPr>
                <w:rFonts w:ascii="Arial" w:cs="Arial" w:eastAsia="Arial" w:hAnsi="Arial"/>
                <w:sz w:val="21"/>
                <w:szCs w:val="21"/>
                <w:color w:val="auto"/>
                <w:w w:val="85"/>
              </w:rPr>
              <w:t>Value</w:t>
            </w:r>
          </w:p>
        </w:tc>
      </w:tr>
      <w:tr>
        <w:trPr>
          <w:trHeight w:val="223"/>
        </w:trPr>
        <w:tc>
          <w:tcPr>
            <w:tcW w:w="20" w:type="dxa"/>
            <w:vAlign w:val="bottom"/>
          </w:tcPr>
          <w:p>
            <w:pPr>
              <w:spacing w:after="0"/>
              <w:rPr>
                <w:sz w:val="19"/>
                <w:szCs w:val="19"/>
                <w:color w:val="auto"/>
              </w:rPr>
            </w:pPr>
          </w:p>
        </w:tc>
        <w:tc>
          <w:tcPr>
            <w:tcW w:w="3940" w:type="dxa"/>
            <w:vAlign w:val="bottom"/>
          </w:tcPr>
          <w:p>
            <w:pPr>
              <w:spacing w:after="0" w:line="223" w:lineRule="exact"/>
              <w:rPr>
                <w:sz w:val="20"/>
                <w:szCs w:val="20"/>
                <w:color w:val="auto"/>
              </w:rPr>
            </w:pPr>
            <w:r>
              <w:rPr>
                <w:rFonts w:ascii="Arial" w:cs="Arial" w:eastAsia="Arial" w:hAnsi="Arial"/>
                <w:sz w:val="21"/>
                <w:szCs w:val="21"/>
                <w:color w:val="auto"/>
              </w:rPr>
              <w:t>Balance at January 1, 2010</w:t>
            </w:r>
          </w:p>
        </w:tc>
        <w:tc>
          <w:tcPr>
            <w:tcW w:w="2540" w:type="dxa"/>
            <w:vAlign w:val="bottom"/>
          </w:tcPr>
          <w:p>
            <w:pPr>
              <w:jc w:val="right"/>
              <w:ind w:right="156"/>
              <w:spacing w:after="0" w:line="223" w:lineRule="exact"/>
              <w:rPr>
                <w:sz w:val="20"/>
                <w:szCs w:val="20"/>
                <w:color w:val="auto"/>
              </w:rPr>
            </w:pPr>
            <w:r>
              <w:rPr>
                <w:rFonts w:ascii="Arial" w:cs="Arial" w:eastAsia="Arial" w:hAnsi="Arial"/>
                <w:sz w:val="21"/>
                <w:szCs w:val="21"/>
                <w:color w:val="auto"/>
              </w:rPr>
              <w:t>10,705</w:t>
            </w:r>
          </w:p>
        </w:tc>
        <w:tc>
          <w:tcPr>
            <w:tcW w:w="40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300" w:type="dxa"/>
            <w:vAlign w:val="bottom"/>
          </w:tcPr>
          <w:p>
            <w:pPr>
              <w:jc w:val="right"/>
              <w:ind w:right="216"/>
              <w:spacing w:after="0" w:line="223" w:lineRule="exact"/>
              <w:rPr>
                <w:sz w:val="20"/>
                <w:szCs w:val="20"/>
                <w:color w:val="auto"/>
              </w:rPr>
            </w:pPr>
            <w:r>
              <w:rPr>
                <w:rFonts w:ascii="Arial" w:cs="Arial" w:eastAsia="Arial" w:hAnsi="Arial"/>
                <w:sz w:val="21"/>
                <w:szCs w:val="21"/>
                <w:color w:val="auto"/>
              </w:rPr>
              <w:t>15.37</w:t>
            </w:r>
          </w:p>
        </w:tc>
        <w:tc>
          <w:tcPr>
            <w:tcW w:w="1600" w:type="dxa"/>
            <w:vAlign w:val="bottom"/>
          </w:tcPr>
          <w:p>
            <w:pPr>
              <w:jc w:val="right"/>
              <w:ind w:right="156"/>
              <w:spacing w:after="0" w:line="223" w:lineRule="exact"/>
              <w:rPr>
                <w:sz w:val="20"/>
                <w:szCs w:val="20"/>
                <w:color w:val="auto"/>
              </w:rPr>
            </w:pPr>
            <w:r>
              <w:rPr>
                <w:rFonts w:ascii="Arial" w:cs="Arial" w:eastAsia="Arial" w:hAnsi="Arial"/>
                <w:sz w:val="21"/>
                <w:szCs w:val="21"/>
                <w:color w:val="auto"/>
              </w:rPr>
              <w:t>5.9</w:t>
            </w:r>
          </w:p>
        </w:tc>
        <w:tc>
          <w:tcPr>
            <w:tcW w:w="38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240" w:type="dxa"/>
            <w:vAlign w:val="bottom"/>
          </w:tcPr>
          <w:p>
            <w:pPr>
              <w:jc w:val="right"/>
              <w:spacing w:after="0" w:line="223" w:lineRule="exact"/>
              <w:rPr>
                <w:sz w:val="20"/>
                <w:szCs w:val="20"/>
                <w:color w:val="auto"/>
              </w:rPr>
            </w:pPr>
            <w:r>
              <w:rPr>
                <w:rFonts w:ascii="Arial" w:cs="Arial" w:eastAsia="Arial" w:hAnsi="Arial"/>
                <w:sz w:val="21"/>
                <w:szCs w:val="21"/>
                <w:color w:val="auto"/>
              </w:rPr>
              <w:t>248,288</w:t>
            </w:r>
          </w:p>
        </w:tc>
      </w:tr>
      <w:tr>
        <w:trPr>
          <w:trHeight w:val="243"/>
        </w:trPr>
        <w:tc>
          <w:tcPr>
            <w:tcW w:w="20" w:type="dxa"/>
            <w:vAlign w:val="bottom"/>
          </w:tcPr>
          <w:p>
            <w:pPr>
              <w:spacing w:after="0"/>
              <w:rPr>
                <w:sz w:val="21"/>
                <w:szCs w:val="21"/>
                <w:color w:val="auto"/>
              </w:rPr>
            </w:pPr>
          </w:p>
        </w:tc>
        <w:tc>
          <w:tcPr>
            <w:tcW w:w="3940" w:type="dxa"/>
            <w:vAlign w:val="bottom"/>
          </w:tcPr>
          <w:p>
            <w:pPr>
              <w:ind w:left="340"/>
              <w:spacing w:after="0"/>
              <w:rPr>
                <w:sz w:val="20"/>
                <w:szCs w:val="20"/>
                <w:color w:val="auto"/>
              </w:rPr>
            </w:pPr>
            <w:r>
              <w:rPr>
                <w:rFonts w:ascii="Arial" w:cs="Arial" w:eastAsia="Arial" w:hAnsi="Arial"/>
                <w:sz w:val="21"/>
                <w:szCs w:val="21"/>
                <w:color w:val="auto"/>
              </w:rPr>
              <w:t>Granted 01/01/10 - 03/31/10</w:t>
            </w:r>
          </w:p>
        </w:tc>
        <w:tc>
          <w:tcPr>
            <w:tcW w:w="2540" w:type="dxa"/>
            <w:vAlign w:val="bottom"/>
          </w:tcPr>
          <w:p>
            <w:pPr>
              <w:jc w:val="right"/>
              <w:ind w:right="156"/>
              <w:spacing w:after="0"/>
              <w:rPr>
                <w:sz w:val="20"/>
                <w:szCs w:val="20"/>
                <w:color w:val="auto"/>
              </w:rPr>
            </w:pPr>
            <w:r>
              <w:rPr>
                <w:rFonts w:ascii="Arial" w:cs="Arial" w:eastAsia="Arial" w:hAnsi="Arial"/>
                <w:sz w:val="21"/>
                <w:szCs w:val="21"/>
                <w:color w:val="auto"/>
              </w:rPr>
              <w:t>74</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216"/>
              <w:spacing w:after="0"/>
              <w:rPr>
                <w:sz w:val="20"/>
                <w:szCs w:val="20"/>
                <w:color w:val="auto"/>
              </w:rPr>
            </w:pPr>
            <w:r>
              <w:rPr>
                <w:rFonts w:ascii="Arial" w:cs="Arial" w:eastAsia="Arial" w:hAnsi="Arial"/>
                <w:sz w:val="21"/>
                <w:szCs w:val="21"/>
                <w:color w:val="auto"/>
              </w:rPr>
              <w:t>39.42</w:t>
            </w: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40" w:type="dxa"/>
            <w:vAlign w:val="bottom"/>
          </w:tcPr>
          <w:p>
            <w:pPr>
              <w:ind w:left="340"/>
              <w:spacing w:after="0"/>
              <w:rPr>
                <w:sz w:val="20"/>
                <w:szCs w:val="20"/>
                <w:color w:val="auto"/>
              </w:rPr>
            </w:pPr>
            <w:r>
              <w:rPr>
                <w:rFonts w:ascii="Arial" w:cs="Arial" w:eastAsia="Arial" w:hAnsi="Arial"/>
                <w:sz w:val="21"/>
                <w:szCs w:val="21"/>
                <w:color w:val="auto"/>
              </w:rPr>
              <w:t>Granted 04/01/10 - 06/30/10</w:t>
            </w:r>
          </w:p>
        </w:tc>
        <w:tc>
          <w:tcPr>
            <w:tcW w:w="2540" w:type="dxa"/>
            <w:vAlign w:val="bottom"/>
          </w:tcPr>
          <w:p>
            <w:pPr>
              <w:jc w:val="right"/>
              <w:ind w:right="156"/>
              <w:spacing w:after="0"/>
              <w:rPr>
                <w:sz w:val="20"/>
                <w:szCs w:val="20"/>
                <w:color w:val="auto"/>
              </w:rPr>
            </w:pPr>
            <w:r>
              <w:rPr>
                <w:rFonts w:ascii="Arial" w:cs="Arial" w:eastAsia="Arial" w:hAnsi="Arial"/>
                <w:sz w:val="21"/>
                <w:szCs w:val="21"/>
                <w:color w:val="auto"/>
              </w:rPr>
              <w:t>213</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216"/>
              <w:spacing w:after="0"/>
              <w:rPr>
                <w:sz w:val="20"/>
                <w:szCs w:val="20"/>
                <w:color w:val="auto"/>
              </w:rPr>
            </w:pPr>
            <w:r>
              <w:rPr>
                <w:rFonts w:ascii="Arial" w:cs="Arial" w:eastAsia="Arial" w:hAnsi="Arial"/>
                <w:sz w:val="21"/>
                <w:szCs w:val="21"/>
                <w:color w:val="auto"/>
              </w:rPr>
              <w:t>39.83</w:t>
            </w: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3940" w:type="dxa"/>
            <w:vAlign w:val="bottom"/>
          </w:tcPr>
          <w:p>
            <w:pPr>
              <w:ind w:left="340"/>
              <w:spacing w:after="0"/>
              <w:rPr>
                <w:sz w:val="20"/>
                <w:szCs w:val="20"/>
                <w:color w:val="auto"/>
              </w:rPr>
            </w:pPr>
            <w:r>
              <w:rPr>
                <w:rFonts w:ascii="Arial" w:cs="Arial" w:eastAsia="Arial" w:hAnsi="Arial"/>
                <w:sz w:val="21"/>
                <w:szCs w:val="21"/>
                <w:color w:val="auto"/>
              </w:rPr>
              <w:t>Granted 07/01/10 - 09/30/10</w:t>
            </w:r>
          </w:p>
        </w:tc>
        <w:tc>
          <w:tcPr>
            <w:tcW w:w="2540" w:type="dxa"/>
            <w:vAlign w:val="bottom"/>
          </w:tcPr>
          <w:p>
            <w:pPr>
              <w:jc w:val="right"/>
              <w:ind w:right="156"/>
              <w:spacing w:after="0"/>
              <w:rPr>
                <w:sz w:val="20"/>
                <w:szCs w:val="20"/>
                <w:color w:val="auto"/>
              </w:rPr>
            </w:pPr>
            <w:r>
              <w:rPr>
                <w:rFonts w:ascii="Arial" w:cs="Arial" w:eastAsia="Arial" w:hAnsi="Arial"/>
                <w:sz w:val="21"/>
                <w:szCs w:val="21"/>
                <w:color w:val="auto"/>
              </w:rPr>
              <w:t>138</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216"/>
              <w:spacing w:after="0"/>
              <w:rPr>
                <w:sz w:val="20"/>
                <w:szCs w:val="20"/>
                <w:color w:val="auto"/>
              </w:rPr>
            </w:pPr>
            <w:r>
              <w:rPr>
                <w:rFonts w:ascii="Arial" w:cs="Arial" w:eastAsia="Arial" w:hAnsi="Arial"/>
                <w:sz w:val="21"/>
                <w:szCs w:val="21"/>
                <w:color w:val="auto"/>
              </w:rPr>
              <w:t>41.57</w:t>
            </w:r>
          </w:p>
        </w:tc>
        <w:tc>
          <w:tcPr>
            <w:tcW w:w="1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ectPr>
          <w:pgSz w:w="11900" w:h="16838" w:orient="portrait"/>
          <w:cols w:equalWidth="0" w:num="1">
            <w:col w:w="11420"/>
          </w:cols>
          <w:pgMar w:left="240" w:top="571" w:right="2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Pr>
          <w:p>
            <w:pPr>
              <w:ind w:left="360"/>
              <w:spacing w:after="0"/>
              <w:rPr>
                <w:sz w:val="20"/>
                <w:szCs w:val="20"/>
                <w:color w:val="auto"/>
              </w:rPr>
            </w:pPr>
            <w:r>
              <w:rPr>
                <w:rFonts w:ascii="Arial" w:cs="Arial" w:eastAsia="Arial" w:hAnsi="Arial"/>
                <w:sz w:val="21"/>
                <w:szCs w:val="21"/>
                <w:color w:val="auto"/>
              </w:rPr>
              <w:t>Granted 10/01/10 - 12/31/10</w:t>
            </w:r>
          </w:p>
        </w:tc>
        <w:tc>
          <w:tcPr>
            <w:tcW w:w="1360" w:type="dxa"/>
            <w:vAlign w:val="bottom"/>
          </w:tcPr>
          <w:p>
            <w:pPr>
              <w:jc w:val="right"/>
              <w:ind w:right="20"/>
              <w:spacing w:after="0"/>
              <w:rPr>
                <w:sz w:val="20"/>
                <w:szCs w:val="20"/>
                <w:color w:val="auto"/>
              </w:rPr>
            </w:pPr>
            <w:r>
              <w:rPr>
                <w:rFonts w:ascii="Arial" w:cs="Arial" w:eastAsia="Arial" w:hAnsi="Arial"/>
                <w:sz w:val="21"/>
                <w:szCs w:val="21"/>
                <w:color w:val="auto"/>
              </w:rPr>
              <w:t>240</w:t>
            </w:r>
          </w:p>
        </w:tc>
        <w:tc>
          <w:tcPr>
            <w:tcW w:w="800" w:type="dxa"/>
            <w:vAlign w:val="bottom"/>
          </w:tcPr>
          <w:p>
            <w:pPr>
              <w:jc w:val="right"/>
              <w:ind w:right="176"/>
              <w:spacing w:after="0"/>
              <w:rPr>
                <w:sz w:val="20"/>
                <w:szCs w:val="20"/>
                <w:color w:val="auto"/>
              </w:rPr>
            </w:pPr>
            <w:r>
              <w:rPr>
                <w:rFonts w:ascii="Arial" w:cs="Arial" w:eastAsia="Arial" w:hAnsi="Arial"/>
                <w:sz w:val="21"/>
                <w:szCs w:val="21"/>
                <w:color w:val="auto"/>
              </w:rPr>
              <w:t>$</w:t>
            </w:r>
          </w:p>
        </w:tc>
        <w:tc>
          <w:tcPr>
            <w:tcW w:w="1420" w:type="dxa"/>
            <w:vAlign w:val="bottom"/>
          </w:tcPr>
          <w:p>
            <w:pPr>
              <w:jc w:val="right"/>
              <w:ind w:right="596"/>
              <w:spacing w:after="0"/>
              <w:rPr>
                <w:sz w:val="20"/>
                <w:szCs w:val="20"/>
                <w:color w:val="auto"/>
              </w:rPr>
            </w:pPr>
            <w:r>
              <w:rPr>
                <w:rFonts w:ascii="Arial" w:cs="Arial" w:eastAsia="Arial" w:hAnsi="Arial"/>
                <w:sz w:val="21"/>
                <w:szCs w:val="21"/>
                <w:color w:val="auto"/>
              </w:rPr>
              <w:t>52.19</w:t>
            </w: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5000" w:type="dxa"/>
            <w:vAlign w:val="bottom"/>
          </w:tcPr>
          <w:p>
            <w:pPr>
              <w:ind w:left="360"/>
              <w:spacing w:after="0"/>
              <w:rPr>
                <w:sz w:val="20"/>
                <w:szCs w:val="20"/>
                <w:color w:val="auto"/>
              </w:rPr>
            </w:pPr>
            <w:r>
              <w:rPr>
                <w:rFonts w:ascii="Arial" w:cs="Arial" w:eastAsia="Arial" w:hAnsi="Arial"/>
                <w:sz w:val="21"/>
                <w:szCs w:val="21"/>
                <w:color w:val="auto"/>
              </w:rPr>
              <w:t>Exercised</w:t>
            </w:r>
          </w:p>
        </w:tc>
        <w:tc>
          <w:tcPr>
            <w:tcW w:w="1360" w:type="dxa"/>
            <w:vAlign w:val="bottom"/>
          </w:tcPr>
          <w:p>
            <w:pPr>
              <w:jc w:val="right"/>
              <w:spacing w:after="0"/>
              <w:rPr>
                <w:sz w:val="20"/>
                <w:szCs w:val="20"/>
                <w:color w:val="auto"/>
              </w:rPr>
            </w:pPr>
            <w:r>
              <w:rPr>
                <w:rFonts w:ascii="Arial" w:cs="Arial" w:eastAsia="Arial" w:hAnsi="Arial"/>
                <w:sz w:val="21"/>
                <w:szCs w:val="21"/>
                <w:color w:val="auto"/>
              </w:rPr>
              <w:t>(1,446)</w:t>
            </w:r>
          </w:p>
        </w:tc>
        <w:tc>
          <w:tcPr>
            <w:tcW w:w="800" w:type="dxa"/>
            <w:vAlign w:val="bottom"/>
          </w:tcPr>
          <w:p>
            <w:pPr>
              <w:jc w:val="right"/>
              <w:ind w:right="176"/>
              <w:spacing w:after="0"/>
              <w:rPr>
                <w:sz w:val="20"/>
                <w:szCs w:val="20"/>
                <w:color w:val="auto"/>
              </w:rPr>
            </w:pPr>
            <w:r>
              <w:rPr>
                <w:rFonts w:ascii="Arial" w:cs="Arial" w:eastAsia="Arial" w:hAnsi="Arial"/>
                <w:sz w:val="21"/>
                <w:szCs w:val="21"/>
                <w:color w:val="auto"/>
              </w:rPr>
              <w:t>$</w:t>
            </w:r>
          </w:p>
        </w:tc>
        <w:tc>
          <w:tcPr>
            <w:tcW w:w="1420" w:type="dxa"/>
            <w:vAlign w:val="bottom"/>
          </w:tcPr>
          <w:p>
            <w:pPr>
              <w:jc w:val="right"/>
              <w:ind w:right="596"/>
              <w:spacing w:after="0"/>
              <w:rPr>
                <w:sz w:val="20"/>
                <w:szCs w:val="20"/>
                <w:color w:val="auto"/>
              </w:rPr>
            </w:pPr>
            <w:r>
              <w:rPr>
                <w:rFonts w:ascii="Arial" w:cs="Arial" w:eastAsia="Arial" w:hAnsi="Arial"/>
                <w:sz w:val="21"/>
                <w:szCs w:val="21"/>
                <w:color w:val="auto"/>
              </w:rPr>
              <w:t>14.40</w:t>
            </w: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5000" w:type="dxa"/>
            <w:vAlign w:val="bottom"/>
          </w:tcPr>
          <w:p>
            <w:pPr>
              <w:ind w:left="360"/>
              <w:spacing w:after="0"/>
              <w:rPr>
                <w:sz w:val="20"/>
                <w:szCs w:val="20"/>
                <w:color w:val="auto"/>
              </w:rPr>
            </w:pPr>
            <w:r>
              <w:rPr>
                <w:rFonts w:ascii="Arial" w:cs="Arial" w:eastAsia="Arial" w:hAnsi="Arial"/>
                <w:sz w:val="21"/>
                <w:szCs w:val="21"/>
                <w:color w:val="auto"/>
              </w:rPr>
              <w:t>Cancelled or 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(175)</w:t>
            </w:r>
          </w:p>
        </w:tc>
        <w:tc>
          <w:tcPr>
            <w:tcW w:w="800" w:type="dxa"/>
            <w:vAlign w:val="bottom"/>
          </w:tcPr>
          <w:p>
            <w:pPr>
              <w:jc w:val="right"/>
              <w:ind w:right="176"/>
              <w:spacing w:after="0"/>
              <w:rPr>
                <w:sz w:val="20"/>
                <w:szCs w:val="20"/>
                <w:color w:val="auto"/>
              </w:rPr>
            </w:pPr>
            <w:r>
              <w:rPr>
                <w:rFonts w:ascii="Arial" w:cs="Arial" w:eastAsia="Arial" w:hAnsi="Arial"/>
                <w:sz w:val="21"/>
                <w:szCs w:val="21"/>
                <w:color w:val="auto"/>
              </w:rPr>
              <w:t>$</w:t>
            </w:r>
          </w:p>
        </w:tc>
        <w:tc>
          <w:tcPr>
            <w:tcW w:w="1420" w:type="dxa"/>
            <w:vAlign w:val="bottom"/>
          </w:tcPr>
          <w:p>
            <w:pPr>
              <w:jc w:val="right"/>
              <w:ind w:right="596"/>
              <w:spacing w:after="0"/>
              <w:rPr>
                <w:sz w:val="20"/>
                <w:szCs w:val="20"/>
                <w:color w:val="auto"/>
              </w:rPr>
            </w:pPr>
            <w:r>
              <w:rPr>
                <w:rFonts w:ascii="Arial" w:cs="Arial" w:eastAsia="Arial" w:hAnsi="Arial"/>
                <w:sz w:val="21"/>
                <w:szCs w:val="21"/>
                <w:color w:val="auto"/>
              </w:rPr>
              <w:t>34.29</w:t>
            </w: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3"/>
        </w:trPr>
        <w:tc>
          <w:tcPr>
            <w:tcW w:w="5000" w:type="dxa"/>
            <w:vAlign w:val="bottom"/>
          </w:tcPr>
          <w:p>
            <w:pPr>
              <w:spacing w:after="0" w:line="223" w:lineRule="exact"/>
              <w:rPr>
                <w:sz w:val="20"/>
                <w:szCs w:val="20"/>
                <w:color w:val="auto"/>
              </w:rPr>
            </w:pPr>
            <w:r>
              <w:rPr>
                <w:rFonts w:ascii="Arial" w:cs="Arial" w:eastAsia="Arial" w:hAnsi="Arial"/>
                <w:sz w:val="21"/>
                <w:szCs w:val="21"/>
                <w:color w:val="auto"/>
              </w:rPr>
              <w:t>Outstanding at December 31, 2010</w:t>
            </w:r>
          </w:p>
        </w:tc>
        <w:tc>
          <w:tcPr>
            <w:tcW w:w="1360" w:type="dxa"/>
            <w:vAlign w:val="bottom"/>
          </w:tcPr>
          <w:p>
            <w:pPr>
              <w:jc w:val="right"/>
              <w:ind w:right="20"/>
              <w:spacing w:after="0" w:line="223" w:lineRule="exact"/>
              <w:rPr>
                <w:sz w:val="20"/>
                <w:szCs w:val="20"/>
                <w:color w:val="auto"/>
              </w:rPr>
            </w:pPr>
            <w:r>
              <w:rPr>
                <w:rFonts w:ascii="Arial" w:cs="Arial" w:eastAsia="Arial" w:hAnsi="Arial"/>
                <w:sz w:val="21"/>
                <w:szCs w:val="21"/>
                <w:color w:val="auto"/>
              </w:rPr>
              <w:t>9,749</w:t>
            </w:r>
          </w:p>
        </w:tc>
        <w:tc>
          <w:tcPr>
            <w:tcW w:w="800" w:type="dxa"/>
            <w:vAlign w:val="bottom"/>
          </w:tcPr>
          <w:p>
            <w:pPr>
              <w:jc w:val="right"/>
              <w:ind w:right="176"/>
              <w:spacing w:after="0" w:line="223" w:lineRule="exact"/>
              <w:rPr>
                <w:sz w:val="20"/>
                <w:szCs w:val="20"/>
                <w:color w:val="auto"/>
              </w:rPr>
            </w:pPr>
            <w:r>
              <w:rPr>
                <w:rFonts w:ascii="Arial" w:cs="Arial" w:eastAsia="Arial" w:hAnsi="Arial"/>
                <w:sz w:val="21"/>
                <w:szCs w:val="21"/>
                <w:color w:val="auto"/>
              </w:rPr>
              <w:t>$</w:t>
            </w:r>
          </w:p>
        </w:tc>
        <w:tc>
          <w:tcPr>
            <w:tcW w:w="1420" w:type="dxa"/>
            <w:vAlign w:val="bottom"/>
          </w:tcPr>
          <w:p>
            <w:pPr>
              <w:jc w:val="right"/>
              <w:ind w:right="596"/>
              <w:spacing w:after="0" w:line="223" w:lineRule="exact"/>
              <w:rPr>
                <w:sz w:val="20"/>
                <w:szCs w:val="20"/>
                <w:color w:val="auto"/>
              </w:rPr>
            </w:pPr>
            <w:r>
              <w:rPr>
                <w:rFonts w:ascii="Arial" w:cs="Arial" w:eastAsia="Arial" w:hAnsi="Arial"/>
                <w:sz w:val="21"/>
                <w:szCs w:val="21"/>
                <w:color w:val="auto"/>
              </w:rPr>
              <w:t>17.18</w:t>
            </w:r>
          </w:p>
        </w:tc>
        <w:tc>
          <w:tcPr>
            <w:tcW w:w="1180" w:type="dxa"/>
            <w:vAlign w:val="bottom"/>
          </w:tcPr>
          <w:p>
            <w:pPr>
              <w:jc w:val="right"/>
              <w:ind w:right="116"/>
              <w:spacing w:after="0" w:line="223" w:lineRule="exact"/>
              <w:rPr>
                <w:sz w:val="20"/>
                <w:szCs w:val="20"/>
                <w:color w:val="auto"/>
              </w:rPr>
            </w:pPr>
            <w:r>
              <w:rPr>
                <w:rFonts w:ascii="Arial" w:cs="Arial" w:eastAsia="Arial" w:hAnsi="Arial"/>
                <w:sz w:val="21"/>
                <w:szCs w:val="21"/>
                <w:color w:val="auto"/>
              </w:rPr>
              <w:t>5.2</w:t>
            </w:r>
          </w:p>
        </w:tc>
        <w:tc>
          <w:tcPr>
            <w:tcW w:w="620" w:type="dxa"/>
            <w:vAlign w:val="bottom"/>
          </w:tcPr>
          <w:p>
            <w:pPr>
              <w:jc w:val="right"/>
              <w:ind w:right="176"/>
              <w:spacing w:after="0" w:line="223" w:lineRule="exact"/>
              <w:rPr>
                <w:sz w:val="20"/>
                <w:szCs w:val="20"/>
                <w:color w:val="auto"/>
              </w:rPr>
            </w:pPr>
            <w:r>
              <w:rPr>
                <w:rFonts w:ascii="Arial" w:cs="Arial" w:eastAsia="Arial" w:hAnsi="Arial"/>
                <w:sz w:val="21"/>
                <w:szCs w:val="21"/>
                <w:color w:val="auto"/>
              </w:rPr>
              <w:t>$</w:t>
            </w:r>
          </w:p>
        </w:tc>
        <w:tc>
          <w:tcPr>
            <w:tcW w:w="1080" w:type="dxa"/>
            <w:vAlign w:val="bottom"/>
          </w:tcPr>
          <w:p>
            <w:pPr>
              <w:jc w:val="right"/>
              <w:ind w:right="36"/>
              <w:spacing w:after="0" w:line="223" w:lineRule="exact"/>
              <w:rPr>
                <w:sz w:val="20"/>
                <w:szCs w:val="20"/>
                <w:color w:val="auto"/>
              </w:rPr>
            </w:pPr>
            <w:r>
              <w:rPr>
                <w:rFonts w:ascii="Arial" w:cs="Arial" w:eastAsia="Arial" w:hAnsi="Arial"/>
                <w:sz w:val="21"/>
                <w:szCs w:val="21"/>
                <w:color w:val="auto"/>
              </w:rPr>
              <w:t>342,241</w:t>
            </w:r>
          </w:p>
        </w:tc>
      </w:tr>
      <w:tr>
        <w:trPr>
          <w:trHeight w:val="243"/>
        </w:trPr>
        <w:tc>
          <w:tcPr>
            <w:tcW w:w="5000" w:type="dxa"/>
            <w:vAlign w:val="bottom"/>
          </w:tcPr>
          <w:p>
            <w:pPr>
              <w:spacing w:after="0"/>
              <w:rPr>
                <w:sz w:val="20"/>
                <w:szCs w:val="20"/>
                <w:color w:val="auto"/>
              </w:rPr>
            </w:pPr>
            <w:r>
              <w:rPr>
                <w:rFonts w:ascii="Arial" w:cs="Arial" w:eastAsia="Arial" w:hAnsi="Arial"/>
                <w:sz w:val="21"/>
                <w:szCs w:val="21"/>
                <w:color w:val="auto"/>
              </w:rPr>
              <w:t>Vested and expected to vest in the future at</w:t>
            </w:r>
          </w:p>
        </w:tc>
        <w:tc>
          <w:tcPr>
            <w:tcW w:w="1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21"/>
                <w:szCs w:val="21"/>
                <w:color w:val="auto"/>
              </w:rPr>
              <w:t>December 31, 2010</w:t>
            </w:r>
          </w:p>
        </w:tc>
        <w:tc>
          <w:tcPr>
            <w:tcW w:w="1360" w:type="dxa"/>
            <w:vAlign w:val="bottom"/>
          </w:tcPr>
          <w:p>
            <w:pPr>
              <w:jc w:val="right"/>
              <w:ind w:right="20"/>
              <w:spacing w:after="0"/>
              <w:rPr>
                <w:sz w:val="20"/>
                <w:szCs w:val="20"/>
                <w:color w:val="auto"/>
              </w:rPr>
            </w:pPr>
            <w:r>
              <w:rPr>
                <w:rFonts w:ascii="Arial" w:cs="Arial" w:eastAsia="Arial" w:hAnsi="Arial"/>
                <w:sz w:val="21"/>
                <w:szCs w:val="21"/>
                <w:color w:val="auto"/>
              </w:rPr>
              <w:t>9,326</w:t>
            </w:r>
          </w:p>
        </w:tc>
        <w:tc>
          <w:tcPr>
            <w:tcW w:w="800" w:type="dxa"/>
            <w:vAlign w:val="bottom"/>
          </w:tcPr>
          <w:p>
            <w:pPr>
              <w:jc w:val="right"/>
              <w:ind w:right="176"/>
              <w:spacing w:after="0"/>
              <w:rPr>
                <w:sz w:val="20"/>
                <w:szCs w:val="20"/>
                <w:color w:val="auto"/>
              </w:rPr>
            </w:pPr>
            <w:r>
              <w:rPr>
                <w:rFonts w:ascii="Arial" w:cs="Arial" w:eastAsia="Arial" w:hAnsi="Arial"/>
                <w:sz w:val="21"/>
                <w:szCs w:val="21"/>
                <w:color w:val="auto"/>
              </w:rPr>
              <w:t>$</w:t>
            </w:r>
          </w:p>
        </w:tc>
        <w:tc>
          <w:tcPr>
            <w:tcW w:w="1420" w:type="dxa"/>
            <w:vAlign w:val="bottom"/>
          </w:tcPr>
          <w:p>
            <w:pPr>
              <w:jc w:val="right"/>
              <w:ind w:right="596"/>
              <w:spacing w:after="0"/>
              <w:rPr>
                <w:sz w:val="20"/>
                <w:szCs w:val="20"/>
                <w:color w:val="auto"/>
              </w:rPr>
            </w:pPr>
            <w:r>
              <w:rPr>
                <w:rFonts w:ascii="Arial" w:cs="Arial" w:eastAsia="Arial" w:hAnsi="Arial"/>
                <w:sz w:val="21"/>
                <w:szCs w:val="21"/>
                <w:color w:val="auto"/>
              </w:rPr>
              <w:t>16.25</w:t>
            </w:r>
          </w:p>
        </w:tc>
        <w:tc>
          <w:tcPr>
            <w:tcW w:w="1180" w:type="dxa"/>
            <w:vAlign w:val="bottom"/>
          </w:tcPr>
          <w:p>
            <w:pPr>
              <w:jc w:val="right"/>
              <w:ind w:right="116"/>
              <w:spacing w:after="0"/>
              <w:rPr>
                <w:sz w:val="20"/>
                <w:szCs w:val="20"/>
                <w:color w:val="auto"/>
              </w:rPr>
            </w:pPr>
            <w:r>
              <w:rPr>
                <w:rFonts w:ascii="Arial" w:cs="Arial" w:eastAsia="Arial" w:hAnsi="Arial"/>
                <w:sz w:val="21"/>
                <w:szCs w:val="21"/>
                <w:color w:val="auto"/>
              </w:rPr>
              <w:t>5.0</w:t>
            </w:r>
          </w:p>
        </w:tc>
        <w:tc>
          <w:tcPr>
            <w:tcW w:w="620" w:type="dxa"/>
            <w:vAlign w:val="bottom"/>
          </w:tcPr>
          <w:p>
            <w:pPr>
              <w:jc w:val="right"/>
              <w:ind w:right="176"/>
              <w:spacing w:after="0"/>
              <w:rPr>
                <w:sz w:val="20"/>
                <w:szCs w:val="20"/>
                <w:color w:val="auto"/>
              </w:rPr>
            </w:pPr>
            <w:r>
              <w:rPr>
                <w:rFonts w:ascii="Arial" w:cs="Arial" w:eastAsia="Arial" w:hAnsi="Arial"/>
                <w:sz w:val="21"/>
                <w:szCs w:val="21"/>
                <w:color w:val="auto"/>
              </w:rPr>
              <w:t>$</w:t>
            </w:r>
          </w:p>
        </w:tc>
        <w:tc>
          <w:tcPr>
            <w:tcW w:w="1080" w:type="dxa"/>
            <w:vAlign w:val="bottom"/>
          </w:tcPr>
          <w:p>
            <w:pPr>
              <w:jc w:val="right"/>
              <w:ind w:right="36"/>
              <w:spacing w:after="0"/>
              <w:rPr>
                <w:sz w:val="20"/>
                <w:szCs w:val="20"/>
                <w:color w:val="auto"/>
              </w:rPr>
            </w:pPr>
            <w:r>
              <w:rPr>
                <w:rFonts w:ascii="Arial" w:cs="Arial" w:eastAsia="Arial" w:hAnsi="Arial"/>
                <w:sz w:val="21"/>
                <w:szCs w:val="21"/>
                <w:color w:val="auto"/>
              </w:rPr>
              <w:t>355,995</w:t>
            </w:r>
          </w:p>
        </w:tc>
      </w:tr>
      <w:tr>
        <w:trPr>
          <w:trHeight w:val="264"/>
        </w:trPr>
        <w:tc>
          <w:tcPr>
            <w:tcW w:w="5000" w:type="dxa"/>
            <w:vAlign w:val="bottom"/>
          </w:tcPr>
          <w:p>
            <w:pPr>
              <w:spacing w:after="0"/>
              <w:rPr>
                <w:sz w:val="20"/>
                <w:szCs w:val="20"/>
                <w:color w:val="auto"/>
              </w:rPr>
            </w:pPr>
            <w:r>
              <w:rPr>
                <w:rFonts w:ascii="Arial" w:cs="Arial" w:eastAsia="Arial" w:hAnsi="Arial"/>
                <w:sz w:val="21"/>
                <w:szCs w:val="21"/>
                <w:color w:val="auto"/>
              </w:rPr>
              <w:t>Exercisable at December 31, 2010</w:t>
            </w:r>
          </w:p>
        </w:tc>
        <w:tc>
          <w:tcPr>
            <w:tcW w:w="1360" w:type="dxa"/>
            <w:vAlign w:val="bottom"/>
          </w:tcPr>
          <w:p>
            <w:pPr>
              <w:jc w:val="right"/>
              <w:ind w:right="20"/>
              <w:spacing w:after="0"/>
              <w:rPr>
                <w:sz w:val="20"/>
                <w:szCs w:val="20"/>
                <w:color w:val="auto"/>
              </w:rPr>
            </w:pPr>
            <w:r>
              <w:rPr>
                <w:rFonts w:ascii="Arial" w:cs="Arial" w:eastAsia="Arial" w:hAnsi="Arial"/>
                <w:sz w:val="21"/>
                <w:szCs w:val="21"/>
                <w:color w:val="auto"/>
              </w:rPr>
              <w:t>6,988</w:t>
            </w:r>
          </w:p>
        </w:tc>
        <w:tc>
          <w:tcPr>
            <w:tcW w:w="800" w:type="dxa"/>
            <w:vAlign w:val="bottom"/>
          </w:tcPr>
          <w:p>
            <w:pPr>
              <w:jc w:val="right"/>
              <w:ind w:right="176"/>
              <w:spacing w:after="0"/>
              <w:rPr>
                <w:sz w:val="20"/>
                <w:szCs w:val="20"/>
                <w:color w:val="auto"/>
              </w:rPr>
            </w:pPr>
            <w:r>
              <w:rPr>
                <w:rFonts w:ascii="Arial" w:cs="Arial" w:eastAsia="Arial" w:hAnsi="Arial"/>
                <w:sz w:val="21"/>
                <w:szCs w:val="21"/>
                <w:color w:val="auto"/>
              </w:rPr>
              <w:t>$</w:t>
            </w:r>
          </w:p>
        </w:tc>
        <w:tc>
          <w:tcPr>
            <w:tcW w:w="1420" w:type="dxa"/>
            <w:vAlign w:val="bottom"/>
          </w:tcPr>
          <w:p>
            <w:pPr>
              <w:jc w:val="right"/>
              <w:ind w:right="596"/>
              <w:spacing w:after="0"/>
              <w:rPr>
                <w:sz w:val="20"/>
                <w:szCs w:val="20"/>
                <w:color w:val="auto"/>
              </w:rPr>
            </w:pPr>
            <w:r>
              <w:rPr>
                <w:rFonts w:ascii="Arial" w:cs="Arial" w:eastAsia="Arial" w:hAnsi="Arial"/>
                <w:sz w:val="21"/>
                <w:szCs w:val="21"/>
                <w:color w:val="auto"/>
              </w:rPr>
              <w:t>9.50</w:t>
            </w:r>
          </w:p>
        </w:tc>
        <w:tc>
          <w:tcPr>
            <w:tcW w:w="1180" w:type="dxa"/>
            <w:vAlign w:val="bottom"/>
          </w:tcPr>
          <w:p>
            <w:pPr>
              <w:jc w:val="right"/>
              <w:ind w:right="116"/>
              <w:spacing w:after="0"/>
              <w:rPr>
                <w:sz w:val="20"/>
                <w:szCs w:val="20"/>
                <w:color w:val="auto"/>
              </w:rPr>
            </w:pPr>
            <w:r>
              <w:rPr>
                <w:rFonts w:ascii="Arial" w:cs="Arial" w:eastAsia="Arial" w:hAnsi="Arial"/>
                <w:sz w:val="21"/>
                <w:szCs w:val="21"/>
                <w:color w:val="auto"/>
              </w:rPr>
              <w:t>3.9</w:t>
            </w:r>
          </w:p>
        </w:tc>
        <w:tc>
          <w:tcPr>
            <w:tcW w:w="620" w:type="dxa"/>
            <w:vAlign w:val="bottom"/>
          </w:tcPr>
          <w:p>
            <w:pPr>
              <w:jc w:val="right"/>
              <w:ind w:right="176"/>
              <w:spacing w:after="0"/>
              <w:rPr>
                <w:sz w:val="20"/>
                <w:szCs w:val="20"/>
                <w:color w:val="auto"/>
              </w:rPr>
            </w:pPr>
            <w:r>
              <w:rPr>
                <w:rFonts w:ascii="Arial" w:cs="Arial" w:eastAsia="Arial" w:hAnsi="Arial"/>
                <w:sz w:val="21"/>
                <w:szCs w:val="21"/>
                <w:color w:val="auto"/>
              </w:rPr>
              <w:t>$</w:t>
            </w:r>
          </w:p>
        </w:tc>
        <w:tc>
          <w:tcPr>
            <w:tcW w:w="1080" w:type="dxa"/>
            <w:vAlign w:val="bottom"/>
          </w:tcPr>
          <w:p>
            <w:pPr>
              <w:jc w:val="right"/>
              <w:ind w:right="36"/>
              <w:spacing w:after="0"/>
              <w:rPr>
                <w:sz w:val="20"/>
                <w:szCs w:val="20"/>
                <w:color w:val="auto"/>
              </w:rPr>
            </w:pPr>
            <w:r>
              <w:rPr>
                <w:rFonts w:ascii="Arial" w:cs="Arial" w:eastAsia="Arial" w:hAnsi="Arial"/>
                <w:sz w:val="21"/>
                <w:szCs w:val="21"/>
                <w:color w:val="auto"/>
              </w:rPr>
              <w:t>298,937</w:t>
            </w:r>
          </w:p>
        </w:tc>
      </w:tr>
      <w:tr>
        <w:trPr>
          <w:trHeight w:val="405"/>
        </w:trPr>
        <w:tc>
          <w:tcPr>
            <w:tcW w:w="5000" w:type="dxa"/>
            <w:vAlign w:val="bottom"/>
          </w:tcPr>
          <w:p>
            <w:pPr>
              <w:spacing w:after="0"/>
              <w:rPr>
                <w:sz w:val="24"/>
                <w:szCs w:val="24"/>
                <w:color w:val="auto"/>
              </w:rPr>
            </w:pPr>
          </w:p>
        </w:tc>
        <w:tc>
          <w:tcPr>
            <w:tcW w:w="1360" w:type="dxa"/>
            <w:vAlign w:val="bottom"/>
          </w:tcPr>
          <w:p>
            <w:pPr>
              <w:jc w:val="right"/>
              <w:ind w:right="420"/>
              <w:spacing w:after="0"/>
              <w:rPr>
                <w:sz w:val="20"/>
                <w:szCs w:val="20"/>
                <w:color w:val="auto"/>
              </w:rPr>
            </w:pPr>
            <w:r>
              <w:rPr>
                <w:rFonts w:ascii="Arial" w:cs="Arial" w:eastAsia="Arial" w:hAnsi="Arial"/>
                <w:sz w:val="16"/>
                <w:szCs w:val="16"/>
                <w:color w:val="auto"/>
              </w:rPr>
              <w:t>102</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8"/>
        </w:trPr>
        <w:tc>
          <w:tcPr>
            <w:tcW w:w="50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information about stock options outstanding and exercisable at December 31, 2010: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ind w:left="160"/>
              <w:spacing w:after="0"/>
              <w:rPr>
                <w:sz w:val="20"/>
                <w:szCs w:val="20"/>
                <w:color w:val="auto"/>
              </w:rPr>
            </w:pPr>
            <w:r>
              <w:rPr>
                <w:rFonts w:ascii="Arial" w:cs="Arial" w:eastAsia="Arial" w:hAnsi="Arial"/>
                <w:sz w:val="20"/>
                <w:szCs w:val="20"/>
                <w:color w:val="auto"/>
              </w:rPr>
              <w:t>Options Outstanding</w:t>
            </w:r>
          </w:p>
        </w:tc>
        <w:tc>
          <w:tcPr>
            <w:tcW w:w="13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20"/>
                <w:szCs w:val="20"/>
                <w:color w:val="auto"/>
              </w:rPr>
              <w:t>Options Exercisable</w:t>
            </w:r>
          </w:p>
        </w:tc>
      </w:tr>
      <w:tr>
        <w:trPr>
          <w:trHeight w:val="206"/>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2"/>
          </w:tcPr>
          <w:p>
            <w:pPr>
              <w:jc w:val="center"/>
              <w:ind w:right="320"/>
              <w:spacing w:after="0" w:line="207" w:lineRule="exact"/>
              <w:rPr>
                <w:sz w:val="20"/>
                <w:szCs w:val="20"/>
                <w:color w:val="auto"/>
              </w:rPr>
            </w:pPr>
            <w:r>
              <w:rPr>
                <w:rFonts w:ascii="Arial" w:cs="Arial" w:eastAsia="Arial" w:hAnsi="Arial"/>
                <w:sz w:val="20"/>
                <w:szCs w:val="20"/>
                <w:color w:val="auto"/>
                <w:w w:val="89"/>
              </w:rPr>
              <w:t>Weighted</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Average</w:t>
            </w:r>
          </w:p>
        </w:tc>
        <w:tc>
          <w:tcPr>
            <w:tcW w:w="166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Weighted</w:t>
            </w: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320" w:type="dxa"/>
            <w:vAlign w:val="bottom"/>
          </w:tcPr>
          <w:p>
            <w:pPr>
              <w:spacing w:after="0"/>
              <w:rPr>
                <w:sz w:val="19"/>
                <w:szCs w:val="19"/>
                <w:color w:val="auto"/>
              </w:rPr>
            </w:pPr>
          </w:p>
        </w:tc>
        <w:tc>
          <w:tcPr>
            <w:tcW w:w="1460" w:type="dxa"/>
            <w:vAlign w:val="bottom"/>
          </w:tcPr>
          <w:p>
            <w:pPr>
              <w:jc w:val="center"/>
              <w:ind w:right="1"/>
              <w:spacing w:after="0"/>
              <w:rPr>
                <w:sz w:val="20"/>
                <w:szCs w:val="20"/>
                <w:color w:val="auto"/>
              </w:rPr>
            </w:pPr>
            <w:r>
              <w:rPr>
                <w:rFonts w:ascii="Arial" w:cs="Arial" w:eastAsia="Arial" w:hAnsi="Arial"/>
                <w:sz w:val="20"/>
                <w:szCs w:val="20"/>
                <w:color w:val="auto"/>
                <w:w w:val="89"/>
              </w:rPr>
              <w:t>Weighted</w:t>
            </w:r>
          </w:p>
        </w:tc>
      </w:tr>
      <w:tr>
        <w:trPr>
          <w:trHeight w:val="230"/>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32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Remaining</w:t>
            </w:r>
          </w:p>
        </w:tc>
        <w:tc>
          <w:tcPr>
            <w:tcW w:w="1660" w:type="dxa"/>
            <w:vAlign w:val="bottom"/>
            <w:gridSpan w:val="2"/>
          </w:tcPr>
          <w:p>
            <w:pPr>
              <w:jc w:val="center"/>
              <w:ind w:right="320"/>
              <w:spacing w:after="0"/>
              <w:rPr>
                <w:sz w:val="20"/>
                <w:szCs w:val="20"/>
                <w:color w:val="auto"/>
              </w:rPr>
            </w:pPr>
            <w:r>
              <w:rPr>
                <w:rFonts w:ascii="Arial" w:cs="Arial" w:eastAsia="Arial" w:hAnsi="Arial"/>
                <w:sz w:val="20"/>
                <w:szCs w:val="20"/>
                <w:color w:val="auto"/>
                <w:w w:val="88"/>
              </w:rPr>
              <w:t>Average</w:t>
            </w:r>
          </w:p>
        </w:tc>
        <w:tc>
          <w:tcPr>
            <w:tcW w:w="1340" w:type="dxa"/>
            <w:vAlign w:val="bottom"/>
          </w:tcPr>
          <w:p>
            <w:pPr>
              <w:jc w:val="center"/>
              <w:spacing w:after="0"/>
              <w:rPr>
                <w:sz w:val="20"/>
                <w:szCs w:val="20"/>
                <w:color w:val="auto"/>
              </w:rPr>
            </w:pPr>
            <w:r>
              <w:rPr>
                <w:rFonts w:ascii="Arial" w:cs="Arial" w:eastAsia="Arial" w:hAnsi="Arial"/>
                <w:sz w:val="20"/>
                <w:szCs w:val="20"/>
                <w:color w:val="auto"/>
                <w:w w:val="88"/>
              </w:rPr>
              <w:t>Exercisable</w:t>
            </w:r>
          </w:p>
        </w:tc>
        <w:tc>
          <w:tcPr>
            <w:tcW w:w="320" w:type="dxa"/>
            <w:vAlign w:val="bottom"/>
          </w:tcPr>
          <w:p>
            <w:pPr>
              <w:spacing w:after="0"/>
              <w:rPr>
                <w:sz w:val="19"/>
                <w:szCs w:val="19"/>
                <w:color w:val="auto"/>
              </w:rPr>
            </w:pPr>
          </w:p>
        </w:tc>
        <w:tc>
          <w:tcPr>
            <w:tcW w:w="1460" w:type="dxa"/>
            <w:vAlign w:val="bottom"/>
          </w:tcPr>
          <w:p>
            <w:pPr>
              <w:jc w:val="center"/>
              <w:ind w:right="21"/>
              <w:spacing w:after="0"/>
              <w:rPr>
                <w:sz w:val="20"/>
                <w:szCs w:val="20"/>
                <w:color w:val="auto"/>
              </w:rPr>
            </w:pPr>
            <w:r>
              <w:rPr>
                <w:rFonts w:ascii="Arial" w:cs="Arial" w:eastAsia="Arial" w:hAnsi="Arial"/>
                <w:sz w:val="20"/>
                <w:szCs w:val="20"/>
                <w:color w:val="auto"/>
                <w:w w:val="88"/>
              </w:rPr>
              <w:t>Average</w:t>
            </w:r>
          </w:p>
        </w:tc>
      </w:tr>
      <w:tr>
        <w:trPr>
          <w:trHeight w:val="230"/>
        </w:trPr>
        <w:tc>
          <w:tcPr>
            <w:tcW w:w="2800" w:type="dxa"/>
            <w:vAlign w:val="bottom"/>
            <w:gridSpan w:val="4"/>
          </w:tcPr>
          <w:p>
            <w:pPr>
              <w:ind w:left="440"/>
              <w:spacing w:after="0"/>
              <w:rPr>
                <w:sz w:val="20"/>
                <w:szCs w:val="20"/>
                <w:color w:val="auto"/>
              </w:rPr>
            </w:pPr>
            <w:r>
              <w:rPr>
                <w:rFonts w:ascii="Arial" w:cs="Arial" w:eastAsia="Arial" w:hAnsi="Arial"/>
                <w:sz w:val="20"/>
                <w:szCs w:val="20"/>
                <w:color w:val="auto"/>
              </w:rPr>
              <w:t>Range of Exercise</w:t>
            </w:r>
          </w:p>
        </w:tc>
        <w:tc>
          <w:tcPr>
            <w:tcW w:w="1580" w:type="dxa"/>
            <w:vAlign w:val="bottom"/>
          </w:tcPr>
          <w:p>
            <w:pPr>
              <w:jc w:val="center"/>
              <w:spacing w:after="0"/>
              <w:rPr>
                <w:sz w:val="20"/>
                <w:szCs w:val="20"/>
                <w:color w:val="auto"/>
              </w:rPr>
            </w:pPr>
            <w:r>
              <w:rPr>
                <w:rFonts w:ascii="Arial" w:cs="Arial" w:eastAsia="Arial" w:hAnsi="Arial"/>
                <w:sz w:val="20"/>
                <w:szCs w:val="20"/>
                <w:color w:val="auto"/>
                <w:w w:val="92"/>
              </w:rPr>
              <w:t>Outstanding (In</w:t>
            </w:r>
          </w:p>
        </w:tc>
        <w:tc>
          <w:tcPr>
            <w:tcW w:w="320" w:type="dxa"/>
            <w:vAlign w:val="bottom"/>
          </w:tcPr>
          <w:p>
            <w:pPr>
              <w:spacing w:after="0"/>
              <w:rPr>
                <w:sz w:val="19"/>
                <w:szCs w:val="19"/>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Contractual</w:t>
            </w:r>
          </w:p>
        </w:tc>
        <w:tc>
          <w:tcPr>
            <w:tcW w:w="166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Exercise</w:t>
            </w:r>
          </w:p>
        </w:tc>
        <w:tc>
          <w:tcPr>
            <w:tcW w:w="1340" w:type="dxa"/>
            <w:vAlign w:val="bottom"/>
          </w:tcPr>
          <w:p>
            <w:pPr>
              <w:jc w:val="center"/>
              <w:spacing w:after="0"/>
              <w:rPr>
                <w:sz w:val="20"/>
                <w:szCs w:val="20"/>
                <w:color w:val="auto"/>
              </w:rPr>
            </w:pPr>
            <w:r>
              <w:rPr>
                <w:rFonts w:ascii="Arial" w:cs="Arial" w:eastAsia="Arial" w:hAnsi="Arial"/>
                <w:sz w:val="20"/>
                <w:szCs w:val="20"/>
                <w:color w:val="auto"/>
              </w:rPr>
              <w:t>(In</w:t>
            </w:r>
          </w:p>
        </w:tc>
        <w:tc>
          <w:tcPr>
            <w:tcW w:w="320" w:type="dxa"/>
            <w:vAlign w:val="bottom"/>
          </w:tcPr>
          <w:p>
            <w:pPr>
              <w:spacing w:after="0"/>
              <w:rPr>
                <w:sz w:val="19"/>
                <w:szCs w:val="19"/>
                <w:color w:val="auto"/>
              </w:rPr>
            </w:pPr>
          </w:p>
        </w:tc>
        <w:tc>
          <w:tcPr>
            <w:tcW w:w="1460" w:type="dxa"/>
            <w:vAlign w:val="bottom"/>
          </w:tcPr>
          <w:p>
            <w:pPr>
              <w:jc w:val="center"/>
              <w:ind w:right="1"/>
              <w:spacing w:after="0"/>
              <w:rPr>
                <w:sz w:val="20"/>
                <w:szCs w:val="20"/>
                <w:color w:val="auto"/>
              </w:rPr>
            </w:pPr>
            <w:r>
              <w:rPr>
                <w:rFonts w:ascii="Arial" w:cs="Arial" w:eastAsia="Arial" w:hAnsi="Arial"/>
                <w:sz w:val="20"/>
                <w:szCs w:val="20"/>
                <w:color w:val="auto"/>
                <w:w w:val="88"/>
              </w:rPr>
              <w:t>Exercise</w:t>
            </w:r>
          </w:p>
        </w:tc>
      </w:tr>
      <w:tr>
        <w:trPr>
          <w:trHeight w:val="246"/>
        </w:trPr>
        <w:tc>
          <w:tcPr>
            <w:tcW w:w="820" w:type="dxa"/>
            <w:vAlign w:val="bottom"/>
          </w:tcPr>
          <w:p>
            <w:pPr>
              <w:spacing w:after="0"/>
              <w:rPr>
                <w:sz w:val="21"/>
                <w:szCs w:val="21"/>
                <w:color w:val="auto"/>
              </w:rPr>
            </w:pPr>
          </w:p>
        </w:tc>
        <w:tc>
          <w:tcPr>
            <w:tcW w:w="1980" w:type="dxa"/>
            <w:vAlign w:val="bottom"/>
            <w:gridSpan w:val="3"/>
          </w:tcPr>
          <w:p>
            <w:pPr>
              <w:ind w:left="60"/>
              <w:spacing w:after="0"/>
              <w:rPr>
                <w:sz w:val="20"/>
                <w:szCs w:val="20"/>
                <w:color w:val="auto"/>
              </w:rPr>
            </w:pPr>
            <w:r>
              <w:rPr>
                <w:rFonts w:ascii="Arial" w:cs="Arial" w:eastAsia="Arial" w:hAnsi="Arial"/>
                <w:sz w:val="20"/>
                <w:szCs w:val="20"/>
                <w:color w:val="auto"/>
              </w:rPr>
              <w:t>Prices ($)</w:t>
            </w:r>
          </w:p>
        </w:tc>
        <w:tc>
          <w:tcPr>
            <w:tcW w:w="158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320" w:type="dxa"/>
            <w:vAlign w:val="bottom"/>
          </w:tcPr>
          <w:p>
            <w:pPr>
              <w:spacing w:after="0"/>
              <w:rPr>
                <w:sz w:val="21"/>
                <w:szCs w:val="21"/>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20"/>
                <w:szCs w:val="20"/>
                <w:color w:val="auto"/>
                <w:w w:val="88"/>
              </w:rPr>
              <w:t>Term (Years)</w:t>
            </w:r>
          </w:p>
        </w:tc>
        <w:tc>
          <w:tcPr>
            <w:tcW w:w="1660" w:type="dxa"/>
            <w:vAlign w:val="bottom"/>
            <w:gridSpan w:val="2"/>
          </w:tcPr>
          <w:p>
            <w:pPr>
              <w:jc w:val="center"/>
              <w:ind w:right="320"/>
              <w:spacing w:after="0"/>
              <w:rPr>
                <w:sz w:val="20"/>
                <w:szCs w:val="20"/>
                <w:color w:val="auto"/>
              </w:rPr>
            </w:pPr>
            <w:r>
              <w:rPr>
                <w:rFonts w:ascii="Arial" w:cs="Arial" w:eastAsia="Arial" w:hAnsi="Arial"/>
                <w:sz w:val="20"/>
                <w:szCs w:val="20"/>
                <w:color w:val="auto"/>
                <w:w w:val="92"/>
              </w:rPr>
              <w:t>Price ($)</w:t>
            </w:r>
          </w:p>
        </w:tc>
        <w:tc>
          <w:tcPr>
            <w:tcW w:w="134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320" w:type="dxa"/>
            <w:vAlign w:val="bottom"/>
          </w:tcPr>
          <w:p>
            <w:pPr>
              <w:spacing w:after="0"/>
              <w:rPr>
                <w:sz w:val="21"/>
                <w:szCs w:val="21"/>
                <w:color w:val="auto"/>
              </w:rPr>
            </w:pPr>
          </w:p>
        </w:tc>
        <w:tc>
          <w:tcPr>
            <w:tcW w:w="1460" w:type="dxa"/>
            <w:vAlign w:val="bottom"/>
          </w:tcPr>
          <w:p>
            <w:pPr>
              <w:jc w:val="center"/>
              <w:ind w:right="1"/>
              <w:spacing w:after="0"/>
              <w:rPr>
                <w:sz w:val="20"/>
                <w:szCs w:val="20"/>
                <w:color w:val="auto"/>
              </w:rPr>
            </w:pPr>
            <w:r>
              <w:rPr>
                <w:rFonts w:ascii="Arial" w:cs="Arial" w:eastAsia="Arial" w:hAnsi="Arial"/>
                <w:sz w:val="20"/>
                <w:szCs w:val="20"/>
                <w:color w:val="auto"/>
                <w:w w:val="89"/>
              </w:rPr>
              <w:t>Price ($)</w:t>
            </w:r>
          </w:p>
        </w:tc>
      </w:tr>
      <w:tr>
        <w:trPr>
          <w:trHeight w:val="206"/>
        </w:trPr>
        <w:tc>
          <w:tcPr>
            <w:tcW w:w="820" w:type="dxa"/>
            <w:vAlign w:val="bottom"/>
            <w:tcBorders>
              <w:top w:val="single" w:sz="8" w:color="auto"/>
            </w:tcBorders>
          </w:tcPr>
          <w:p>
            <w:pPr>
              <w:jc w:val="center"/>
              <w:ind w:left="81"/>
              <w:spacing w:after="0" w:line="207" w:lineRule="exact"/>
              <w:rPr>
                <w:sz w:val="20"/>
                <w:szCs w:val="20"/>
                <w:color w:val="auto"/>
              </w:rPr>
            </w:pPr>
            <w:r>
              <w:rPr>
                <w:rFonts w:ascii="Arial" w:cs="Arial" w:eastAsia="Arial" w:hAnsi="Arial"/>
                <w:sz w:val="20"/>
                <w:szCs w:val="20"/>
                <w:color w:val="auto"/>
                <w:w w:val="87"/>
              </w:rPr>
              <w:t>$0.45</w:t>
            </w:r>
          </w:p>
        </w:tc>
        <w:tc>
          <w:tcPr>
            <w:tcW w:w="38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center"/>
              <w:ind w:right="181"/>
              <w:spacing w:after="0" w:line="207" w:lineRule="exact"/>
              <w:rPr>
                <w:sz w:val="20"/>
                <w:szCs w:val="20"/>
                <w:color w:val="auto"/>
              </w:rPr>
            </w:pPr>
            <w:r>
              <w:rPr>
                <w:rFonts w:ascii="Arial" w:cs="Arial" w:eastAsia="Arial" w:hAnsi="Arial"/>
                <w:sz w:val="20"/>
                <w:szCs w:val="20"/>
                <w:color w:val="auto"/>
                <w:w w:val="91"/>
              </w:rPr>
              <w:t>$0.45</w:t>
            </w:r>
          </w:p>
        </w:tc>
        <w:tc>
          <w:tcPr>
            <w:tcW w:w="460" w:type="dxa"/>
            <w:vAlign w:val="bottom"/>
          </w:tcPr>
          <w:p>
            <w:pPr>
              <w:spacing w:after="0"/>
              <w:rPr>
                <w:sz w:val="17"/>
                <w:szCs w:val="17"/>
                <w:color w:val="auto"/>
              </w:rPr>
            </w:pPr>
          </w:p>
        </w:tc>
        <w:tc>
          <w:tcPr>
            <w:tcW w:w="15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901</w:t>
            </w:r>
          </w:p>
        </w:tc>
        <w:tc>
          <w:tcPr>
            <w:tcW w:w="320" w:type="dxa"/>
            <w:vAlign w:val="bottom"/>
          </w:tcPr>
          <w:p>
            <w:pPr>
              <w:spacing w:after="0"/>
              <w:rPr>
                <w:sz w:val="17"/>
                <w:szCs w:val="17"/>
                <w:color w:val="auto"/>
              </w:rPr>
            </w:pPr>
          </w:p>
        </w:tc>
        <w:tc>
          <w:tcPr>
            <w:tcW w:w="16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1.5</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$0.45</w:t>
            </w:r>
          </w:p>
        </w:tc>
        <w:tc>
          <w:tcPr>
            <w:tcW w:w="340" w:type="dxa"/>
            <w:vAlign w:val="bottom"/>
          </w:tcPr>
          <w:p>
            <w:pPr>
              <w:spacing w:after="0"/>
              <w:rPr>
                <w:sz w:val="17"/>
                <w:szCs w:val="17"/>
                <w:color w:val="auto"/>
              </w:rPr>
            </w:pPr>
          </w:p>
        </w:tc>
        <w:tc>
          <w:tcPr>
            <w:tcW w:w="134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901</w:t>
            </w:r>
          </w:p>
        </w:tc>
        <w:tc>
          <w:tcPr>
            <w:tcW w:w="320" w:type="dxa"/>
            <w:vAlign w:val="bottom"/>
          </w:tcPr>
          <w:p>
            <w:pPr>
              <w:spacing w:after="0"/>
              <w:rPr>
                <w:sz w:val="17"/>
                <w:szCs w:val="17"/>
                <w:color w:val="auto"/>
              </w:rPr>
            </w:pPr>
          </w:p>
        </w:tc>
        <w:tc>
          <w:tcPr>
            <w:tcW w:w="14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$0.45</w:t>
            </w:r>
          </w:p>
        </w:tc>
      </w:tr>
      <w:tr>
        <w:trPr>
          <w:trHeight w:val="230"/>
        </w:trPr>
        <w:tc>
          <w:tcPr>
            <w:tcW w:w="820" w:type="dxa"/>
            <w:vAlign w:val="bottom"/>
          </w:tcPr>
          <w:p>
            <w:pPr>
              <w:jc w:val="center"/>
              <w:ind w:left="81"/>
              <w:spacing w:after="0"/>
              <w:rPr>
                <w:sz w:val="20"/>
                <w:szCs w:val="20"/>
                <w:color w:val="auto"/>
              </w:rPr>
            </w:pPr>
            <w:r>
              <w:rPr>
                <w:rFonts w:ascii="Arial" w:cs="Arial" w:eastAsia="Arial" w:hAnsi="Arial"/>
                <w:sz w:val="20"/>
                <w:szCs w:val="20"/>
                <w:color w:val="auto"/>
                <w:w w:val="87"/>
              </w:rPr>
              <w:t>$0.53</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91"/>
              </w:rPr>
              <w:t>$0.53</w:t>
            </w:r>
          </w:p>
        </w:tc>
        <w:tc>
          <w:tcPr>
            <w:tcW w:w="46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1,721</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2.4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$0.53</w:t>
            </w:r>
          </w:p>
        </w:tc>
        <w:tc>
          <w:tcPr>
            <w:tcW w:w="3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1,721</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$0.53</w:t>
            </w:r>
          </w:p>
        </w:tc>
      </w:tr>
      <w:tr>
        <w:trPr>
          <w:trHeight w:val="230"/>
        </w:trPr>
        <w:tc>
          <w:tcPr>
            <w:tcW w:w="820" w:type="dxa"/>
            <w:vAlign w:val="bottom"/>
          </w:tcPr>
          <w:p>
            <w:pPr>
              <w:jc w:val="center"/>
              <w:ind w:left="81"/>
              <w:spacing w:after="0"/>
              <w:rPr>
                <w:sz w:val="20"/>
                <w:szCs w:val="20"/>
                <w:color w:val="auto"/>
              </w:rPr>
            </w:pPr>
            <w:r>
              <w:rPr>
                <w:rFonts w:ascii="Arial" w:cs="Arial" w:eastAsia="Arial" w:hAnsi="Arial"/>
                <w:sz w:val="20"/>
                <w:szCs w:val="20"/>
                <w:color w:val="auto"/>
                <w:w w:val="87"/>
              </w:rPr>
              <w:t>$4.19</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91"/>
              </w:rPr>
              <w:t>$4.19</w:t>
            </w:r>
          </w:p>
        </w:tc>
        <w:tc>
          <w:tcPr>
            <w:tcW w:w="46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34</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4.0</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$4.19</w:t>
            </w:r>
          </w:p>
        </w:tc>
        <w:tc>
          <w:tcPr>
            <w:tcW w:w="3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34</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$4.19</w:t>
            </w:r>
          </w:p>
        </w:tc>
      </w:tr>
      <w:tr>
        <w:trPr>
          <w:trHeight w:val="230"/>
        </w:trPr>
        <w:tc>
          <w:tcPr>
            <w:tcW w:w="820" w:type="dxa"/>
            <w:vAlign w:val="bottom"/>
          </w:tcPr>
          <w:p>
            <w:pPr>
              <w:jc w:val="center"/>
              <w:ind w:left="81"/>
              <w:spacing w:after="0"/>
              <w:rPr>
                <w:sz w:val="20"/>
                <w:szCs w:val="20"/>
                <w:color w:val="auto"/>
              </w:rPr>
            </w:pPr>
            <w:r>
              <w:rPr>
                <w:rFonts w:ascii="Arial" w:cs="Arial" w:eastAsia="Arial" w:hAnsi="Arial"/>
                <w:sz w:val="20"/>
                <w:szCs w:val="20"/>
                <w:color w:val="auto"/>
                <w:w w:val="87"/>
              </w:rPr>
              <w:t>$6.59</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91"/>
              </w:rPr>
              <w:t>$6.59</w:t>
            </w:r>
          </w:p>
        </w:tc>
        <w:tc>
          <w:tcPr>
            <w:tcW w:w="46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2,200</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4.2</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$6.59</w:t>
            </w:r>
          </w:p>
        </w:tc>
        <w:tc>
          <w:tcPr>
            <w:tcW w:w="3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2,200</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$6.59</w:t>
            </w:r>
          </w:p>
        </w:tc>
      </w:tr>
      <w:tr>
        <w:trPr>
          <w:trHeight w:val="230"/>
        </w:trPr>
        <w:tc>
          <w:tcPr>
            <w:tcW w:w="820" w:type="dxa"/>
            <w:vAlign w:val="bottom"/>
          </w:tcPr>
          <w:p>
            <w:pPr>
              <w:jc w:val="center"/>
              <w:ind w:left="81"/>
              <w:spacing w:after="0"/>
              <w:rPr>
                <w:sz w:val="20"/>
                <w:szCs w:val="20"/>
                <w:color w:val="auto"/>
              </w:rPr>
            </w:pPr>
            <w:r>
              <w:rPr>
                <w:rFonts w:ascii="Arial" w:cs="Arial" w:eastAsia="Arial" w:hAnsi="Arial"/>
                <w:sz w:val="20"/>
                <w:szCs w:val="20"/>
                <w:color w:val="auto"/>
                <w:w w:val="87"/>
              </w:rPr>
              <w:t>$6.66</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88"/>
              </w:rPr>
              <w:t>$12.43</w:t>
            </w:r>
          </w:p>
        </w:tc>
        <w:tc>
          <w:tcPr>
            <w:tcW w:w="46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59</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4.8</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$11.87</w:t>
            </w:r>
          </w:p>
        </w:tc>
        <w:tc>
          <w:tcPr>
            <w:tcW w:w="3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59</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$11.87</w:t>
            </w:r>
          </w:p>
        </w:tc>
      </w:tr>
      <w:tr>
        <w:trPr>
          <w:trHeight w:val="230"/>
        </w:trPr>
        <w:tc>
          <w:tcPr>
            <w:tcW w:w="820" w:type="dxa"/>
            <w:vAlign w:val="bottom"/>
          </w:tcPr>
          <w:p>
            <w:pPr>
              <w:jc w:val="center"/>
              <w:ind w:left="61"/>
              <w:spacing w:after="0"/>
              <w:rPr>
                <w:sz w:val="20"/>
                <w:szCs w:val="20"/>
                <w:color w:val="auto"/>
              </w:rPr>
            </w:pPr>
            <w:r>
              <w:rPr>
                <w:rFonts w:ascii="Arial" w:cs="Arial" w:eastAsia="Arial" w:hAnsi="Arial"/>
                <w:sz w:val="20"/>
                <w:szCs w:val="20"/>
                <w:color w:val="auto"/>
                <w:w w:val="88"/>
              </w:rPr>
              <w:t>$16.87</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88"/>
              </w:rPr>
              <w:t>$16.87</w:t>
            </w:r>
          </w:p>
        </w:tc>
        <w:tc>
          <w:tcPr>
            <w:tcW w:w="46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1,240</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4.9</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$16.87</w:t>
            </w:r>
          </w:p>
        </w:tc>
        <w:tc>
          <w:tcPr>
            <w:tcW w:w="3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1,240</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$16.87</w:t>
            </w:r>
          </w:p>
        </w:tc>
      </w:tr>
      <w:tr>
        <w:trPr>
          <w:trHeight w:val="230"/>
        </w:trPr>
        <w:tc>
          <w:tcPr>
            <w:tcW w:w="820" w:type="dxa"/>
            <w:vAlign w:val="bottom"/>
          </w:tcPr>
          <w:p>
            <w:pPr>
              <w:jc w:val="center"/>
              <w:ind w:left="61"/>
              <w:spacing w:after="0"/>
              <w:rPr>
                <w:sz w:val="20"/>
                <w:szCs w:val="20"/>
                <w:color w:val="auto"/>
              </w:rPr>
            </w:pPr>
            <w:r>
              <w:rPr>
                <w:rFonts w:ascii="Arial" w:cs="Arial" w:eastAsia="Arial" w:hAnsi="Arial"/>
                <w:sz w:val="20"/>
                <w:szCs w:val="20"/>
                <w:color w:val="auto"/>
                <w:w w:val="88"/>
              </w:rPr>
              <w:t>$20.03</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88"/>
              </w:rPr>
              <w:t>$31.19</w:t>
            </w:r>
          </w:p>
        </w:tc>
        <w:tc>
          <w:tcPr>
            <w:tcW w:w="46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181</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7.4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$26.70</w:t>
            </w:r>
          </w:p>
        </w:tc>
        <w:tc>
          <w:tcPr>
            <w:tcW w:w="3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65</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$26.04</w:t>
            </w:r>
          </w:p>
        </w:tc>
      </w:tr>
      <w:tr>
        <w:trPr>
          <w:trHeight w:val="230"/>
        </w:trPr>
        <w:tc>
          <w:tcPr>
            <w:tcW w:w="820" w:type="dxa"/>
            <w:vAlign w:val="bottom"/>
          </w:tcPr>
          <w:p>
            <w:pPr>
              <w:jc w:val="center"/>
              <w:ind w:left="61"/>
              <w:spacing w:after="0"/>
              <w:rPr>
                <w:sz w:val="20"/>
                <w:szCs w:val="20"/>
                <w:color w:val="auto"/>
              </w:rPr>
            </w:pPr>
            <w:r>
              <w:rPr>
                <w:rFonts w:ascii="Arial" w:cs="Arial" w:eastAsia="Arial" w:hAnsi="Arial"/>
                <w:sz w:val="20"/>
                <w:szCs w:val="20"/>
                <w:color w:val="auto"/>
                <w:w w:val="88"/>
              </w:rPr>
              <w:t>$31.72</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88"/>
              </w:rPr>
              <w:t>$31.72</w:t>
            </w:r>
          </w:p>
        </w:tc>
        <w:tc>
          <w:tcPr>
            <w:tcW w:w="46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1,208</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7.4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$31.72</w:t>
            </w:r>
          </w:p>
        </w:tc>
        <w:tc>
          <w:tcPr>
            <w:tcW w:w="3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377</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$31.72</w:t>
            </w:r>
          </w:p>
        </w:tc>
      </w:tr>
      <w:tr>
        <w:trPr>
          <w:trHeight w:val="230"/>
        </w:trPr>
        <w:tc>
          <w:tcPr>
            <w:tcW w:w="820" w:type="dxa"/>
            <w:vAlign w:val="bottom"/>
          </w:tcPr>
          <w:p>
            <w:pPr>
              <w:jc w:val="center"/>
              <w:ind w:left="61"/>
              <w:spacing w:after="0"/>
              <w:rPr>
                <w:sz w:val="20"/>
                <w:szCs w:val="20"/>
                <w:color w:val="auto"/>
              </w:rPr>
            </w:pPr>
            <w:r>
              <w:rPr>
                <w:rFonts w:ascii="Arial" w:cs="Arial" w:eastAsia="Arial" w:hAnsi="Arial"/>
                <w:sz w:val="20"/>
                <w:szCs w:val="20"/>
                <w:color w:val="auto"/>
                <w:w w:val="88"/>
              </w:rPr>
              <w:t>$31.87</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88"/>
              </w:rPr>
              <w:t>$35.64</w:t>
            </w:r>
          </w:p>
        </w:tc>
        <w:tc>
          <w:tcPr>
            <w:tcW w:w="46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1,028</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8.7</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$35.36</w:t>
            </w:r>
          </w:p>
        </w:tc>
        <w:tc>
          <w:tcPr>
            <w:tcW w:w="3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202</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$35.27</w:t>
            </w:r>
          </w:p>
        </w:tc>
      </w:tr>
      <w:tr>
        <w:trPr>
          <w:trHeight w:val="246"/>
        </w:trPr>
        <w:tc>
          <w:tcPr>
            <w:tcW w:w="820" w:type="dxa"/>
            <w:vAlign w:val="bottom"/>
          </w:tcPr>
          <w:p>
            <w:pPr>
              <w:jc w:val="center"/>
              <w:ind w:left="61"/>
              <w:spacing w:after="0"/>
              <w:rPr>
                <w:sz w:val="20"/>
                <w:szCs w:val="20"/>
                <w:color w:val="auto"/>
              </w:rPr>
            </w:pPr>
            <w:r>
              <w:rPr>
                <w:rFonts w:ascii="Arial" w:cs="Arial" w:eastAsia="Arial" w:hAnsi="Arial"/>
                <w:sz w:val="20"/>
                <w:szCs w:val="20"/>
                <w:color w:val="auto"/>
                <w:w w:val="88"/>
              </w:rPr>
              <w:t>$36.13</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auto"/>
                <w:w w:val="88"/>
              </w:rPr>
              <w:t>$52.51</w:t>
            </w:r>
          </w:p>
        </w:tc>
        <w:tc>
          <w:tcPr>
            <w:tcW w:w="460" w:type="dxa"/>
            <w:vAlign w:val="bottom"/>
          </w:tcPr>
          <w:p>
            <w:pPr>
              <w:spacing w:after="0"/>
              <w:rPr>
                <w:sz w:val="21"/>
                <w:szCs w:val="21"/>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1,177</w:t>
            </w:r>
          </w:p>
        </w:tc>
        <w:tc>
          <w:tcPr>
            <w:tcW w:w="1920" w:type="dxa"/>
            <w:vAlign w:val="bottom"/>
            <w:gridSpan w:val="2"/>
          </w:tcPr>
          <w:p>
            <w:pPr>
              <w:jc w:val="right"/>
              <w:ind w:right="21"/>
              <w:spacing w:after="0"/>
              <w:rPr>
                <w:sz w:val="20"/>
                <w:szCs w:val="20"/>
                <w:color w:val="auto"/>
              </w:rPr>
            </w:pPr>
            <w:r>
              <w:rPr>
                <w:rFonts w:ascii="Arial" w:cs="Arial" w:eastAsia="Arial" w:hAnsi="Arial"/>
                <w:sz w:val="20"/>
                <w:szCs w:val="20"/>
                <w:color w:val="auto"/>
              </w:rPr>
              <w:t>8.4</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$42.80</w:t>
            </w:r>
          </w:p>
        </w:tc>
        <w:tc>
          <w:tcPr>
            <w:tcW w:w="340" w:type="dxa"/>
            <w:vAlign w:val="bottom"/>
          </w:tcPr>
          <w:p>
            <w:pPr>
              <w:spacing w:after="0"/>
              <w:rPr>
                <w:sz w:val="21"/>
                <w:szCs w:val="21"/>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189</w:t>
            </w:r>
          </w:p>
        </w:tc>
        <w:tc>
          <w:tcPr>
            <w:tcW w:w="1780" w:type="dxa"/>
            <w:vAlign w:val="bottom"/>
            <w:gridSpan w:val="2"/>
          </w:tcPr>
          <w:p>
            <w:pPr>
              <w:jc w:val="right"/>
              <w:ind w:right="41"/>
              <w:spacing w:after="0"/>
              <w:rPr>
                <w:sz w:val="20"/>
                <w:szCs w:val="20"/>
                <w:color w:val="auto"/>
              </w:rPr>
            </w:pPr>
            <w:r>
              <w:rPr>
                <w:rFonts w:ascii="Arial" w:cs="Arial" w:eastAsia="Arial" w:hAnsi="Arial"/>
                <w:sz w:val="20"/>
                <w:szCs w:val="20"/>
                <w:color w:val="auto"/>
              </w:rPr>
              <w:t>$42.48</w:t>
            </w:r>
          </w:p>
        </w:tc>
      </w:tr>
      <w:tr>
        <w:trPr>
          <w:trHeight w:val="223"/>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9,749</w:t>
            </w:r>
          </w:p>
        </w:tc>
        <w:tc>
          <w:tcPr>
            <w:tcW w:w="1920" w:type="dxa"/>
            <w:vAlign w:val="bottom"/>
            <w:gridSpan w:val="2"/>
          </w:tcPr>
          <w:p>
            <w:pPr>
              <w:jc w:val="right"/>
              <w:ind w:right="21"/>
              <w:spacing w:after="0" w:line="223" w:lineRule="exact"/>
              <w:rPr>
                <w:sz w:val="20"/>
                <w:szCs w:val="20"/>
                <w:color w:val="auto"/>
              </w:rPr>
            </w:pPr>
            <w:r>
              <w:rPr>
                <w:rFonts w:ascii="Arial" w:cs="Arial" w:eastAsia="Arial" w:hAnsi="Arial"/>
                <w:sz w:val="20"/>
                <w:szCs w:val="20"/>
                <w:color w:val="auto"/>
              </w:rPr>
              <w:t>5.2</w:t>
            </w:r>
          </w:p>
        </w:tc>
        <w:tc>
          <w:tcPr>
            <w:tcW w:w="320" w:type="dxa"/>
            <w:vAlign w:val="bottom"/>
          </w:tcPr>
          <w:p>
            <w:pPr>
              <w:spacing w:after="0"/>
              <w:rPr>
                <w:sz w:val="19"/>
                <w:szCs w:val="19"/>
                <w:color w:val="auto"/>
              </w:rPr>
            </w:pPr>
          </w:p>
        </w:tc>
        <w:tc>
          <w:tcPr>
            <w:tcW w:w="1320" w:type="dxa"/>
            <w:vAlign w:val="bottom"/>
          </w:tcPr>
          <w:p>
            <w:pPr>
              <w:jc w:val="right"/>
              <w:spacing w:after="0" w:line="223" w:lineRule="exact"/>
              <w:rPr>
                <w:sz w:val="20"/>
                <w:szCs w:val="20"/>
                <w:color w:val="auto"/>
              </w:rPr>
            </w:pPr>
            <w:r>
              <w:rPr>
                <w:rFonts w:ascii="Arial" w:cs="Arial" w:eastAsia="Arial" w:hAnsi="Arial"/>
                <w:sz w:val="20"/>
                <w:szCs w:val="20"/>
                <w:color w:val="auto"/>
              </w:rPr>
              <w:t>$17.18</w:t>
            </w:r>
          </w:p>
        </w:tc>
        <w:tc>
          <w:tcPr>
            <w:tcW w:w="340" w:type="dxa"/>
            <w:vAlign w:val="bottom"/>
          </w:tcPr>
          <w:p>
            <w:pPr>
              <w:spacing w:after="0"/>
              <w:rPr>
                <w:sz w:val="19"/>
                <w:szCs w:val="19"/>
                <w:color w:val="auto"/>
              </w:rPr>
            </w:pPr>
          </w:p>
        </w:tc>
        <w:tc>
          <w:tcPr>
            <w:tcW w:w="1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6,988</w:t>
            </w:r>
          </w:p>
        </w:tc>
        <w:tc>
          <w:tcPr>
            <w:tcW w:w="1780" w:type="dxa"/>
            <w:vAlign w:val="bottom"/>
            <w:gridSpan w:val="2"/>
          </w:tcPr>
          <w:p>
            <w:pPr>
              <w:jc w:val="right"/>
              <w:ind w:right="41"/>
              <w:spacing w:after="0" w:line="223" w:lineRule="exact"/>
              <w:rPr>
                <w:sz w:val="20"/>
                <w:szCs w:val="20"/>
                <w:color w:val="auto"/>
              </w:rPr>
            </w:pPr>
            <w:r>
              <w:rPr>
                <w:rFonts w:ascii="Arial" w:cs="Arial" w:eastAsia="Arial" w:hAnsi="Arial"/>
                <w:sz w:val="20"/>
                <w:szCs w:val="20"/>
                <w:color w:val="auto"/>
              </w:rPr>
              <w:t>$9.50</w:t>
            </w: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years ended December 31, 2010, 2009 and 2008 was $24.29 per share, $21.41 per share and $18.42 per share, respectively. The total intrinsic value of options exercised during the years ended December 31, 2010, 2009 and 2008 was $44.5 million, $13.0 million and $29.7 million, respectively.</w:t>
      </w:r>
    </w:p>
    <w:p>
      <w:pPr>
        <w:spacing w:after="0" w:line="200"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Cash received from option exercises under all plans for the years ended December 31, 2010, 2009 and 2008 was approximately $20.8 million, $2.5 million and $2.3 million, respectively. The actual tax benefit realized for tax deductions from non-qualified stock option exercises and disqualifying dispositions of incentive stock options for the years ended December 31, 2010, 2009 and 2008 was $12.4 million, $3.1 million and $4.3 million, respectively.</w:t>
      </w:r>
    </w:p>
    <w:p>
      <w:pPr>
        <w:spacing w:after="0" w:line="20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At December 31, 2010, there was $49.7 million of total unrecognized compensation expense related to nonvested shares granted to both employees and non-employees under the Company’s share-based payment plans. That cost is expected to be recognized over a weighted-average period of 3.3 years.</w:t>
      </w:r>
    </w:p>
    <w:p>
      <w:pPr>
        <w:spacing w:after="0" w:line="200"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On June 9, 2010, the Company granted 0.006 million restricted stock units to non-employee directors vesting one year after grant date. The weighted-average grant-date fair value of the restricted stock units granted during the year ended December 31, 2010 was $38.40 per share. At December 31, 2010, total unrecognized compensation expense relating to unvested restricted stock units was $0.1 million, which is expected to be recognized over a weighted-average period of less than one year. Under the Company’s 2009 Directors Plan, restricted stock unit grants to non-employee directors are made at prices based on the fair-value of the restricted stock units on the date of grant.</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Estimated Forfeiture Rate</w:t>
      </w:r>
    </w:p>
    <w:p>
      <w:pPr>
        <w:spacing w:after="0" w:line="229"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During the year ended December 31, 2009, based on historical experience, the Company modified the estimated annual forfeiture rate used in recognizing stock-based compensation expense for its most senior executives based on their dissimilar historical forfeiture experience as compared to the forfeiture experience for non-senior executives. This modification resulted in a change from a 3.0% forfeiture rate for all employees to a 0% forfeiture rate for senior executives and an 11.2% forfeiture rate for all other recipients. During the same period, the Company also realized a benefit from actual forfeiture experience that was higher than previously estimated for unvested stock options,</w:t>
      </w:r>
    </w:p>
    <w:p>
      <w:pPr>
        <w:sectPr>
          <w:pgSz w:w="11900" w:h="16838" w:orient="portrait"/>
          <w:cols w:equalWidth="0" w:num="1">
            <w:col w:w="11460"/>
          </w:cols>
          <w:pgMar w:left="240" w:top="126" w:right="199" w:bottom="0" w:gutter="0" w:footer="0" w:header="0"/>
        </w:sectPr>
      </w:pPr>
    </w:p>
    <w:bookmarkStart w:id="65" w:name="page66"/>
    <w:bookmarkEnd w:id="65"/>
    <w:p>
      <w:pPr>
        <w:jc w:val="both"/>
        <w:ind w:right="40"/>
        <w:spacing w:after="0" w:line="288" w:lineRule="auto"/>
        <w:rPr>
          <w:sz w:val="20"/>
          <w:szCs w:val="20"/>
          <w:color w:val="auto"/>
        </w:rPr>
      </w:pPr>
      <w:r>
        <w:rPr>
          <w:rFonts w:ascii="Arial" w:cs="Arial" w:eastAsia="Arial" w:hAnsi="Arial"/>
          <w:sz w:val="19"/>
          <w:szCs w:val="19"/>
          <w:color w:val="auto"/>
        </w:rPr>
        <w:t>resulting primarily from non-senior executives and other employee departures from the Company. The cumulative impact of the revised forfeiture rates reduced stock-based compensation expense b y approximately $1.1 million for the year ended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and Non-Employee Share-Based Compensation Expense</w:t>
      </w:r>
    </w:p>
    <w:p>
      <w:pPr>
        <w:spacing w:after="0" w:line="229"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9"/>
          <w:szCs w:val="19"/>
          <w:color w:val="auto"/>
        </w:rPr>
        <w:t>The table below shows the amounts recognized in the consolidated financial statements for the twelve-months ended December 31, 2010, 2009 and 2008 for share-based compensation related to employees and non-employees. Employee and non-employee share-based compensation expense of $16.9 million for the year ended December 31, 2010 is comprised of $4.7 million that relates to incentive stock options and $12.2 million that relates to non-qualified stock options. Employee and non-employee share-based compensation expense of $14.0 million for the year ended December 31, 2009 is comprised of $2.7 million that relates to incentive stock options and $11.3 million that relates to non-qualified stock options. Employee and non-employee share-based compensation expense of $13.9 million for the year ended December 31, 2008 is comprised of $4.5 million that relates to ince ntive stock options and $9.4 million that relates to non-qualified stock options. The portion of share-based compensation expense that relates to incentive stock options has not been considered in the tax benefit computation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580" w:type="dxa"/>
            <w:vAlign w:val="bottom"/>
            <w:vMerge w:val="restart"/>
          </w:tcPr>
          <w:p>
            <w:pPr>
              <w:spacing w:after="0"/>
              <w:rPr>
                <w:sz w:val="20"/>
                <w:szCs w:val="20"/>
                <w:color w:val="auto"/>
              </w:rPr>
            </w:pPr>
            <w:r>
              <w:rPr>
                <w:rFonts w:ascii="Arial" w:cs="Arial" w:eastAsia="Arial" w:hAnsi="Arial"/>
                <w:sz w:val="21"/>
                <w:szCs w:val="21"/>
                <w:color w:val="auto"/>
              </w:rPr>
              <w:t>Operating expenses</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2010</w:t>
            </w: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2009</w:t>
            </w:r>
          </w:p>
        </w:tc>
        <w:tc>
          <w:tcPr>
            <w:tcW w:w="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580" w:type="dxa"/>
            <w:vAlign w:val="bottom"/>
            <w:vMerge w:val="continue"/>
          </w:tcPr>
          <w:p>
            <w:pPr>
              <w:spacing w:after="0"/>
              <w:rPr>
                <w:sz w:val="20"/>
                <w:szCs w:val="20"/>
                <w:color w:val="auto"/>
              </w:rPr>
            </w:pPr>
          </w:p>
        </w:tc>
        <w:tc>
          <w:tcPr>
            <w:tcW w:w="4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16,862</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14,041</w:t>
            </w: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13,899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line="210" w:lineRule="exact"/>
              <w:rPr>
                <w:sz w:val="20"/>
                <w:szCs w:val="20"/>
                <w:color w:val="auto"/>
              </w:rPr>
            </w:pPr>
            <w:r>
              <w:rPr>
                <w:rFonts w:ascii="Arial" w:cs="Arial" w:eastAsia="Arial" w:hAnsi="Arial"/>
                <w:sz w:val="21"/>
                <w:szCs w:val="21"/>
                <w:color w:val="auto"/>
                <w:w w:val="98"/>
              </w:rPr>
              <w:t>Total employee and non-employee share-based compensation expense</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21"/>
                <w:szCs w:val="21"/>
                <w:color w:val="auto"/>
              </w:rPr>
              <w:t>included in income, before income tax</w:t>
            </w:r>
          </w:p>
        </w:tc>
        <w:tc>
          <w:tcPr>
            <w:tcW w:w="4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21"/>
                <w:szCs w:val="21"/>
                <w:color w:val="auto"/>
              </w:rPr>
              <w:t>16,862</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21"/>
                <w:szCs w:val="21"/>
                <w:color w:val="auto"/>
              </w:rPr>
              <w:t>14,041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21"/>
                <w:szCs w:val="21"/>
                <w:color w:val="auto"/>
              </w:rPr>
              <w:t>13,899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0"/>
                <w:szCs w:val="20"/>
                <w:color w:val="auto"/>
              </w:rPr>
            </w:pPr>
            <w:r>
              <w:rPr>
                <w:rFonts w:ascii="Arial" w:cs="Arial" w:eastAsia="Arial" w:hAnsi="Arial"/>
                <w:sz w:val="21"/>
                <w:szCs w:val="21"/>
                <w:color w:val="auto"/>
              </w:rPr>
              <w:t>Less: Amount of income tax benefit recognized in earnings</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(4,234)</w:t>
            </w: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(4,358)</w:t>
            </w:r>
          </w:p>
        </w:tc>
        <w:tc>
          <w:tcPr>
            <w:tcW w:w="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(3,665)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580" w:type="dxa"/>
            <w:vAlign w:val="bottom"/>
          </w:tcPr>
          <w:p>
            <w:pPr>
              <w:spacing w:after="0" w:line="237" w:lineRule="exact"/>
              <w:rPr>
                <w:sz w:val="20"/>
                <w:szCs w:val="20"/>
                <w:color w:val="auto"/>
              </w:rPr>
            </w:pPr>
            <w:r>
              <w:rPr>
                <w:rFonts w:ascii="Arial" w:cs="Arial" w:eastAsia="Arial" w:hAnsi="Arial"/>
                <w:sz w:val="21"/>
                <w:szCs w:val="21"/>
                <w:color w:val="auto"/>
              </w:rPr>
              <w:t>Amount charged against net income</w:t>
            </w:r>
          </w:p>
        </w:tc>
        <w:tc>
          <w:tcPr>
            <w:tcW w:w="4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12,628</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9,683</w:t>
            </w: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10,234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5600"/>
              <w:spacing w:after="0"/>
              <w:rPr>
                <w:sz w:val="20"/>
                <w:szCs w:val="20"/>
                <w:color w:val="auto"/>
              </w:rPr>
            </w:pPr>
            <w:r>
              <w:rPr>
                <w:rFonts w:ascii="Arial" w:cs="Arial" w:eastAsia="Arial" w:hAnsi="Arial"/>
                <w:sz w:val="16"/>
                <w:szCs w:val="16"/>
                <w:color w:val="auto"/>
              </w:rPr>
              <w:t>104</w:t>
            </w: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5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A reconciliation of the weighted average shares used in the basic and diluted earnings per common share computations for the years ended December 31, 2010, 2009 and 2008 is presented below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80" w:type="dxa"/>
            <w:vAlign w:val="bottom"/>
            <w:vMerge w:val="restart"/>
          </w:tcPr>
          <w:p>
            <w:pPr>
              <w:spacing w:after="0"/>
              <w:rPr>
                <w:sz w:val="20"/>
                <w:szCs w:val="20"/>
                <w:color w:val="auto"/>
              </w:rPr>
            </w:pPr>
            <w:r>
              <w:rPr>
                <w:rFonts w:ascii="Arial" w:cs="Arial" w:eastAsia="Arial" w:hAnsi="Arial"/>
                <w:sz w:val="19"/>
                <w:szCs w:val="19"/>
                <w:color w:val="auto"/>
              </w:rPr>
              <w:t>Weighted-average shares outstanding:</w:t>
            </w: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2010</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2009</w:t>
            </w:r>
          </w:p>
        </w:tc>
        <w:tc>
          <w:tcPr>
            <w:tcW w:w="280" w:type="dxa"/>
            <w:vAlign w:val="bottom"/>
          </w:tcPr>
          <w:p>
            <w:pPr>
              <w:spacing w:after="0"/>
              <w:rPr>
                <w:sz w:val="20"/>
                <w:szCs w:val="20"/>
                <w:color w:val="auto"/>
              </w:rPr>
            </w:pPr>
          </w:p>
        </w:tc>
        <w:tc>
          <w:tcPr>
            <w:tcW w:w="1480" w:type="dxa"/>
            <w:vAlign w:val="bottom"/>
            <w:tcBorders>
              <w:bottom w:val="single" w:sz="8" w:color="auto"/>
            </w:tcBorders>
          </w:tcPr>
          <w:p>
            <w:pPr>
              <w:jc w:val="right"/>
              <w:ind w:right="465"/>
              <w:spacing w:after="0"/>
              <w:rPr>
                <w:sz w:val="20"/>
                <w:szCs w:val="20"/>
                <w:color w:val="auto"/>
              </w:rPr>
            </w:pPr>
            <w:r>
              <w:rPr>
                <w:rFonts w:ascii="Arial" w:cs="Arial" w:eastAsia="Arial" w:hAnsi="Arial"/>
                <w:sz w:val="19"/>
                <w:szCs w:val="19"/>
                <w:color w:val="auto"/>
              </w:rPr>
              <w:t>2008</w:t>
            </w:r>
          </w:p>
        </w:tc>
        <w:tc>
          <w:tcPr>
            <w:tcW w:w="0" w:type="dxa"/>
            <w:vAlign w:val="bottom"/>
          </w:tcPr>
          <w:p>
            <w:pPr>
              <w:spacing w:after="0"/>
              <w:rPr>
                <w:sz w:val="1"/>
                <w:szCs w:val="1"/>
                <w:color w:val="auto"/>
              </w:rPr>
            </w:pPr>
          </w:p>
        </w:tc>
      </w:tr>
      <w:tr>
        <w:trPr>
          <w:trHeight w:val="174"/>
        </w:trPr>
        <w:tc>
          <w:tcPr>
            <w:tcW w:w="58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780"/>
              <w:spacing w:after="0" w:line="216" w:lineRule="exact"/>
              <w:rPr>
                <w:sz w:val="20"/>
                <w:szCs w:val="20"/>
                <w:color w:val="auto"/>
              </w:rPr>
            </w:pPr>
            <w:r>
              <w:rPr>
                <w:rFonts w:ascii="Arial" w:cs="Arial" w:eastAsia="Arial" w:hAnsi="Arial"/>
                <w:sz w:val="19"/>
                <w:szCs w:val="19"/>
                <w:color w:val="auto"/>
              </w:rPr>
              <w:t>Basic</w:t>
            </w:r>
          </w:p>
        </w:tc>
        <w:tc>
          <w:tcPr>
            <w:tcW w:w="1360" w:type="dxa"/>
            <w:vAlign w:val="bottom"/>
          </w:tcPr>
          <w:p>
            <w:pPr>
              <w:jc w:val="right"/>
              <w:ind w:right="45"/>
              <w:spacing w:after="0" w:line="216" w:lineRule="exact"/>
              <w:rPr>
                <w:sz w:val="20"/>
                <w:szCs w:val="20"/>
                <w:color w:val="auto"/>
              </w:rPr>
            </w:pPr>
            <w:r>
              <w:rPr>
                <w:rFonts w:ascii="Arial" w:cs="Arial" w:eastAsia="Arial" w:hAnsi="Arial"/>
                <w:sz w:val="19"/>
                <w:szCs w:val="19"/>
                <w:color w:val="auto"/>
              </w:rPr>
              <w:t>88,514</w:t>
            </w:r>
          </w:p>
        </w:tc>
        <w:tc>
          <w:tcPr>
            <w:tcW w:w="280" w:type="dxa"/>
            <w:vAlign w:val="bottom"/>
          </w:tcPr>
          <w:p>
            <w:pPr>
              <w:spacing w:after="0"/>
              <w:rPr>
                <w:sz w:val="18"/>
                <w:szCs w:val="18"/>
                <w:color w:val="auto"/>
              </w:rPr>
            </w:pPr>
          </w:p>
        </w:tc>
        <w:tc>
          <w:tcPr>
            <w:tcW w:w="13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89,967</w:t>
            </w:r>
          </w:p>
        </w:tc>
        <w:tc>
          <w:tcPr>
            <w:tcW w:w="280" w:type="dxa"/>
            <w:vAlign w:val="bottom"/>
          </w:tcPr>
          <w:p>
            <w:pPr>
              <w:spacing w:after="0"/>
              <w:rPr>
                <w:sz w:val="18"/>
                <w:szCs w:val="18"/>
                <w:color w:val="auto"/>
              </w:rPr>
            </w:pPr>
          </w:p>
        </w:tc>
        <w:tc>
          <w:tcPr>
            <w:tcW w:w="1480" w:type="dxa"/>
            <w:vAlign w:val="bottom"/>
          </w:tcPr>
          <w:p>
            <w:pPr>
              <w:jc w:val="right"/>
              <w:ind w:right="5"/>
              <w:spacing w:after="0" w:line="216" w:lineRule="exact"/>
              <w:rPr>
                <w:sz w:val="20"/>
                <w:szCs w:val="20"/>
                <w:color w:val="auto"/>
              </w:rPr>
            </w:pPr>
            <w:r>
              <w:rPr>
                <w:rFonts w:ascii="Arial" w:cs="Arial" w:eastAsia="Arial" w:hAnsi="Arial"/>
                <w:sz w:val="19"/>
                <w:szCs w:val="19"/>
                <w:color w:val="auto"/>
              </w:rPr>
              <w:t>92,515</w:t>
            </w:r>
          </w:p>
        </w:tc>
        <w:tc>
          <w:tcPr>
            <w:tcW w:w="0" w:type="dxa"/>
            <w:vAlign w:val="bottom"/>
          </w:tcPr>
          <w:p>
            <w:pPr>
              <w:spacing w:after="0"/>
              <w:rPr>
                <w:sz w:val="1"/>
                <w:szCs w:val="1"/>
                <w:color w:val="auto"/>
              </w:rPr>
            </w:pPr>
          </w:p>
        </w:tc>
      </w:tr>
      <w:tr>
        <w:trPr>
          <w:trHeight w:val="216"/>
        </w:trPr>
        <w:tc>
          <w:tcPr>
            <w:tcW w:w="5880" w:type="dxa"/>
            <w:vAlign w:val="bottom"/>
          </w:tcPr>
          <w:p>
            <w:pPr>
              <w:ind w:left="780"/>
              <w:spacing w:after="0" w:line="216" w:lineRule="exact"/>
              <w:rPr>
                <w:sz w:val="20"/>
                <w:szCs w:val="20"/>
                <w:color w:val="auto"/>
              </w:rPr>
            </w:pPr>
            <w:r>
              <w:rPr>
                <w:rFonts w:ascii="Arial" w:cs="Arial" w:eastAsia="Arial" w:hAnsi="Arial"/>
                <w:sz w:val="19"/>
                <w:szCs w:val="19"/>
                <w:color w:val="auto"/>
              </w:rPr>
              <w:t>Dilutive securities</w:t>
            </w:r>
          </w:p>
        </w:tc>
        <w:tc>
          <w:tcPr>
            <w:tcW w:w="136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4,507</w:t>
            </w:r>
          </w:p>
        </w:tc>
        <w:tc>
          <w:tcPr>
            <w:tcW w:w="280" w:type="dxa"/>
            <w:vAlign w:val="bottom"/>
          </w:tcPr>
          <w:p>
            <w:pPr>
              <w:spacing w:after="0"/>
              <w:rPr>
                <w:sz w:val="18"/>
                <w:szCs w:val="18"/>
                <w:color w:val="auto"/>
              </w:rPr>
            </w:pPr>
          </w:p>
        </w:tc>
        <w:tc>
          <w:tcPr>
            <w:tcW w:w="13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4,676</w:t>
            </w:r>
          </w:p>
        </w:tc>
        <w:tc>
          <w:tcPr>
            <w:tcW w:w="280" w:type="dxa"/>
            <w:vAlign w:val="bottom"/>
          </w:tcPr>
          <w:p>
            <w:pPr>
              <w:spacing w:after="0"/>
              <w:rPr>
                <w:sz w:val="18"/>
                <w:szCs w:val="18"/>
                <w:color w:val="auto"/>
              </w:rPr>
            </w:pPr>
          </w:p>
        </w:tc>
        <w:tc>
          <w:tcPr>
            <w:tcW w:w="1480" w:type="dxa"/>
            <w:vAlign w:val="bottom"/>
          </w:tcPr>
          <w:p>
            <w:pPr>
              <w:jc w:val="right"/>
              <w:ind w:right="5"/>
              <w:spacing w:after="0" w:line="216" w:lineRule="exact"/>
              <w:rPr>
                <w:sz w:val="20"/>
                <w:szCs w:val="20"/>
                <w:color w:val="auto"/>
              </w:rPr>
            </w:pPr>
            <w:r>
              <w:rPr>
                <w:rFonts w:ascii="Arial" w:cs="Arial" w:eastAsia="Arial" w:hAnsi="Arial"/>
                <w:sz w:val="19"/>
                <w:szCs w:val="19"/>
                <w:color w:val="auto"/>
              </w:rPr>
              <w:t>5,015</w:t>
            </w:r>
          </w:p>
        </w:tc>
        <w:tc>
          <w:tcPr>
            <w:tcW w:w="0" w:type="dxa"/>
            <w:vAlign w:val="bottom"/>
          </w:tcPr>
          <w:p>
            <w:pPr>
              <w:spacing w:after="0"/>
              <w:rPr>
                <w:sz w:val="1"/>
                <w:szCs w:val="1"/>
                <w:color w:val="auto"/>
              </w:rPr>
            </w:pPr>
          </w:p>
        </w:tc>
      </w:tr>
      <w:tr>
        <w:trPr>
          <w:trHeight w:val="22"/>
        </w:trPr>
        <w:tc>
          <w:tcPr>
            <w:tcW w:w="5880" w:type="dxa"/>
            <w:vAlign w:val="bottom"/>
            <w:vMerge w:val="restart"/>
          </w:tcPr>
          <w:p>
            <w:pPr>
              <w:ind w:left="780"/>
              <w:spacing w:after="0"/>
              <w:rPr>
                <w:sz w:val="20"/>
                <w:szCs w:val="20"/>
                <w:color w:val="auto"/>
              </w:rPr>
            </w:pPr>
            <w:r>
              <w:rPr>
                <w:rFonts w:ascii="Arial" w:cs="Arial" w:eastAsia="Arial" w:hAnsi="Arial"/>
                <w:sz w:val="19"/>
                <w:szCs w:val="19"/>
                <w:color w:val="auto"/>
              </w:rPr>
              <w:t>Diluted</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36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93,021</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94,643</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97,530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For the years ended December 31, 2010, 2009 and 2008, options outstanding totaling 1.8 million shares, 2.5 million shares and 1.4 million shares respectively, were excluded from the calculations as their effect would have been antidilutive.</w:t>
      </w:r>
    </w:p>
    <w:p>
      <w:pPr>
        <w:spacing w:after="0" w:line="177"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Components of the provision for income taxes are as follows: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08"/>
        </w:trPr>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gridSpan w:val="4"/>
          </w:tcPr>
          <w:p>
            <w:pPr>
              <w:spacing w:after="0"/>
              <w:rPr>
                <w:sz w:val="20"/>
                <w:szCs w:val="20"/>
                <w:color w:val="auto"/>
              </w:rPr>
            </w:pPr>
            <w:r>
              <w:rPr>
                <w:rFonts w:ascii="Arial" w:cs="Arial" w:eastAsia="Arial" w:hAnsi="Arial"/>
                <w:sz w:val="18"/>
                <w:szCs w:val="18"/>
                <w:color w:val="auto"/>
                <w:w w:val="89"/>
              </w:rPr>
              <w:t>Year Ended December 31,</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60" w:type="dxa"/>
            <w:vAlign w:val="bottom"/>
            <w:vMerge w:val="restart"/>
          </w:tcPr>
          <w:p>
            <w:pPr>
              <w:spacing w:after="0"/>
              <w:rPr>
                <w:sz w:val="20"/>
                <w:szCs w:val="20"/>
                <w:color w:val="auto"/>
              </w:rPr>
            </w:pPr>
            <w:r>
              <w:rPr>
                <w:rFonts w:ascii="Arial" w:cs="Arial" w:eastAsia="Arial" w:hAnsi="Arial"/>
                <w:sz w:val="19"/>
                <w:szCs w:val="19"/>
                <w:color w:val="auto"/>
              </w:rPr>
              <w:t>Current: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2009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9"/>
                <w:szCs w:val="19"/>
                <w:color w:val="auto"/>
              </w:rPr>
              <w:t>2008</w:t>
            </w:r>
          </w:p>
        </w:tc>
        <w:tc>
          <w:tcPr>
            <w:tcW w:w="0" w:type="dxa"/>
            <w:vAlign w:val="bottom"/>
          </w:tcPr>
          <w:p>
            <w:pPr>
              <w:spacing w:after="0"/>
              <w:rPr>
                <w:sz w:val="1"/>
                <w:szCs w:val="1"/>
                <w:color w:val="auto"/>
              </w:rPr>
            </w:pPr>
          </w:p>
        </w:tc>
      </w:tr>
      <w:tr>
        <w:trPr>
          <w:trHeight w:val="174"/>
        </w:trPr>
        <w:tc>
          <w:tcPr>
            <w:tcW w:w="3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60"/>
              <w:spacing w:after="0" w:line="216" w:lineRule="exact"/>
              <w:rPr>
                <w:sz w:val="20"/>
                <w:szCs w:val="20"/>
                <w:color w:val="auto"/>
              </w:rPr>
            </w:pPr>
            <w:r>
              <w:rPr>
                <w:rFonts w:ascii="Arial" w:cs="Arial" w:eastAsia="Arial" w:hAnsi="Arial"/>
                <w:sz w:val="19"/>
                <w:szCs w:val="19"/>
                <w:color w:val="auto"/>
              </w:rPr>
              <w:t>Federal</w:t>
            </w:r>
          </w:p>
        </w:tc>
        <w:tc>
          <w:tcPr>
            <w:tcW w:w="340" w:type="dxa"/>
            <w:vAlign w:val="bottom"/>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111,217</w:t>
            </w:r>
          </w:p>
        </w:tc>
        <w:tc>
          <w:tcPr>
            <w:tcW w:w="620" w:type="dxa"/>
            <w:vAlign w:val="bottom"/>
            <w:gridSpan w:val="2"/>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10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107,503</w:t>
            </w:r>
          </w:p>
        </w:tc>
        <w:tc>
          <w:tcPr>
            <w:tcW w:w="280" w:type="dxa"/>
            <w:vAlign w:val="bottom"/>
          </w:tcPr>
          <w:p>
            <w:pPr>
              <w:spacing w:after="0"/>
              <w:rPr>
                <w:sz w:val="18"/>
                <w:szCs w:val="18"/>
                <w:color w:val="auto"/>
              </w:rPr>
            </w:pPr>
          </w:p>
        </w:tc>
        <w:tc>
          <w:tcPr>
            <w:tcW w:w="3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ind w:right="25"/>
              <w:spacing w:after="0" w:line="216" w:lineRule="exact"/>
              <w:rPr>
                <w:sz w:val="20"/>
                <w:szCs w:val="20"/>
                <w:color w:val="auto"/>
              </w:rPr>
            </w:pPr>
            <w:r>
              <w:rPr>
                <w:rFonts w:ascii="Arial" w:cs="Arial" w:eastAsia="Arial" w:hAnsi="Arial"/>
                <w:sz w:val="19"/>
                <w:szCs w:val="19"/>
                <w:color w:val="auto"/>
              </w:rPr>
              <w:t>90,018</w:t>
            </w:r>
          </w:p>
        </w:tc>
        <w:tc>
          <w:tcPr>
            <w:tcW w:w="0" w:type="dxa"/>
            <w:vAlign w:val="bottom"/>
          </w:tcPr>
          <w:p>
            <w:pPr>
              <w:spacing w:after="0"/>
              <w:rPr>
                <w:sz w:val="1"/>
                <w:szCs w:val="1"/>
                <w:color w:val="auto"/>
              </w:rPr>
            </w:pPr>
          </w:p>
        </w:tc>
      </w:tr>
      <w:tr>
        <w:trPr>
          <w:trHeight w:val="216"/>
        </w:trPr>
        <w:tc>
          <w:tcPr>
            <w:tcW w:w="3960" w:type="dxa"/>
            <w:vAlign w:val="bottom"/>
          </w:tcPr>
          <w:p>
            <w:pPr>
              <w:ind w:left="460"/>
              <w:spacing w:after="0" w:line="216" w:lineRule="exact"/>
              <w:rPr>
                <w:sz w:val="20"/>
                <w:szCs w:val="20"/>
                <w:color w:val="auto"/>
              </w:rPr>
            </w:pPr>
            <w:r>
              <w:rPr>
                <w:rFonts w:ascii="Arial" w:cs="Arial" w:eastAsia="Arial" w:hAnsi="Arial"/>
                <w:sz w:val="19"/>
                <w:szCs w:val="19"/>
                <w:color w:val="auto"/>
              </w:rPr>
              <w:t>State</w:t>
            </w:r>
          </w:p>
        </w:tc>
        <w:tc>
          <w:tcPr>
            <w:tcW w:w="340" w:type="dxa"/>
            <w:vAlign w:val="bottom"/>
          </w:tcPr>
          <w:p>
            <w:pPr>
              <w:spacing w:after="0"/>
              <w:rPr>
                <w:sz w:val="18"/>
                <w:szCs w:val="18"/>
                <w:color w:val="auto"/>
              </w:rPr>
            </w:pPr>
          </w:p>
        </w:tc>
        <w:tc>
          <w:tcPr>
            <w:tcW w:w="104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27,139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22,332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20,021</w:t>
            </w:r>
          </w:p>
        </w:tc>
        <w:tc>
          <w:tcPr>
            <w:tcW w:w="0" w:type="dxa"/>
            <w:vAlign w:val="bottom"/>
          </w:tcPr>
          <w:p>
            <w:pPr>
              <w:spacing w:after="0"/>
              <w:rPr>
                <w:sz w:val="1"/>
                <w:szCs w:val="1"/>
                <w:color w:val="auto"/>
              </w:rPr>
            </w:pPr>
          </w:p>
        </w:tc>
      </w:tr>
      <w:tr>
        <w:trPr>
          <w:trHeight w:val="238"/>
        </w:trPr>
        <w:tc>
          <w:tcPr>
            <w:tcW w:w="3960" w:type="dxa"/>
            <w:vAlign w:val="bottom"/>
          </w:tcPr>
          <w:p>
            <w:pPr>
              <w:ind w:left="460"/>
              <w:spacing w:after="0"/>
              <w:rPr>
                <w:sz w:val="20"/>
                <w:szCs w:val="20"/>
                <w:color w:val="auto"/>
              </w:rPr>
            </w:pPr>
            <w:r>
              <w:rPr>
                <w:rFonts w:ascii="Arial" w:cs="Arial" w:eastAsia="Arial" w:hAnsi="Arial"/>
                <w:sz w:val="19"/>
                <w:szCs w:val="19"/>
                <w:color w:val="auto"/>
              </w:rPr>
              <w:t>Foreign</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279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309</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5"/>
              <w:spacing w:after="0"/>
              <w:rPr>
                <w:sz w:val="20"/>
                <w:szCs w:val="20"/>
                <w:color w:val="auto"/>
              </w:rPr>
            </w:pPr>
            <w:r>
              <w:rPr>
                <w:rFonts w:ascii="Arial" w:cs="Arial" w:eastAsia="Arial" w:hAnsi="Arial"/>
                <w:sz w:val="19"/>
                <w:szCs w:val="19"/>
                <w:color w:val="auto"/>
              </w:rPr>
              <w:t>138,635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Arial" w:cs="Arial" w:eastAsia="Arial" w:hAnsi="Arial"/>
                <w:sz w:val="19"/>
                <w:szCs w:val="19"/>
                <w:color w:val="auto"/>
              </w:rPr>
              <w:t>130,144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25"/>
              <w:spacing w:after="0"/>
              <w:rPr>
                <w:sz w:val="20"/>
                <w:szCs w:val="20"/>
                <w:color w:val="auto"/>
              </w:rPr>
            </w:pPr>
            <w:r>
              <w:rPr>
                <w:rFonts w:ascii="Arial" w:cs="Arial" w:eastAsia="Arial" w:hAnsi="Arial"/>
                <w:sz w:val="19"/>
                <w:szCs w:val="19"/>
                <w:color w:val="auto"/>
              </w:rPr>
              <w:t>110,039</w:t>
            </w:r>
          </w:p>
        </w:tc>
        <w:tc>
          <w:tcPr>
            <w:tcW w:w="0" w:type="dxa"/>
            <w:vAlign w:val="bottom"/>
          </w:tcPr>
          <w:p>
            <w:pPr>
              <w:spacing w:after="0"/>
              <w:rPr>
                <w:sz w:val="1"/>
                <w:szCs w:val="1"/>
                <w:color w:val="auto"/>
              </w:rPr>
            </w:pPr>
          </w:p>
        </w:tc>
      </w:tr>
      <w:tr>
        <w:trPr>
          <w:trHeight w:val="385"/>
        </w:trPr>
        <w:tc>
          <w:tcPr>
            <w:tcW w:w="3960" w:type="dxa"/>
            <w:vAlign w:val="bottom"/>
          </w:tcPr>
          <w:p>
            <w:pPr>
              <w:spacing w:after="0"/>
              <w:rPr>
                <w:sz w:val="20"/>
                <w:szCs w:val="20"/>
                <w:color w:val="auto"/>
              </w:rPr>
            </w:pPr>
            <w:r>
              <w:rPr>
                <w:rFonts w:ascii="Arial" w:cs="Arial" w:eastAsia="Arial" w:hAnsi="Arial"/>
                <w:sz w:val="19"/>
                <w:szCs w:val="19"/>
                <w:color w:val="auto"/>
              </w:rPr>
              <w:t>Deferred:</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60"/>
              <w:spacing w:after="0" w:line="216" w:lineRule="exact"/>
              <w:rPr>
                <w:sz w:val="20"/>
                <w:szCs w:val="20"/>
                <w:color w:val="auto"/>
              </w:rPr>
            </w:pPr>
            <w:r>
              <w:rPr>
                <w:rFonts w:ascii="Arial" w:cs="Arial" w:eastAsia="Arial" w:hAnsi="Arial"/>
                <w:sz w:val="19"/>
                <w:szCs w:val="19"/>
                <w:color w:val="auto"/>
              </w:rPr>
              <w:t>Federal</w:t>
            </w:r>
          </w:p>
        </w:tc>
        <w:tc>
          <w:tcPr>
            <w:tcW w:w="3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(3,913)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(1,941)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(35,932)</w:t>
            </w:r>
          </w:p>
        </w:tc>
        <w:tc>
          <w:tcPr>
            <w:tcW w:w="0" w:type="dxa"/>
            <w:vAlign w:val="bottom"/>
          </w:tcPr>
          <w:p>
            <w:pPr>
              <w:spacing w:after="0"/>
              <w:rPr>
                <w:sz w:val="1"/>
                <w:szCs w:val="1"/>
                <w:color w:val="auto"/>
              </w:rPr>
            </w:pPr>
          </w:p>
        </w:tc>
      </w:tr>
      <w:tr>
        <w:trPr>
          <w:trHeight w:val="216"/>
        </w:trPr>
        <w:tc>
          <w:tcPr>
            <w:tcW w:w="3960" w:type="dxa"/>
            <w:vAlign w:val="bottom"/>
          </w:tcPr>
          <w:p>
            <w:pPr>
              <w:ind w:left="460"/>
              <w:spacing w:after="0" w:line="216" w:lineRule="exact"/>
              <w:rPr>
                <w:sz w:val="20"/>
                <w:szCs w:val="20"/>
                <w:color w:val="auto"/>
              </w:rPr>
            </w:pPr>
            <w:r>
              <w:rPr>
                <w:rFonts w:ascii="Arial" w:cs="Arial" w:eastAsia="Arial" w:hAnsi="Arial"/>
                <w:sz w:val="19"/>
                <w:szCs w:val="19"/>
                <w:color w:val="auto"/>
              </w:rPr>
              <w:t>State</w:t>
            </w:r>
          </w:p>
        </w:tc>
        <w:tc>
          <w:tcPr>
            <w:tcW w:w="340" w:type="dxa"/>
            <w:vAlign w:val="bottom"/>
          </w:tcPr>
          <w:p>
            <w:pPr>
              <w:spacing w:after="0"/>
              <w:rPr>
                <w:sz w:val="18"/>
                <w:szCs w:val="18"/>
                <w:color w:val="auto"/>
              </w:rPr>
            </w:pPr>
          </w:p>
        </w:tc>
        <w:tc>
          <w:tcPr>
            <w:tcW w:w="104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747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(7,125)</w:t>
            </w:r>
          </w:p>
        </w:tc>
        <w:tc>
          <w:tcPr>
            <w:tcW w:w="0" w:type="dxa"/>
            <w:vAlign w:val="bottom"/>
          </w:tcPr>
          <w:p>
            <w:pPr>
              <w:spacing w:after="0"/>
              <w:rPr>
                <w:sz w:val="1"/>
                <w:szCs w:val="1"/>
                <w:color w:val="auto"/>
              </w:rPr>
            </w:pPr>
          </w:p>
        </w:tc>
      </w:tr>
      <w:tr>
        <w:trPr>
          <w:trHeight w:val="238"/>
        </w:trPr>
        <w:tc>
          <w:tcPr>
            <w:tcW w:w="3960" w:type="dxa"/>
            <w:vAlign w:val="bottom"/>
          </w:tcPr>
          <w:p>
            <w:pPr>
              <w:ind w:left="460"/>
              <w:spacing w:after="0"/>
              <w:rPr>
                <w:sz w:val="20"/>
                <w:szCs w:val="20"/>
                <w:color w:val="auto"/>
              </w:rPr>
            </w:pPr>
            <w:r>
              <w:rPr>
                <w:rFonts w:ascii="Arial" w:cs="Arial" w:eastAsia="Arial" w:hAnsi="Arial"/>
                <w:sz w:val="19"/>
                <w:szCs w:val="19"/>
                <w:color w:val="auto"/>
              </w:rPr>
              <w:t>Foreign</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(1,233)</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(1,537)</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(4,739)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(3,165)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(44,594)</w:t>
            </w:r>
          </w:p>
        </w:tc>
        <w:tc>
          <w:tcPr>
            <w:tcW w:w="0" w:type="dxa"/>
            <w:vAlign w:val="bottom"/>
          </w:tcPr>
          <w:p>
            <w:pPr>
              <w:spacing w:after="0"/>
              <w:rPr>
                <w:sz w:val="1"/>
                <w:szCs w:val="1"/>
                <w:color w:val="auto"/>
              </w:rPr>
            </w:pPr>
          </w:p>
        </w:tc>
      </w:tr>
      <w:tr>
        <w:trPr>
          <w:trHeight w:val="410"/>
        </w:trPr>
        <w:tc>
          <w:tcPr>
            <w:tcW w:w="3960" w:type="dxa"/>
            <w:vAlign w:val="bottom"/>
          </w:tcPr>
          <w:p>
            <w:pPr>
              <w:ind w:left="460"/>
              <w:spacing w:after="0"/>
              <w:rPr>
                <w:sz w:val="20"/>
                <w:szCs w:val="20"/>
                <w:color w:val="auto"/>
              </w:rPr>
            </w:pPr>
            <w:r>
              <w:rPr>
                <w:rFonts w:ascii="Arial" w:cs="Arial" w:eastAsia="Arial" w:hAnsi="Arial"/>
                <w:sz w:val="19"/>
                <w:szCs w:val="19"/>
                <w:color w:val="auto"/>
              </w:rPr>
              <w:t>Valuation allowance</w:t>
            </w:r>
          </w:p>
        </w:tc>
        <w:tc>
          <w:tcPr>
            <w:tcW w:w="340" w:type="dxa"/>
            <w:vAlign w:val="bottom"/>
          </w:tcPr>
          <w:p>
            <w:pPr>
              <w:spacing w:after="0"/>
              <w:rPr>
                <w:sz w:val="24"/>
                <w:szCs w:val="24"/>
                <w:color w:val="auto"/>
              </w:rPr>
            </w:pPr>
          </w:p>
        </w:tc>
        <w:tc>
          <w:tcPr>
            <w:tcW w:w="1040" w:type="dxa"/>
            <w:vAlign w:val="bottom"/>
          </w:tcPr>
          <w:p>
            <w:pPr>
              <w:jc w:val="right"/>
              <w:ind w:right="45"/>
              <w:spacing w:after="0"/>
              <w:rPr>
                <w:sz w:val="20"/>
                <w:szCs w:val="20"/>
                <w:color w:val="auto"/>
              </w:rPr>
            </w:pPr>
            <w:r>
              <w:rPr>
                <w:rFonts w:ascii="Arial" w:cs="Arial" w:eastAsia="Arial" w:hAnsi="Arial"/>
                <w:sz w:val="19"/>
                <w:szCs w:val="19"/>
                <w:color w:val="auto"/>
              </w:rPr>
              <w:t>3,377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vMerge w:val="restart"/>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34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137,273</w:t>
            </w:r>
          </w:p>
        </w:tc>
        <w:tc>
          <w:tcPr>
            <w:tcW w:w="28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126,979</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65,445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differences in the total provision for income taxes that would result from applying the 35% federal statutory rate to income before provision for income taxes and the reported provision for income taxes are as follows:</w:t>
      </w:r>
    </w:p>
    <w:p>
      <w:pPr>
        <w:sectPr>
          <w:pgSz w:w="11900" w:h="16838" w:orient="portrait"/>
          <w:cols w:equalWidth="0" w:num="1">
            <w:col w:w="11460"/>
          </w:cols>
          <w:pgMar w:left="240" w:top="122" w:right="199" w:bottom="195" w:gutter="0" w:footer="0" w:header="0"/>
        </w:sectPr>
      </w:pP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2" w:right="199" w:bottom="195" w:gutter="0" w:footer="0" w:header="0"/>
          <w:type w:val="continuous"/>
        </w:sectPr>
      </w:pPr>
    </w:p>
    <w:bookmarkStart w:id="66" w:name="page67"/>
    <w:bookmarkEnd w:id="66"/>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8"/>
                <w:szCs w:val="18"/>
                <w:color w:val="auto"/>
                <w:w w:val="88"/>
              </w:rPr>
              <w:t>Year Ended December 31,</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60" w:type="dxa"/>
            <w:vAlign w:val="bottom"/>
            <w:vMerge w:val="restart"/>
          </w:tcPr>
          <w:p>
            <w:pPr>
              <w:spacing w:after="0"/>
              <w:rPr>
                <w:sz w:val="20"/>
                <w:szCs w:val="20"/>
                <w:color w:val="auto"/>
              </w:rPr>
            </w:pPr>
            <w:r>
              <w:rPr>
                <w:rFonts w:ascii="Arial" w:cs="Arial" w:eastAsia="Arial" w:hAnsi="Arial"/>
                <w:sz w:val="19"/>
                <w:szCs w:val="19"/>
                <w:color w:val="auto"/>
              </w:rPr>
              <w:t>U.S. Federal tax expense at statutory rates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2010</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2009</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9"/>
                <w:szCs w:val="19"/>
                <w:color w:val="auto"/>
              </w:rPr>
              <w:t>2008</w:t>
            </w:r>
          </w:p>
        </w:tc>
        <w:tc>
          <w:tcPr>
            <w:tcW w:w="0" w:type="dxa"/>
            <w:vAlign w:val="bottom"/>
          </w:tcPr>
          <w:p>
            <w:pPr>
              <w:spacing w:after="0"/>
              <w:rPr>
                <w:sz w:val="1"/>
                <w:szCs w:val="1"/>
                <w:color w:val="auto"/>
              </w:rPr>
            </w:pPr>
          </w:p>
        </w:tc>
      </w:tr>
      <w:tr>
        <w:trPr>
          <w:trHeight w:val="187"/>
        </w:trPr>
        <w:tc>
          <w:tcPr>
            <w:tcW w:w="5460" w:type="dxa"/>
            <w:vAlign w:val="bottom"/>
            <w:vMerge w:val="continue"/>
          </w:tcPr>
          <w:p>
            <w:pPr>
              <w:spacing w:after="0"/>
              <w:rPr>
                <w:sz w:val="16"/>
                <w:szCs w:val="16"/>
                <w:color w:val="auto"/>
              </w:rPr>
            </w:pPr>
          </w:p>
        </w:tc>
        <w:tc>
          <w:tcPr>
            <w:tcW w:w="380" w:type="dxa"/>
            <w:vAlign w:val="bottom"/>
          </w:tcPr>
          <w:p>
            <w:pPr>
              <w:jc w:val="right"/>
              <w:ind w:right="5"/>
              <w:spacing w:after="0" w:line="187" w:lineRule="exact"/>
              <w:rPr>
                <w:sz w:val="20"/>
                <w:szCs w:val="20"/>
                <w:color w:val="auto"/>
              </w:rPr>
            </w:pPr>
            <w:r>
              <w:rPr>
                <w:rFonts w:ascii="Arial" w:cs="Arial" w:eastAsia="Arial" w:hAnsi="Arial"/>
                <w:sz w:val="19"/>
                <w:szCs w:val="19"/>
                <w:color w:val="auto"/>
              </w:rPr>
              <w:t>$</w:t>
            </w:r>
          </w:p>
        </w:tc>
        <w:tc>
          <w:tcPr>
            <w:tcW w:w="980" w:type="dxa"/>
            <w:vAlign w:val="bottom"/>
          </w:tcPr>
          <w:p>
            <w:pPr>
              <w:jc w:val="right"/>
              <w:ind w:right="25"/>
              <w:spacing w:after="0" w:line="187" w:lineRule="exact"/>
              <w:rPr>
                <w:sz w:val="20"/>
                <w:szCs w:val="20"/>
                <w:color w:val="auto"/>
              </w:rPr>
            </w:pPr>
            <w:r>
              <w:rPr>
                <w:rFonts w:ascii="Arial" w:cs="Arial" w:eastAsia="Arial" w:hAnsi="Arial"/>
                <w:sz w:val="19"/>
                <w:szCs w:val="19"/>
                <w:color w:val="auto"/>
              </w:rPr>
              <w:t>122,256</w:t>
            </w:r>
          </w:p>
        </w:tc>
        <w:tc>
          <w:tcPr>
            <w:tcW w:w="300" w:type="dxa"/>
            <w:vAlign w:val="bottom"/>
          </w:tcPr>
          <w:p>
            <w:pPr>
              <w:spacing w:after="0"/>
              <w:rPr>
                <w:sz w:val="16"/>
                <w:szCs w:val="16"/>
                <w:color w:val="auto"/>
              </w:rPr>
            </w:pPr>
          </w:p>
        </w:tc>
        <w:tc>
          <w:tcPr>
            <w:tcW w:w="360" w:type="dxa"/>
            <w:vAlign w:val="bottom"/>
          </w:tcPr>
          <w:p>
            <w:pPr>
              <w:jc w:val="right"/>
              <w:ind w:right="5"/>
              <w:spacing w:after="0" w:line="187" w:lineRule="exact"/>
              <w:rPr>
                <w:sz w:val="20"/>
                <w:szCs w:val="20"/>
                <w:color w:val="auto"/>
              </w:rPr>
            </w:pPr>
            <w:r>
              <w:rPr>
                <w:rFonts w:ascii="Arial" w:cs="Arial" w:eastAsia="Arial" w:hAnsi="Arial"/>
                <w:sz w:val="19"/>
                <w:szCs w:val="19"/>
                <w:color w:val="auto"/>
              </w:rPr>
              <w:t>$</w:t>
            </w:r>
          </w:p>
        </w:tc>
        <w:tc>
          <w:tcPr>
            <w:tcW w:w="980" w:type="dxa"/>
            <w:vAlign w:val="bottom"/>
          </w:tcPr>
          <w:p>
            <w:pPr>
              <w:jc w:val="right"/>
              <w:ind w:right="25"/>
              <w:spacing w:after="0" w:line="187" w:lineRule="exact"/>
              <w:rPr>
                <w:sz w:val="20"/>
                <w:szCs w:val="20"/>
                <w:color w:val="auto"/>
              </w:rPr>
            </w:pPr>
            <w:r>
              <w:rPr>
                <w:rFonts w:ascii="Arial" w:cs="Arial" w:eastAsia="Arial" w:hAnsi="Arial"/>
                <w:sz w:val="19"/>
                <w:szCs w:val="19"/>
                <w:color w:val="auto"/>
              </w:rPr>
              <w:t>117,510</w:t>
            </w:r>
          </w:p>
        </w:tc>
        <w:tc>
          <w:tcPr>
            <w:tcW w:w="280" w:type="dxa"/>
            <w:vAlign w:val="bottom"/>
          </w:tcPr>
          <w:p>
            <w:pPr>
              <w:spacing w:after="0"/>
              <w:rPr>
                <w:sz w:val="16"/>
                <w:szCs w:val="16"/>
                <w:color w:val="auto"/>
              </w:rPr>
            </w:pPr>
          </w:p>
        </w:tc>
        <w:tc>
          <w:tcPr>
            <w:tcW w:w="400" w:type="dxa"/>
            <w:vAlign w:val="bottom"/>
          </w:tcPr>
          <w:p>
            <w:pPr>
              <w:jc w:val="right"/>
              <w:ind w:right="45"/>
              <w:spacing w:after="0" w:line="187" w:lineRule="exact"/>
              <w:rPr>
                <w:sz w:val="20"/>
                <w:szCs w:val="20"/>
                <w:color w:val="auto"/>
              </w:rPr>
            </w:pPr>
            <w:r>
              <w:rPr>
                <w:rFonts w:ascii="Arial" w:cs="Arial" w:eastAsia="Arial" w:hAnsi="Arial"/>
                <w:sz w:val="19"/>
                <w:szCs w:val="19"/>
                <w:color w:val="auto"/>
              </w:rPr>
              <w:t>$</w:t>
            </w:r>
          </w:p>
        </w:tc>
        <w:tc>
          <w:tcPr>
            <w:tcW w:w="1140" w:type="dxa"/>
            <w:vAlign w:val="bottom"/>
          </w:tcPr>
          <w:p>
            <w:pPr>
              <w:jc w:val="right"/>
              <w:ind w:right="65"/>
              <w:spacing w:after="0" w:line="187" w:lineRule="exact"/>
              <w:rPr>
                <w:sz w:val="20"/>
                <w:szCs w:val="20"/>
                <w:color w:val="auto"/>
              </w:rPr>
            </w:pPr>
            <w:r>
              <w:rPr>
                <w:rFonts w:ascii="Arial" w:cs="Arial" w:eastAsia="Arial" w:hAnsi="Arial"/>
                <w:sz w:val="19"/>
                <w:szCs w:val="19"/>
                <w:color w:val="auto"/>
              </w:rPr>
              <w:t>60,717</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Arial" w:cs="Arial" w:eastAsia="Arial" w:hAnsi="Arial"/>
                <w:sz w:val="19"/>
                <w:szCs w:val="19"/>
                <w:color w:val="auto"/>
              </w:rPr>
              <w:t>State income taxes, net of federal tax benefit</w:t>
            </w:r>
          </w:p>
        </w:tc>
        <w:tc>
          <w:tcPr>
            <w:tcW w:w="380" w:type="dxa"/>
            <w:vAlign w:val="bottom"/>
          </w:tcPr>
          <w:p>
            <w:pPr>
              <w:spacing w:after="0"/>
              <w:rPr>
                <w:sz w:val="18"/>
                <w:szCs w:val="18"/>
                <w:color w:val="auto"/>
              </w:rPr>
            </w:pPr>
          </w:p>
        </w:tc>
        <w:tc>
          <w:tcPr>
            <w:tcW w:w="9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18,126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14,819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65"/>
              <w:spacing w:after="0" w:line="216" w:lineRule="exact"/>
              <w:rPr>
                <w:sz w:val="20"/>
                <w:szCs w:val="20"/>
                <w:color w:val="auto"/>
              </w:rPr>
            </w:pPr>
            <w:r>
              <w:rPr>
                <w:rFonts w:ascii="Arial" w:cs="Arial" w:eastAsia="Arial" w:hAnsi="Arial"/>
                <w:sz w:val="19"/>
                <w:szCs w:val="19"/>
                <w:color w:val="auto"/>
              </w:rPr>
              <w:t>8,676</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Arial" w:cs="Arial" w:eastAsia="Arial" w:hAnsi="Arial"/>
                <w:sz w:val="19"/>
                <w:szCs w:val="19"/>
                <w:color w:val="auto"/>
              </w:rPr>
              <w:t>Permanent differences</w:t>
            </w:r>
          </w:p>
        </w:tc>
        <w:tc>
          <w:tcPr>
            <w:tcW w:w="380" w:type="dxa"/>
            <w:vAlign w:val="bottom"/>
          </w:tcPr>
          <w:p>
            <w:pPr>
              <w:spacing w:after="0"/>
              <w:rPr>
                <w:sz w:val="18"/>
                <w:szCs w:val="18"/>
                <w:color w:val="auto"/>
              </w:rPr>
            </w:pPr>
          </w:p>
        </w:tc>
        <w:tc>
          <w:tcPr>
            <w:tcW w:w="9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1,634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977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5"/>
              <w:spacing w:after="0" w:line="216" w:lineRule="exact"/>
              <w:rPr>
                <w:sz w:val="20"/>
                <w:szCs w:val="20"/>
                <w:color w:val="auto"/>
              </w:rPr>
            </w:pPr>
            <w:r>
              <w:rPr>
                <w:rFonts w:ascii="Arial" w:cs="Arial" w:eastAsia="Arial" w:hAnsi="Arial"/>
                <w:sz w:val="19"/>
                <w:szCs w:val="19"/>
                <w:color w:val="auto"/>
              </w:rPr>
              <w:t>(1,344)</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Arial" w:cs="Arial" w:eastAsia="Arial" w:hAnsi="Arial"/>
                <w:sz w:val="19"/>
                <w:szCs w:val="19"/>
                <w:color w:val="auto"/>
              </w:rPr>
              <w:t>Domestic production deduction</w:t>
            </w:r>
          </w:p>
        </w:tc>
        <w:tc>
          <w:tcPr>
            <w:tcW w:w="3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(9,450)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(8,495)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5"/>
              <w:spacing w:after="0" w:line="216" w:lineRule="exact"/>
              <w:rPr>
                <w:sz w:val="20"/>
                <w:szCs w:val="20"/>
                <w:color w:val="auto"/>
              </w:rPr>
            </w:pPr>
            <w:r>
              <w:rPr>
                <w:rFonts w:ascii="Arial" w:cs="Arial" w:eastAsia="Arial" w:hAnsi="Arial"/>
                <w:sz w:val="19"/>
                <w:szCs w:val="19"/>
                <w:color w:val="auto"/>
              </w:rPr>
              <w:t>(4,733)</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Arial" w:cs="Arial" w:eastAsia="Arial" w:hAnsi="Arial"/>
                <w:sz w:val="19"/>
                <w:szCs w:val="19"/>
                <w:color w:val="auto"/>
              </w:rPr>
              <w:t>Other</w:t>
            </w:r>
          </w:p>
        </w:tc>
        <w:tc>
          <w:tcPr>
            <w:tcW w:w="380" w:type="dxa"/>
            <w:vAlign w:val="bottom"/>
          </w:tcPr>
          <w:p>
            <w:pPr>
              <w:spacing w:after="0"/>
              <w:rPr>
                <w:sz w:val="18"/>
                <w:szCs w:val="18"/>
                <w:color w:val="auto"/>
              </w:rPr>
            </w:pPr>
          </w:p>
        </w:tc>
        <w:tc>
          <w:tcPr>
            <w:tcW w:w="9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1,330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2,168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65"/>
              <w:spacing w:after="0" w:line="216" w:lineRule="exact"/>
              <w:rPr>
                <w:sz w:val="20"/>
                <w:szCs w:val="20"/>
                <w:color w:val="auto"/>
              </w:rPr>
            </w:pPr>
            <w:r>
              <w:rPr>
                <w:rFonts w:ascii="Arial" w:cs="Arial" w:eastAsia="Arial" w:hAnsi="Arial"/>
                <w:sz w:val="19"/>
                <w:szCs w:val="19"/>
                <w:color w:val="auto"/>
              </w:rPr>
              <w:t>2,129</w:t>
            </w: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r>
              <w:rPr>
                <w:rFonts w:ascii="Arial" w:cs="Arial" w:eastAsia="Arial" w:hAnsi="Arial"/>
                <w:sz w:val="19"/>
                <w:szCs w:val="19"/>
                <w:color w:val="auto"/>
              </w:rPr>
              <w:t>Valuation allowance</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3,377</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38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137,273</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126,979</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65,445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Major components of the Company’s deferred tax assets (liabilities) at December 31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2010</w:t>
            </w: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Reserve for sales returns</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234</w:t>
            </w:r>
          </w:p>
        </w:tc>
        <w:tc>
          <w:tcPr>
            <w:tcW w:w="40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377</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Reserve for doubtful accounts</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Reserve for inventory obsolescence</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3,407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2,170</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Reserve for marketing development fund</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7,216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2,624</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Capitalization of inventory costs</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998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878</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State franchise tax</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4,512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3,970</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Accrued compensation</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334</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369</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Accrued other liabilities</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488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Deferred revenue</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52,711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56,571</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Stock-based compensation</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13,260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11,877</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Comprehensive income</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978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3,283</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Securities impairment</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2,114</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1,845</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Amortization of graphic design</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63</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6740" w:type="dxa"/>
            <w:vAlign w:val="bottom"/>
          </w:tcPr>
          <w:p>
            <w:pPr>
              <w:ind w:left="180"/>
              <w:spacing w:after="0"/>
              <w:rPr>
                <w:sz w:val="20"/>
                <w:szCs w:val="20"/>
                <w:color w:val="auto"/>
              </w:rPr>
            </w:pPr>
            <w:r>
              <w:rPr>
                <w:rFonts w:ascii="Arial" w:cs="Arial" w:eastAsia="Arial" w:hAnsi="Arial"/>
                <w:sz w:val="20"/>
                <w:szCs w:val="20"/>
                <w:color w:val="auto"/>
              </w:rPr>
              <w:t>Foreign net operating loss carryforward</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3,928</w:t>
            </w: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2,866</w:t>
            </w:r>
          </w:p>
        </w:tc>
        <w:tc>
          <w:tcPr>
            <w:tcW w:w="0" w:type="dxa"/>
            <w:vAlign w:val="bottom"/>
          </w:tcPr>
          <w:p>
            <w:pPr>
              <w:spacing w:after="0"/>
              <w:rPr>
                <w:sz w:val="1"/>
                <w:szCs w:val="1"/>
                <w:color w:val="auto"/>
              </w:rPr>
            </w:pPr>
          </w:p>
        </w:tc>
      </w:tr>
      <w:tr>
        <w:trPr>
          <w:trHeight w:val="230"/>
        </w:trPr>
        <w:tc>
          <w:tcPr>
            <w:tcW w:w="6740" w:type="dxa"/>
            <w:vAlign w:val="bottom"/>
          </w:tcPr>
          <w:p>
            <w:pPr>
              <w:ind w:left="540"/>
              <w:spacing w:after="0" w:line="220" w:lineRule="exact"/>
              <w:rPr>
                <w:sz w:val="20"/>
                <w:szCs w:val="20"/>
                <w:color w:val="auto"/>
              </w:rPr>
            </w:pPr>
            <w:r>
              <w:rPr>
                <w:rFonts w:ascii="Arial" w:cs="Arial" w:eastAsia="Arial" w:hAnsi="Arial"/>
                <w:sz w:val="20"/>
                <w:szCs w:val="20"/>
                <w:color w:val="auto"/>
              </w:rPr>
              <w:t>Total gross deferred tax assets</w:t>
            </w: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90,268</w:t>
            </w:r>
          </w:p>
        </w:tc>
        <w:tc>
          <w:tcPr>
            <w:tcW w:w="40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86,869</w:t>
            </w:r>
          </w:p>
        </w:tc>
        <w:tc>
          <w:tcPr>
            <w:tcW w:w="0" w:type="dxa"/>
            <w:vAlign w:val="bottom"/>
          </w:tcPr>
          <w:p>
            <w:pPr>
              <w:spacing w:after="0"/>
              <w:rPr>
                <w:sz w:val="1"/>
                <w:szCs w:val="1"/>
                <w:color w:val="auto"/>
              </w:rPr>
            </w:pPr>
          </w:p>
        </w:tc>
      </w:tr>
      <w:tr>
        <w:trPr>
          <w:trHeight w:val="436"/>
        </w:trPr>
        <w:tc>
          <w:tcPr>
            <w:tcW w:w="674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Amortization of graphic design</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20"/>
                <w:szCs w:val="20"/>
                <w:color w:val="auto"/>
              </w:rPr>
              <w:t>Amortization of trademarks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(7,082)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(6,396)</w:t>
            </w:r>
          </w:p>
        </w:tc>
        <w:tc>
          <w:tcPr>
            <w:tcW w:w="0" w:type="dxa"/>
            <w:vAlign w:val="bottom"/>
          </w:tcPr>
          <w:p>
            <w:pPr>
              <w:spacing w:after="0"/>
              <w:rPr>
                <w:sz w:val="1"/>
                <w:szCs w:val="1"/>
                <w:color w:val="auto"/>
              </w:rPr>
            </w:pPr>
          </w:p>
        </w:tc>
      </w:tr>
      <w:tr>
        <w:trPr>
          <w:trHeight w:val="240"/>
        </w:trPr>
        <w:tc>
          <w:tcPr>
            <w:tcW w:w="6740" w:type="dxa"/>
            <w:vAlign w:val="bottom"/>
          </w:tcPr>
          <w:p>
            <w:pPr>
              <w:ind w:left="180"/>
              <w:spacing w:after="0"/>
              <w:rPr>
                <w:sz w:val="20"/>
                <w:szCs w:val="20"/>
                <w:color w:val="auto"/>
              </w:rPr>
            </w:pPr>
            <w:r>
              <w:rPr>
                <w:rFonts w:ascii="Arial" w:cs="Arial" w:eastAsia="Arial" w:hAnsi="Arial"/>
                <w:sz w:val="20"/>
                <w:szCs w:val="20"/>
                <w:color w:val="auto"/>
              </w:rPr>
              <w:t>Depreciation</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(4,562)</w:t>
            </w: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(4,367)</w:t>
            </w:r>
          </w:p>
        </w:tc>
        <w:tc>
          <w:tcPr>
            <w:tcW w:w="0" w:type="dxa"/>
            <w:vAlign w:val="bottom"/>
          </w:tcPr>
          <w:p>
            <w:pPr>
              <w:spacing w:after="0"/>
              <w:rPr>
                <w:sz w:val="1"/>
                <w:szCs w:val="1"/>
                <w:color w:val="auto"/>
              </w:rPr>
            </w:pPr>
          </w:p>
        </w:tc>
      </w:tr>
      <w:tr>
        <w:trPr>
          <w:trHeight w:val="230"/>
        </w:trPr>
        <w:tc>
          <w:tcPr>
            <w:tcW w:w="6740" w:type="dxa"/>
            <w:vAlign w:val="bottom"/>
          </w:tcPr>
          <w:p>
            <w:pPr>
              <w:ind w:left="540"/>
              <w:spacing w:after="0" w:line="220" w:lineRule="exact"/>
              <w:rPr>
                <w:sz w:val="20"/>
                <w:szCs w:val="20"/>
                <w:color w:val="auto"/>
              </w:rPr>
            </w:pPr>
            <w:r>
              <w:rPr>
                <w:rFonts w:ascii="Arial" w:cs="Arial" w:eastAsia="Arial" w:hAnsi="Arial"/>
                <w:sz w:val="20"/>
                <w:szCs w:val="20"/>
                <w:color w:val="auto"/>
              </w:rPr>
              <w:t>Total gross deferred tax liabilities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(11,644)</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(10,841)</w:t>
            </w:r>
          </w:p>
        </w:tc>
        <w:tc>
          <w:tcPr>
            <w:tcW w:w="0" w:type="dxa"/>
            <w:vAlign w:val="bottom"/>
          </w:tcPr>
          <w:p>
            <w:pPr>
              <w:spacing w:after="0"/>
              <w:rPr>
                <w:sz w:val="1"/>
                <w:szCs w:val="1"/>
                <w:color w:val="auto"/>
              </w:rPr>
            </w:pPr>
          </w:p>
        </w:tc>
      </w:tr>
      <w:tr>
        <w:trPr>
          <w:trHeight w:val="457"/>
        </w:trPr>
        <w:tc>
          <w:tcPr>
            <w:tcW w:w="6740" w:type="dxa"/>
            <w:vAlign w:val="bottom"/>
          </w:tcPr>
          <w:p>
            <w:pPr>
              <w:ind w:left="180"/>
              <w:spacing w:after="0"/>
              <w:rPr>
                <w:sz w:val="20"/>
                <w:szCs w:val="20"/>
                <w:color w:val="auto"/>
              </w:rPr>
            </w:pPr>
            <w:r>
              <w:rPr>
                <w:rFonts w:ascii="Arial" w:cs="Arial" w:eastAsia="Arial" w:hAnsi="Arial"/>
                <w:sz w:val="20"/>
                <w:szCs w:val="20"/>
                <w:color w:val="auto"/>
              </w:rPr>
              <w:t>Valuation Allowance</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(3,377)</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6"/>
        </w:trPr>
        <w:tc>
          <w:tcPr>
            <w:tcW w:w="6740" w:type="dxa"/>
            <w:vAlign w:val="bottom"/>
            <w:vMerge w:val="restart"/>
          </w:tcPr>
          <w:p>
            <w:pPr>
              <w:ind w:left="540"/>
              <w:spacing w:after="0"/>
              <w:rPr>
                <w:sz w:val="20"/>
                <w:szCs w:val="20"/>
                <w:color w:val="auto"/>
              </w:rPr>
            </w:pPr>
            <w:r>
              <w:rPr>
                <w:rFonts w:ascii="Arial" w:cs="Arial" w:eastAsia="Arial" w:hAnsi="Arial"/>
                <w:sz w:val="20"/>
                <w:szCs w:val="20"/>
                <w:color w:val="auto"/>
              </w:rPr>
              <w:t>Net deferred tax assets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75,247</w:t>
            </w:r>
          </w:p>
        </w:tc>
        <w:tc>
          <w:tcPr>
            <w:tcW w:w="40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76,028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 valuation allowance is required to be provided to reduce the deferred tax assets to a level which, more likely than not, will be realized. The Company’s net deferred tax assets were not reduced by tax valuation allowances at December 31, 2009. Management evaluated the positive and negative evidence in determining the realizability of the net deferred tax assets at December 31, 2009 and concluded it is more likely than not that the Company should realize its net deferred tax assets through future operating results and the reversal of taxable temporary differences.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second fiscal quarter of 2010, the Company established a full valuation allowance against a deferred tax asset, resulting from cumulative net operating losses incurred by a foreign subsidiary of the Company. The effect of the valuation allowance and its related impact on the Company’s overall tax rate was to increase the Company’s provision for income taxes by $3.4 million for the year ended December 31, 2010.</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years ended December 31, 2010, 2009 and 2008:</w:t>
      </w:r>
    </w:p>
    <w:p>
      <w:pPr>
        <w:spacing w:after="0" w:line="190" w:lineRule="exact"/>
        <w:rPr>
          <w:sz w:val="20"/>
          <w:szCs w:val="20"/>
          <w:color w:val="auto"/>
        </w:rPr>
      </w:pPr>
    </w:p>
    <w:p>
      <w:pPr>
        <w:jc w:val="center"/>
        <w:ind w:left="3280"/>
        <w:spacing w:after="0"/>
        <w:rPr>
          <w:sz w:val="20"/>
          <w:szCs w:val="20"/>
          <w:color w:val="auto"/>
        </w:rPr>
      </w:pPr>
      <w:r>
        <w:rPr>
          <w:rFonts w:ascii="Arial" w:cs="Arial" w:eastAsia="Arial" w:hAnsi="Arial"/>
          <w:sz w:val="20"/>
          <w:szCs w:val="20"/>
          <w:color w:val="auto"/>
        </w:rPr>
        <w:t>Gross Unrealized</w:t>
      </w:r>
    </w:p>
    <w:p>
      <w:pPr>
        <w:spacing w:after="0" w:line="15" w:lineRule="exact"/>
        <w:rPr>
          <w:sz w:val="20"/>
          <w:szCs w:val="20"/>
          <w:color w:val="auto"/>
        </w:rPr>
      </w:pPr>
    </w:p>
    <w:p>
      <w:pPr>
        <w:jc w:val="center"/>
        <w:ind w:left="3280"/>
        <w:spacing w:after="0"/>
        <w:rPr>
          <w:sz w:val="20"/>
          <w:szCs w:val="20"/>
          <w:color w:val="auto"/>
        </w:rPr>
      </w:pPr>
      <w:r>
        <w:rPr>
          <w:rFonts w:ascii="Arial" w:cs="Arial" w:eastAsia="Arial" w:hAnsi="Arial"/>
          <w:sz w:val="20"/>
          <w:szCs w:val="20"/>
          <w:color w:val="auto"/>
        </w:rPr>
        <w:t>Tax Benefits</w:t>
      </w:r>
    </w:p>
    <w:tbl>
      <w:tblPr>
        <w:tblLayout w:type="fixed"/>
        <w:tblInd w:w="660" w:type="dxa"/>
        <w:tblCellMar>
          <w:top w:w="0" w:type="dxa"/>
          <w:left w:w="0" w:type="dxa"/>
          <w:bottom w:w="0" w:type="dxa"/>
          <w:right w:w="0" w:type="dxa"/>
        </w:tblCellMar>
      </w:tblPr>
      <w:tr>
        <w:trPr>
          <w:trHeight w:val="207"/>
        </w:trPr>
        <w:tc>
          <w:tcPr>
            <w:tcW w:w="5580" w:type="dxa"/>
            <w:vAlign w:val="bottom"/>
          </w:tcPr>
          <w:p>
            <w:pPr>
              <w:spacing w:after="0" w:line="207" w:lineRule="exact"/>
              <w:rPr>
                <w:sz w:val="20"/>
                <w:szCs w:val="20"/>
                <w:color w:val="auto"/>
              </w:rPr>
            </w:pPr>
            <w:r>
              <w:rPr>
                <w:rFonts w:ascii="Arial" w:cs="Arial" w:eastAsia="Arial" w:hAnsi="Arial"/>
                <w:sz w:val="20"/>
                <w:szCs w:val="20"/>
                <w:b w:val="1"/>
                <w:bCs w:val="1"/>
                <w:color w:val="auto"/>
              </w:rPr>
              <w:t>Balance at January 1, 2008</w:t>
            </w:r>
          </w:p>
        </w:tc>
        <w:tc>
          <w:tcPr>
            <w:tcW w:w="1040" w:type="dxa"/>
            <w:vAlign w:val="bottom"/>
            <w:tcBorders>
              <w:top w:val="single" w:sz="8" w:color="auto"/>
            </w:tcBorders>
          </w:tcPr>
          <w:p>
            <w:pPr>
              <w:jc w:val="right"/>
              <w:ind w:right="641"/>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1,291</w:t>
            </w:r>
          </w:p>
        </w:tc>
      </w:tr>
      <w:tr>
        <w:trPr>
          <w:trHeight w:val="250"/>
        </w:trPr>
        <w:tc>
          <w:tcPr>
            <w:tcW w:w="5580" w:type="dxa"/>
            <w:vAlign w:val="bottom"/>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1040" w:type="dxa"/>
            <w:vAlign w:val="bottom"/>
          </w:tcPr>
          <w:p>
            <w:pPr>
              <w:spacing w:after="0"/>
              <w:rPr>
                <w:sz w:val="21"/>
                <w:szCs w:val="21"/>
                <w:color w:val="auto"/>
              </w:rPr>
            </w:pPr>
          </w:p>
        </w:tc>
        <w:tc>
          <w:tcPr>
            <w:tcW w:w="1360" w:type="dxa"/>
            <w:vAlign w:val="bottom"/>
          </w:tcPr>
          <w:p>
            <w:pPr>
              <w:jc w:val="right"/>
              <w:ind w:right="81"/>
              <w:spacing w:after="0"/>
              <w:rPr>
                <w:sz w:val="20"/>
                <w:szCs w:val="20"/>
                <w:color w:val="auto"/>
              </w:rPr>
            </w:pPr>
            <w:r>
              <w:rPr>
                <w:rFonts w:ascii="Arial" w:cs="Arial" w:eastAsia="Arial" w:hAnsi="Arial"/>
                <w:sz w:val="20"/>
                <w:szCs w:val="20"/>
                <w:color w:val="auto"/>
              </w:rPr>
              <w:t>689</w:t>
            </w:r>
          </w:p>
        </w:tc>
      </w:tr>
    </w:tbl>
    <w:p>
      <w:pPr>
        <w:sectPr>
          <w:pgSz w:w="11900" w:h="16838" w:orient="portrait"/>
          <w:cols w:equalWidth="0" w:num="1">
            <w:col w:w="11420"/>
          </w:cols>
          <w:pgMar w:left="240" w:top="328" w:right="239" w:bottom="0" w:gutter="0" w:footer="0" w:header="0"/>
        </w:sectPr>
      </w:pPr>
    </w:p>
    <w:bookmarkStart w:id="67" w:name="page68"/>
    <w:bookmarkEnd w:id="6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20"/>
                <w:szCs w:val="20"/>
                <w:color w:val="auto"/>
              </w:rPr>
              <w:t>Decreases for tax positions related to fiscal 2008</w:t>
            </w:r>
          </w:p>
        </w:tc>
        <w:tc>
          <w:tcPr>
            <w:tcW w:w="100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3"/>
        </w:trPr>
        <w:tc>
          <w:tcPr>
            <w:tcW w:w="55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2008</w:t>
            </w: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58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ind w:right="601"/>
              <w:spacing w:after="0" w:line="207"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1,912</w:t>
            </w:r>
          </w:p>
        </w:tc>
        <w:tc>
          <w:tcPr>
            <w:tcW w:w="0" w:type="dxa"/>
            <w:vAlign w:val="bottom"/>
          </w:tcPr>
          <w:p>
            <w:pPr>
              <w:spacing w:after="0"/>
              <w:rPr>
                <w:sz w:val="1"/>
                <w:szCs w:val="1"/>
                <w:color w:val="auto"/>
              </w:rPr>
            </w:pPr>
          </w:p>
        </w:tc>
      </w:tr>
      <w:tr>
        <w:trPr>
          <w:trHeight w:val="213"/>
        </w:trPr>
        <w:tc>
          <w:tcPr>
            <w:tcW w:w="5580" w:type="dxa"/>
            <w:vAlign w:val="bottom"/>
          </w:tcPr>
          <w:p>
            <w:pPr>
              <w:spacing w:after="0" w:line="213" w:lineRule="exact"/>
              <w:rPr>
                <w:sz w:val="20"/>
                <w:szCs w:val="20"/>
                <w:color w:val="auto"/>
              </w:rPr>
            </w:pPr>
            <w:r>
              <w:rPr>
                <w:rFonts w:ascii="Arial" w:cs="Arial" w:eastAsia="Arial" w:hAnsi="Arial"/>
                <w:sz w:val="20"/>
                <w:szCs w:val="20"/>
                <w:color w:val="auto"/>
              </w:rPr>
              <w:t>Additions for tax positions related to the current year</w:t>
            </w:r>
          </w:p>
        </w:tc>
        <w:tc>
          <w:tcPr>
            <w:tcW w:w="1000" w:type="dxa"/>
            <w:vAlign w:val="bottom"/>
          </w:tcPr>
          <w:p>
            <w:pPr>
              <w:spacing w:after="0"/>
              <w:rPr>
                <w:sz w:val="18"/>
                <w:szCs w:val="18"/>
                <w:color w:val="auto"/>
              </w:rPr>
            </w:pPr>
          </w:p>
        </w:tc>
        <w:tc>
          <w:tcPr>
            <w:tcW w:w="1400" w:type="dxa"/>
            <w:vAlign w:val="bottom"/>
          </w:tcPr>
          <w:p>
            <w:pPr>
              <w:jc w:val="right"/>
              <w:ind w:right="81"/>
              <w:spacing w:after="0" w:line="213" w:lineRule="exact"/>
              <w:rPr>
                <w:sz w:val="20"/>
                <w:szCs w:val="20"/>
                <w:color w:val="auto"/>
              </w:rPr>
            </w:pPr>
            <w:r>
              <w:rPr>
                <w:rFonts w:ascii="Arial" w:cs="Arial" w:eastAsia="Arial" w:hAnsi="Arial"/>
                <w:sz w:val="20"/>
                <w:szCs w:val="20"/>
                <w:color w:val="auto"/>
              </w:rPr>
              <w:t>308</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1000" w:type="dxa"/>
            <w:vAlign w:val="bottom"/>
          </w:tcPr>
          <w:p>
            <w:pPr>
              <w:spacing w:after="0"/>
              <w:rPr>
                <w:sz w:val="19"/>
                <w:szCs w:val="19"/>
                <w:color w:val="auto"/>
              </w:rPr>
            </w:pPr>
          </w:p>
        </w:tc>
        <w:tc>
          <w:tcPr>
            <w:tcW w:w="1400" w:type="dxa"/>
            <w:vAlign w:val="bottom"/>
          </w:tcPr>
          <w:p>
            <w:pPr>
              <w:jc w:val="right"/>
              <w:ind w:right="81"/>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24"/>
        </w:trPr>
        <w:tc>
          <w:tcPr>
            <w:tcW w:w="5580" w:type="dxa"/>
            <w:vAlign w:val="bottom"/>
          </w:tcPr>
          <w:p>
            <w:pPr>
              <w:spacing w:after="0" w:line="224" w:lineRule="exact"/>
              <w:rPr>
                <w:sz w:val="20"/>
                <w:szCs w:val="20"/>
                <w:color w:val="auto"/>
              </w:rPr>
            </w:pPr>
            <w:r>
              <w:rPr>
                <w:rFonts w:ascii="Arial" w:cs="Arial" w:eastAsia="Arial" w:hAnsi="Arial"/>
                <w:sz w:val="20"/>
                <w:szCs w:val="20"/>
                <w:color w:val="auto"/>
              </w:rPr>
              <w:t>Decreases for tax positions related to prior years</w:t>
            </w:r>
          </w:p>
        </w:tc>
        <w:tc>
          <w:tcPr>
            <w:tcW w:w="1000" w:type="dxa"/>
            <w:vAlign w:val="bottom"/>
          </w:tcPr>
          <w:p>
            <w:pPr>
              <w:spacing w:after="0"/>
              <w:rPr>
                <w:sz w:val="19"/>
                <w:szCs w:val="19"/>
                <w:color w:val="auto"/>
              </w:rPr>
            </w:pPr>
          </w:p>
        </w:tc>
        <w:tc>
          <w:tcPr>
            <w:tcW w:w="1400" w:type="dxa"/>
            <w:vAlign w:val="bottom"/>
          </w:tcPr>
          <w:p>
            <w:pPr>
              <w:jc w:val="right"/>
              <w:ind w:right="21"/>
              <w:spacing w:after="0" w:line="224" w:lineRule="exact"/>
              <w:rPr>
                <w:sz w:val="20"/>
                <w:szCs w:val="20"/>
                <w:color w:val="auto"/>
              </w:rPr>
            </w:pPr>
            <w:r>
              <w:rPr>
                <w:rFonts w:ascii="Arial" w:cs="Arial" w:eastAsia="Arial" w:hAnsi="Arial"/>
                <w:sz w:val="20"/>
                <w:szCs w:val="20"/>
                <w:color w:val="auto"/>
              </w:rPr>
              <w:t>(1,912)</w:t>
            </w:r>
          </w:p>
        </w:tc>
        <w:tc>
          <w:tcPr>
            <w:tcW w:w="0" w:type="dxa"/>
            <w:vAlign w:val="bottom"/>
          </w:tcPr>
          <w:p>
            <w:pPr>
              <w:spacing w:after="0"/>
              <w:rPr>
                <w:sz w:val="1"/>
                <w:szCs w:val="1"/>
                <w:color w:val="auto"/>
              </w:rPr>
            </w:pPr>
          </w:p>
        </w:tc>
      </w:tr>
      <w:tr>
        <w:trPr>
          <w:trHeight w:val="23"/>
        </w:trPr>
        <w:tc>
          <w:tcPr>
            <w:tcW w:w="55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2009</w:t>
            </w: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58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ind w:right="601"/>
              <w:spacing w:after="0" w:line="207"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13"/>
        </w:trPr>
        <w:tc>
          <w:tcPr>
            <w:tcW w:w="5580" w:type="dxa"/>
            <w:vAlign w:val="bottom"/>
          </w:tcPr>
          <w:p>
            <w:pPr>
              <w:spacing w:after="0" w:line="213" w:lineRule="exact"/>
              <w:rPr>
                <w:sz w:val="20"/>
                <w:szCs w:val="20"/>
                <w:color w:val="auto"/>
              </w:rPr>
            </w:pPr>
            <w:r>
              <w:rPr>
                <w:rFonts w:ascii="Arial" w:cs="Arial" w:eastAsia="Arial" w:hAnsi="Arial"/>
                <w:sz w:val="20"/>
                <w:szCs w:val="20"/>
                <w:color w:val="auto"/>
              </w:rPr>
              <w:t>Additions for tax positions related to the current year</w:t>
            </w:r>
          </w:p>
        </w:tc>
        <w:tc>
          <w:tcPr>
            <w:tcW w:w="1000" w:type="dxa"/>
            <w:vAlign w:val="bottom"/>
          </w:tcPr>
          <w:p>
            <w:pPr>
              <w:spacing w:after="0"/>
              <w:rPr>
                <w:sz w:val="18"/>
                <w:szCs w:val="18"/>
                <w:color w:val="auto"/>
              </w:rPr>
            </w:pPr>
          </w:p>
        </w:tc>
        <w:tc>
          <w:tcPr>
            <w:tcW w:w="1400" w:type="dxa"/>
            <w:vAlign w:val="bottom"/>
          </w:tcPr>
          <w:p>
            <w:pPr>
              <w:jc w:val="right"/>
              <w:ind w:right="281"/>
              <w:spacing w:after="0" w:line="21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1000" w:type="dxa"/>
            <w:vAlign w:val="bottom"/>
          </w:tcPr>
          <w:p>
            <w:pPr>
              <w:spacing w:after="0"/>
              <w:rPr>
                <w:sz w:val="19"/>
                <w:szCs w:val="19"/>
                <w:color w:val="auto"/>
              </w:rPr>
            </w:pPr>
          </w:p>
        </w:tc>
        <w:tc>
          <w:tcPr>
            <w:tcW w:w="1400" w:type="dxa"/>
            <w:vAlign w:val="bottom"/>
          </w:tcPr>
          <w:p>
            <w:pPr>
              <w:jc w:val="right"/>
              <w:ind w:right="81"/>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24"/>
        </w:trPr>
        <w:tc>
          <w:tcPr>
            <w:tcW w:w="5580" w:type="dxa"/>
            <w:vAlign w:val="bottom"/>
          </w:tcPr>
          <w:p>
            <w:pPr>
              <w:spacing w:after="0" w:line="224" w:lineRule="exact"/>
              <w:rPr>
                <w:sz w:val="20"/>
                <w:szCs w:val="20"/>
                <w:color w:val="auto"/>
              </w:rPr>
            </w:pPr>
            <w:r>
              <w:rPr>
                <w:rFonts w:ascii="Arial" w:cs="Arial" w:eastAsia="Arial" w:hAnsi="Arial"/>
                <w:sz w:val="20"/>
                <w:szCs w:val="20"/>
                <w:color w:val="auto"/>
              </w:rPr>
              <w:t>Decreases for tax positions related to prior years</w:t>
            </w:r>
          </w:p>
        </w:tc>
        <w:tc>
          <w:tcPr>
            <w:tcW w:w="1000" w:type="dxa"/>
            <w:vAlign w:val="bottom"/>
          </w:tcPr>
          <w:p>
            <w:pPr>
              <w:spacing w:after="0"/>
              <w:rPr>
                <w:sz w:val="19"/>
                <w:szCs w:val="19"/>
                <w:color w:val="auto"/>
              </w:rPr>
            </w:pPr>
          </w:p>
        </w:tc>
        <w:tc>
          <w:tcPr>
            <w:tcW w:w="1400" w:type="dxa"/>
            <w:vAlign w:val="bottom"/>
          </w:tcPr>
          <w:p>
            <w:pPr>
              <w:jc w:val="right"/>
              <w:ind w:right="281"/>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55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2010</w:t>
            </w: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1000" w:type="dxa"/>
            <w:vAlign w:val="bottom"/>
            <w:tcBorders>
              <w:bottom w:val="single" w:sz="8" w:color="auto"/>
            </w:tcBorders>
          </w:tcPr>
          <w:p>
            <w:pPr>
              <w:jc w:val="right"/>
              <w:ind w:right="601"/>
              <w:spacing w:after="0" w:line="223"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465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consolidated financial statements. As of December 31, 2010, the Company had approximately $0.16 million in interest and penalties related to recognized tax benefits accrued. It is expected that the amount of unrecognized tax benefits will not change significantly within the next 12 months.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10, 2010, the Internal Revenue Service began its examination of the Company’s U.S. federal income tax return for the years ended December 31, 2009 and 2008. The year ended December 31, 2007 remains open for examination. The Company is also currently under examination by certain state jurisdictions.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is subject to U.S. federal income tax as well as to income tax in multiple state jurisdictions. State income tax returns are subject to examination for the 2006 through 2009 tax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EMPLOYEE BENEFIT PLAN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Employees of the Company may participate in the Hansen Natural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$0.4 million, $0.3 million and $0.3 million for the years ended December 31, 2010, 2009 and 2008, respectively.</w:t>
      </w:r>
    </w:p>
    <w:p>
      <w:pPr>
        <w:spacing w:after="0" w:line="208"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RELATED-PARTY TRANSACTIONS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 director of the Company is a partner in a law firm that serves as counsel to the Company and was a partner in another law firm that previously served as counsel to the Company. Expenses incurred in connection with services rendered by such firms to the Company during the years ended December 31, 2010, 2009 and 2008 were $3.5 million, $1.6 million and $2.4 million, respectively.</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Promotional materials purchased from such company during the years ended December 31, 2010, 2009 and 2008 were $0.8 million, $0.9 million and $0.8 million, respectively.</w:t>
      </w:r>
    </w:p>
    <w:p>
      <w:pPr>
        <w:spacing w:after="0" w:line="20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revenues derived from DSD and Warehouse segments and other financial information related thereto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2010, 2009 and 2008 are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0" w:gutter="0" w:footer="0" w:header="0"/>
        </w:sectPr>
      </w:pPr>
    </w:p>
    <w:p>
      <w:pPr>
        <w:spacing w:after="0" w:line="188"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39370</wp:posOffset>
            </wp:positionV>
            <wp:extent cx="41681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ectPr>
          <w:pgSz w:w="11900" w:h="16838" w:orient="portrait"/>
          <w:cols w:equalWidth="0" w:num="1">
            <w:col w:w="11420"/>
          </w:cols>
          <w:pgMar w:left="240" w:top="116" w:right="239" w:bottom="0" w:gutter="0" w:footer="0" w:header="0"/>
          <w:type w:val="continuous"/>
        </w:sectPr>
      </w:pPr>
    </w:p>
    <w:bookmarkStart w:id="68" w:name="page69"/>
    <w:bookmarkEnd w:id="68"/>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3"/>
          </w:tcPr>
          <w:p>
            <w:pPr>
              <w:ind w:left="140"/>
              <w:spacing w:after="0"/>
              <w:rPr>
                <w:sz w:val="20"/>
                <w:szCs w:val="20"/>
                <w:color w:val="auto"/>
              </w:rPr>
            </w:pPr>
            <w:r>
              <w:rPr>
                <w:rFonts w:ascii="Arial" w:cs="Arial" w:eastAsia="Arial" w:hAnsi="Arial"/>
                <w:sz w:val="20"/>
                <w:szCs w:val="20"/>
                <w:color w:val="auto"/>
              </w:rPr>
              <w:t>DSD</w:t>
            </w:r>
          </w:p>
        </w:tc>
        <w:tc>
          <w:tcPr>
            <w:tcW w:w="20" w:type="dxa"/>
            <w:vAlign w:val="bottom"/>
          </w:tcPr>
          <w:p>
            <w:pPr>
              <w:spacing w:after="0"/>
              <w:rPr>
                <w:sz w:val="20"/>
                <w:szCs w:val="20"/>
                <w:color w:val="auto"/>
              </w:rPr>
            </w:pPr>
          </w:p>
        </w:tc>
        <w:tc>
          <w:tcPr>
            <w:tcW w:w="1640" w:type="dxa"/>
            <w:vAlign w:val="bottom"/>
            <w:gridSpan w:val="5"/>
          </w:tcPr>
          <w:p>
            <w:pPr>
              <w:ind w:left="240"/>
              <w:spacing w:after="0"/>
              <w:rPr>
                <w:sz w:val="20"/>
                <w:szCs w:val="20"/>
                <w:color w:val="auto"/>
              </w:rPr>
            </w:pPr>
            <w:r>
              <w:rPr>
                <w:rFonts w:ascii="Arial" w:cs="Arial" w:eastAsia="Arial" w:hAnsi="Arial"/>
                <w:sz w:val="20"/>
                <w:szCs w:val="20"/>
                <w:color w:val="auto"/>
              </w:rPr>
              <w:t>Warehouse</w:t>
            </w:r>
          </w:p>
        </w:tc>
        <w:tc>
          <w:tcPr>
            <w:tcW w:w="1640" w:type="dxa"/>
            <w:vAlign w:val="bottom"/>
            <w:gridSpan w:val="5"/>
          </w:tcPr>
          <w:p>
            <w:pPr>
              <w:jc w:val="center"/>
              <w:ind w:right="280"/>
              <w:spacing w:after="0"/>
              <w:rPr>
                <w:sz w:val="20"/>
                <w:szCs w:val="20"/>
                <w:color w:val="auto"/>
              </w:rPr>
            </w:pPr>
            <w:r>
              <w:rPr>
                <w:rFonts w:ascii="Arial" w:cs="Arial" w:eastAsia="Arial" w:hAnsi="Arial"/>
                <w:sz w:val="20"/>
                <w:szCs w:val="20"/>
                <w:color w:val="auto"/>
                <w:w w:val="87"/>
              </w:rPr>
              <w:t>Corporate and</w:t>
            </w:r>
          </w:p>
        </w:tc>
        <w:tc>
          <w:tcPr>
            <w:tcW w:w="360" w:type="dxa"/>
            <w:vAlign w:val="bottom"/>
          </w:tcPr>
          <w:p>
            <w:pPr>
              <w:spacing w:after="0"/>
              <w:rPr>
                <w:sz w:val="20"/>
                <w:szCs w:val="20"/>
                <w:color w:val="auto"/>
              </w:rPr>
            </w:pPr>
          </w:p>
        </w:tc>
        <w:tc>
          <w:tcPr>
            <w:tcW w:w="1100" w:type="dxa"/>
            <w:vAlign w:val="bottom"/>
          </w:tcPr>
          <w:p>
            <w:pPr>
              <w:ind w:left="10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46"/>
        </w:trPr>
        <w:tc>
          <w:tcPr>
            <w:tcW w:w="48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20"/>
                <w:szCs w:val="20"/>
                <w:color w:val="auto"/>
                <w:w w:val="90"/>
              </w:rPr>
              <w:t>Unallocated</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860" w:type="dxa"/>
            <w:vAlign w:val="bottom"/>
            <w:vMerge w:val="continue"/>
          </w:tcPr>
          <w:p>
            <w:pPr>
              <w:spacing w:after="0"/>
              <w:rPr>
                <w:sz w:val="17"/>
                <w:szCs w:val="17"/>
                <w:color w:val="auto"/>
              </w:rPr>
            </w:pPr>
          </w:p>
        </w:tc>
        <w:tc>
          <w:tcPr>
            <w:tcW w:w="42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1,212,645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top w:val="single" w:sz="8" w:color="auto"/>
            </w:tcBorders>
            <w:gridSpan w:val="2"/>
          </w:tcPr>
          <w:p>
            <w:pPr>
              <w:ind w:left="180"/>
              <w:spacing w:after="0" w:line="207"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91,297</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1,303,942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436,742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(777)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435,965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420" w:type="dxa"/>
            <w:vAlign w:val="bottom"/>
          </w:tcPr>
          <w:p>
            <w:pPr>
              <w:spacing w:after="0"/>
              <w:rPr>
                <w:sz w:val="19"/>
                <w:szCs w:val="19"/>
                <w:color w:val="auto"/>
              </w:rPr>
            </w:pPr>
          </w:p>
        </w:tc>
        <w:tc>
          <w:tcPr>
            <w:tcW w:w="1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(88,151)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(88,151)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347,814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4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1,539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1,488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349,302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4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6,933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55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4,740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11,728</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42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469"/>
        </w:trPr>
        <w:tc>
          <w:tcPr>
            <w:tcW w:w="4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0"/>
          </w:tcPr>
          <w:p>
            <w:pPr>
              <w:ind w:left="140"/>
              <w:spacing w:after="0"/>
              <w:rPr>
                <w:sz w:val="20"/>
                <w:szCs w:val="20"/>
                <w:color w:val="auto"/>
              </w:rPr>
            </w:pPr>
            <w:r>
              <w:rPr>
                <w:rFonts w:ascii="Arial" w:cs="Arial" w:eastAsia="Arial" w:hAnsi="Arial"/>
                <w:sz w:val="20"/>
                <w:szCs w:val="20"/>
                <w:color w:val="auto"/>
              </w:rPr>
              <w:t>Year Ended December 31, 2009</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5"/>
          </w:tcPr>
          <w:p>
            <w:pPr>
              <w:jc w:val="center"/>
              <w:ind w:right="320"/>
              <w:spacing w:after="0" w:line="207" w:lineRule="exact"/>
              <w:rPr>
                <w:sz w:val="20"/>
                <w:szCs w:val="20"/>
                <w:color w:val="auto"/>
              </w:rPr>
            </w:pPr>
            <w:r>
              <w:rPr>
                <w:rFonts w:ascii="Arial" w:cs="Arial" w:eastAsia="Arial" w:hAnsi="Arial"/>
                <w:sz w:val="20"/>
                <w:szCs w:val="20"/>
                <w:color w:val="auto"/>
                <w:w w:val="87"/>
              </w:rPr>
              <w:t>Corporate and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20" w:type="dxa"/>
            <w:vAlign w:val="bottom"/>
          </w:tcPr>
          <w:p>
            <w:pPr>
              <w:spacing w:after="0"/>
              <w:rPr>
                <w:sz w:val="21"/>
                <w:szCs w:val="21"/>
                <w:color w:val="auto"/>
              </w:rPr>
            </w:pPr>
          </w:p>
        </w:tc>
        <w:tc>
          <w:tcPr>
            <w:tcW w:w="1380" w:type="dxa"/>
            <w:vAlign w:val="bottom"/>
            <w:gridSpan w:val="3"/>
          </w:tcPr>
          <w:p>
            <w:pPr>
              <w:ind w:left="140"/>
              <w:spacing w:after="0"/>
              <w:rPr>
                <w:sz w:val="20"/>
                <w:szCs w:val="20"/>
                <w:color w:val="auto"/>
              </w:rPr>
            </w:pPr>
            <w:r>
              <w:rPr>
                <w:rFonts w:ascii="Arial" w:cs="Arial" w:eastAsia="Arial" w:hAnsi="Arial"/>
                <w:sz w:val="20"/>
                <w:szCs w:val="20"/>
                <w:color w:val="auto"/>
              </w:rPr>
              <w:t>DSD</w:t>
            </w:r>
          </w:p>
        </w:tc>
        <w:tc>
          <w:tcPr>
            <w:tcW w:w="20" w:type="dxa"/>
            <w:vAlign w:val="bottom"/>
          </w:tcPr>
          <w:p>
            <w:pPr>
              <w:spacing w:after="0"/>
              <w:rPr>
                <w:sz w:val="21"/>
                <w:szCs w:val="21"/>
                <w:color w:val="auto"/>
              </w:rPr>
            </w:pPr>
          </w:p>
        </w:tc>
        <w:tc>
          <w:tcPr>
            <w:tcW w:w="1640" w:type="dxa"/>
            <w:vAlign w:val="bottom"/>
            <w:gridSpan w:val="5"/>
          </w:tcPr>
          <w:p>
            <w:pPr>
              <w:ind w:left="220"/>
              <w:spacing w:after="0"/>
              <w:rPr>
                <w:sz w:val="20"/>
                <w:szCs w:val="20"/>
                <w:color w:val="auto"/>
              </w:rPr>
            </w:pPr>
            <w:r>
              <w:rPr>
                <w:rFonts w:ascii="Arial" w:cs="Arial" w:eastAsia="Arial" w:hAnsi="Arial"/>
                <w:sz w:val="20"/>
                <w:szCs w:val="20"/>
                <w:color w:val="auto"/>
              </w:rPr>
              <w:t>Warehouse</w:t>
            </w:r>
          </w:p>
        </w:tc>
        <w:tc>
          <w:tcPr>
            <w:tcW w:w="1640" w:type="dxa"/>
            <w:vAlign w:val="bottom"/>
            <w:gridSpan w:val="5"/>
          </w:tcPr>
          <w:p>
            <w:pPr>
              <w:jc w:val="center"/>
              <w:ind w:right="320"/>
              <w:spacing w:after="0"/>
              <w:rPr>
                <w:sz w:val="20"/>
                <w:szCs w:val="20"/>
                <w:color w:val="auto"/>
              </w:rPr>
            </w:pPr>
            <w:r>
              <w:rPr>
                <w:rFonts w:ascii="Arial" w:cs="Arial" w:eastAsia="Arial" w:hAnsi="Arial"/>
                <w:sz w:val="20"/>
                <w:szCs w:val="20"/>
                <w:color w:val="auto"/>
                <w:w w:val="90"/>
              </w:rPr>
              <w:t>Unallocated</w:t>
            </w:r>
          </w:p>
        </w:tc>
        <w:tc>
          <w:tcPr>
            <w:tcW w:w="36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860" w:type="dxa"/>
            <w:vAlign w:val="bottom"/>
            <w:vMerge w:val="continue"/>
          </w:tcPr>
          <w:p>
            <w:pPr>
              <w:spacing w:after="0"/>
              <w:rPr>
                <w:sz w:val="17"/>
                <w:szCs w:val="17"/>
                <w:color w:val="auto"/>
              </w:rPr>
            </w:pPr>
          </w:p>
        </w:tc>
        <w:tc>
          <w:tcPr>
            <w:tcW w:w="42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1,045,104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top w:val="single" w:sz="8" w:color="auto"/>
            </w:tcBorders>
            <w:gridSpan w:val="2"/>
          </w:tcPr>
          <w:p>
            <w:pPr>
              <w:ind w:left="180"/>
              <w:spacing w:after="0" w:line="207"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98,195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1,143,299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391,712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3,643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395,355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420" w:type="dxa"/>
            <w:vAlign w:val="bottom"/>
          </w:tcPr>
          <w:p>
            <w:pPr>
              <w:spacing w:after="0"/>
              <w:rPr>
                <w:sz w:val="19"/>
                <w:szCs w:val="19"/>
                <w:color w:val="auto"/>
              </w:rPr>
            </w:pPr>
          </w:p>
        </w:tc>
        <w:tc>
          <w:tcPr>
            <w:tcW w:w="1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(58,046)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(58,046)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337,309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(3,682)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2,068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(1,614)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335,695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4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3,944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1,864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5,839</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44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469"/>
        </w:trPr>
        <w:tc>
          <w:tcPr>
            <w:tcW w:w="4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0"/>
          </w:tcPr>
          <w:p>
            <w:pPr>
              <w:ind w:left="140"/>
              <w:spacing w:after="0"/>
              <w:rPr>
                <w:sz w:val="20"/>
                <w:szCs w:val="20"/>
                <w:color w:val="auto"/>
              </w:rPr>
            </w:pPr>
            <w:r>
              <w:rPr>
                <w:rFonts w:ascii="Arial" w:cs="Arial" w:eastAsia="Arial" w:hAnsi="Arial"/>
                <w:sz w:val="20"/>
                <w:szCs w:val="20"/>
                <w:color w:val="auto"/>
              </w:rPr>
              <w:t>Year Ended December 31, 2008</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5"/>
          </w:tcPr>
          <w:p>
            <w:pPr>
              <w:jc w:val="center"/>
              <w:ind w:right="280"/>
              <w:spacing w:after="0" w:line="207" w:lineRule="exact"/>
              <w:rPr>
                <w:sz w:val="20"/>
                <w:szCs w:val="20"/>
                <w:color w:val="auto"/>
              </w:rPr>
            </w:pPr>
            <w:r>
              <w:rPr>
                <w:rFonts w:ascii="Arial" w:cs="Arial" w:eastAsia="Arial" w:hAnsi="Arial"/>
                <w:sz w:val="20"/>
                <w:szCs w:val="20"/>
                <w:color w:val="auto"/>
                <w:w w:val="87"/>
              </w:rPr>
              <w:t>Corporate and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20" w:type="dxa"/>
            <w:vAlign w:val="bottom"/>
          </w:tcPr>
          <w:p>
            <w:pPr>
              <w:spacing w:after="0"/>
              <w:rPr>
                <w:sz w:val="21"/>
                <w:szCs w:val="21"/>
                <w:color w:val="auto"/>
              </w:rPr>
            </w:pPr>
          </w:p>
        </w:tc>
        <w:tc>
          <w:tcPr>
            <w:tcW w:w="1380" w:type="dxa"/>
            <w:vAlign w:val="bottom"/>
            <w:gridSpan w:val="3"/>
          </w:tcPr>
          <w:p>
            <w:pPr>
              <w:ind w:left="140"/>
              <w:spacing w:after="0"/>
              <w:rPr>
                <w:sz w:val="20"/>
                <w:szCs w:val="20"/>
                <w:color w:val="auto"/>
              </w:rPr>
            </w:pPr>
            <w:r>
              <w:rPr>
                <w:rFonts w:ascii="Arial" w:cs="Arial" w:eastAsia="Arial" w:hAnsi="Arial"/>
                <w:sz w:val="20"/>
                <w:szCs w:val="20"/>
                <w:color w:val="auto"/>
              </w:rPr>
              <w:t>DSD</w:t>
            </w:r>
          </w:p>
        </w:tc>
        <w:tc>
          <w:tcPr>
            <w:tcW w:w="20" w:type="dxa"/>
            <w:vAlign w:val="bottom"/>
          </w:tcPr>
          <w:p>
            <w:pPr>
              <w:spacing w:after="0"/>
              <w:rPr>
                <w:sz w:val="21"/>
                <w:szCs w:val="21"/>
                <w:color w:val="auto"/>
              </w:rPr>
            </w:pPr>
          </w:p>
        </w:tc>
        <w:tc>
          <w:tcPr>
            <w:tcW w:w="1640" w:type="dxa"/>
            <w:vAlign w:val="bottom"/>
            <w:gridSpan w:val="5"/>
          </w:tcPr>
          <w:p>
            <w:pPr>
              <w:ind w:left="240"/>
              <w:spacing w:after="0"/>
              <w:rPr>
                <w:sz w:val="20"/>
                <w:szCs w:val="20"/>
                <w:color w:val="auto"/>
              </w:rPr>
            </w:pPr>
            <w:r>
              <w:rPr>
                <w:rFonts w:ascii="Arial" w:cs="Arial" w:eastAsia="Arial" w:hAnsi="Arial"/>
                <w:sz w:val="20"/>
                <w:szCs w:val="20"/>
                <w:color w:val="auto"/>
              </w:rPr>
              <w:t>Warehouse</w:t>
            </w:r>
          </w:p>
        </w:tc>
        <w:tc>
          <w:tcPr>
            <w:tcW w:w="1640" w:type="dxa"/>
            <w:vAlign w:val="bottom"/>
            <w:gridSpan w:val="5"/>
          </w:tcPr>
          <w:p>
            <w:pPr>
              <w:jc w:val="center"/>
              <w:ind w:right="280"/>
              <w:spacing w:after="0"/>
              <w:rPr>
                <w:sz w:val="20"/>
                <w:szCs w:val="20"/>
                <w:color w:val="auto"/>
              </w:rPr>
            </w:pPr>
            <w:r>
              <w:rPr>
                <w:rFonts w:ascii="Arial" w:cs="Arial" w:eastAsia="Arial" w:hAnsi="Arial"/>
                <w:sz w:val="20"/>
                <w:szCs w:val="20"/>
                <w:color w:val="auto"/>
                <w:w w:val="90"/>
              </w:rPr>
              <w:t>Unallocated</w:t>
            </w:r>
          </w:p>
        </w:tc>
        <w:tc>
          <w:tcPr>
            <w:tcW w:w="360" w:type="dxa"/>
            <w:vAlign w:val="bottom"/>
          </w:tcPr>
          <w:p>
            <w:pPr>
              <w:spacing w:after="0"/>
              <w:rPr>
                <w:sz w:val="21"/>
                <w:szCs w:val="21"/>
                <w:color w:val="auto"/>
              </w:rPr>
            </w:pPr>
          </w:p>
        </w:tc>
        <w:tc>
          <w:tcPr>
            <w:tcW w:w="1100" w:type="dxa"/>
            <w:vAlign w:val="bottom"/>
          </w:tcPr>
          <w:p>
            <w:pPr>
              <w:ind w:left="12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860" w:type="dxa"/>
            <w:vAlign w:val="bottom"/>
            <w:vMerge w:val="continue"/>
          </w:tcPr>
          <w:p>
            <w:pPr>
              <w:spacing w:after="0"/>
              <w:rPr>
                <w:sz w:val="17"/>
                <w:szCs w:val="17"/>
                <w:color w:val="auto"/>
              </w:rPr>
            </w:pPr>
          </w:p>
        </w:tc>
        <w:tc>
          <w:tcPr>
            <w:tcW w:w="4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927,319</w:t>
            </w: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ind w:left="160"/>
              <w:spacing w:after="0" w:line="207"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106,461</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1,033,780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218,678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(2,053)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216,625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420" w:type="dxa"/>
            <w:vAlign w:val="bottom"/>
          </w:tcPr>
          <w:p>
            <w:pPr>
              <w:spacing w:after="0"/>
              <w:rPr>
                <w:sz w:val="19"/>
                <w:szCs w:val="19"/>
                <w:color w:val="auto"/>
              </w:rPr>
            </w:pPr>
          </w:p>
        </w:tc>
        <w:tc>
          <w:tcPr>
            <w:tcW w:w="108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(53,034)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(53,034)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163,591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4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9,930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9,886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173,477</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4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1,462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1,924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3,417</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08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44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During the first fiscal quarter of 2010, the Company reclassified the Rumba®, Samba and Tango brand energy juices, Lost® Energy™ brand energy drinks and Vidration™ vitamin enhanced water, which were previously reported in the DSD segment, to the Warehouse segment and recast segment information for the 2009 and 2008 reporting periods. The reclassification resulted in an increase in net sales of the Warehouse segment of $6.1 million and $10.6 million and a decrease in net sales of the DSD segment of $6.1 million and $10.6 million for the years ended December 31, 2009 and 2008, respectively, from amounts previously reported. The reclassification also resulted in a decrease in contribution margin of the Warehouse segment of $2.4 million and $2.6 million and an increase in contribution margin of the DSD segment of $2.4 million and $2.6 million for the year s ended December 31, 2009 and 2008, respectively, from amounts previously reported.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2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Corporate and unallocated expenses were $88.2 million for year ended December 31, 2010 and included $51.2 million of payroll costs, of which $16.9 million was attributable to stock-based compensation expense (see Note 12, “Stock-Based Compensation”), and $20.7 million was attributable to professional service expenses, including accounting and legal costs, $4.7 million of depreciation, $1.7 million of bad debt expense and $10.0 million of other operating expenses. Corporate and unallocated expenses were $58.0 million for year ended December 31, 2009 and included $38.0 million of payroll costs, of which $14.0 million was attributable to stock-based compensation expense (see Note 12, “Stock-Based Compensation”), $7.9 million was attributable to professional service expenses, including accounting and legal costs and $12.1 million to other operating e xpenses. Corporate and unallocated expenses were $53.0 million for year ended December 31, 2008 and included $33.5 million of payroll costs, of which $13.9 million was attributable to stock-based compensation expense (see Note 12, “Stock-Based Compensation”), $10.2 million was attributable to professional service expenses, including accounting and legal costs and $9.3 million to other operating expenses.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One customer made up approximately 28% of the Company’s net sales for the year ended December 31, 2010. One customer made up approximately 27% of the Company’s net sales for the year ended December 31, 2009. Two customers made up approximately 13% and 11%, respectively, of the Company’s net sales for the year ended December 31, 2008.</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Net sales to customers outside the United States amounted to $191.3 million, $135.7 million and $78.6 million for the years ended December 31, 2010, 2009 and 2008, respectively. Such sales were approximately 14.7%, 11.9% and 7.6% of net sales for the years ended</w:t>
      </w:r>
    </w:p>
    <w:p>
      <w:pPr>
        <w:sectPr>
          <w:pgSz w:w="11900" w:h="16899" w:orient="portrait"/>
          <w:cols w:equalWidth="0" w:num="1">
            <w:col w:w="11420"/>
          </w:cols>
          <w:pgMar w:left="240" w:top="122" w:right="239" w:bottom="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December 31, 2010, 2009 and 2008, respectively.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net sales by product line for years ended December 31, 2010, 2009 and 2008, respectively,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Product Line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21"/>
                <w:szCs w:val="21"/>
                <w:color w:val="auto"/>
              </w:rPr>
              <w:t>2010</w:t>
            </w:r>
          </w:p>
        </w:tc>
        <w:tc>
          <w:tcPr>
            <w:tcW w:w="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rPr>
              <w:t>2009</w:t>
            </w:r>
          </w:p>
        </w:tc>
        <w:tc>
          <w:tcPr>
            <w:tcW w:w="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21"/>
                <w:szCs w:val="21"/>
                <w:color w:val="auto"/>
              </w:rPr>
              <w:t>2008</w:t>
            </w:r>
          </w:p>
        </w:tc>
        <w:tc>
          <w:tcPr>
            <w:tcW w:w="1300" w:type="dxa"/>
            <w:vAlign w:val="bottom"/>
          </w:tcPr>
          <w:p>
            <w:pPr>
              <w:spacing w:after="0"/>
              <w:rPr>
                <w:sz w:val="22"/>
                <w:szCs w:val="22"/>
                <w:color w:val="auto"/>
              </w:rPr>
            </w:pPr>
          </w:p>
        </w:tc>
      </w:tr>
      <w:tr>
        <w:trPr>
          <w:trHeight w:val="223"/>
        </w:trPr>
        <w:tc>
          <w:tcPr>
            <w:tcW w:w="660" w:type="dxa"/>
            <w:vAlign w:val="bottom"/>
          </w:tcPr>
          <w:p>
            <w:pPr>
              <w:spacing w:after="0"/>
              <w:rPr>
                <w:sz w:val="19"/>
                <w:szCs w:val="19"/>
                <w:color w:val="auto"/>
              </w:rPr>
            </w:pPr>
          </w:p>
        </w:tc>
        <w:tc>
          <w:tcPr>
            <w:tcW w:w="4500" w:type="dxa"/>
            <w:vAlign w:val="bottom"/>
          </w:tcPr>
          <w:p>
            <w:pPr>
              <w:spacing w:after="0" w:line="223" w:lineRule="exact"/>
              <w:rPr>
                <w:sz w:val="20"/>
                <w:szCs w:val="20"/>
                <w:color w:val="auto"/>
              </w:rPr>
            </w:pPr>
            <w:r>
              <w:rPr>
                <w:rFonts w:ascii="Arial" w:cs="Arial" w:eastAsia="Arial" w:hAnsi="Arial"/>
                <w:sz w:val="21"/>
                <w:szCs w:val="21"/>
                <w:color w:val="auto"/>
              </w:rPr>
              <w:t>Energy drinks</w:t>
            </w:r>
          </w:p>
        </w:tc>
        <w:tc>
          <w:tcPr>
            <w:tcW w:w="36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140" w:type="dxa"/>
            <w:vAlign w:val="bottom"/>
          </w:tcPr>
          <w:p>
            <w:pPr>
              <w:jc w:val="right"/>
              <w:ind w:right="40"/>
              <w:spacing w:after="0" w:line="223" w:lineRule="exact"/>
              <w:rPr>
                <w:sz w:val="20"/>
                <w:szCs w:val="20"/>
                <w:color w:val="auto"/>
              </w:rPr>
            </w:pPr>
            <w:r>
              <w:rPr>
                <w:rFonts w:ascii="Arial" w:cs="Arial" w:eastAsia="Arial" w:hAnsi="Arial"/>
                <w:sz w:val="21"/>
                <w:szCs w:val="21"/>
                <w:color w:val="auto"/>
              </w:rPr>
              <w:t>1,178,071</w:t>
            </w:r>
          </w:p>
        </w:tc>
        <w:tc>
          <w:tcPr>
            <w:tcW w:w="240" w:type="dxa"/>
            <w:vAlign w:val="bottom"/>
          </w:tcPr>
          <w:p>
            <w:pPr>
              <w:spacing w:after="0"/>
              <w:rPr>
                <w:sz w:val="19"/>
                <w:szCs w:val="19"/>
                <w:color w:val="auto"/>
              </w:rPr>
            </w:pPr>
          </w:p>
        </w:tc>
        <w:tc>
          <w:tcPr>
            <w:tcW w:w="380" w:type="dxa"/>
            <w:vAlign w:val="bottom"/>
          </w:tcPr>
          <w:p>
            <w:pPr>
              <w:jc w:val="right"/>
              <w:ind w:right="16"/>
              <w:spacing w:after="0" w:line="223" w:lineRule="exact"/>
              <w:rPr>
                <w:sz w:val="20"/>
                <w:szCs w:val="20"/>
                <w:color w:val="auto"/>
              </w:rPr>
            </w:pPr>
            <w:r>
              <w:rPr>
                <w:rFonts w:ascii="Arial" w:cs="Arial" w:eastAsia="Arial" w:hAnsi="Arial"/>
                <w:sz w:val="21"/>
                <w:szCs w:val="21"/>
                <w:color w:val="auto"/>
              </w:rPr>
              <w:t>$</w:t>
            </w:r>
          </w:p>
        </w:tc>
        <w:tc>
          <w:tcPr>
            <w:tcW w:w="1100" w:type="dxa"/>
            <w:vAlign w:val="bottom"/>
          </w:tcPr>
          <w:p>
            <w:pPr>
              <w:jc w:val="right"/>
              <w:ind w:right="16"/>
              <w:spacing w:after="0" w:line="223" w:lineRule="exact"/>
              <w:rPr>
                <w:sz w:val="20"/>
                <w:szCs w:val="20"/>
                <w:color w:val="auto"/>
              </w:rPr>
            </w:pPr>
            <w:r>
              <w:rPr>
                <w:rFonts w:ascii="Arial" w:cs="Arial" w:eastAsia="Arial" w:hAnsi="Arial"/>
                <w:sz w:val="21"/>
                <w:szCs w:val="21"/>
                <w:color w:val="auto"/>
              </w:rPr>
              <w:t>1,038,572</w:t>
            </w:r>
          </w:p>
        </w:tc>
        <w:tc>
          <w:tcPr>
            <w:tcW w:w="240" w:type="dxa"/>
            <w:vAlign w:val="bottom"/>
          </w:tcPr>
          <w:p>
            <w:pPr>
              <w:spacing w:after="0"/>
              <w:rPr>
                <w:sz w:val="19"/>
                <w:szCs w:val="19"/>
                <w:color w:val="auto"/>
              </w:rPr>
            </w:pPr>
          </w:p>
        </w:tc>
        <w:tc>
          <w:tcPr>
            <w:tcW w:w="400" w:type="dxa"/>
            <w:vAlign w:val="bottom"/>
          </w:tcPr>
          <w:p>
            <w:pPr>
              <w:jc w:val="right"/>
              <w:ind w:right="16"/>
              <w:spacing w:after="0" w:line="223" w:lineRule="exact"/>
              <w:rPr>
                <w:sz w:val="20"/>
                <w:szCs w:val="20"/>
                <w:color w:val="auto"/>
              </w:rPr>
            </w:pPr>
            <w:r>
              <w:rPr>
                <w:rFonts w:ascii="Arial" w:cs="Arial" w:eastAsia="Arial" w:hAnsi="Arial"/>
                <w:sz w:val="21"/>
                <w:szCs w:val="21"/>
                <w:color w:val="auto"/>
              </w:rPr>
              <w:t>$</w:t>
            </w:r>
          </w:p>
        </w:tc>
        <w:tc>
          <w:tcPr>
            <w:tcW w:w="1140" w:type="dxa"/>
            <w:vAlign w:val="bottom"/>
          </w:tcPr>
          <w:p>
            <w:pPr>
              <w:jc w:val="right"/>
              <w:spacing w:after="0" w:line="223" w:lineRule="exact"/>
              <w:rPr>
                <w:sz w:val="20"/>
                <w:szCs w:val="20"/>
                <w:color w:val="auto"/>
              </w:rPr>
            </w:pPr>
            <w:r>
              <w:rPr>
                <w:rFonts w:ascii="Arial" w:cs="Arial" w:eastAsia="Arial" w:hAnsi="Arial"/>
                <w:sz w:val="21"/>
                <w:szCs w:val="21"/>
                <w:color w:val="auto"/>
              </w:rPr>
              <w:t>925,398</w:t>
            </w:r>
          </w:p>
        </w:tc>
        <w:tc>
          <w:tcPr>
            <w:tcW w:w="1300" w:type="dxa"/>
            <w:vAlign w:val="bottom"/>
          </w:tcPr>
          <w:p>
            <w:pPr>
              <w:spacing w:after="0"/>
              <w:rPr>
                <w:sz w:val="19"/>
                <w:szCs w:val="19"/>
                <w:color w:val="auto"/>
              </w:rPr>
            </w:pPr>
          </w:p>
        </w:tc>
      </w:tr>
      <w:tr>
        <w:trPr>
          <w:trHeight w:val="243"/>
        </w:trPr>
        <w:tc>
          <w:tcPr>
            <w:tcW w:w="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1"/>
                <w:szCs w:val="21"/>
                <w:color w:val="auto"/>
                <w:w w:val="96"/>
              </w:rPr>
              <w:t>Non-carbonated (primarily juice based beverages)</w:t>
            </w:r>
          </w:p>
        </w:tc>
        <w:tc>
          <w:tcPr>
            <w:tcW w:w="36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21"/>
                <w:szCs w:val="21"/>
                <w:color w:val="auto"/>
              </w:rPr>
              <w:t>80,537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21"/>
                <w:szCs w:val="21"/>
                <w:color w:val="auto"/>
              </w:rPr>
              <w:t>59,207</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65,713</w:t>
            </w:r>
          </w:p>
        </w:tc>
        <w:tc>
          <w:tcPr>
            <w:tcW w:w="130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1"/>
                <w:szCs w:val="21"/>
                <w:color w:val="auto"/>
              </w:rPr>
              <w:t>Carbonated (primarily soda beverages)</w:t>
            </w:r>
          </w:p>
        </w:tc>
        <w:tc>
          <w:tcPr>
            <w:tcW w:w="36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21"/>
                <w:szCs w:val="21"/>
                <w:color w:val="auto"/>
              </w:rPr>
              <w:t>32,906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21"/>
                <w:szCs w:val="21"/>
                <w:color w:val="auto"/>
              </w:rPr>
              <w:t>32,538</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28,338</w:t>
            </w:r>
          </w:p>
        </w:tc>
        <w:tc>
          <w:tcPr>
            <w:tcW w:w="1300" w:type="dxa"/>
            <w:vAlign w:val="bottom"/>
          </w:tcPr>
          <w:p>
            <w:pPr>
              <w:spacing w:after="0"/>
              <w:rPr>
                <w:sz w:val="21"/>
                <w:szCs w:val="21"/>
                <w:color w:val="auto"/>
              </w:rPr>
            </w:pPr>
          </w:p>
        </w:tc>
      </w:tr>
      <w:tr>
        <w:trPr>
          <w:trHeight w:val="256"/>
        </w:trPr>
        <w:tc>
          <w:tcPr>
            <w:tcW w:w="66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Arial" w:cs="Arial" w:eastAsia="Arial" w:hAnsi="Arial"/>
                <w:sz w:val="21"/>
                <w:szCs w:val="21"/>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21"/>
                <w:szCs w:val="21"/>
                <w:color w:val="auto"/>
              </w:rPr>
              <w:t>12,428</w:t>
            </w:r>
          </w:p>
        </w:tc>
        <w:tc>
          <w:tcPr>
            <w:tcW w:w="2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12,982</w:t>
            </w:r>
          </w:p>
        </w:tc>
        <w:tc>
          <w:tcPr>
            <w:tcW w:w="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14,331</w:t>
            </w:r>
          </w:p>
        </w:tc>
        <w:tc>
          <w:tcPr>
            <w:tcW w:w="1300" w:type="dxa"/>
            <w:vAlign w:val="bottom"/>
          </w:tcPr>
          <w:p>
            <w:pPr>
              <w:spacing w:after="0"/>
              <w:rPr>
                <w:sz w:val="22"/>
                <w:szCs w:val="22"/>
                <w:color w:val="auto"/>
              </w:rPr>
            </w:pPr>
          </w:p>
        </w:tc>
      </w:tr>
      <w:tr>
        <w:trPr>
          <w:trHeight w:val="237"/>
        </w:trPr>
        <w:tc>
          <w:tcPr>
            <w:tcW w:w="6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ind w:right="40"/>
              <w:spacing w:after="0" w:line="237" w:lineRule="exact"/>
              <w:rPr>
                <w:sz w:val="20"/>
                <w:szCs w:val="20"/>
                <w:color w:val="auto"/>
              </w:rPr>
            </w:pPr>
            <w:r>
              <w:rPr>
                <w:rFonts w:ascii="Arial" w:cs="Arial" w:eastAsia="Arial" w:hAnsi="Arial"/>
                <w:sz w:val="21"/>
                <w:szCs w:val="21"/>
                <w:color w:val="auto"/>
              </w:rPr>
              <w:t>1,303,942</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1,143,299</w:t>
            </w:r>
          </w:p>
        </w:tc>
        <w:tc>
          <w:tcPr>
            <w:tcW w:w="240" w:type="dxa"/>
            <w:vAlign w:val="bottom"/>
          </w:tcPr>
          <w:p>
            <w:pPr>
              <w:spacing w:after="0"/>
              <w:rPr>
                <w:sz w:val="20"/>
                <w:szCs w:val="20"/>
                <w:color w:val="auto"/>
              </w:rPr>
            </w:pPr>
          </w:p>
        </w:tc>
        <w:tc>
          <w:tcPr>
            <w:tcW w:w="40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1,033,780</w:t>
            </w:r>
          </w:p>
        </w:tc>
        <w:tc>
          <w:tcPr>
            <w:tcW w:w="1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93"/>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720"/>
              <w:spacing w:after="0"/>
              <w:rPr>
                <w:sz w:val="20"/>
                <w:szCs w:val="20"/>
                <w:color w:val="auto"/>
              </w:rPr>
            </w:pPr>
            <w:r>
              <w:rPr>
                <w:rFonts w:ascii="Arial" w:cs="Arial" w:eastAsia="Arial" w:hAnsi="Arial"/>
                <w:sz w:val="16"/>
                <w:szCs w:val="16"/>
                <w:color w:val="auto"/>
              </w:rPr>
              <w:t>110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8"/>
        </w:trPr>
        <w:tc>
          <w:tcPr>
            <w:tcW w:w="66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5660"/>
        <w:spacing w:after="0" w:line="301" w:lineRule="auto"/>
        <w:rPr>
          <w:sz w:val="20"/>
          <w:szCs w:val="20"/>
          <w:color w:val="auto"/>
        </w:rPr>
      </w:pPr>
      <w:r>
        <w:rPr>
          <w:rFonts w:ascii="Arial" w:cs="Arial" w:eastAsia="Arial" w:hAnsi="Arial"/>
          <w:sz w:val="19"/>
          <w:szCs w:val="19"/>
          <w:b w:val="1"/>
          <w:bCs w:val="1"/>
          <w:color w:val="auto"/>
        </w:rPr>
        <w:t>HANSEN NATURAL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QUARTERLY FINANCIAL DATA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20" w:type="dxa"/>
            <w:vAlign w:val="bottom"/>
            <w:gridSpan w:val="6"/>
          </w:tcPr>
          <w:p>
            <w:pPr>
              <w:jc w:val="center"/>
              <w:spacing w:after="0"/>
              <w:rPr>
                <w:sz w:val="20"/>
                <w:szCs w:val="20"/>
                <w:color w:val="auto"/>
              </w:rPr>
            </w:pPr>
            <w:r>
              <w:rPr>
                <w:rFonts w:ascii="Arial" w:cs="Arial" w:eastAsia="Arial" w:hAnsi="Arial"/>
                <w:sz w:val="21"/>
                <w:szCs w:val="21"/>
                <w:color w:val="auto"/>
                <w:w w:val="89"/>
              </w:rPr>
              <w:t>Net Income per Common</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1480" w:type="dxa"/>
            <w:vAlign w:val="bottom"/>
            <w:gridSpan w:val="3"/>
            <w:vMerge w:val="restart"/>
          </w:tcPr>
          <w:p>
            <w:pPr>
              <w:jc w:val="right"/>
              <w:ind w:right="500"/>
              <w:spacing w:after="0"/>
              <w:rPr>
                <w:sz w:val="20"/>
                <w:szCs w:val="20"/>
                <w:color w:val="auto"/>
              </w:rPr>
            </w:pPr>
            <w:r>
              <w:rPr>
                <w:rFonts w:ascii="Arial" w:cs="Arial" w:eastAsia="Arial" w:hAnsi="Arial"/>
                <w:sz w:val="21"/>
                <w:szCs w:val="21"/>
                <w:color w:val="auto"/>
              </w:rPr>
              <w:t>Net Sales</w:t>
            </w:r>
          </w:p>
        </w:tc>
        <w:tc>
          <w:tcPr>
            <w:tcW w:w="1500" w:type="dxa"/>
            <w:vAlign w:val="bottom"/>
            <w:gridSpan w:val="3"/>
            <w:vMerge w:val="restart"/>
          </w:tcPr>
          <w:p>
            <w:pPr>
              <w:ind w:left="120"/>
              <w:spacing w:after="0"/>
              <w:rPr>
                <w:sz w:val="20"/>
                <w:szCs w:val="20"/>
                <w:color w:val="auto"/>
              </w:rPr>
            </w:pPr>
            <w:r>
              <w:rPr>
                <w:rFonts w:ascii="Arial" w:cs="Arial" w:eastAsia="Arial" w:hAnsi="Arial"/>
                <w:sz w:val="21"/>
                <w:szCs w:val="21"/>
                <w:color w:val="auto"/>
              </w:rPr>
              <w:t>Gross Profit</w:t>
            </w:r>
          </w:p>
        </w:tc>
        <w:tc>
          <w:tcPr>
            <w:tcW w:w="1200" w:type="dxa"/>
            <w:vAlign w:val="bottom"/>
            <w:gridSpan w:val="2"/>
            <w:vMerge w:val="restart"/>
          </w:tcPr>
          <w:p>
            <w:pPr>
              <w:jc w:val="right"/>
              <w:ind w:right="16"/>
              <w:spacing w:after="0"/>
              <w:rPr>
                <w:sz w:val="20"/>
                <w:szCs w:val="20"/>
                <w:color w:val="auto"/>
              </w:rPr>
            </w:pPr>
            <w:r>
              <w:rPr>
                <w:rFonts w:ascii="Arial" w:cs="Arial" w:eastAsia="Arial" w:hAnsi="Arial"/>
                <w:sz w:val="21"/>
                <w:szCs w:val="21"/>
                <w:color w:val="auto"/>
                <w:w w:val="98"/>
              </w:rPr>
              <w:t>Net Income</w:t>
            </w:r>
          </w:p>
        </w:tc>
        <w:tc>
          <w:tcPr>
            <w:tcW w:w="2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21"/>
                <w:szCs w:val="21"/>
                <w:color w:val="auto"/>
                <w:w w:val="82"/>
              </w:rPr>
              <w:t>Share</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360" w:type="dxa"/>
            <w:vAlign w:val="bottom"/>
            <w:vMerge w:val="restart"/>
          </w:tcPr>
          <w:p>
            <w:pPr>
              <w:spacing w:after="0"/>
              <w:rPr>
                <w:sz w:val="20"/>
                <w:szCs w:val="20"/>
                <w:color w:val="auto"/>
              </w:rPr>
            </w:pPr>
            <w:r>
              <w:rPr>
                <w:rFonts w:ascii="Arial" w:cs="Arial" w:eastAsia="Arial" w:hAnsi="Arial"/>
                <w:sz w:val="21"/>
                <w:szCs w:val="21"/>
                <w:color w:val="auto"/>
              </w:rPr>
              <w:t>Quarter ended:</w:t>
            </w:r>
          </w:p>
        </w:tc>
        <w:tc>
          <w:tcPr>
            <w:tcW w:w="1480" w:type="dxa"/>
            <w:vAlign w:val="bottom"/>
            <w:gridSpan w:val="3"/>
            <w:vMerge w:val="continue"/>
          </w:tcPr>
          <w:p>
            <w:pPr>
              <w:spacing w:after="0"/>
              <w:rPr>
                <w:sz w:val="20"/>
                <w:szCs w:val="20"/>
                <w:color w:val="auto"/>
              </w:rPr>
            </w:pPr>
          </w:p>
        </w:tc>
        <w:tc>
          <w:tcPr>
            <w:tcW w:w="1500" w:type="dxa"/>
            <w:vAlign w:val="bottom"/>
            <w:gridSpan w:val="3"/>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56"/>
              <w:spacing w:after="0" w:line="237" w:lineRule="exact"/>
              <w:rPr>
                <w:sz w:val="20"/>
                <w:szCs w:val="20"/>
                <w:color w:val="auto"/>
              </w:rPr>
            </w:pPr>
            <w:r>
              <w:rPr>
                <w:rFonts w:ascii="Arial" w:cs="Arial" w:eastAsia="Arial" w:hAnsi="Arial"/>
                <w:sz w:val="21"/>
                <w:szCs w:val="21"/>
                <w:color w:val="auto"/>
              </w:rPr>
              <w:t>Basic</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260"/>
              <w:spacing w:after="0" w:line="237" w:lineRule="exact"/>
              <w:rPr>
                <w:sz w:val="20"/>
                <w:szCs w:val="20"/>
                <w:color w:val="auto"/>
              </w:rPr>
            </w:pPr>
            <w:r>
              <w:rPr>
                <w:rFonts w:ascii="Arial" w:cs="Arial" w:eastAsia="Arial" w:hAnsi="Arial"/>
                <w:sz w:val="21"/>
                <w:szCs w:val="21"/>
                <w:color w:val="auto"/>
              </w:rPr>
              <w:t>Diluted</w:t>
            </w:r>
          </w:p>
        </w:tc>
        <w:tc>
          <w:tcPr>
            <w:tcW w:w="0" w:type="dxa"/>
            <w:vAlign w:val="bottom"/>
          </w:tcPr>
          <w:p>
            <w:pPr>
              <w:spacing w:after="0"/>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21"/>
                <w:szCs w:val="21"/>
                <w:color w:val="auto"/>
              </w:rPr>
              <w:t>March 31, 2010</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21"/>
                <w:szCs w:val="21"/>
                <w:color w:val="auto"/>
                <w:w w:val="94"/>
              </w:rPr>
              <w:t>238,110</w:t>
            </w:r>
          </w:p>
        </w:tc>
        <w:tc>
          <w:tcPr>
            <w:tcW w:w="540" w:type="dxa"/>
            <w:vAlign w:val="bottom"/>
          </w:tcPr>
          <w:p>
            <w:pPr>
              <w:jc w:val="right"/>
              <w:spacing w:after="0"/>
              <w:rPr>
                <w:sz w:val="20"/>
                <w:szCs w:val="20"/>
                <w:color w:val="auto"/>
              </w:rPr>
            </w:pPr>
            <w:r>
              <w:rPr>
                <w:rFonts w:ascii="Arial" w:cs="Arial" w:eastAsia="Arial" w:hAnsi="Arial"/>
                <w:sz w:val="21"/>
                <w:szCs w:val="2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21"/>
                <w:szCs w:val="21"/>
                <w:color w:val="auto"/>
                <w:w w:val="92"/>
              </w:rPr>
              <w:t>124,554</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780" w:type="dxa"/>
            <w:vAlign w:val="bottom"/>
          </w:tcPr>
          <w:p>
            <w:pPr>
              <w:jc w:val="right"/>
              <w:spacing w:after="0"/>
              <w:rPr>
                <w:sz w:val="20"/>
                <w:szCs w:val="20"/>
                <w:color w:val="auto"/>
              </w:rPr>
            </w:pPr>
            <w:r>
              <w:rPr>
                <w:rFonts w:ascii="Arial" w:cs="Arial" w:eastAsia="Arial" w:hAnsi="Arial"/>
                <w:sz w:val="21"/>
                <w:szCs w:val="21"/>
                <w:color w:val="auto"/>
              </w:rPr>
              <w:t>32,563</w:t>
            </w:r>
          </w:p>
        </w:tc>
        <w:tc>
          <w:tcPr>
            <w:tcW w:w="82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520" w:type="dxa"/>
            <w:vAlign w:val="bottom"/>
          </w:tcPr>
          <w:p>
            <w:pPr>
              <w:jc w:val="right"/>
              <w:spacing w:after="0"/>
              <w:rPr>
                <w:sz w:val="20"/>
                <w:szCs w:val="20"/>
                <w:color w:val="auto"/>
              </w:rPr>
            </w:pPr>
            <w:r>
              <w:rPr>
                <w:rFonts w:ascii="Arial" w:cs="Arial" w:eastAsia="Arial" w:hAnsi="Arial"/>
                <w:sz w:val="21"/>
                <w:szCs w:val="21"/>
                <w:color w:val="auto"/>
              </w:rPr>
              <w:t>0.37</w:t>
            </w:r>
          </w:p>
        </w:tc>
        <w:tc>
          <w:tcPr>
            <w:tcW w:w="920" w:type="dxa"/>
            <w:vAlign w:val="bottom"/>
            <w:gridSpan w:val="3"/>
          </w:tcPr>
          <w:p>
            <w:pPr>
              <w:ind w:left="660"/>
              <w:spacing w:after="0"/>
              <w:rPr>
                <w:sz w:val="20"/>
                <w:szCs w:val="20"/>
                <w:color w:val="auto"/>
              </w:rPr>
            </w:pPr>
            <w:r>
              <w:rPr>
                <w:rFonts w:ascii="Arial" w:cs="Arial" w:eastAsia="Arial" w:hAnsi="Arial"/>
                <w:sz w:val="21"/>
                <w:szCs w:val="21"/>
                <w:color w:val="auto"/>
              </w:rPr>
              <w:t>$</w:t>
            </w:r>
          </w:p>
        </w:tc>
        <w:tc>
          <w:tcPr>
            <w:tcW w:w="620" w:type="dxa"/>
            <w:vAlign w:val="bottom"/>
          </w:tcPr>
          <w:p>
            <w:pPr>
              <w:jc w:val="right"/>
              <w:spacing w:after="0"/>
              <w:rPr>
                <w:sz w:val="20"/>
                <w:szCs w:val="20"/>
                <w:color w:val="auto"/>
              </w:rPr>
            </w:pPr>
            <w:r>
              <w:rPr>
                <w:rFonts w:ascii="Arial" w:cs="Arial" w:eastAsia="Arial" w:hAnsi="Arial"/>
                <w:sz w:val="21"/>
                <w:szCs w:val="21"/>
                <w:color w:val="auto"/>
              </w:rPr>
              <w:t>0.35</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21"/>
                <w:szCs w:val="21"/>
                <w:color w:val="auto"/>
              </w:rPr>
              <w:t>June 30, 2010</w:t>
            </w:r>
          </w:p>
        </w:tc>
        <w:tc>
          <w:tcPr>
            <w:tcW w:w="44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1"/>
                <w:szCs w:val="21"/>
                <w:color w:val="auto"/>
                <w:w w:val="94"/>
              </w:rPr>
              <w:t>365,701</w:t>
            </w:r>
          </w:p>
        </w:tc>
        <w:tc>
          <w:tcPr>
            <w:tcW w:w="5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1"/>
                <w:szCs w:val="21"/>
                <w:color w:val="auto"/>
                <w:w w:val="92"/>
              </w:rPr>
              <w:t>193,350</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63,838</w:t>
            </w:r>
          </w:p>
        </w:tc>
        <w:tc>
          <w:tcPr>
            <w:tcW w:w="82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520" w:type="dxa"/>
            <w:vAlign w:val="bottom"/>
          </w:tcPr>
          <w:p>
            <w:pPr>
              <w:jc w:val="right"/>
              <w:spacing w:after="0"/>
              <w:rPr>
                <w:sz w:val="20"/>
                <w:szCs w:val="20"/>
                <w:color w:val="auto"/>
              </w:rPr>
            </w:pPr>
            <w:r>
              <w:rPr>
                <w:rFonts w:ascii="Arial" w:cs="Arial" w:eastAsia="Arial" w:hAnsi="Arial"/>
                <w:sz w:val="21"/>
                <w:szCs w:val="21"/>
                <w:color w:val="auto"/>
              </w:rPr>
              <w:t>0.72</w:t>
            </w:r>
          </w:p>
        </w:tc>
        <w:tc>
          <w:tcPr>
            <w:tcW w:w="920" w:type="dxa"/>
            <w:vAlign w:val="bottom"/>
            <w:gridSpan w:val="3"/>
          </w:tcPr>
          <w:p>
            <w:pPr>
              <w:ind w:left="660"/>
              <w:spacing w:after="0"/>
              <w:rPr>
                <w:sz w:val="20"/>
                <w:szCs w:val="20"/>
                <w:color w:val="auto"/>
              </w:rPr>
            </w:pPr>
            <w:r>
              <w:rPr>
                <w:rFonts w:ascii="Arial" w:cs="Arial" w:eastAsia="Arial" w:hAnsi="Arial"/>
                <w:sz w:val="21"/>
                <w:szCs w:val="21"/>
                <w:color w:val="auto"/>
              </w:rPr>
              <w:t>$</w:t>
            </w:r>
          </w:p>
        </w:tc>
        <w:tc>
          <w:tcPr>
            <w:tcW w:w="620" w:type="dxa"/>
            <w:vAlign w:val="bottom"/>
          </w:tcPr>
          <w:p>
            <w:pPr>
              <w:jc w:val="right"/>
              <w:spacing w:after="0"/>
              <w:rPr>
                <w:sz w:val="20"/>
                <w:szCs w:val="20"/>
                <w:color w:val="auto"/>
              </w:rPr>
            </w:pPr>
            <w:r>
              <w:rPr>
                <w:rFonts w:ascii="Arial" w:cs="Arial" w:eastAsia="Arial" w:hAnsi="Arial"/>
                <w:sz w:val="21"/>
                <w:szCs w:val="21"/>
                <w:color w:val="auto"/>
              </w:rPr>
              <w:t>0.69</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21"/>
                <w:szCs w:val="21"/>
                <w:color w:val="auto"/>
              </w:rPr>
              <w:t>September 30, 2010</w:t>
            </w:r>
          </w:p>
        </w:tc>
        <w:tc>
          <w:tcPr>
            <w:tcW w:w="44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1"/>
                <w:szCs w:val="21"/>
                <w:color w:val="auto"/>
                <w:w w:val="94"/>
              </w:rPr>
              <w:t>381,466</w:t>
            </w:r>
          </w:p>
        </w:tc>
        <w:tc>
          <w:tcPr>
            <w:tcW w:w="5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1"/>
                <w:szCs w:val="21"/>
                <w:color w:val="auto"/>
                <w:w w:val="92"/>
              </w:rPr>
              <w:t>197,926</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66,496</w:t>
            </w:r>
          </w:p>
        </w:tc>
        <w:tc>
          <w:tcPr>
            <w:tcW w:w="82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520" w:type="dxa"/>
            <w:vAlign w:val="bottom"/>
          </w:tcPr>
          <w:p>
            <w:pPr>
              <w:jc w:val="right"/>
              <w:spacing w:after="0"/>
              <w:rPr>
                <w:sz w:val="20"/>
                <w:szCs w:val="20"/>
                <w:color w:val="auto"/>
              </w:rPr>
            </w:pPr>
            <w:r>
              <w:rPr>
                <w:rFonts w:ascii="Arial" w:cs="Arial" w:eastAsia="Arial" w:hAnsi="Arial"/>
                <w:sz w:val="21"/>
                <w:szCs w:val="21"/>
                <w:color w:val="auto"/>
              </w:rPr>
              <w:t>0.75</w:t>
            </w:r>
          </w:p>
        </w:tc>
        <w:tc>
          <w:tcPr>
            <w:tcW w:w="920" w:type="dxa"/>
            <w:vAlign w:val="bottom"/>
            <w:gridSpan w:val="3"/>
          </w:tcPr>
          <w:p>
            <w:pPr>
              <w:ind w:left="660"/>
              <w:spacing w:after="0"/>
              <w:rPr>
                <w:sz w:val="20"/>
                <w:szCs w:val="20"/>
                <w:color w:val="auto"/>
              </w:rPr>
            </w:pPr>
            <w:r>
              <w:rPr>
                <w:rFonts w:ascii="Arial" w:cs="Arial" w:eastAsia="Arial" w:hAnsi="Arial"/>
                <w:sz w:val="21"/>
                <w:szCs w:val="21"/>
                <w:color w:val="auto"/>
              </w:rPr>
              <w:t>$</w:t>
            </w:r>
          </w:p>
        </w:tc>
        <w:tc>
          <w:tcPr>
            <w:tcW w:w="620" w:type="dxa"/>
            <w:vAlign w:val="bottom"/>
          </w:tcPr>
          <w:p>
            <w:pPr>
              <w:jc w:val="right"/>
              <w:spacing w:after="0"/>
              <w:rPr>
                <w:sz w:val="20"/>
                <w:szCs w:val="20"/>
                <w:color w:val="auto"/>
              </w:rPr>
            </w:pPr>
            <w:r>
              <w:rPr>
                <w:rFonts w:ascii="Arial" w:cs="Arial" w:eastAsia="Arial" w:hAnsi="Arial"/>
                <w:sz w:val="21"/>
                <w:szCs w:val="21"/>
                <w:color w:val="auto"/>
              </w:rPr>
              <w:t>0.72</w:t>
            </w:r>
          </w:p>
        </w:tc>
        <w:tc>
          <w:tcPr>
            <w:tcW w:w="0" w:type="dxa"/>
            <w:vAlign w:val="bottom"/>
          </w:tcPr>
          <w:p>
            <w:pPr>
              <w:spacing w:after="0"/>
              <w:rPr>
                <w:sz w:val="1"/>
                <w:szCs w:val="1"/>
                <w:color w:val="auto"/>
              </w:rPr>
            </w:pPr>
          </w:p>
        </w:tc>
      </w:tr>
      <w:tr>
        <w:trPr>
          <w:trHeight w:val="256"/>
        </w:trPr>
        <w:tc>
          <w:tcPr>
            <w:tcW w:w="4360" w:type="dxa"/>
            <w:vAlign w:val="bottom"/>
          </w:tcPr>
          <w:p>
            <w:pPr>
              <w:ind w:left="340"/>
              <w:spacing w:after="0"/>
              <w:rPr>
                <w:sz w:val="20"/>
                <w:szCs w:val="20"/>
                <w:color w:val="auto"/>
              </w:rPr>
            </w:pPr>
            <w:r>
              <w:rPr>
                <w:rFonts w:ascii="Arial" w:cs="Arial" w:eastAsia="Arial" w:hAnsi="Arial"/>
                <w:sz w:val="21"/>
                <w:szCs w:val="21"/>
                <w:color w:val="auto"/>
              </w:rPr>
              <w:t>December 31, 2010</w:t>
            </w:r>
          </w:p>
        </w:tc>
        <w:tc>
          <w:tcPr>
            <w:tcW w:w="44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1"/>
                <w:szCs w:val="21"/>
                <w:color w:val="auto"/>
                <w:w w:val="94"/>
              </w:rPr>
              <w:t>318,665</w:t>
            </w:r>
          </w:p>
        </w:tc>
        <w:tc>
          <w:tcPr>
            <w:tcW w:w="54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1"/>
                <w:szCs w:val="21"/>
                <w:color w:val="auto"/>
                <w:w w:val="92"/>
              </w:rPr>
              <w:t>164,410</w:t>
            </w: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49,132</w:t>
            </w:r>
          </w:p>
        </w:tc>
        <w:tc>
          <w:tcPr>
            <w:tcW w:w="82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520" w:type="dxa"/>
            <w:vAlign w:val="bottom"/>
          </w:tcPr>
          <w:p>
            <w:pPr>
              <w:jc w:val="right"/>
              <w:spacing w:after="0"/>
              <w:rPr>
                <w:sz w:val="20"/>
                <w:szCs w:val="20"/>
                <w:color w:val="auto"/>
              </w:rPr>
            </w:pPr>
            <w:r>
              <w:rPr>
                <w:rFonts w:ascii="Arial" w:cs="Arial" w:eastAsia="Arial" w:hAnsi="Arial"/>
                <w:sz w:val="21"/>
                <w:szCs w:val="21"/>
                <w:color w:val="auto"/>
              </w:rPr>
              <w:t>0.55</w:t>
            </w:r>
          </w:p>
        </w:tc>
        <w:tc>
          <w:tcPr>
            <w:tcW w:w="920" w:type="dxa"/>
            <w:vAlign w:val="bottom"/>
            <w:gridSpan w:val="3"/>
          </w:tcPr>
          <w:p>
            <w:pPr>
              <w:ind w:left="660"/>
              <w:spacing w:after="0"/>
              <w:rPr>
                <w:sz w:val="20"/>
                <w:szCs w:val="20"/>
                <w:color w:val="auto"/>
              </w:rPr>
            </w:pPr>
            <w:r>
              <w:rPr>
                <w:rFonts w:ascii="Arial" w:cs="Arial" w:eastAsia="Arial" w:hAnsi="Arial"/>
                <w:sz w:val="21"/>
                <w:szCs w:val="21"/>
                <w:color w:val="auto"/>
              </w:rPr>
              <w:t>$</w:t>
            </w:r>
          </w:p>
        </w:tc>
        <w:tc>
          <w:tcPr>
            <w:tcW w:w="620" w:type="dxa"/>
            <w:vAlign w:val="bottom"/>
          </w:tcPr>
          <w:p>
            <w:pPr>
              <w:jc w:val="right"/>
              <w:spacing w:after="0"/>
              <w:rPr>
                <w:sz w:val="20"/>
                <w:szCs w:val="20"/>
                <w:color w:val="auto"/>
              </w:rPr>
            </w:pPr>
            <w:r>
              <w:rPr>
                <w:rFonts w:ascii="Arial" w:cs="Arial" w:eastAsia="Arial" w:hAnsi="Arial"/>
                <w:sz w:val="21"/>
                <w:szCs w:val="21"/>
                <w:color w:val="auto"/>
              </w:rPr>
              <w:t>0.53</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right"/>
              <w:spacing w:after="0" w:line="237" w:lineRule="exact"/>
              <w:rPr>
                <w:sz w:val="20"/>
                <w:szCs w:val="20"/>
                <w:color w:val="auto"/>
              </w:rPr>
            </w:pPr>
            <w:r>
              <w:rPr>
                <w:rFonts w:ascii="Arial" w:cs="Arial" w:eastAsia="Arial" w:hAnsi="Arial"/>
                <w:sz w:val="21"/>
                <w:szCs w:val="21"/>
                <w:color w:val="auto"/>
              </w:rPr>
              <w:t>$1,303,942</w:t>
            </w:r>
          </w:p>
        </w:tc>
        <w:tc>
          <w:tcPr>
            <w:tcW w:w="3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7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w w:val="92"/>
              </w:rPr>
              <w:t>680,240</w:t>
            </w: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w w:val="92"/>
              </w:rPr>
              <w:t>212,029</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21"/>
                <w:szCs w:val="21"/>
                <w:color w:val="auto"/>
              </w:rPr>
              <w:t>Quarter ended:</w:t>
            </w: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21"/>
                <w:szCs w:val="21"/>
                <w:color w:val="auto"/>
              </w:rPr>
              <w:t>March 31, 2009</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21"/>
                <w:szCs w:val="21"/>
                <w:color w:val="auto"/>
                <w:w w:val="94"/>
              </w:rPr>
              <w:t>244,206</w:t>
            </w:r>
          </w:p>
        </w:tc>
        <w:tc>
          <w:tcPr>
            <w:tcW w:w="540" w:type="dxa"/>
            <w:vAlign w:val="bottom"/>
          </w:tcPr>
          <w:p>
            <w:pPr>
              <w:jc w:val="right"/>
              <w:spacing w:after="0"/>
              <w:rPr>
                <w:sz w:val="20"/>
                <w:szCs w:val="20"/>
                <w:color w:val="auto"/>
              </w:rPr>
            </w:pPr>
            <w:r>
              <w:rPr>
                <w:rFonts w:ascii="Arial" w:cs="Arial" w:eastAsia="Arial" w:hAnsi="Arial"/>
                <w:sz w:val="21"/>
                <w:szCs w:val="2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21"/>
                <w:szCs w:val="21"/>
                <w:color w:val="auto"/>
                <w:w w:val="92"/>
              </w:rPr>
              <w:t>130,179</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780" w:type="dxa"/>
            <w:vAlign w:val="bottom"/>
          </w:tcPr>
          <w:p>
            <w:pPr>
              <w:jc w:val="right"/>
              <w:spacing w:after="0"/>
              <w:rPr>
                <w:sz w:val="20"/>
                <w:szCs w:val="20"/>
                <w:color w:val="auto"/>
              </w:rPr>
            </w:pPr>
            <w:r>
              <w:rPr>
                <w:rFonts w:ascii="Arial" w:cs="Arial" w:eastAsia="Arial" w:hAnsi="Arial"/>
                <w:sz w:val="21"/>
                <w:szCs w:val="21"/>
                <w:color w:val="auto"/>
              </w:rPr>
              <w:t>41,566</w:t>
            </w:r>
          </w:p>
        </w:tc>
        <w:tc>
          <w:tcPr>
            <w:tcW w:w="82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520" w:type="dxa"/>
            <w:vAlign w:val="bottom"/>
          </w:tcPr>
          <w:p>
            <w:pPr>
              <w:jc w:val="right"/>
              <w:spacing w:after="0"/>
              <w:rPr>
                <w:sz w:val="20"/>
                <w:szCs w:val="20"/>
                <w:color w:val="auto"/>
              </w:rPr>
            </w:pPr>
            <w:r>
              <w:rPr>
                <w:rFonts w:ascii="Arial" w:cs="Arial" w:eastAsia="Arial" w:hAnsi="Arial"/>
                <w:sz w:val="21"/>
                <w:szCs w:val="21"/>
                <w:color w:val="auto"/>
              </w:rPr>
              <w:t>0.46</w:t>
            </w:r>
          </w:p>
        </w:tc>
        <w:tc>
          <w:tcPr>
            <w:tcW w:w="920" w:type="dxa"/>
            <w:vAlign w:val="bottom"/>
            <w:gridSpan w:val="3"/>
          </w:tcPr>
          <w:p>
            <w:pPr>
              <w:ind w:left="660"/>
              <w:spacing w:after="0"/>
              <w:rPr>
                <w:sz w:val="20"/>
                <w:szCs w:val="20"/>
                <w:color w:val="auto"/>
              </w:rPr>
            </w:pPr>
            <w:r>
              <w:rPr>
                <w:rFonts w:ascii="Arial" w:cs="Arial" w:eastAsia="Arial" w:hAnsi="Arial"/>
                <w:sz w:val="21"/>
                <w:szCs w:val="21"/>
                <w:color w:val="auto"/>
              </w:rPr>
              <w:t>$</w:t>
            </w:r>
          </w:p>
        </w:tc>
        <w:tc>
          <w:tcPr>
            <w:tcW w:w="620" w:type="dxa"/>
            <w:vAlign w:val="bottom"/>
          </w:tcPr>
          <w:p>
            <w:pPr>
              <w:jc w:val="right"/>
              <w:spacing w:after="0"/>
              <w:rPr>
                <w:sz w:val="20"/>
                <w:szCs w:val="20"/>
                <w:color w:val="auto"/>
              </w:rPr>
            </w:pPr>
            <w:r>
              <w:rPr>
                <w:rFonts w:ascii="Arial" w:cs="Arial" w:eastAsia="Arial" w:hAnsi="Arial"/>
                <w:sz w:val="21"/>
                <w:szCs w:val="21"/>
                <w:color w:val="auto"/>
              </w:rPr>
              <w:t>0.44</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21"/>
                <w:szCs w:val="21"/>
                <w:color w:val="auto"/>
              </w:rPr>
              <w:t>June 30, 2009</w:t>
            </w:r>
          </w:p>
        </w:tc>
        <w:tc>
          <w:tcPr>
            <w:tcW w:w="44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1"/>
                <w:szCs w:val="21"/>
                <w:color w:val="auto"/>
                <w:w w:val="94"/>
              </w:rPr>
              <w:t>300,250</w:t>
            </w:r>
          </w:p>
        </w:tc>
        <w:tc>
          <w:tcPr>
            <w:tcW w:w="5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1"/>
                <w:szCs w:val="21"/>
                <w:color w:val="auto"/>
                <w:w w:val="92"/>
              </w:rPr>
              <w:t>161,829</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57,289</w:t>
            </w:r>
          </w:p>
        </w:tc>
        <w:tc>
          <w:tcPr>
            <w:tcW w:w="82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520" w:type="dxa"/>
            <w:vAlign w:val="bottom"/>
          </w:tcPr>
          <w:p>
            <w:pPr>
              <w:jc w:val="right"/>
              <w:spacing w:after="0"/>
              <w:rPr>
                <w:sz w:val="20"/>
                <w:szCs w:val="20"/>
                <w:color w:val="auto"/>
              </w:rPr>
            </w:pPr>
            <w:r>
              <w:rPr>
                <w:rFonts w:ascii="Arial" w:cs="Arial" w:eastAsia="Arial" w:hAnsi="Arial"/>
                <w:sz w:val="21"/>
                <w:szCs w:val="21"/>
                <w:color w:val="auto"/>
              </w:rPr>
              <w:t>0.63</w:t>
            </w:r>
          </w:p>
        </w:tc>
        <w:tc>
          <w:tcPr>
            <w:tcW w:w="920" w:type="dxa"/>
            <w:vAlign w:val="bottom"/>
            <w:gridSpan w:val="3"/>
          </w:tcPr>
          <w:p>
            <w:pPr>
              <w:ind w:left="660"/>
              <w:spacing w:after="0"/>
              <w:rPr>
                <w:sz w:val="20"/>
                <w:szCs w:val="20"/>
                <w:color w:val="auto"/>
              </w:rPr>
            </w:pPr>
            <w:r>
              <w:rPr>
                <w:rFonts w:ascii="Arial" w:cs="Arial" w:eastAsia="Arial" w:hAnsi="Arial"/>
                <w:sz w:val="21"/>
                <w:szCs w:val="21"/>
                <w:color w:val="auto"/>
              </w:rPr>
              <w:t>$</w:t>
            </w:r>
          </w:p>
        </w:tc>
        <w:tc>
          <w:tcPr>
            <w:tcW w:w="620" w:type="dxa"/>
            <w:vAlign w:val="bottom"/>
          </w:tcPr>
          <w:p>
            <w:pPr>
              <w:jc w:val="right"/>
              <w:spacing w:after="0"/>
              <w:rPr>
                <w:sz w:val="20"/>
                <w:szCs w:val="20"/>
                <w:color w:val="auto"/>
              </w:rPr>
            </w:pPr>
            <w:r>
              <w:rPr>
                <w:rFonts w:ascii="Arial" w:cs="Arial" w:eastAsia="Arial" w:hAnsi="Arial"/>
                <w:sz w:val="21"/>
                <w:szCs w:val="21"/>
                <w:color w:val="auto"/>
              </w:rPr>
              <w:t>0.60</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21"/>
                <w:szCs w:val="21"/>
                <w:color w:val="auto"/>
              </w:rPr>
              <w:t>September 30, 2009</w:t>
            </w:r>
          </w:p>
        </w:tc>
        <w:tc>
          <w:tcPr>
            <w:tcW w:w="44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1"/>
                <w:szCs w:val="21"/>
                <w:color w:val="auto"/>
                <w:w w:val="94"/>
              </w:rPr>
              <w:t>307,929</w:t>
            </w:r>
          </w:p>
        </w:tc>
        <w:tc>
          <w:tcPr>
            <w:tcW w:w="5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1"/>
                <w:szCs w:val="21"/>
                <w:color w:val="auto"/>
                <w:w w:val="92"/>
              </w:rPr>
              <w:t>165,032</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56,505</w:t>
            </w:r>
          </w:p>
        </w:tc>
        <w:tc>
          <w:tcPr>
            <w:tcW w:w="82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520" w:type="dxa"/>
            <w:vAlign w:val="bottom"/>
          </w:tcPr>
          <w:p>
            <w:pPr>
              <w:jc w:val="right"/>
              <w:spacing w:after="0"/>
              <w:rPr>
                <w:sz w:val="20"/>
                <w:szCs w:val="20"/>
                <w:color w:val="auto"/>
              </w:rPr>
            </w:pPr>
            <w:r>
              <w:rPr>
                <w:rFonts w:ascii="Arial" w:cs="Arial" w:eastAsia="Arial" w:hAnsi="Arial"/>
                <w:sz w:val="21"/>
                <w:szCs w:val="21"/>
                <w:color w:val="auto"/>
              </w:rPr>
              <w:t>0.63</w:t>
            </w:r>
          </w:p>
        </w:tc>
        <w:tc>
          <w:tcPr>
            <w:tcW w:w="920" w:type="dxa"/>
            <w:vAlign w:val="bottom"/>
            <w:gridSpan w:val="3"/>
          </w:tcPr>
          <w:p>
            <w:pPr>
              <w:ind w:left="660"/>
              <w:spacing w:after="0"/>
              <w:rPr>
                <w:sz w:val="20"/>
                <w:szCs w:val="20"/>
                <w:color w:val="auto"/>
              </w:rPr>
            </w:pPr>
            <w:r>
              <w:rPr>
                <w:rFonts w:ascii="Arial" w:cs="Arial" w:eastAsia="Arial" w:hAnsi="Arial"/>
                <w:sz w:val="21"/>
                <w:szCs w:val="21"/>
                <w:color w:val="auto"/>
              </w:rPr>
              <w:t>$</w:t>
            </w:r>
          </w:p>
        </w:tc>
        <w:tc>
          <w:tcPr>
            <w:tcW w:w="620" w:type="dxa"/>
            <w:vAlign w:val="bottom"/>
          </w:tcPr>
          <w:p>
            <w:pPr>
              <w:jc w:val="right"/>
              <w:spacing w:after="0"/>
              <w:rPr>
                <w:sz w:val="20"/>
                <w:szCs w:val="20"/>
                <w:color w:val="auto"/>
              </w:rPr>
            </w:pPr>
            <w:r>
              <w:rPr>
                <w:rFonts w:ascii="Arial" w:cs="Arial" w:eastAsia="Arial" w:hAnsi="Arial"/>
                <w:sz w:val="21"/>
                <w:szCs w:val="21"/>
                <w:color w:val="auto"/>
              </w:rPr>
              <w:t>0.60</w:t>
            </w:r>
          </w:p>
        </w:tc>
        <w:tc>
          <w:tcPr>
            <w:tcW w:w="0" w:type="dxa"/>
            <w:vAlign w:val="bottom"/>
          </w:tcPr>
          <w:p>
            <w:pPr>
              <w:spacing w:after="0"/>
              <w:rPr>
                <w:sz w:val="1"/>
                <w:szCs w:val="1"/>
                <w:color w:val="auto"/>
              </w:rPr>
            </w:pPr>
          </w:p>
        </w:tc>
      </w:tr>
      <w:tr>
        <w:trPr>
          <w:trHeight w:val="256"/>
        </w:trPr>
        <w:tc>
          <w:tcPr>
            <w:tcW w:w="4360" w:type="dxa"/>
            <w:vAlign w:val="bottom"/>
          </w:tcPr>
          <w:p>
            <w:pPr>
              <w:ind w:left="340"/>
              <w:spacing w:after="0"/>
              <w:rPr>
                <w:sz w:val="20"/>
                <w:szCs w:val="20"/>
                <w:color w:val="auto"/>
              </w:rPr>
            </w:pPr>
            <w:r>
              <w:rPr>
                <w:rFonts w:ascii="Arial" w:cs="Arial" w:eastAsia="Arial" w:hAnsi="Arial"/>
                <w:sz w:val="21"/>
                <w:szCs w:val="21"/>
                <w:color w:val="auto"/>
              </w:rPr>
              <w:t>December 31, 2009</w:t>
            </w:r>
          </w:p>
        </w:tc>
        <w:tc>
          <w:tcPr>
            <w:tcW w:w="44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1"/>
                <w:szCs w:val="21"/>
                <w:color w:val="auto"/>
                <w:w w:val="94"/>
              </w:rPr>
              <w:t>290,914</w:t>
            </w:r>
          </w:p>
        </w:tc>
        <w:tc>
          <w:tcPr>
            <w:tcW w:w="54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1"/>
                <w:szCs w:val="21"/>
                <w:color w:val="auto"/>
                <w:w w:val="92"/>
              </w:rPr>
              <w:t>155,276</w:t>
            </w: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53,356</w:t>
            </w:r>
          </w:p>
        </w:tc>
        <w:tc>
          <w:tcPr>
            <w:tcW w:w="820" w:type="dxa"/>
            <w:vAlign w:val="bottom"/>
            <w:gridSpan w:val="2"/>
          </w:tcPr>
          <w:p>
            <w:pPr>
              <w:jc w:val="right"/>
              <w:ind w:right="56"/>
              <w:spacing w:after="0"/>
              <w:rPr>
                <w:sz w:val="20"/>
                <w:szCs w:val="20"/>
                <w:color w:val="auto"/>
              </w:rPr>
            </w:pPr>
            <w:r>
              <w:rPr>
                <w:rFonts w:ascii="Arial" w:cs="Arial" w:eastAsia="Arial" w:hAnsi="Arial"/>
                <w:sz w:val="21"/>
                <w:szCs w:val="21"/>
                <w:color w:val="auto"/>
              </w:rPr>
              <w:t>$</w:t>
            </w:r>
          </w:p>
        </w:tc>
        <w:tc>
          <w:tcPr>
            <w:tcW w:w="520" w:type="dxa"/>
            <w:vAlign w:val="bottom"/>
          </w:tcPr>
          <w:p>
            <w:pPr>
              <w:jc w:val="right"/>
              <w:spacing w:after="0"/>
              <w:rPr>
                <w:sz w:val="20"/>
                <w:szCs w:val="20"/>
                <w:color w:val="auto"/>
              </w:rPr>
            </w:pPr>
            <w:r>
              <w:rPr>
                <w:rFonts w:ascii="Arial" w:cs="Arial" w:eastAsia="Arial" w:hAnsi="Arial"/>
                <w:sz w:val="21"/>
                <w:szCs w:val="21"/>
                <w:color w:val="auto"/>
              </w:rPr>
              <w:t>0.60</w:t>
            </w:r>
          </w:p>
        </w:tc>
        <w:tc>
          <w:tcPr>
            <w:tcW w:w="920" w:type="dxa"/>
            <w:vAlign w:val="bottom"/>
            <w:gridSpan w:val="3"/>
          </w:tcPr>
          <w:p>
            <w:pPr>
              <w:ind w:left="660"/>
              <w:spacing w:after="0"/>
              <w:rPr>
                <w:sz w:val="20"/>
                <w:szCs w:val="20"/>
                <w:color w:val="auto"/>
              </w:rPr>
            </w:pPr>
            <w:r>
              <w:rPr>
                <w:rFonts w:ascii="Arial" w:cs="Arial" w:eastAsia="Arial" w:hAnsi="Arial"/>
                <w:sz w:val="21"/>
                <w:szCs w:val="21"/>
                <w:color w:val="auto"/>
              </w:rPr>
              <w:t>$</w:t>
            </w:r>
          </w:p>
        </w:tc>
        <w:tc>
          <w:tcPr>
            <w:tcW w:w="620" w:type="dxa"/>
            <w:vAlign w:val="bottom"/>
          </w:tcPr>
          <w:p>
            <w:pPr>
              <w:jc w:val="right"/>
              <w:spacing w:after="0"/>
              <w:rPr>
                <w:sz w:val="20"/>
                <w:szCs w:val="20"/>
                <w:color w:val="auto"/>
              </w:rPr>
            </w:pPr>
            <w:r>
              <w:rPr>
                <w:rFonts w:ascii="Arial" w:cs="Arial" w:eastAsia="Arial" w:hAnsi="Arial"/>
                <w:sz w:val="21"/>
                <w:szCs w:val="21"/>
                <w:color w:val="auto"/>
              </w:rPr>
              <w:t>0.57</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right"/>
              <w:spacing w:after="0" w:line="237" w:lineRule="exact"/>
              <w:rPr>
                <w:sz w:val="20"/>
                <w:szCs w:val="20"/>
                <w:color w:val="auto"/>
              </w:rPr>
            </w:pPr>
            <w:r>
              <w:rPr>
                <w:rFonts w:ascii="Arial" w:cs="Arial" w:eastAsia="Arial" w:hAnsi="Arial"/>
                <w:sz w:val="21"/>
                <w:szCs w:val="21"/>
                <w:color w:val="auto"/>
              </w:rPr>
              <w:t>$1,143,299</w:t>
            </w:r>
          </w:p>
        </w:tc>
        <w:tc>
          <w:tcPr>
            <w:tcW w:w="3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7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w w:val="92"/>
              </w:rPr>
              <w:t>612,316</w:t>
            </w: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1"/>
                <w:szCs w:val="21"/>
                <w:color w:val="auto"/>
                <w:w w:val="92"/>
              </w:rPr>
              <w:t>208,716</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Certain of the figures reported above may differ from previously reported figures for individual quarters due to rounding.</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HANSEN NATURAL CORPORATION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II – VALUATION AND QUALIFYING ACCOUNTS</w:t>
      </w:r>
    </w:p>
    <w:p>
      <w:pPr>
        <w:spacing w:after="0"/>
        <w:rPr>
          <w:sz w:val="20"/>
          <w:szCs w:val="20"/>
          <w:color w:val="auto"/>
        </w:rPr>
      </w:pPr>
      <w:r>
        <w:rPr>
          <w:rFonts w:ascii="Arial" w:cs="Arial" w:eastAsia="Arial" w:hAnsi="Arial"/>
          <w:sz w:val="22"/>
          <w:szCs w:val="22"/>
          <w:b w:val="1"/>
          <w:bCs w:val="1"/>
          <w:color w:val="auto"/>
        </w:rPr>
        <w:t>FOR THE YEARS ENDED DECEMBER 31, 2010, 2009 AND 2008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9"/>
                <w:szCs w:val="19"/>
                <w:color w:val="auto"/>
                <w:w w:val="89"/>
              </w:rPr>
              <w:t>Balance at</w:t>
            </w:r>
          </w:p>
        </w:tc>
        <w:tc>
          <w:tcPr>
            <w:tcW w:w="1800" w:type="dxa"/>
            <w:vAlign w:val="bottom"/>
            <w:gridSpan w:val="2"/>
          </w:tcPr>
          <w:p>
            <w:pPr>
              <w:jc w:val="center"/>
              <w:ind w:right="300"/>
              <w:spacing w:after="0"/>
              <w:rPr>
                <w:sz w:val="20"/>
                <w:szCs w:val="20"/>
                <w:color w:val="auto"/>
              </w:rPr>
            </w:pPr>
            <w:r>
              <w:rPr>
                <w:rFonts w:ascii="Arial" w:cs="Arial" w:eastAsia="Arial" w:hAnsi="Arial"/>
                <w:sz w:val="19"/>
                <w:szCs w:val="19"/>
                <w:color w:val="auto"/>
                <w:w w:val="87"/>
              </w:rPr>
              <w:t>Charged to</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center"/>
              <w:ind w:right="45"/>
              <w:spacing w:after="0"/>
              <w:rPr>
                <w:sz w:val="20"/>
                <w:szCs w:val="20"/>
                <w:color w:val="auto"/>
              </w:rPr>
            </w:pPr>
            <w:r>
              <w:rPr>
                <w:rFonts w:ascii="Arial" w:cs="Arial" w:eastAsia="Arial" w:hAnsi="Arial"/>
                <w:sz w:val="19"/>
                <w:szCs w:val="19"/>
                <w:color w:val="auto"/>
                <w:w w:val="89"/>
              </w:rPr>
              <w:t>Balance at</w:t>
            </w:r>
          </w:p>
        </w:tc>
      </w:tr>
      <w:tr>
        <w:trPr>
          <w:trHeight w:val="216"/>
        </w:trPr>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center"/>
              <w:ind w:right="280"/>
              <w:spacing w:after="0" w:line="216" w:lineRule="exact"/>
              <w:rPr>
                <w:sz w:val="20"/>
                <w:szCs w:val="20"/>
                <w:color w:val="auto"/>
              </w:rPr>
            </w:pPr>
            <w:r>
              <w:rPr>
                <w:rFonts w:ascii="Arial" w:cs="Arial" w:eastAsia="Arial" w:hAnsi="Arial"/>
                <w:sz w:val="19"/>
                <w:szCs w:val="19"/>
                <w:color w:val="auto"/>
                <w:w w:val="92"/>
              </w:rPr>
              <w:t>beginning</w:t>
            </w:r>
          </w:p>
        </w:tc>
        <w:tc>
          <w:tcPr>
            <w:tcW w:w="180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6"/>
              </w:rPr>
              <w:t>cost and</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45"/>
              <w:spacing w:after="0" w:line="216" w:lineRule="exact"/>
              <w:rPr>
                <w:sz w:val="20"/>
                <w:szCs w:val="20"/>
                <w:color w:val="auto"/>
              </w:rPr>
            </w:pPr>
            <w:r>
              <w:rPr>
                <w:rFonts w:ascii="Arial" w:cs="Arial" w:eastAsia="Arial" w:hAnsi="Arial"/>
                <w:sz w:val="19"/>
                <w:szCs w:val="19"/>
                <w:color w:val="auto"/>
                <w:w w:val="90"/>
              </w:rPr>
              <w:t>end of</w:t>
            </w:r>
          </w:p>
        </w:tc>
      </w:tr>
      <w:tr>
        <w:trPr>
          <w:trHeight w:val="238"/>
        </w:trPr>
        <w:tc>
          <w:tcPr>
            <w:tcW w:w="4180" w:type="dxa"/>
            <w:vAlign w:val="bottom"/>
            <w:tcBorders>
              <w:bottom w:val="single" w:sz="8" w:color="auto"/>
            </w:tcBorders>
          </w:tcPr>
          <w:p>
            <w:pPr>
              <w:ind w:left="1660"/>
              <w:spacing w:after="0"/>
              <w:rPr>
                <w:sz w:val="20"/>
                <w:szCs w:val="20"/>
                <w:color w:val="auto"/>
              </w:rPr>
            </w:pPr>
            <w:r>
              <w:rPr>
                <w:rFonts w:ascii="Arial" w:cs="Arial" w:eastAsia="Arial" w:hAnsi="Arial"/>
                <w:sz w:val="19"/>
                <w:szCs w:val="19"/>
                <w:color w:val="auto"/>
              </w:rPr>
              <w:t>Description</w:t>
            </w:r>
          </w:p>
        </w:tc>
        <w:tc>
          <w:tcPr>
            <w:tcW w:w="3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of period</w:t>
            </w:r>
          </w:p>
        </w:tc>
        <w:tc>
          <w:tcPr>
            <w:tcW w:w="2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6"/>
              </w:rPr>
              <w:t>expenses</w:t>
            </w:r>
          </w:p>
        </w:tc>
        <w:tc>
          <w:tcPr>
            <w:tcW w:w="300" w:type="dxa"/>
            <w:vAlign w:val="bottom"/>
          </w:tcPr>
          <w:p>
            <w:pPr>
              <w:spacing w:after="0"/>
              <w:rPr>
                <w:sz w:val="20"/>
                <w:szCs w:val="20"/>
                <w:color w:val="auto"/>
              </w:rPr>
            </w:pP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9"/>
                <w:szCs w:val="19"/>
                <w:color w:val="auto"/>
              </w:rPr>
              <w:t>Deductions</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center"/>
              <w:ind w:right="45"/>
              <w:spacing w:after="0"/>
              <w:rPr>
                <w:sz w:val="20"/>
                <w:szCs w:val="20"/>
                <w:color w:val="auto"/>
              </w:rPr>
            </w:pPr>
            <w:r>
              <w:rPr>
                <w:rFonts w:ascii="Arial" w:cs="Arial" w:eastAsia="Arial" w:hAnsi="Arial"/>
                <w:sz w:val="19"/>
                <w:szCs w:val="19"/>
                <w:color w:val="auto"/>
                <w:w w:val="90"/>
              </w:rPr>
              <w:t>period</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Allowance for doubtful accounts, sales returns and cash discounts: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00" w:type="dxa"/>
            <w:vAlign w:val="bottom"/>
          </w:tcPr>
          <w:p>
            <w:pPr>
              <w:jc w:val="right"/>
              <w:ind w:right="2025"/>
              <w:spacing w:after="0"/>
              <w:rPr>
                <w:sz w:val="20"/>
                <w:szCs w:val="20"/>
                <w:color w:val="auto"/>
              </w:rPr>
            </w:pPr>
            <w:r>
              <w:rPr>
                <w:rFonts w:ascii="Arial" w:cs="Arial" w:eastAsia="Arial" w:hAnsi="Arial"/>
                <w:sz w:val="19"/>
                <w:szCs w:val="19"/>
                <w:color w:val="auto"/>
                <w:w w:val="85"/>
              </w:rPr>
              <w:t>2010</w:t>
            </w:r>
          </w:p>
        </w:tc>
        <w:tc>
          <w:tcPr>
            <w:tcW w:w="2560" w:type="dxa"/>
            <w:vAlign w:val="bottom"/>
          </w:tcPr>
          <w:p>
            <w:pPr>
              <w:jc w:val="right"/>
              <w:ind w:right="26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85"/>
              <w:spacing w:after="0"/>
              <w:rPr>
                <w:sz w:val="20"/>
                <w:szCs w:val="20"/>
                <w:color w:val="auto"/>
              </w:rPr>
            </w:pPr>
            <w:r>
              <w:rPr>
                <w:rFonts w:ascii="Arial" w:cs="Arial" w:eastAsia="Arial" w:hAnsi="Arial"/>
                <w:sz w:val="19"/>
                <w:szCs w:val="19"/>
                <w:color w:val="auto"/>
              </w:rPr>
              <w:t>2,130</w:t>
            </w:r>
          </w:p>
        </w:tc>
        <w:tc>
          <w:tcPr>
            <w:tcW w:w="72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05"/>
              <w:spacing w:after="0"/>
              <w:rPr>
                <w:sz w:val="20"/>
                <w:szCs w:val="20"/>
                <w:color w:val="auto"/>
              </w:rPr>
            </w:pPr>
            <w:r>
              <w:rPr>
                <w:rFonts w:ascii="Arial" w:cs="Arial" w:eastAsia="Arial" w:hAnsi="Arial"/>
                <w:sz w:val="19"/>
                <w:szCs w:val="19"/>
                <w:color w:val="auto"/>
              </w:rPr>
              <w:t>7,535</w:t>
            </w:r>
          </w:p>
        </w:tc>
        <w:tc>
          <w:tcPr>
            <w:tcW w:w="68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185"/>
              <w:spacing w:after="0"/>
              <w:rPr>
                <w:sz w:val="20"/>
                <w:szCs w:val="20"/>
                <w:color w:val="auto"/>
              </w:rPr>
            </w:pPr>
            <w:r>
              <w:rPr>
                <w:rFonts w:ascii="Arial" w:cs="Arial" w:eastAsia="Arial" w:hAnsi="Arial"/>
                <w:sz w:val="19"/>
                <w:szCs w:val="19"/>
                <w:color w:val="auto"/>
              </w:rPr>
              <w:t>(7,795)</w:t>
            </w:r>
          </w:p>
        </w:tc>
        <w:tc>
          <w:tcPr>
            <w:tcW w:w="76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1,870</w:t>
            </w:r>
          </w:p>
        </w:tc>
      </w:tr>
      <w:tr>
        <w:trPr>
          <w:trHeight w:val="216"/>
        </w:trPr>
        <w:tc>
          <w:tcPr>
            <w:tcW w:w="2500" w:type="dxa"/>
            <w:vAlign w:val="bottom"/>
          </w:tcPr>
          <w:p>
            <w:pPr>
              <w:jc w:val="right"/>
              <w:ind w:right="2025"/>
              <w:spacing w:after="0" w:line="216" w:lineRule="exact"/>
              <w:rPr>
                <w:sz w:val="20"/>
                <w:szCs w:val="20"/>
                <w:color w:val="auto"/>
              </w:rPr>
            </w:pPr>
            <w:r>
              <w:rPr>
                <w:rFonts w:ascii="Arial" w:cs="Arial" w:eastAsia="Arial" w:hAnsi="Arial"/>
                <w:sz w:val="19"/>
                <w:szCs w:val="19"/>
                <w:color w:val="auto"/>
                <w:w w:val="85"/>
              </w:rPr>
              <w:t>2009</w:t>
            </w:r>
          </w:p>
        </w:tc>
        <w:tc>
          <w:tcPr>
            <w:tcW w:w="2560" w:type="dxa"/>
            <w:vAlign w:val="bottom"/>
          </w:tcPr>
          <w:p>
            <w:pPr>
              <w:jc w:val="right"/>
              <w:ind w:right="26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992</w:t>
            </w:r>
          </w:p>
        </w:tc>
        <w:tc>
          <w:tcPr>
            <w:tcW w:w="72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9,983</w:t>
            </w:r>
          </w:p>
        </w:tc>
        <w:tc>
          <w:tcPr>
            <w:tcW w:w="68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(8,845)</w:t>
            </w:r>
          </w:p>
        </w:tc>
        <w:tc>
          <w:tcPr>
            <w:tcW w:w="760" w:type="dxa"/>
            <w:vAlign w:val="bottom"/>
          </w:tcPr>
          <w:p>
            <w:pPr>
              <w:jc w:val="right"/>
              <w:ind w:right="285"/>
              <w:spacing w:after="0" w:line="216" w:lineRule="exact"/>
              <w:rPr>
                <w:sz w:val="20"/>
                <w:szCs w:val="20"/>
                <w:color w:val="auto"/>
              </w:rPr>
            </w:pPr>
            <w:r>
              <w:rPr>
                <w:rFonts w:ascii="Arial" w:cs="Arial" w:eastAsia="Arial" w:hAnsi="Arial"/>
                <w:sz w:val="19"/>
                <w:szCs w:val="19"/>
                <w:color w:val="auto"/>
              </w:rPr>
              <w:t>$</w:t>
            </w:r>
          </w:p>
        </w:tc>
        <w:tc>
          <w:tcPr>
            <w:tcW w:w="820" w:type="dxa"/>
            <w:vAlign w:val="bottom"/>
          </w:tcPr>
          <w:p>
            <w:pPr>
              <w:jc w:val="right"/>
              <w:spacing w:after="0" w:line="216" w:lineRule="exact"/>
              <w:rPr>
                <w:sz w:val="20"/>
                <w:szCs w:val="20"/>
                <w:color w:val="auto"/>
              </w:rPr>
            </w:pPr>
            <w:r>
              <w:rPr>
                <w:rFonts w:ascii="Arial" w:cs="Arial" w:eastAsia="Arial" w:hAnsi="Arial"/>
                <w:sz w:val="19"/>
                <w:szCs w:val="19"/>
                <w:color w:val="auto"/>
              </w:rPr>
              <w:t>2,130</w:t>
            </w:r>
          </w:p>
        </w:tc>
      </w:tr>
      <w:tr>
        <w:trPr>
          <w:trHeight w:val="240"/>
        </w:trPr>
        <w:tc>
          <w:tcPr>
            <w:tcW w:w="2500" w:type="dxa"/>
            <w:vAlign w:val="bottom"/>
          </w:tcPr>
          <w:p>
            <w:pPr>
              <w:jc w:val="right"/>
              <w:ind w:right="2025"/>
              <w:spacing w:after="0"/>
              <w:rPr>
                <w:sz w:val="20"/>
                <w:szCs w:val="20"/>
                <w:color w:val="auto"/>
              </w:rPr>
            </w:pPr>
            <w:r>
              <w:rPr>
                <w:rFonts w:ascii="Arial" w:cs="Arial" w:eastAsia="Arial" w:hAnsi="Arial"/>
                <w:sz w:val="19"/>
                <w:szCs w:val="19"/>
                <w:color w:val="auto"/>
                <w:w w:val="85"/>
              </w:rPr>
              <w:t>2008</w:t>
            </w:r>
          </w:p>
        </w:tc>
        <w:tc>
          <w:tcPr>
            <w:tcW w:w="2560" w:type="dxa"/>
            <w:vAlign w:val="bottom"/>
          </w:tcPr>
          <w:p>
            <w:pPr>
              <w:jc w:val="right"/>
              <w:ind w:right="26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85"/>
              <w:spacing w:after="0"/>
              <w:rPr>
                <w:sz w:val="20"/>
                <w:szCs w:val="20"/>
                <w:color w:val="auto"/>
              </w:rPr>
            </w:pPr>
            <w:r>
              <w:rPr>
                <w:rFonts w:ascii="Arial" w:cs="Arial" w:eastAsia="Arial" w:hAnsi="Arial"/>
                <w:sz w:val="19"/>
                <w:szCs w:val="19"/>
                <w:color w:val="auto"/>
              </w:rPr>
              <w:t>1,240</w:t>
            </w:r>
          </w:p>
        </w:tc>
        <w:tc>
          <w:tcPr>
            <w:tcW w:w="72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05"/>
              <w:spacing w:after="0"/>
              <w:rPr>
                <w:sz w:val="20"/>
                <w:szCs w:val="20"/>
                <w:color w:val="auto"/>
              </w:rPr>
            </w:pPr>
            <w:r>
              <w:rPr>
                <w:rFonts w:ascii="Arial" w:cs="Arial" w:eastAsia="Arial" w:hAnsi="Arial"/>
                <w:sz w:val="19"/>
                <w:szCs w:val="19"/>
                <w:color w:val="auto"/>
              </w:rPr>
              <w:t>8,425</w:t>
            </w:r>
          </w:p>
        </w:tc>
        <w:tc>
          <w:tcPr>
            <w:tcW w:w="68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185"/>
              <w:spacing w:after="0"/>
              <w:rPr>
                <w:sz w:val="20"/>
                <w:szCs w:val="20"/>
                <w:color w:val="auto"/>
              </w:rPr>
            </w:pPr>
            <w:r>
              <w:rPr>
                <w:rFonts w:ascii="Arial" w:cs="Arial" w:eastAsia="Arial" w:hAnsi="Arial"/>
                <w:sz w:val="19"/>
                <w:szCs w:val="19"/>
                <w:color w:val="auto"/>
              </w:rPr>
              <w:t>(8,673)</w:t>
            </w:r>
          </w:p>
        </w:tc>
        <w:tc>
          <w:tcPr>
            <w:tcW w:w="76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992</w:t>
            </w:r>
          </w:p>
        </w:tc>
      </w:tr>
    </w:tbl>
    <w:p>
      <w:pPr>
        <w:spacing w:after="0" w:line="200" w:lineRule="exact"/>
        <w:rPr>
          <w:sz w:val="20"/>
          <w:szCs w:val="20"/>
          <w:color w:val="auto"/>
        </w:rPr>
      </w:pPr>
    </w:p>
    <w:p>
      <w:pPr>
        <w:sectPr>
          <w:pgSz w:w="11900" w:h="16838" w:orient="portrait"/>
          <w:cols w:equalWidth="0" w:num="1">
            <w:col w:w="11460"/>
          </w:cols>
          <w:pgMar w:left="240" w:top="122" w:right="199" w:bottom="1440" w:gutter="0" w:footer="0" w:header="0"/>
        </w:sectPr>
      </w:pP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10.53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80" w:lineRule="exact"/>
        <w:rPr>
          <w:sz w:val="20"/>
          <w:szCs w:val="20"/>
          <w:color w:val="auto"/>
        </w:rPr>
      </w:pPr>
    </w:p>
    <w:p>
      <w:pPr>
        <w:ind w:firstLine="648"/>
        <w:spacing w:after="0" w:line="327" w:lineRule="auto"/>
        <w:rPr>
          <w:sz w:val="20"/>
          <w:szCs w:val="20"/>
          <w:color w:val="auto"/>
        </w:rPr>
      </w:pPr>
      <w:r>
        <w:rPr>
          <w:rFonts w:ascii="Arial" w:cs="Arial" w:eastAsia="Arial" w:hAnsi="Arial"/>
          <w:sz w:val="22"/>
          <w:szCs w:val="22"/>
          <w:color w:val="auto"/>
        </w:rPr>
        <w:t>This Stock Option Agreement (“Agreement”), is made as of December 1, 2010 (the “Grant Date”), by and between Hansen Natural Corporation, a Delaware corporation (the “Company”), and Thomas Kelly (“Holder”).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247" w:lineRule="exact"/>
        <w:rPr>
          <w:sz w:val="20"/>
          <w:szCs w:val="20"/>
          <w:color w:val="auto"/>
        </w:rPr>
      </w:pPr>
    </w:p>
    <w:p>
      <w:pPr>
        <w:ind w:left="1320" w:hanging="664"/>
        <w:spacing w:after="0"/>
        <w:tabs>
          <w:tab w:leader="none" w:pos="13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Holder is an employee of a Participating Company.</w:t>
      </w:r>
    </w:p>
    <w:p>
      <w:pPr>
        <w:spacing w:after="0" w:line="71" w:lineRule="exact"/>
        <w:rPr>
          <w:rFonts w:ascii="Arial" w:cs="Arial" w:eastAsia="Arial" w:hAnsi="Arial"/>
          <w:sz w:val="22"/>
          <w:szCs w:val="22"/>
          <w:color w:val="auto"/>
        </w:rPr>
      </w:pPr>
    </w:p>
    <w:p>
      <w:pPr>
        <w:jc w:val="both"/>
        <w:ind w:firstLine="656"/>
        <w:spacing w:after="0" w:line="307" w:lineRule="auto"/>
        <w:tabs>
          <w:tab w:leader="none" w:pos="1603" w:val="left"/>
        </w:tabs>
        <w:numPr>
          <w:ilvl w:val="0"/>
          <w:numId w:val="57"/>
        </w:numPr>
        <w:rPr>
          <w:rFonts w:ascii="Arial" w:cs="Arial" w:eastAsia="Arial" w:hAnsi="Arial"/>
          <w:sz w:val="22"/>
          <w:szCs w:val="22"/>
          <w:color w:val="auto"/>
        </w:rPr>
      </w:pPr>
      <w:r>
        <w:rPr>
          <w:rFonts w:ascii="Arial" w:cs="Arial" w:eastAsia="Arial" w:hAnsi="Arial"/>
          <w:sz w:val="22"/>
          <w:szCs w:val="22"/>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0"/>
          <w:numId w:val="57"/>
        </w:numPr>
        <w:rPr>
          <w:rFonts w:ascii="Arial" w:cs="Arial" w:eastAsia="Arial" w:hAnsi="Arial"/>
          <w:sz w:val="21"/>
          <w:szCs w:val="21"/>
          <w:color w:val="auto"/>
        </w:rPr>
      </w:pPr>
      <w:r>
        <w:rPr>
          <w:rFonts w:ascii="Arial" w:cs="Arial" w:eastAsia="Arial" w:hAnsi="Arial"/>
          <w:sz w:val="21"/>
          <w:szCs w:val="21"/>
          <w:color w:val="auto"/>
        </w:rPr>
        <w:t>Capitalized terms not otherwise defined in this Agreement shall have the meaning given to them in the Plan.</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and Holder agree as follows:</w:t>
      </w:r>
    </w:p>
    <w:p>
      <w:pPr>
        <w:spacing w:after="0" w:line="247" w:lineRule="exact"/>
        <w:rPr>
          <w:sz w:val="20"/>
          <w:szCs w:val="20"/>
          <w:color w:val="auto"/>
        </w:rPr>
      </w:pPr>
    </w:p>
    <w:p>
      <w:pPr>
        <w:jc w:val="both"/>
        <w:ind w:firstLine="656"/>
        <w:spacing w:after="0" w:line="356" w:lineRule="auto"/>
        <w:tabs>
          <w:tab w:leader="none" w:pos="158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Grant of Incentive Stock Option</w:t>
      </w:r>
      <w:r>
        <w:rPr>
          <w:rFonts w:ascii="Arial" w:cs="Arial" w:eastAsia="Arial" w:hAnsi="Arial"/>
          <w:sz w:val="19"/>
          <w:szCs w:val="19"/>
          <w:color w:val="auto"/>
        </w:rPr>
        <w:t>. The Company hereby grants to Holder, subject to the terms and conditions set forth herein and in the Plan, an incentive stock option (“ISO”) to purchase 10,000 shares of Common Stock, at the purchase price of $52.51 per share (the “Option”), such Option to be exercisable and exercised as hereinafter provided. If for any reason the Option or any portion of the Option shall not qualify as an ISO, then, to the extent of such nonqualification, such Option (or portion thereof) shal 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jc w:val="both"/>
        <w:ind w:firstLine="656"/>
        <w:spacing w:after="0" w:line="330" w:lineRule="auto"/>
        <w:tabs>
          <w:tab w:leader="none" w:pos="1607"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Exercise Period</w:t>
      </w:r>
      <w:r>
        <w:rPr>
          <w:rFonts w:ascii="Arial" w:cs="Arial" w:eastAsia="Arial" w:hAnsi="Arial"/>
          <w:sz w:val="21"/>
          <w:szCs w:val="21"/>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 al Disability, then the Option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322" w:lineRule="auto"/>
        <w:rPr>
          <w:sz w:val="20"/>
          <w:szCs w:val="20"/>
          <w:color w:val="auto"/>
        </w:rPr>
      </w:pPr>
      <w:r>
        <w:rPr>
          <w:rFonts w:ascii="Arial" w:cs="Arial" w:eastAsia="Arial" w:hAnsi="Arial"/>
          <w:sz w:val="21"/>
          <w:szCs w:val="21"/>
          <w:color w:val="auto"/>
        </w:rPr>
        <w:t>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p>
    <w:p>
      <w:pPr>
        <w:spacing w:after="0" w:line="71" w:lineRule="exact"/>
        <w:rPr>
          <w:rFonts w:ascii="Arial" w:cs="Arial" w:eastAsia="Arial" w:hAnsi="Arial"/>
          <w:sz w:val="22"/>
          <w:szCs w:val="22"/>
          <w:color w:val="auto"/>
        </w:rPr>
      </w:pPr>
    </w:p>
    <w:p>
      <w:pPr>
        <w:jc w:val="both"/>
        <w:ind w:firstLine="1305"/>
        <w:spacing w:after="0" w:line="386" w:lineRule="auto"/>
        <w:tabs>
          <w:tab w:leader="none" w:pos="2009" w:val="left"/>
        </w:tabs>
        <w:numPr>
          <w:ilvl w:val="1"/>
          <w:numId w:val="59"/>
        </w:numPr>
        <w:rPr>
          <w:rFonts w:ascii="Arial" w:cs="Arial" w:eastAsia="Arial" w:hAnsi="Arial"/>
          <w:sz w:val="19"/>
          <w:szCs w:val="19"/>
          <w:color w:val="auto"/>
        </w:rPr>
      </w:pPr>
      <w:r>
        <w:rPr>
          <w:rFonts w:ascii="Arial" w:cs="Arial" w:eastAsia="Arial" w:hAnsi="Arial"/>
          <w:sz w:val="19"/>
          <w:szCs w:val="19"/>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121" w:lineRule="exact"/>
        <w:rPr>
          <w:sz w:val="20"/>
          <w:szCs w:val="20"/>
          <w:color w:val="auto"/>
        </w:rPr>
      </w:pPr>
    </w:p>
    <w:tbl>
      <w:tblPr>
        <w:tblLayout w:type="fixed"/>
        <w:tblInd w:w="1200" w:type="dxa"/>
        <w:tblCellMar>
          <w:top w:w="0" w:type="dxa"/>
          <w:left w:w="0" w:type="dxa"/>
          <w:bottom w:w="0" w:type="dxa"/>
          <w:right w:w="0" w:type="dxa"/>
        </w:tblCellMar>
      </w:tblPr>
      <w:tr>
        <w:trPr>
          <w:trHeight w:val="275"/>
        </w:trPr>
        <w:tc>
          <w:tcPr>
            <w:tcW w:w="1400" w:type="dxa"/>
            <w:vAlign w:val="bottom"/>
          </w:tcPr>
          <w:p>
            <w:pPr>
              <w:spacing w:after="0"/>
              <w:rPr>
                <w:sz w:val="23"/>
                <w:szCs w:val="23"/>
                <w:color w:val="auto"/>
              </w:rPr>
            </w:pPr>
          </w:p>
        </w:tc>
        <w:tc>
          <w:tcPr>
            <w:tcW w:w="3080" w:type="dxa"/>
            <w:vAlign w:val="bottom"/>
            <w:gridSpan w:val="2"/>
          </w:tcPr>
          <w:p>
            <w:pPr>
              <w:jc w:val="center"/>
              <w:ind w:right="1540"/>
              <w:spacing w:after="0"/>
              <w:rPr>
                <w:sz w:val="20"/>
                <w:szCs w:val="20"/>
                <w:color w:val="auto"/>
              </w:rPr>
            </w:pPr>
            <w:r>
              <w:rPr>
                <w:rFonts w:ascii="Arial" w:cs="Arial" w:eastAsia="Arial" w:hAnsi="Arial"/>
                <w:sz w:val="22"/>
                <w:szCs w:val="22"/>
                <w:color w:val="auto"/>
                <w:w w:val="98"/>
              </w:rPr>
              <w:t>Column “A”</w:t>
            </w:r>
          </w:p>
        </w:tc>
        <w:tc>
          <w:tcPr>
            <w:tcW w:w="1600" w:type="dxa"/>
            <w:vAlign w:val="bottom"/>
          </w:tcPr>
          <w:p>
            <w:pPr>
              <w:spacing w:after="0"/>
              <w:rPr>
                <w:sz w:val="23"/>
                <w:szCs w:val="23"/>
                <w:color w:val="auto"/>
              </w:rPr>
            </w:pPr>
          </w:p>
        </w:tc>
        <w:tc>
          <w:tcPr>
            <w:tcW w:w="2600" w:type="dxa"/>
            <w:vAlign w:val="bottom"/>
            <w:gridSpan w:val="2"/>
          </w:tcPr>
          <w:p>
            <w:pPr>
              <w:jc w:val="center"/>
              <w:ind w:right="1400"/>
              <w:spacing w:after="0"/>
              <w:rPr>
                <w:sz w:val="20"/>
                <w:szCs w:val="20"/>
                <w:color w:val="auto"/>
              </w:rPr>
            </w:pPr>
            <w:r>
              <w:rPr>
                <w:rFonts w:ascii="Arial" w:cs="Arial" w:eastAsia="Arial" w:hAnsi="Arial"/>
                <w:sz w:val="22"/>
                <w:szCs w:val="22"/>
                <w:color w:val="auto"/>
                <w:w w:val="97"/>
              </w:rPr>
              <w:t>Column “B”</w:t>
            </w:r>
          </w:p>
        </w:tc>
      </w:tr>
      <w:tr>
        <w:trPr>
          <w:trHeight w:val="436"/>
        </w:trPr>
        <w:tc>
          <w:tcPr>
            <w:tcW w:w="1400" w:type="dxa"/>
            <w:vAlign w:val="bottom"/>
          </w:tcPr>
          <w:p>
            <w:pPr>
              <w:spacing w:after="0"/>
              <w:rPr>
                <w:sz w:val="24"/>
                <w:szCs w:val="24"/>
                <w:color w:val="auto"/>
              </w:rPr>
            </w:pPr>
          </w:p>
        </w:tc>
        <w:tc>
          <w:tcPr>
            <w:tcW w:w="3080" w:type="dxa"/>
            <w:vAlign w:val="bottom"/>
            <w:gridSpan w:val="2"/>
          </w:tcPr>
          <w:p>
            <w:pPr>
              <w:jc w:val="center"/>
              <w:ind w:right="1520"/>
              <w:spacing w:after="0"/>
              <w:rPr>
                <w:sz w:val="20"/>
                <w:szCs w:val="20"/>
                <w:color w:val="auto"/>
              </w:rPr>
            </w:pPr>
            <w:r>
              <w:rPr>
                <w:rFonts w:ascii="Arial" w:cs="Arial" w:eastAsia="Arial" w:hAnsi="Arial"/>
                <w:sz w:val="22"/>
                <w:szCs w:val="22"/>
                <w:color w:val="auto"/>
                <w:w w:val="87"/>
              </w:rPr>
              <w:t>Number of Shares</w:t>
            </w:r>
          </w:p>
        </w:tc>
        <w:tc>
          <w:tcPr>
            <w:tcW w:w="1600" w:type="dxa"/>
            <w:vAlign w:val="bottom"/>
          </w:tcPr>
          <w:p>
            <w:pPr>
              <w:spacing w:after="0"/>
              <w:rPr>
                <w:sz w:val="24"/>
                <w:szCs w:val="24"/>
                <w:color w:val="auto"/>
              </w:rPr>
            </w:pPr>
          </w:p>
        </w:tc>
        <w:tc>
          <w:tcPr>
            <w:tcW w:w="2600" w:type="dxa"/>
            <w:vAlign w:val="bottom"/>
            <w:gridSpan w:val="2"/>
          </w:tcPr>
          <w:p>
            <w:pPr>
              <w:jc w:val="center"/>
              <w:ind w:right="1400"/>
              <w:spacing w:after="0"/>
              <w:rPr>
                <w:sz w:val="20"/>
                <w:szCs w:val="20"/>
                <w:color w:val="auto"/>
              </w:rPr>
            </w:pPr>
            <w:r>
              <w:rPr>
                <w:rFonts w:ascii="Arial" w:cs="Arial" w:eastAsia="Arial" w:hAnsi="Arial"/>
                <w:sz w:val="22"/>
                <w:szCs w:val="22"/>
                <w:color w:val="auto"/>
                <w:w w:val="87"/>
              </w:rPr>
              <w:t>Exercise Date</w:t>
            </w:r>
          </w:p>
        </w:tc>
      </w:tr>
      <w:tr>
        <w:trPr>
          <w:trHeight w:val="20"/>
        </w:trPr>
        <w:tc>
          <w:tcPr>
            <w:tcW w:w="1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17"/>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96"/>
              </w:rPr>
              <w:t>After the first anniversary of the Grant Date</w:t>
            </w:r>
          </w:p>
        </w:tc>
      </w:tr>
      <w:tr>
        <w:trPr>
          <w:trHeight w:val="486"/>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88"/>
              </w:rPr>
              <w:t>After the second anniversary of the Grant Date</w:t>
            </w:r>
          </w:p>
        </w:tc>
      </w:tr>
      <w:tr>
        <w:trPr>
          <w:trHeight w:val="486"/>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94"/>
              </w:rPr>
              <w:t>After the third anniversary of the Grant Date</w:t>
            </w:r>
          </w:p>
        </w:tc>
      </w:tr>
      <w:tr>
        <w:trPr>
          <w:trHeight w:val="486"/>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91"/>
              </w:rPr>
              <w:t>After the fourth anniversary of the Grant Date</w:t>
            </w:r>
          </w:p>
        </w:tc>
      </w:tr>
      <w:tr>
        <w:trPr>
          <w:trHeight w:val="486"/>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96"/>
              </w:rPr>
              <w:t>After the fifth anniversary of the Grant Date</w:t>
            </w:r>
          </w:p>
        </w:tc>
      </w:tr>
    </w:tbl>
    <w:p>
      <w:pPr>
        <w:sectPr>
          <w:pgSz w:w="11900" w:h="16838" w:orient="portrait"/>
          <w:cols w:equalWidth="0" w:num="1">
            <w:col w:w="11420"/>
          </w:cols>
          <w:pgMar w:left="240" w:top="112" w:right="239" w:bottom="282" w:gutter="0" w:footer="0" w:header="0"/>
        </w:sectPr>
      </w:pPr>
    </w:p>
    <w:bookmarkStart w:id="71" w:name="page72"/>
    <w:bookmarkEnd w:id="71"/>
    <w:p>
      <w:pPr>
        <w:jc w:val="both"/>
        <w:ind w:firstLine="1305"/>
        <w:spacing w:after="0" w:line="356" w:lineRule="auto"/>
        <w:tabs>
          <w:tab w:leader="none" w:pos="2021"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w:t>
      </w:r>
    </w:p>
    <w:p>
      <w:pPr>
        <w:spacing w:after="0"/>
        <w:rPr>
          <w:sz w:val="20"/>
          <w:szCs w:val="20"/>
          <w:color w:val="auto"/>
        </w:rPr>
      </w:pPr>
      <w:r>
        <w:rPr>
          <w:rFonts w:ascii="Arial" w:cs="Arial" w:eastAsia="Arial" w:hAnsi="Arial"/>
          <w:sz w:val="22"/>
          <w:szCs w:val="22"/>
          <w:color w:val="auto"/>
        </w:rPr>
        <w:t>exercise, shall be made by the Company in its records.</w:t>
      </w:r>
    </w:p>
    <w:p>
      <w:pPr>
        <w:spacing w:after="0" w:line="31" w:lineRule="exact"/>
        <w:rPr>
          <w:sz w:val="20"/>
          <w:szCs w:val="20"/>
          <w:color w:val="auto"/>
        </w:rPr>
      </w:pPr>
    </w:p>
    <w:p>
      <w:pPr>
        <w:ind w:left="1960" w:hanging="655"/>
        <w:spacing w:after="0"/>
        <w:tabs>
          <w:tab w:leader="none" w:pos="19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this Option shall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on the tenth anniversary of the Grant Date.</w:t>
      </w:r>
    </w:p>
    <w:p>
      <w:pPr>
        <w:spacing w:after="0" w:line="71" w:lineRule="exact"/>
        <w:rPr>
          <w:sz w:val="20"/>
          <w:szCs w:val="20"/>
          <w:color w:val="auto"/>
        </w:rPr>
      </w:pPr>
    </w:p>
    <w:p>
      <w:pPr>
        <w:jc w:val="both"/>
        <w:ind w:firstLine="1305"/>
        <w:spacing w:after="0" w:line="307" w:lineRule="auto"/>
        <w:tabs>
          <w:tab w:leader="none" w:pos="2278"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Holder hereby agrees to notify the Company in writing in the event 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 w:lineRule="exact"/>
        <w:rPr>
          <w:rFonts w:ascii="Arial" w:cs="Arial" w:eastAsia="Arial" w:hAnsi="Arial"/>
          <w:sz w:val="22"/>
          <w:szCs w:val="22"/>
          <w:color w:val="auto"/>
        </w:rPr>
      </w:pPr>
    </w:p>
    <w:p>
      <w:pPr>
        <w:ind w:right="20" w:firstLine="656"/>
        <w:spacing w:after="0" w:line="356" w:lineRule="auto"/>
        <w:tabs>
          <w:tab w:leader="none" w:pos="181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Payment of Purchase Price Upon Exercise</w:t>
      </w:r>
      <w:r>
        <w:rPr>
          <w:rFonts w:ascii="Arial" w:cs="Arial" w:eastAsia="Arial" w:hAnsi="Arial"/>
          <w:sz w:val="19"/>
          <w:szCs w:val="19"/>
          <w:color w:val="auto"/>
        </w:rPr>
        <w:t>. At the time of any exercise of all or a portion of the Option, the purchase price shall be paid in full to the Company in any of the following ways or in any combination of the following ways:</w:t>
      </w:r>
    </w:p>
    <w:p>
      <w:pPr>
        <w:ind w:left="1960" w:hanging="655"/>
        <w:spacing w:after="0"/>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By check or other immediately available funds.</w:t>
      </w:r>
    </w:p>
    <w:p>
      <w:pPr>
        <w:spacing w:after="0" w:line="71" w:lineRule="exact"/>
        <w:rPr>
          <w:rFonts w:ascii="Arial" w:cs="Arial" w:eastAsia="Arial" w:hAnsi="Arial"/>
          <w:sz w:val="22"/>
          <w:szCs w:val="22"/>
          <w:color w:val="auto"/>
        </w:rPr>
      </w:pPr>
    </w:p>
    <w:p>
      <w:pPr>
        <w:jc w:val="both"/>
        <w:ind w:firstLine="1305"/>
        <w:spacing w:after="0" w:line="322" w:lineRule="auto"/>
        <w:tabs>
          <w:tab w:leader="none" w:pos="2075" w:val="left"/>
        </w:tabs>
        <w:numPr>
          <w:ilvl w:val="1"/>
          <w:numId w:val="63"/>
        </w:numPr>
        <w:rPr>
          <w:rFonts w:ascii="Arial" w:cs="Arial" w:eastAsia="Arial" w:hAnsi="Arial"/>
          <w:sz w:val="21"/>
          <w:szCs w:val="21"/>
          <w:color w:val="auto"/>
        </w:rPr>
      </w:pPr>
      <w:r>
        <w:rPr>
          <w:rFonts w:ascii="Arial" w:cs="Arial" w:eastAsia="Arial" w:hAnsi="Arial"/>
          <w:sz w:val="21"/>
          <w:szCs w:val="21"/>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jc w:val="both"/>
        <w:ind w:firstLine="1305"/>
        <w:spacing w:after="0" w:line="307" w:lineRule="auto"/>
        <w:tabs>
          <w:tab w:leader="none" w:pos="1955" w:val="left"/>
        </w:tabs>
        <w:numPr>
          <w:ilvl w:val="1"/>
          <w:numId w:val="63"/>
        </w:numPr>
        <w:rPr>
          <w:rFonts w:ascii="Arial" w:cs="Arial" w:eastAsia="Arial" w:hAnsi="Arial"/>
          <w:sz w:val="22"/>
          <w:szCs w:val="22"/>
          <w:color w:val="auto"/>
        </w:rPr>
      </w:pPr>
      <w:r>
        <w:rPr>
          <w:rFonts w:ascii="Arial" w:cs="Arial" w:eastAsia="Arial" w:hAnsi="Arial"/>
          <w:sz w:val="22"/>
          <w:szCs w:val="22"/>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 w:lineRule="exact"/>
        <w:rPr>
          <w:rFonts w:ascii="Arial" w:cs="Arial" w:eastAsia="Arial" w:hAnsi="Arial"/>
          <w:sz w:val="22"/>
          <w:szCs w:val="22"/>
          <w:color w:val="auto"/>
        </w:rPr>
      </w:pPr>
    </w:p>
    <w:p>
      <w:pPr>
        <w:jc w:val="both"/>
        <w:ind w:firstLine="1305"/>
        <w:spacing w:after="0" w:line="356" w:lineRule="auto"/>
        <w:tabs>
          <w:tab w:leader="none" w:pos="2089" w:val="left"/>
        </w:tabs>
        <w:numPr>
          <w:ilvl w:val="1"/>
          <w:numId w:val="63"/>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Purchase for Investment; Resale Restrictions</w:t>
      </w:r>
      <w:r>
        <w:rPr>
          <w:rFonts w:ascii="Arial" w:cs="Arial" w:eastAsia="Arial" w:hAnsi="Arial"/>
          <w:sz w:val="22"/>
          <w:szCs w:val="22"/>
          <w:color w:val="auto"/>
        </w:rPr>
        <w:t>. Unless at the time of exercise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22" w:lineRule="auto"/>
        <w:rPr>
          <w:sz w:val="20"/>
          <w:szCs w:val="20"/>
          <w:color w:val="auto"/>
        </w:rPr>
      </w:pPr>
      <w:r>
        <w:rPr>
          <w:rFonts w:ascii="Arial" w:cs="Arial" w:eastAsia="Arial" w:hAnsi="Arial"/>
          <w:sz w:val="21"/>
          <w:szCs w:val="21"/>
          <w:color w:val="auto"/>
        </w:rPr>
        <w:t>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 w:lineRule="exact"/>
        <w:rPr>
          <w:sz w:val="20"/>
          <w:szCs w:val="20"/>
          <w:color w:val="auto"/>
        </w:rPr>
      </w:pPr>
    </w:p>
    <w:p>
      <w:pPr>
        <w:ind w:firstLine="656"/>
        <w:spacing w:after="0" w:line="307" w:lineRule="auto"/>
        <w:tabs>
          <w:tab w:leader="none" w:pos="1985"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This Option shall not be transferable other than by will or by the laws of descent and distribution. During the lifetime of Holder, this Option shall be exercisable only by Holder.</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jc w:val="both"/>
        <w:ind w:firstLine="1305"/>
        <w:spacing w:after="0" w:line="376" w:lineRule="auto"/>
        <w:tabs>
          <w:tab w:leader="none" w:pos="2063" w:val="left"/>
        </w:tabs>
        <w:numPr>
          <w:ilvl w:val="1"/>
          <w:numId w:val="64"/>
        </w:numPr>
        <w:rPr>
          <w:rFonts w:ascii="Arial" w:cs="Arial" w:eastAsia="Arial" w:hAnsi="Arial"/>
          <w:sz w:val="19"/>
          <w:szCs w:val="19"/>
          <w:color w:val="auto"/>
        </w:rPr>
      </w:pPr>
      <w:r>
        <w:rPr>
          <w:rFonts w:ascii="Arial" w:cs="Arial" w:eastAsia="Arial" w:hAnsi="Arial"/>
          <w:sz w:val="19"/>
          <w:szCs w:val="19"/>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w:t>
      </w:r>
    </w:p>
    <w:p>
      <w:pPr>
        <w:sectPr>
          <w:pgSz w:w="11900" w:h="16838" w:orient="portrait"/>
          <w:cols w:equalWidth="0" w:num="1">
            <w:col w:w="11420"/>
          </w:cols>
          <w:pgMar w:left="240" w:top="159" w:right="239" w:bottom="0" w:gutter="0" w:footer="0" w:header="0"/>
        </w:sectPr>
      </w:pPr>
    </w:p>
    <w:bookmarkStart w:id="72" w:name="page73"/>
    <w:bookmarkEnd w:id="72"/>
    <w:p>
      <w:pPr>
        <w:jc w:val="both"/>
        <w:spacing w:after="0" w:line="356" w:lineRule="auto"/>
        <w:rPr>
          <w:sz w:val="20"/>
          <w:szCs w:val="20"/>
          <w:color w:val="auto"/>
        </w:rPr>
      </w:pPr>
      <w:r>
        <w:rPr>
          <w:rFonts w:ascii="Arial" w:cs="Arial" w:eastAsia="Arial" w:hAnsi="Arial"/>
          <w:sz w:val="19"/>
          <w:szCs w:val="19"/>
          <w:color w:val="auto"/>
        </w:rPr>
        <w:t>split or other distribution with respect to such shares o f stock or other securities, then, to the extent permitted by the Board, an appropriate and proportionate adjustment shall be made in (1) the maximum number and/or kind of shares provided in Paragraph 1 above; (2) the number and/or kind of shares or other securities subject to the outstanding options and tandum SARs, if any; and</w:t>
      </w:r>
    </w:p>
    <w:p>
      <w:pPr>
        <w:jc w:val="both"/>
        <w:ind w:firstLine="8"/>
        <w:spacing w:after="0" w:line="314" w:lineRule="auto"/>
        <w:tabs>
          <w:tab w:leader="none" w:pos="332"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will be issued under this Agreement resulting from any such adjustment.</w:t>
      </w:r>
    </w:p>
    <w:p>
      <w:pPr>
        <w:spacing w:after="0" w:line="71" w:lineRule="exact"/>
        <w:rPr>
          <w:sz w:val="20"/>
          <w:szCs w:val="20"/>
          <w:color w:val="auto"/>
        </w:rPr>
      </w:pPr>
    </w:p>
    <w:p>
      <w:pPr>
        <w:jc w:val="both"/>
        <w:ind w:firstLine="1305"/>
        <w:spacing w:after="0" w:line="307" w:lineRule="auto"/>
        <w:tabs>
          <w:tab w:leader="none" w:pos="2332" w:val="left"/>
        </w:tabs>
        <w:numPr>
          <w:ilvl w:val="2"/>
          <w:numId w:val="66"/>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the Board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2" w:lineRule="exact"/>
        <w:rPr>
          <w:rFonts w:ascii="Arial" w:cs="Arial" w:eastAsia="Arial" w:hAnsi="Arial"/>
          <w:sz w:val="22"/>
          <w:szCs w:val="22"/>
          <w:color w:val="auto"/>
        </w:rPr>
      </w:pPr>
    </w:p>
    <w:p>
      <w:pPr>
        <w:ind w:firstLine="656"/>
        <w:spacing w:after="0" w:line="307" w:lineRule="auto"/>
        <w:tabs>
          <w:tab w:leader="none" w:pos="1432"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r>
        <w:rPr>
          <w:rFonts w:ascii="Arial" w:cs="Arial" w:eastAsia="Arial" w:hAnsi="Arial"/>
          <w:sz w:val="22"/>
          <w:szCs w:val="22"/>
          <w:color w:val="auto"/>
        </w:rPr>
        <w:t>. Holder shall have no rights as a stockholder with respect to any shares of Stock subject to this Option prior to the date of issuance to him of a certificate or certificates for such shares.</w:t>
      </w:r>
    </w:p>
    <w:p>
      <w:pPr>
        <w:spacing w:after="0" w:line="1" w:lineRule="exact"/>
        <w:rPr>
          <w:rFonts w:ascii="Arial" w:cs="Arial" w:eastAsia="Arial" w:hAnsi="Arial"/>
          <w:sz w:val="22"/>
          <w:szCs w:val="22"/>
          <w:color w:val="auto"/>
        </w:rPr>
      </w:pPr>
    </w:p>
    <w:p>
      <w:pPr>
        <w:jc w:val="both"/>
        <w:ind w:firstLine="656"/>
        <w:spacing w:after="0" w:line="307" w:lineRule="auto"/>
        <w:tabs>
          <w:tab w:leader="none" w:pos="185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No Right to Continue Employment</w:t>
      </w:r>
      <w:r>
        <w:rPr>
          <w:rFonts w:ascii="Arial" w:cs="Arial" w:eastAsia="Arial" w:hAnsi="Arial"/>
          <w:sz w:val="22"/>
          <w:szCs w:val="22"/>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 w:lineRule="exact"/>
        <w:rPr>
          <w:rFonts w:ascii="Arial" w:cs="Arial" w:eastAsia="Arial" w:hAnsi="Arial"/>
          <w:sz w:val="22"/>
          <w:szCs w:val="22"/>
          <w:color w:val="auto"/>
        </w:rPr>
      </w:pPr>
    </w:p>
    <w:p>
      <w:pPr>
        <w:jc w:val="both"/>
        <w:ind w:firstLine="656"/>
        <w:spacing w:after="0" w:line="356" w:lineRule="auto"/>
        <w:tabs>
          <w:tab w:leader="none" w:pos="1648"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w:t>
      </w:r>
    </w:p>
    <w:p>
      <w:pPr>
        <w:jc w:val="both"/>
        <w:ind w:firstLine="8"/>
        <w:spacing w:after="0" w:line="307" w:lineRule="auto"/>
        <w:tabs>
          <w:tab w:leader="none" w:pos="319"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consent or approval of any government regulatory body, is necessary or desirable as a condition of or in connection with the issue or purchase of shares of Stock hereunder, this Option may not be exercised in whole or in part unless such listing, registration, qualification, consent, approval or agreement shall have been effected or obtained free of any conditions not acceptable to the Board.</w:t>
      </w:r>
    </w:p>
    <w:p>
      <w:pPr>
        <w:spacing w:after="0" w:line="2" w:lineRule="exact"/>
        <w:rPr>
          <w:rFonts w:ascii="Arial" w:cs="Arial" w:eastAsia="Arial" w:hAnsi="Arial"/>
          <w:sz w:val="22"/>
          <w:szCs w:val="22"/>
          <w:color w:val="auto"/>
        </w:rPr>
      </w:pPr>
    </w:p>
    <w:p>
      <w:pPr>
        <w:jc w:val="both"/>
        <w:ind w:right="20" w:firstLine="656"/>
        <w:spacing w:after="0" w:line="307" w:lineRule="auto"/>
        <w:tabs>
          <w:tab w:leader="none" w:pos="1491"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Tax Withholding Requirements</w:t>
      </w:r>
      <w:r>
        <w:rPr>
          <w:rFonts w:ascii="Arial" w:cs="Arial" w:eastAsia="Arial" w:hAnsi="Arial"/>
          <w:sz w:val="22"/>
          <w:szCs w:val="22"/>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 w:lineRule="exact"/>
        <w:rPr>
          <w:rFonts w:ascii="Arial" w:cs="Arial" w:eastAsia="Arial" w:hAnsi="Arial"/>
          <w:sz w:val="22"/>
          <w:szCs w:val="22"/>
          <w:color w:val="auto"/>
        </w:rPr>
      </w:pPr>
    </w:p>
    <w:p>
      <w:pPr>
        <w:jc w:val="both"/>
        <w:ind w:firstLine="656"/>
        <w:spacing w:after="0" w:line="307" w:lineRule="auto"/>
        <w:tabs>
          <w:tab w:leader="none" w:pos="1513"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hereunder to the Company shall be addressed to it at its office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550 Monica Circle, Suite 201, Corona, California 92880, Attention: Rodney C. Sacks with a copy to Benjamin Polk, Schulte Roth &amp; Zabel LLP, 919 Third Avenue, New York, New York 10022, and any notice hereunder to Holder shall be addressed to him at 4472 Torrey Pines Drive, Chino Hills, CA 91709 subject to the right of either party to designate at any time hereafter in writing some other address.</w:t>
      </w:r>
    </w:p>
    <w:p>
      <w:pPr>
        <w:spacing w:after="0" w:line="2" w:lineRule="exact"/>
        <w:rPr>
          <w:sz w:val="20"/>
          <w:szCs w:val="20"/>
          <w:color w:val="auto"/>
        </w:rPr>
      </w:pPr>
    </w:p>
    <w:p>
      <w:pPr>
        <w:ind w:firstLine="656"/>
        <w:spacing w:after="0" w:line="307" w:lineRule="auto"/>
        <w:tabs>
          <w:tab w:leader="none" w:pos="143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modification, amendment or waiver of any of the provisions of this Agreement shall be effective unless in writing specifically referring hereto, and signed by both parties.</w:t>
      </w:r>
    </w:p>
    <w:p>
      <w:pPr>
        <w:spacing w:after="0" w:line="1" w:lineRule="exact"/>
        <w:rPr>
          <w:rFonts w:ascii="Arial" w:cs="Arial" w:eastAsia="Arial" w:hAnsi="Arial"/>
          <w:sz w:val="22"/>
          <w:szCs w:val="22"/>
          <w:color w:val="auto"/>
        </w:rPr>
      </w:pPr>
    </w:p>
    <w:p>
      <w:pPr>
        <w:jc w:val="both"/>
        <w:ind w:firstLine="656"/>
        <w:spacing w:after="0" w:line="307" w:lineRule="auto"/>
        <w:tabs>
          <w:tab w:leader="none" w:pos="183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22"/>
          <w:szCs w:val="22"/>
          <w:color w:val="auto"/>
        </w:rPr>
      </w:pPr>
    </w:p>
    <w:p>
      <w:pPr>
        <w:ind w:firstLine="656"/>
        <w:spacing w:after="0" w:line="327" w:lineRule="auto"/>
        <w:tabs>
          <w:tab w:leader="none" w:pos="133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constitute one and the same instrument.</w:t>
      </w:r>
    </w:p>
    <w:p>
      <w:pPr>
        <w:sectPr>
          <w:pgSz w:w="11900" w:h="16838" w:orient="portrait"/>
          <w:cols w:equalWidth="0" w:num="1">
            <w:col w:w="11420"/>
          </w:cols>
          <w:pgMar w:left="240" w:top="159" w:right="239" w:bottom="273" w:gutter="0" w:footer="0" w:header="0"/>
        </w:sectPr>
      </w:pPr>
    </w:p>
    <w:bookmarkStart w:id="73" w:name="page74"/>
    <w:bookmarkEnd w:id="73"/>
    <w:p>
      <w:pPr>
        <w:ind w:right="60" w:firstLine="648"/>
        <w:spacing w:after="0" w:line="327" w:lineRule="auto"/>
        <w:rPr>
          <w:sz w:val="20"/>
          <w:szCs w:val="20"/>
          <w:color w:val="auto"/>
        </w:rPr>
      </w:pPr>
      <w:r>
        <w:rPr>
          <w:rFonts w:ascii="Arial" w:cs="Arial" w:eastAsia="Arial" w:hAnsi="Arial"/>
          <w:sz w:val="22"/>
          <w:szCs w:val="22"/>
          <w:color w:val="auto"/>
        </w:rPr>
        <w:t>IN WITNESS WHEREOF, Hansen Natural Corporation has caused this Agreement to be executed by a duly authorized officer and Holder has executed this Agreement both as of the day and year first above written.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960" w:type="dxa"/>
            <w:vAlign w:val="bottom"/>
            <w:gridSpan w:val="2"/>
          </w:tcPr>
          <w:p>
            <w:pPr>
              <w:ind w:left="520"/>
              <w:spacing w:after="0"/>
              <w:rPr>
                <w:sz w:val="20"/>
                <w:szCs w:val="20"/>
                <w:color w:val="auto"/>
              </w:rPr>
            </w:pPr>
            <w:r>
              <w:rPr>
                <w:rFonts w:ascii="Arial" w:cs="Arial" w:eastAsia="Arial" w:hAnsi="Arial"/>
                <w:sz w:val="22"/>
                <w:szCs w:val="22"/>
                <w:color w:val="auto"/>
              </w:rPr>
              <w:t>HANSEN NATURAL CORPORATION</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8"/>
        </w:trPr>
        <w:tc>
          <w:tcPr>
            <w:tcW w:w="5460" w:type="dxa"/>
            <w:vAlign w:val="bottom"/>
            <w:gridSpan w:val="2"/>
          </w:tcPr>
          <w:p>
            <w:pPr>
              <w:spacing w:after="0"/>
              <w:rPr>
                <w:sz w:val="20"/>
                <w:szCs w:val="20"/>
                <w:color w:val="auto"/>
              </w:rPr>
            </w:pPr>
            <w:r>
              <w:rPr>
                <w:rFonts w:ascii="Arial" w:cs="Arial" w:eastAsia="Arial" w:hAnsi="Arial"/>
                <w:sz w:val="22"/>
                <w:szCs w:val="22"/>
                <w:color w:val="auto"/>
              </w:rPr>
              <w:t>/s/Thomas Kelly</w:t>
            </w:r>
          </w:p>
        </w:tc>
        <w:tc>
          <w:tcPr>
            <w:tcW w:w="5960" w:type="dxa"/>
            <w:vAlign w:val="bottom"/>
            <w:gridSpan w:val="2"/>
          </w:tcPr>
          <w:p>
            <w:pPr>
              <w:ind w:left="520"/>
              <w:spacing w:after="0"/>
              <w:rPr>
                <w:sz w:val="20"/>
                <w:szCs w:val="20"/>
                <w:color w:val="auto"/>
              </w:rPr>
            </w:pPr>
            <w:r>
              <w:rPr>
                <w:rFonts w:ascii="Arial" w:cs="Arial" w:eastAsia="Arial" w:hAnsi="Arial"/>
                <w:sz w:val="22"/>
                <w:szCs w:val="22"/>
                <w:color w:val="auto"/>
              </w:rPr>
              <w:t>By:  /s/ Rodney C. Sacks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000" w:type="dxa"/>
            <w:vAlign w:val="bottom"/>
            <w:vMerge w:val="restart"/>
          </w:tcPr>
          <w:p>
            <w:pPr>
              <w:ind w:left="520"/>
              <w:spacing w:after="0"/>
              <w:rPr>
                <w:sz w:val="20"/>
                <w:szCs w:val="20"/>
                <w:color w:val="auto"/>
              </w:rPr>
            </w:pPr>
            <w:r>
              <w:rPr>
                <w:rFonts w:ascii="Arial" w:cs="Arial" w:eastAsia="Arial" w:hAnsi="Arial"/>
                <w:sz w:val="22"/>
                <w:szCs w:val="22"/>
                <w:color w:val="auto"/>
                <w:w w:val="70"/>
              </w:rPr>
              <w:t>Name:</w:t>
            </w:r>
          </w:p>
        </w:tc>
        <w:tc>
          <w:tcPr>
            <w:tcW w:w="4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40" w:type="dxa"/>
            <w:vAlign w:val="bottom"/>
          </w:tcPr>
          <w:p>
            <w:pPr>
              <w:spacing w:after="0" w:line="216" w:lineRule="exact"/>
              <w:rPr>
                <w:sz w:val="20"/>
                <w:szCs w:val="20"/>
                <w:color w:val="auto"/>
              </w:rPr>
            </w:pPr>
            <w:r>
              <w:rPr>
                <w:rFonts w:ascii="Arial" w:cs="Arial" w:eastAsia="Arial" w:hAnsi="Arial"/>
                <w:sz w:val="22"/>
                <w:szCs w:val="22"/>
                <w:color w:val="auto"/>
              </w:rPr>
              <w:t>Thomas Kelly</w:t>
            </w:r>
          </w:p>
        </w:tc>
        <w:tc>
          <w:tcPr>
            <w:tcW w:w="1000" w:type="dxa"/>
            <w:vAlign w:val="bottom"/>
            <w:vMerge w:val="continue"/>
          </w:tcPr>
          <w:p>
            <w:pPr>
              <w:spacing w:after="0"/>
              <w:rPr>
                <w:sz w:val="18"/>
                <w:szCs w:val="18"/>
                <w:color w:val="auto"/>
              </w:rPr>
            </w:pPr>
          </w:p>
        </w:tc>
        <w:tc>
          <w:tcPr>
            <w:tcW w:w="4960" w:type="dxa"/>
            <w:vAlign w:val="bottom"/>
          </w:tcPr>
          <w:p>
            <w:pPr>
              <w:ind w:left="140"/>
              <w:spacing w:after="0" w:line="216" w:lineRule="exact"/>
              <w:rPr>
                <w:sz w:val="20"/>
                <w:szCs w:val="20"/>
                <w:color w:val="auto"/>
              </w:rPr>
            </w:pPr>
            <w:r>
              <w:rPr>
                <w:rFonts w:ascii="Arial" w:cs="Arial" w:eastAsia="Arial" w:hAnsi="Arial"/>
                <w:sz w:val="22"/>
                <w:szCs w:val="22"/>
                <w:color w:val="auto"/>
              </w:rPr>
              <w:t>Rodney C. Sacks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960" w:type="dxa"/>
            <w:vAlign w:val="bottom"/>
            <w:gridSpan w:val="2"/>
          </w:tcPr>
          <w:p>
            <w:pPr>
              <w:ind w:left="520"/>
              <w:spacing w:after="0"/>
              <w:rPr>
                <w:sz w:val="20"/>
                <w:szCs w:val="20"/>
                <w:color w:val="auto"/>
              </w:rPr>
            </w:pPr>
            <w:r>
              <w:rPr>
                <w:rFonts w:ascii="Arial" w:cs="Arial" w:eastAsia="Arial" w:hAnsi="Arial"/>
                <w:sz w:val="22"/>
                <w:szCs w:val="22"/>
                <w:color w:val="auto"/>
              </w:rPr>
              <w:t>Title: Chairman and CEO</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010101"/>
            </w:tcBorders>
          </w:tcPr>
          <w:p>
            <w:pPr>
              <w:spacing w:after="0"/>
              <w:rPr>
                <w:sz w:val="24"/>
                <w:szCs w:val="24"/>
                <w:color w:val="auto"/>
              </w:rPr>
            </w:pPr>
          </w:p>
        </w:tc>
        <w:tc>
          <w:tcPr>
            <w:tcW w:w="544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59" w:right="199" w:bottom="1440" w:gutter="0" w:footer="0" w:header="0"/>
        </w:sectPr>
      </w:pPr>
    </w:p>
    <w:bookmarkStart w:id="74" w:name="page75"/>
    <w:bookmarkEnd w:id="74"/>
    <w:p>
      <w:pPr>
        <w:spacing w:after="0" w:line="17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10.54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80"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This Stock Option Agreement (“Agreement”), is made as of December 1, 2010 (the “Grant Date”), by and between Hansen Natural Corporation, a Delaware corporation (the “Company”), and Mark J. Hall (“Holder”).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247"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Holder is an employee of a Participating Company.</w:t>
      </w:r>
    </w:p>
    <w:p>
      <w:pPr>
        <w:spacing w:after="0" w:line="71" w:lineRule="exact"/>
        <w:rPr>
          <w:rFonts w:ascii="Arial" w:cs="Arial" w:eastAsia="Arial" w:hAnsi="Arial"/>
          <w:sz w:val="22"/>
          <w:szCs w:val="22"/>
          <w:color w:val="auto"/>
        </w:rPr>
      </w:pPr>
    </w:p>
    <w:p>
      <w:pPr>
        <w:jc w:val="both"/>
        <w:ind w:firstLine="656"/>
        <w:spacing w:after="0" w:line="307" w:lineRule="auto"/>
        <w:tabs>
          <w:tab w:leader="none" w:pos="1483" w:val="left"/>
        </w:tabs>
        <w:numPr>
          <w:ilvl w:val="0"/>
          <w:numId w:val="70"/>
        </w:numPr>
        <w:rPr>
          <w:rFonts w:ascii="Arial" w:cs="Arial" w:eastAsia="Arial" w:hAnsi="Arial"/>
          <w:sz w:val="22"/>
          <w:szCs w:val="22"/>
          <w:color w:val="auto"/>
        </w:rPr>
      </w:pPr>
      <w:r>
        <w:rPr>
          <w:rFonts w:ascii="Arial" w:cs="Arial" w:eastAsia="Arial" w:hAnsi="Arial"/>
          <w:sz w:val="22"/>
          <w:szCs w:val="22"/>
          <w:color w:val="auto"/>
        </w:rPr>
        <w:t>Pursuant to the Hansen Natural Corporation 2001 Stock Option Plan (the “Plan”), the Company desires to grant Holder an incentive stock option to purchase shares of the Company’s common stock, par value $0.005 per share (the “Common Stock”).</w:t>
      </w:r>
    </w:p>
    <w:p>
      <w:pPr>
        <w:spacing w:after="0" w:line="1" w:lineRule="exact"/>
        <w:rPr>
          <w:rFonts w:ascii="Arial" w:cs="Arial" w:eastAsia="Arial" w:hAnsi="Arial"/>
          <w:sz w:val="22"/>
          <w:szCs w:val="22"/>
          <w:color w:val="auto"/>
        </w:rPr>
      </w:pPr>
    </w:p>
    <w:p>
      <w:pPr>
        <w:ind w:left="1280" w:hanging="624"/>
        <w:spacing w:after="0"/>
        <w:tabs>
          <w:tab w:leader="none" w:pos="12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Capitalized terms not otherwise defined in this Agreement shall have the meaning given to them in the Plan.</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and Holder agree as follows:</w:t>
      </w:r>
    </w:p>
    <w:p>
      <w:pPr>
        <w:spacing w:after="0" w:line="287" w:lineRule="exact"/>
        <w:rPr>
          <w:sz w:val="20"/>
          <w:szCs w:val="20"/>
          <w:color w:val="auto"/>
        </w:rPr>
      </w:pPr>
    </w:p>
    <w:p>
      <w:pPr>
        <w:jc w:val="both"/>
        <w:ind w:firstLine="656"/>
        <w:spacing w:after="0" w:line="356" w:lineRule="auto"/>
        <w:tabs>
          <w:tab w:leader="none" w:pos="143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Grant of Incentive Stock Option</w:t>
      </w:r>
      <w:r>
        <w:rPr>
          <w:rFonts w:ascii="Arial" w:cs="Arial" w:eastAsia="Arial" w:hAnsi="Arial"/>
          <w:sz w:val="19"/>
          <w:szCs w:val="19"/>
          <w:color w:val="auto"/>
        </w:rPr>
        <w:t>. The Company hereby grants to Holder, subject to the terms and conditions set forth herein and in the Plan, an incentive stock option (“ISO”) to purchase 50,000 shares of Common Stock, at the purchase price of $52.51 per share (the “Option”), such Option to be exercisable and exercised as hereinafter provided. If for any reason the Option or any portion of the Option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or any Participating Company (or their respective employees, officers or directors) have any liability to Holder (or any other person) due to the failure of an Option (or any portion thereof) to qualify for any reason as an ISO.</w:t>
      </w:r>
    </w:p>
    <w:p>
      <w:pPr>
        <w:jc w:val="both"/>
        <w:ind w:firstLine="656"/>
        <w:spacing w:after="0" w:line="330" w:lineRule="auto"/>
        <w:tabs>
          <w:tab w:leader="none" w:pos="1459"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Exercise Period</w:t>
      </w:r>
      <w:r>
        <w:rPr>
          <w:rFonts w:ascii="Arial" w:cs="Arial" w:eastAsia="Arial" w:hAnsi="Arial"/>
          <w:sz w:val="21"/>
          <w:szCs w:val="21"/>
          <w:color w:val="auto"/>
        </w:rPr>
        <w:t>. The Option shall expire three months after the termination of the Holder’s employment with a Participating Company unless the employment is terminated by a Participating Company for Cause (as defined below) or unless the employment is terminated by reason of the death or Total Disability of Holder. If the Holder’s employment is terminated by a Participating Company for Cause, the Option shall expire as of the date employment terminates. If the Holder’s employment terminates due to his death or Total Disability, then the Option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322" w:lineRule="auto"/>
        <w:rPr>
          <w:sz w:val="20"/>
          <w:szCs w:val="20"/>
          <w:color w:val="auto"/>
        </w:rPr>
      </w:pPr>
      <w:r>
        <w:rPr>
          <w:rFonts w:ascii="Arial" w:cs="Arial" w:eastAsia="Arial" w:hAnsi="Arial"/>
          <w:sz w:val="21"/>
          <w:szCs w:val="21"/>
          <w:color w:val="auto"/>
        </w:rPr>
        <w:t>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as determined by the Committee, the Holder’s (i) act(s) of fraud or dishonesty, (ii) knowing and material failure to comply with applicable laws or regulations or satisfactorily perform his duties of employment, (iii) insubordination or (iv) drug or alcohol abuse.</w:t>
      </w:r>
    </w:p>
    <w:p>
      <w:pPr>
        <w:spacing w:after="0" w:line="1"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p>
    <w:p>
      <w:pPr>
        <w:spacing w:after="0" w:line="71" w:lineRule="exact"/>
        <w:rPr>
          <w:rFonts w:ascii="Arial" w:cs="Arial" w:eastAsia="Arial" w:hAnsi="Arial"/>
          <w:sz w:val="22"/>
          <w:szCs w:val="22"/>
          <w:color w:val="auto"/>
        </w:rPr>
      </w:pPr>
    </w:p>
    <w:p>
      <w:pPr>
        <w:jc w:val="both"/>
        <w:ind w:firstLine="1305"/>
        <w:spacing w:after="0" w:line="386" w:lineRule="auto"/>
        <w:tabs>
          <w:tab w:leader="none" w:pos="1991" w:val="left"/>
        </w:tabs>
        <w:numPr>
          <w:ilvl w:val="1"/>
          <w:numId w:val="72"/>
        </w:numPr>
        <w:rPr>
          <w:rFonts w:ascii="Arial" w:cs="Arial" w:eastAsia="Arial" w:hAnsi="Arial"/>
          <w:sz w:val="19"/>
          <w:szCs w:val="19"/>
          <w:color w:val="auto"/>
        </w:rPr>
      </w:pPr>
      <w:r>
        <w:rPr>
          <w:rFonts w:ascii="Arial" w:cs="Arial" w:eastAsia="Arial" w:hAnsi="Arial"/>
          <w:sz w:val="19"/>
          <w:szCs w:val="19"/>
          <w:color w:val="auto"/>
        </w:rPr>
        <w:t>Subject to the other terms of this Agreement regarding the exercisability of the Option, provided that Holder is employed by a Participating Company on the relevant Exercise Date set forth below, the Option may be exercised in respect of the number of shares (the “Option Portion”) listed in column A from and after the Exercise Date listed in column B,</w:t>
      </w:r>
    </w:p>
    <w:p>
      <w:pPr>
        <w:spacing w:after="0" w:line="94" w:lineRule="exact"/>
        <w:rPr>
          <w:sz w:val="20"/>
          <w:szCs w:val="20"/>
          <w:color w:val="auto"/>
        </w:rPr>
      </w:pPr>
    </w:p>
    <w:tbl>
      <w:tblPr>
        <w:tblLayout w:type="fixed"/>
        <w:tblInd w:w="1200" w:type="dxa"/>
        <w:tblCellMar>
          <w:top w:w="0" w:type="dxa"/>
          <w:left w:w="0" w:type="dxa"/>
          <w:bottom w:w="0" w:type="dxa"/>
          <w:right w:w="0" w:type="dxa"/>
        </w:tblCellMar>
      </w:tblPr>
      <w:tr>
        <w:trPr>
          <w:trHeight w:val="275"/>
        </w:trPr>
        <w:tc>
          <w:tcPr>
            <w:tcW w:w="1400" w:type="dxa"/>
            <w:vAlign w:val="bottom"/>
          </w:tcPr>
          <w:p>
            <w:pPr>
              <w:spacing w:after="0"/>
              <w:rPr>
                <w:sz w:val="23"/>
                <w:szCs w:val="23"/>
                <w:color w:val="auto"/>
              </w:rPr>
            </w:pPr>
          </w:p>
        </w:tc>
        <w:tc>
          <w:tcPr>
            <w:tcW w:w="3080" w:type="dxa"/>
            <w:vAlign w:val="bottom"/>
            <w:gridSpan w:val="2"/>
          </w:tcPr>
          <w:p>
            <w:pPr>
              <w:jc w:val="center"/>
              <w:ind w:right="1540"/>
              <w:spacing w:after="0"/>
              <w:rPr>
                <w:sz w:val="20"/>
                <w:szCs w:val="20"/>
                <w:color w:val="auto"/>
              </w:rPr>
            </w:pPr>
            <w:r>
              <w:rPr>
                <w:rFonts w:ascii="Arial" w:cs="Arial" w:eastAsia="Arial" w:hAnsi="Arial"/>
                <w:sz w:val="22"/>
                <w:szCs w:val="22"/>
                <w:color w:val="auto"/>
                <w:w w:val="98"/>
              </w:rPr>
              <w:t>Column “A”</w:t>
            </w:r>
          </w:p>
        </w:tc>
        <w:tc>
          <w:tcPr>
            <w:tcW w:w="1600" w:type="dxa"/>
            <w:vAlign w:val="bottom"/>
          </w:tcPr>
          <w:p>
            <w:pPr>
              <w:spacing w:after="0"/>
              <w:rPr>
                <w:sz w:val="23"/>
                <w:szCs w:val="23"/>
                <w:color w:val="auto"/>
              </w:rPr>
            </w:pPr>
          </w:p>
        </w:tc>
        <w:tc>
          <w:tcPr>
            <w:tcW w:w="2600" w:type="dxa"/>
            <w:vAlign w:val="bottom"/>
            <w:gridSpan w:val="2"/>
          </w:tcPr>
          <w:p>
            <w:pPr>
              <w:jc w:val="center"/>
              <w:ind w:right="1400"/>
              <w:spacing w:after="0"/>
              <w:rPr>
                <w:sz w:val="20"/>
                <w:szCs w:val="20"/>
                <w:color w:val="auto"/>
              </w:rPr>
            </w:pPr>
            <w:r>
              <w:rPr>
                <w:rFonts w:ascii="Arial" w:cs="Arial" w:eastAsia="Arial" w:hAnsi="Arial"/>
                <w:sz w:val="22"/>
                <w:szCs w:val="22"/>
                <w:color w:val="auto"/>
                <w:w w:val="97"/>
              </w:rPr>
              <w:t>Column “B”</w:t>
            </w:r>
          </w:p>
        </w:tc>
      </w:tr>
      <w:tr>
        <w:trPr>
          <w:trHeight w:val="436"/>
        </w:trPr>
        <w:tc>
          <w:tcPr>
            <w:tcW w:w="1400" w:type="dxa"/>
            <w:vAlign w:val="bottom"/>
          </w:tcPr>
          <w:p>
            <w:pPr>
              <w:spacing w:after="0"/>
              <w:rPr>
                <w:sz w:val="24"/>
                <w:szCs w:val="24"/>
                <w:color w:val="auto"/>
              </w:rPr>
            </w:pPr>
          </w:p>
        </w:tc>
        <w:tc>
          <w:tcPr>
            <w:tcW w:w="3080" w:type="dxa"/>
            <w:vAlign w:val="bottom"/>
            <w:gridSpan w:val="2"/>
          </w:tcPr>
          <w:p>
            <w:pPr>
              <w:jc w:val="center"/>
              <w:ind w:right="1520"/>
              <w:spacing w:after="0"/>
              <w:rPr>
                <w:sz w:val="20"/>
                <w:szCs w:val="20"/>
                <w:color w:val="auto"/>
              </w:rPr>
            </w:pPr>
            <w:r>
              <w:rPr>
                <w:rFonts w:ascii="Arial" w:cs="Arial" w:eastAsia="Arial" w:hAnsi="Arial"/>
                <w:sz w:val="22"/>
                <w:szCs w:val="22"/>
                <w:color w:val="auto"/>
                <w:w w:val="87"/>
              </w:rPr>
              <w:t>Number of Shares</w:t>
            </w:r>
          </w:p>
        </w:tc>
        <w:tc>
          <w:tcPr>
            <w:tcW w:w="1600" w:type="dxa"/>
            <w:vAlign w:val="bottom"/>
          </w:tcPr>
          <w:p>
            <w:pPr>
              <w:spacing w:after="0"/>
              <w:rPr>
                <w:sz w:val="24"/>
                <w:szCs w:val="24"/>
                <w:color w:val="auto"/>
              </w:rPr>
            </w:pPr>
          </w:p>
        </w:tc>
        <w:tc>
          <w:tcPr>
            <w:tcW w:w="2600" w:type="dxa"/>
            <w:vAlign w:val="bottom"/>
            <w:gridSpan w:val="2"/>
          </w:tcPr>
          <w:p>
            <w:pPr>
              <w:jc w:val="center"/>
              <w:ind w:right="1400"/>
              <w:spacing w:after="0"/>
              <w:rPr>
                <w:sz w:val="20"/>
                <w:szCs w:val="20"/>
                <w:color w:val="auto"/>
              </w:rPr>
            </w:pPr>
            <w:r>
              <w:rPr>
                <w:rFonts w:ascii="Arial" w:cs="Arial" w:eastAsia="Arial" w:hAnsi="Arial"/>
                <w:sz w:val="22"/>
                <w:szCs w:val="22"/>
                <w:color w:val="auto"/>
                <w:w w:val="87"/>
              </w:rPr>
              <w:t>Exercise Date</w:t>
            </w:r>
          </w:p>
        </w:tc>
      </w:tr>
      <w:tr>
        <w:trPr>
          <w:trHeight w:val="20"/>
        </w:trPr>
        <w:tc>
          <w:tcPr>
            <w:tcW w:w="1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17"/>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96"/>
              </w:rPr>
              <w:t>After the first anniversary of the Grant Date</w:t>
            </w:r>
          </w:p>
        </w:tc>
      </w:tr>
      <w:tr>
        <w:trPr>
          <w:trHeight w:val="486"/>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88"/>
              </w:rPr>
              <w:t>After the second anniversary of the Grant Date</w:t>
            </w:r>
          </w:p>
        </w:tc>
      </w:tr>
      <w:tr>
        <w:trPr>
          <w:trHeight w:val="486"/>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94"/>
              </w:rPr>
              <w:t>After the third anniversary of the Grant Date</w:t>
            </w:r>
          </w:p>
        </w:tc>
      </w:tr>
      <w:tr>
        <w:trPr>
          <w:trHeight w:val="486"/>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91"/>
              </w:rPr>
              <w:t>After the fourth anniversary of the Grant Date</w:t>
            </w:r>
          </w:p>
        </w:tc>
      </w:tr>
      <w:tr>
        <w:trPr>
          <w:trHeight w:val="486"/>
        </w:trPr>
        <w:tc>
          <w:tcPr>
            <w:tcW w:w="4480" w:type="dxa"/>
            <w:vAlign w:val="bottom"/>
            <w:gridSpan w:val="3"/>
          </w:tcPr>
          <w:p>
            <w:pPr>
              <w:jc w:val="center"/>
              <w:ind w:right="140"/>
              <w:spacing w:after="0"/>
              <w:rPr>
                <w:sz w:val="20"/>
                <w:szCs w:val="20"/>
                <w:color w:val="auto"/>
              </w:rPr>
            </w:pPr>
            <w:r>
              <w:rPr>
                <w:rFonts w:ascii="Arial" w:cs="Arial" w:eastAsia="Arial" w:hAnsi="Arial"/>
                <w:sz w:val="22"/>
                <w:szCs w:val="22"/>
                <w:color w:val="auto"/>
                <w:w w:val="88"/>
              </w:rPr>
              <w:t>20% of the number of shares subject to the Option</w:t>
            </w:r>
          </w:p>
        </w:tc>
        <w:tc>
          <w:tcPr>
            <w:tcW w:w="4200" w:type="dxa"/>
            <w:vAlign w:val="bottom"/>
            <w:gridSpan w:val="3"/>
          </w:tcPr>
          <w:p>
            <w:pPr>
              <w:ind w:left="140"/>
              <w:spacing w:after="0"/>
              <w:rPr>
                <w:sz w:val="20"/>
                <w:szCs w:val="20"/>
                <w:color w:val="auto"/>
              </w:rPr>
            </w:pPr>
            <w:r>
              <w:rPr>
                <w:rFonts w:ascii="Arial" w:cs="Arial" w:eastAsia="Arial" w:hAnsi="Arial"/>
                <w:sz w:val="22"/>
                <w:szCs w:val="22"/>
                <w:color w:val="auto"/>
                <w:w w:val="96"/>
              </w:rPr>
              <w:t>After the fifth anniversary of the Grant Date</w:t>
            </w:r>
          </w:p>
        </w:tc>
      </w:tr>
    </w:tbl>
    <w:p>
      <w:pPr>
        <w:spacing w:after="0" w:line="225" w:lineRule="exact"/>
        <w:rPr>
          <w:sz w:val="20"/>
          <w:szCs w:val="20"/>
          <w:color w:val="auto"/>
        </w:rPr>
      </w:pPr>
    </w:p>
    <w:p>
      <w:pPr>
        <w:jc w:val="both"/>
        <w:ind w:firstLine="1305"/>
        <w:spacing w:after="0" w:line="417" w:lineRule="auto"/>
        <w:tabs>
          <w:tab w:leader="none" w:pos="2003"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This Option may be exercised, to the extent exercisable by its terms, from time to time in whole or in part at any time prior to the expiration thereof. Any exercise shall be accompanied by a written notice to the Company specifying the</w:t>
      </w:r>
    </w:p>
    <w:p>
      <w:pPr>
        <w:sectPr>
          <w:pgSz w:w="11900" w:h="17014" w:orient="portrait"/>
          <w:cols w:equalWidth="0" w:num="1">
            <w:col w:w="11420"/>
          </w:cols>
          <w:pgMar w:left="240" w:top="112" w:right="239" w:bottom="0" w:gutter="0" w:footer="0" w:header="0"/>
        </w:sectPr>
      </w:pPr>
    </w:p>
    <w:bookmarkStart w:id="75" w:name="page76"/>
    <w:bookmarkEnd w:id="75"/>
    <w:p>
      <w:pPr>
        <w:spacing w:after="0" w:line="35" w:lineRule="exact"/>
        <w:rPr>
          <w:sz w:val="20"/>
          <w:szCs w:val="20"/>
          <w:color w:val="auto"/>
        </w:rPr>
      </w:pPr>
    </w:p>
    <w:p>
      <w:pPr>
        <w:ind w:right="20"/>
        <w:spacing w:after="0" w:line="307" w:lineRule="auto"/>
        <w:rPr>
          <w:sz w:val="20"/>
          <w:szCs w:val="20"/>
          <w:color w:val="auto"/>
        </w:rPr>
      </w:pPr>
      <w:r>
        <w:rPr>
          <w:rFonts w:ascii="Arial" w:cs="Arial" w:eastAsia="Arial" w:hAnsi="Arial"/>
          <w:sz w:val="22"/>
          <w:szCs w:val="22"/>
          <w:color w:val="auto"/>
        </w:rPr>
        <w:t>number of shares as to which this Option is being exercised (the “Option Shares”). Notations of any partial exercise or installment exercise, shall be made by the Company in its records.</w:t>
      </w:r>
    </w:p>
    <w:p>
      <w:pPr>
        <w:spacing w:after="0" w:line="1" w:lineRule="exact"/>
        <w:rPr>
          <w:sz w:val="20"/>
          <w:szCs w:val="20"/>
          <w:color w:val="auto"/>
        </w:rPr>
      </w:pPr>
    </w:p>
    <w:p>
      <w:pPr>
        <w:ind w:left="1980" w:hanging="675"/>
        <w:spacing w:after="0"/>
        <w:tabs>
          <w:tab w:leader="none" w:pos="19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this Option shall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on the tenth anniversary of the Grant Date.</w:t>
      </w:r>
    </w:p>
    <w:p>
      <w:pPr>
        <w:spacing w:after="0" w:line="71" w:lineRule="exact"/>
        <w:rPr>
          <w:sz w:val="20"/>
          <w:szCs w:val="20"/>
          <w:color w:val="auto"/>
        </w:rPr>
      </w:pPr>
    </w:p>
    <w:p>
      <w:pPr>
        <w:jc w:val="both"/>
        <w:ind w:firstLine="1305"/>
        <w:spacing w:after="0" w:line="307" w:lineRule="auto"/>
        <w:tabs>
          <w:tab w:leader="none" w:pos="2136"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Holder hereby agrees to notify the Company in writing in the event shares acquired pursuant to the exercise of this Option are transferred, other than by will or by the laws of descent and distribution, within two years after the Grant Date or within one year after the issuance of such shares pursuant to such exercise.</w:t>
      </w:r>
    </w:p>
    <w:p>
      <w:pPr>
        <w:spacing w:after="0" w:line="1" w:lineRule="exact"/>
        <w:rPr>
          <w:rFonts w:ascii="Arial" w:cs="Arial" w:eastAsia="Arial" w:hAnsi="Arial"/>
          <w:sz w:val="22"/>
          <w:szCs w:val="22"/>
          <w:color w:val="auto"/>
        </w:rPr>
      </w:pPr>
    </w:p>
    <w:p>
      <w:pPr>
        <w:ind w:right="20" w:firstLine="656"/>
        <w:spacing w:after="0" w:line="356" w:lineRule="auto"/>
        <w:tabs>
          <w:tab w:leader="none" w:pos="15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Payment of Purchase Price Upon Exercise</w:t>
      </w:r>
      <w:r>
        <w:rPr>
          <w:rFonts w:ascii="Arial" w:cs="Arial" w:eastAsia="Arial" w:hAnsi="Arial"/>
          <w:sz w:val="19"/>
          <w:szCs w:val="19"/>
          <w:color w:val="auto"/>
        </w:rPr>
        <w:t>. At the time of any exercise of all or a portion of the Option, the purchase price shall be paid in full to the Company in any of the following ways or in any combination of the following ways:</w:t>
      </w:r>
    </w:p>
    <w:p>
      <w:pPr>
        <w:ind w:left="1980" w:hanging="675"/>
        <w:spacing w:after="0"/>
        <w:tabs>
          <w:tab w:leader="none" w:pos="19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By check or other immediately available funds.</w:t>
      </w:r>
    </w:p>
    <w:p>
      <w:pPr>
        <w:spacing w:after="0" w:line="71" w:lineRule="exact"/>
        <w:rPr>
          <w:rFonts w:ascii="Arial" w:cs="Arial" w:eastAsia="Arial" w:hAnsi="Arial"/>
          <w:sz w:val="22"/>
          <w:szCs w:val="22"/>
          <w:color w:val="auto"/>
        </w:rPr>
      </w:pPr>
    </w:p>
    <w:p>
      <w:pPr>
        <w:jc w:val="both"/>
        <w:ind w:firstLine="1305"/>
        <w:spacing w:after="0" w:line="322" w:lineRule="auto"/>
        <w:tabs>
          <w:tab w:leader="none" w:pos="2035" w:val="left"/>
        </w:tabs>
        <w:numPr>
          <w:ilvl w:val="1"/>
          <w:numId w:val="76"/>
        </w:numPr>
        <w:rPr>
          <w:rFonts w:ascii="Arial" w:cs="Arial" w:eastAsia="Arial" w:hAnsi="Arial"/>
          <w:sz w:val="21"/>
          <w:szCs w:val="21"/>
          <w:color w:val="auto"/>
        </w:rPr>
      </w:pPr>
      <w:r>
        <w:rPr>
          <w:rFonts w:ascii="Arial" w:cs="Arial" w:eastAsia="Arial" w:hAnsi="Arial"/>
          <w:sz w:val="21"/>
          <w:szCs w:val="21"/>
          <w:color w:val="auto"/>
        </w:rPr>
        <w:t>With property consisting of shares of Stock. (The shares of Stock to be used as payment shall be valued as of the date of exercise of the Option at the Closing Price as defined below. For example, if Holder exercises the option for 4,000 shares at a total Exercise Price of $8,000, assuming an exercise price of $2.00 per share, and the Closing Price is $5.00, Holder may pay for the 4,000 Option Shares by transferring 1,600 shares of Stock to the Company.)</w:t>
      </w:r>
    </w:p>
    <w:p>
      <w:pPr>
        <w:jc w:val="both"/>
        <w:ind w:firstLine="1305"/>
        <w:spacing w:after="0" w:line="307" w:lineRule="auto"/>
        <w:tabs>
          <w:tab w:leader="none" w:pos="1969" w:val="left"/>
        </w:tabs>
        <w:numPr>
          <w:ilvl w:val="1"/>
          <w:numId w:val="76"/>
        </w:numPr>
        <w:rPr>
          <w:rFonts w:ascii="Arial" w:cs="Arial" w:eastAsia="Arial" w:hAnsi="Arial"/>
          <w:sz w:val="22"/>
          <w:szCs w:val="22"/>
          <w:color w:val="auto"/>
        </w:rPr>
      </w:pPr>
      <w:r>
        <w:rPr>
          <w:rFonts w:ascii="Arial" w:cs="Arial" w:eastAsia="Arial" w:hAnsi="Arial"/>
          <w:sz w:val="22"/>
          <w:szCs w:val="22"/>
          <w:color w:val="auto"/>
        </w:rPr>
        <w:t>By delivering a properly executed exercise notice together with irrevocable instructions to a broker to deliver promptly to the Company the amount of sale proceeds necessary to pay the purchase price and applicable withholding taxes, and such other documents as the Committee may determine.</w:t>
      </w:r>
    </w:p>
    <w:p>
      <w:pPr>
        <w:spacing w:after="0" w:line="1" w:lineRule="exact"/>
        <w:rPr>
          <w:rFonts w:ascii="Arial" w:cs="Arial" w:eastAsia="Arial" w:hAnsi="Arial"/>
          <w:sz w:val="22"/>
          <w:szCs w:val="22"/>
          <w:color w:val="auto"/>
        </w:rPr>
      </w:pPr>
    </w:p>
    <w:p>
      <w:pPr>
        <w:jc w:val="both"/>
        <w:ind w:firstLine="1305"/>
        <w:spacing w:after="0" w:line="356" w:lineRule="auto"/>
        <w:tabs>
          <w:tab w:leader="none" w:pos="2044" w:val="left"/>
        </w:tabs>
        <w:numPr>
          <w:ilvl w:val="1"/>
          <w:numId w:val="76"/>
        </w:numPr>
        <w:rPr>
          <w:rFonts w:ascii="Arial" w:cs="Arial" w:eastAsia="Arial" w:hAnsi="Arial"/>
          <w:sz w:val="19"/>
          <w:szCs w:val="19"/>
          <w:color w:val="auto"/>
        </w:rPr>
      </w:pPr>
      <w:r>
        <w:rPr>
          <w:rFonts w:ascii="Arial" w:cs="Arial" w:eastAsia="Arial" w:hAnsi="Arial"/>
          <w:sz w:val="19"/>
          <w:szCs w:val="19"/>
          <w:color w:val="auto"/>
        </w:rPr>
        <w:t>For purposes of this Agreement, the term “Closing Price” means, with respect to the Company’s Stock, the last sale price regular-way or, in case no such sale takes place on such date, the average of the closing bid and asked prices regular-way on the principal national securities exchange on which the Stock is listed or admitted to trading; or, if the Stock is not listed or admitted to trading on any national securities exchange, the last sale price of the Stock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Stock is not listed on NASDAQ or a comparable system, the “Closing Price” shall be the fair market value of the Stock as determined by the Committee in good faith.</w:t>
      </w:r>
    </w:p>
    <w:p>
      <w:pPr>
        <w:ind w:left="1300" w:hanging="644"/>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Purchase for Investment; Resale Restrictions</w:t>
      </w:r>
      <w:r>
        <w:rPr>
          <w:rFonts w:ascii="Arial" w:cs="Arial" w:eastAsia="Arial" w:hAnsi="Arial"/>
          <w:sz w:val="22"/>
          <w:szCs w:val="22"/>
          <w:color w:val="auto"/>
        </w:rPr>
        <w:t>. Unless at the time of exercise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22" w:lineRule="auto"/>
        <w:rPr>
          <w:sz w:val="20"/>
          <w:szCs w:val="20"/>
          <w:color w:val="auto"/>
        </w:rPr>
      </w:pPr>
      <w:r>
        <w:rPr>
          <w:rFonts w:ascii="Arial" w:cs="Arial" w:eastAsia="Arial" w:hAnsi="Arial"/>
          <w:sz w:val="21"/>
          <w:szCs w:val="21"/>
          <w:color w:val="auto"/>
        </w:rPr>
        <w:t>Option there shall be a valid and effective registration statement under the Securities Act of 1933 (the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 w:lineRule="exact"/>
        <w:rPr>
          <w:sz w:val="20"/>
          <w:szCs w:val="20"/>
          <w:color w:val="auto"/>
        </w:rPr>
      </w:pPr>
    </w:p>
    <w:p>
      <w:pPr>
        <w:ind w:firstLine="656"/>
        <w:spacing w:after="0" w:line="307" w:lineRule="auto"/>
        <w:tabs>
          <w:tab w:leader="none" w:pos="1634"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This Option shall not be transferable other than by will or by the laws of descent and distribution. During the lifetime of Holder, this Option shall be exercisable only by Holder.</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jc w:val="both"/>
        <w:ind w:firstLine="1305"/>
        <w:spacing w:after="0" w:line="368" w:lineRule="auto"/>
        <w:tabs>
          <w:tab w:leader="none" w:pos="2016" w:val="left"/>
        </w:tabs>
        <w:numPr>
          <w:ilvl w:val="1"/>
          <w:numId w:val="77"/>
        </w:numPr>
        <w:rPr>
          <w:rFonts w:ascii="Arial" w:cs="Arial" w:eastAsia="Arial" w:hAnsi="Arial"/>
          <w:sz w:val="19"/>
          <w:szCs w:val="19"/>
          <w:color w:val="auto"/>
        </w:rPr>
      </w:pPr>
      <w:r>
        <w:rPr>
          <w:rFonts w:ascii="Arial" w:cs="Arial" w:eastAsia="Arial" w:hAnsi="Arial"/>
          <w:sz w:val="19"/>
          <w:szCs w:val="19"/>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assets or shares of the Company, reorganization, recapitalization, reclassification, stock dividend, stock split, reverse stock split or other distribution with respect to such shares of stock or other securities, then, to the extent permitted by the Board, an appropriate and proportionate adjustment shall be made in (1) the maximum number and/or kind of shares provided in Paragraph 1</w:t>
      </w:r>
    </w:p>
    <w:p>
      <w:pPr>
        <w:sectPr>
          <w:pgSz w:w="11900" w:h="16874" w:orient="portrait"/>
          <w:cols w:equalWidth="0" w:num="1">
            <w:col w:w="11420"/>
          </w:cols>
          <w:pgMar w:left="240" w:top="159" w:right="239" w:bottom="0" w:gutter="0" w:footer="0" w:header="0"/>
        </w:sectPr>
      </w:pPr>
    </w:p>
    <w:bookmarkStart w:id="76" w:name="page77"/>
    <w:bookmarkEnd w:id="76"/>
    <w:p>
      <w:pPr>
        <w:spacing w:after="0"/>
        <w:rPr>
          <w:sz w:val="20"/>
          <w:szCs w:val="20"/>
          <w:color w:val="auto"/>
        </w:rPr>
      </w:pPr>
      <w:r>
        <w:rPr>
          <w:rFonts w:ascii="Arial" w:cs="Arial" w:eastAsia="Arial" w:hAnsi="Arial"/>
          <w:sz w:val="19"/>
          <w:szCs w:val="19"/>
          <w:color w:val="auto"/>
        </w:rPr>
        <w:t>above; (2) th e number and/or kind of shares or other securities subject to the outstanding options and tandum SARs, if any; and</w:t>
      </w:r>
    </w:p>
    <w:p>
      <w:pPr>
        <w:spacing w:after="0" w:line="106" w:lineRule="exact"/>
        <w:rPr>
          <w:sz w:val="20"/>
          <w:szCs w:val="20"/>
          <w:color w:val="auto"/>
        </w:rPr>
      </w:pPr>
    </w:p>
    <w:p>
      <w:pPr>
        <w:jc w:val="both"/>
        <w:ind w:firstLine="8"/>
        <w:spacing w:after="0" w:line="314" w:lineRule="auto"/>
        <w:tabs>
          <w:tab w:leader="none" w:pos="33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whose determination as to what adjustments shall be made, if any, and the extent thereof, will be final, binding and conclusive. No fractional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will be issued under this Agreement resulting from any such adjustment.</w:t>
      </w:r>
    </w:p>
    <w:p>
      <w:pPr>
        <w:spacing w:after="0" w:line="71" w:lineRule="exact"/>
        <w:rPr>
          <w:sz w:val="20"/>
          <w:szCs w:val="20"/>
          <w:color w:val="auto"/>
        </w:rPr>
      </w:pPr>
    </w:p>
    <w:p>
      <w:pPr>
        <w:jc w:val="both"/>
        <w:ind w:firstLine="1305"/>
        <w:spacing w:after="0" w:line="307" w:lineRule="auto"/>
        <w:tabs>
          <w:tab w:leader="none" w:pos="2165" w:val="left"/>
        </w:tabs>
        <w:numPr>
          <w:ilvl w:val="2"/>
          <w:numId w:val="79"/>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the Board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2" w:lineRule="exact"/>
        <w:rPr>
          <w:rFonts w:ascii="Arial" w:cs="Arial" w:eastAsia="Arial" w:hAnsi="Arial"/>
          <w:sz w:val="22"/>
          <w:szCs w:val="22"/>
          <w:color w:val="auto"/>
        </w:rPr>
      </w:pPr>
    </w:p>
    <w:p>
      <w:pPr>
        <w:ind w:firstLine="656"/>
        <w:spacing w:after="0" w:line="307" w:lineRule="auto"/>
        <w:tabs>
          <w:tab w:leader="none" w:pos="1364"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r>
        <w:rPr>
          <w:rFonts w:ascii="Arial" w:cs="Arial" w:eastAsia="Arial" w:hAnsi="Arial"/>
          <w:sz w:val="22"/>
          <w:szCs w:val="22"/>
          <w:color w:val="auto"/>
        </w:rPr>
        <w:t>. Holder shall have no rights as a stockholder with respect to any shares of Stock subject to this Option prior to the date of issuance to him of a certificate or certificates for such shares.</w:t>
      </w:r>
    </w:p>
    <w:p>
      <w:pPr>
        <w:spacing w:after="0" w:line="1" w:lineRule="exact"/>
        <w:rPr>
          <w:rFonts w:ascii="Arial" w:cs="Arial" w:eastAsia="Arial" w:hAnsi="Arial"/>
          <w:sz w:val="22"/>
          <w:szCs w:val="22"/>
          <w:color w:val="auto"/>
        </w:rPr>
      </w:pPr>
    </w:p>
    <w:p>
      <w:pPr>
        <w:jc w:val="both"/>
        <w:ind w:firstLine="656"/>
        <w:spacing w:after="0" w:line="307" w:lineRule="auto"/>
        <w:tabs>
          <w:tab w:leader="none" w:pos="158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No Right to Continue Employment</w:t>
      </w:r>
      <w:r>
        <w:rPr>
          <w:rFonts w:ascii="Arial" w:cs="Arial" w:eastAsia="Arial" w:hAnsi="Arial"/>
          <w:sz w:val="22"/>
          <w:szCs w:val="22"/>
          <w:color w:val="auto"/>
        </w:rPr>
        <w:t>. This Agreement shall not confer upon Holder any right with respect to continuance of employment with a Participating Company nor shall it interfere in any way with the right of a Participating Company to terminate the Holder’s employment at any time.</w:t>
      </w:r>
    </w:p>
    <w:p>
      <w:pPr>
        <w:spacing w:after="0" w:line="1" w:lineRule="exact"/>
        <w:rPr>
          <w:rFonts w:ascii="Arial" w:cs="Arial" w:eastAsia="Arial" w:hAnsi="Arial"/>
          <w:sz w:val="22"/>
          <w:szCs w:val="22"/>
          <w:color w:val="auto"/>
        </w:rPr>
      </w:pPr>
    </w:p>
    <w:p>
      <w:pPr>
        <w:jc w:val="both"/>
        <w:ind w:firstLine="656"/>
        <w:spacing w:after="0" w:line="356" w:lineRule="auto"/>
        <w:tabs>
          <w:tab w:leader="none" w:pos="1459"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sell and deliver shares of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Stock subject or related thereto upon any securities exchange or under any state or federal law, or</w:t>
      </w:r>
    </w:p>
    <w:p>
      <w:pPr>
        <w:jc w:val="both"/>
        <w:ind w:firstLine="8"/>
        <w:spacing w:after="0" w:line="307" w:lineRule="auto"/>
        <w:tabs>
          <w:tab w:leader="none" w:pos="321"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consent or approval of any government regulatory body, is necessary or desirable as a condition of or in connection with the issue or purchase of shares of Stock hereunder, this Option may not be exercised in whole or in part unless such listing, registration, qualifi cation, consent, approval or agreement shall have been effected or obtained free of any conditions not acceptable to the Board.</w:t>
      </w:r>
    </w:p>
    <w:p>
      <w:pPr>
        <w:spacing w:after="0" w:line="2" w:lineRule="exact"/>
        <w:rPr>
          <w:rFonts w:ascii="Arial" w:cs="Arial" w:eastAsia="Arial" w:hAnsi="Arial"/>
          <w:sz w:val="22"/>
          <w:szCs w:val="22"/>
          <w:color w:val="auto"/>
        </w:rPr>
      </w:pPr>
    </w:p>
    <w:p>
      <w:pPr>
        <w:jc w:val="both"/>
        <w:ind w:right="20" w:firstLine="656"/>
        <w:spacing w:after="0" w:line="307" w:lineRule="auto"/>
        <w:tabs>
          <w:tab w:leader="none" w:pos="1383"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Tax Withholding Requirements</w:t>
      </w:r>
      <w:r>
        <w:rPr>
          <w:rFonts w:ascii="Arial" w:cs="Arial" w:eastAsia="Arial" w:hAnsi="Arial"/>
          <w:sz w:val="22"/>
          <w:szCs w:val="22"/>
          <w:color w:val="auto"/>
        </w:rPr>
        <w:t>. The Company shall have the right to require Holder to remit to the Company an amount sufficient to satisfy any federal, state or local withholding tax requirements prior to the delivery of any certificate or certificates for Stock.</w:t>
      </w:r>
    </w:p>
    <w:p>
      <w:pPr>
        <w:spacing w:after="0" w:line="1" w:lineRule="exact"/>
        <w:rPr>
          <w:rFonts w:ascii="Arial" w:cs="Arial" w:eastAsia="Arial" w:hAnsi="Arial"/>
          <w:sz w:val="22"/>
          <w:szCs w:val="22"/>
          <w:color w:val="auto"/>
        </w:rPr>
      </w:pPr>
    </w:p>
    <w:p>
      <w:pPr>
        <w:jc w:val="both"/>
        <w:ind w:firstLine="656"/>
        <w:spacing w:after="0" w:line="307" w:lineRule="auto"/>
        <w:tabs>
          <w:tab w:leader="none" w:pos="1405"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hereunder to the Company shall be addressed to it at its office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550 Monica Circle, Suite 201, Corona, California 92880, Attention: Rodney C. Sacks with a copy to Benjamin Polk, Schulte Roth &amp; Zabel LLP, 919 Third Avenue, New York, New York 10022, and any notice hereunder to Holder shall be addressed to him at 40651 Avenida La Cresta, Murrieta, California 92562, subject to the right of either party to designate at any time hereafter in writing some other address.</w:t>
      </w:r>
    </w:p>
    <w:p>
      <w:pPr>
        <w:spacing w:after="0" w:line="2" w:lineRule="exact"/>
        <w:rPr>
          <w:sz w:val="20"/>
          <w:szCs w:val="20"/>
          <w:color w:val="auto"/>
        </w:rPr>
      </w:pPr>
    </w:p>
    <w:p>
      <w:pPr>
        <w:ind w:firstLine="656"/>
        <w:spacing w:after="0" w:line="307" w:lineRule="auto"/>
        <w:tabs>
          <w:tab w:leader="none" w:pos="135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modification, amendment or waiver of any of the provisions of this Agreement shall be effective unless in writing specifically referring hereto, and signed by both parties.</w:t>
      </w:r>
    </w:p>
    <w:p>
      <w:pPr>
        <w:spacing w:after="0" w:line="1" w:lineRule="exact"/>
        <w:rPr>
          <w:rFonts w:ascii="Arial" w:cs="Arial" w:eastAsia="Arial" w:hAnsi="Arial"/>
          <w:sz w:val="22"/>
          <w:szCs w:val="22"/>
          <w:color w:val="auto"/>
        </w:rPr>
      </w:pPr>
    </w:p>
    <w:p>
      <w:pPr>
        <w:jc w:val="both"/>
        <w:ind w:firstLine="656"/>
        <w:spacing w:after="0" w:line="307" w:lineRule="auto"/>
        <w:tabs>
          <w:tab w:leader="none" w:pos="154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22"/>
          <w:szCs w:val="22"/>
          <w:color w:val="auto"/>
        </w:rPr>
      </w:pPr>
    </w:p>
    <w:p>
      <w:pPr>
        <w:ind w:firstLine="656"/>
        <w:spacing w:after="0" w:line="327" w:lineRule="auto"/>
        <w:tabs>
          <w:tab w:leader="none" w:pos="131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constitute one and the same instrument.</w:t>
      </w:r>
    </w:p>
    <w:p>
      <w:pPr>
        <w:spacing w:after="0" w:line="391" w:lineRule="exact"/>
        <w:rPr>
          <w:sz w:val="20"/>
          <w:szCs w:val="20"/>
          <w:color w:val="auto"/>
        </w:rPr>
      </w:pPr>
    </w:p>
    <w:p>
      <w:pPr>
        <w:ind w:right="20" w:firstLine="648"/>
        <w:spacing w:after="0" w:line="327" w:lineRule="auto"/>
        <w:rPr>
          <w:sz w:val="20"/>
          <w:szCs w:val="20"/>
          <w:color w:val="auto"/>
        </w:rPr>
      </w:pPr>
      <w:r>
        <w:rPr>
          <w:rFonts w:ascii="Arial" w:cs="Arial" w:eastAsia="Arial" w:hAnsi="Arial"/>
          <w:sz w:val="22"/>
          <w:szCs w:val="22"/>
          <w:color w:val="auto"/>
        </w:rPr>
        <w:t>IN WITNESS WHEREOF, Hansen Natural Corporation has caused this Agreement to be executed by a duly authorized officer and Holder has executed this Agreement both as of the day and year first above written.</w:t>
      </w:r>
    </w:p>
    <w:p>
      <w:pPr>
        <w:sectPr>
          <w:pgSz w:w="11900" w:h="16838" w:orient="portrait"/>
          <w:cols w:equalWidth="0" w:num="1">
            <w:col w:w="11420"/>
          </w:cols>
          <w:pgMar w:left="240" w:top="158" w:right="239"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960" w:type="dxa"/>
            <w:vAlign w:val="bottom"/>
            <w:gridSpan w:val="2"/>
          </w:tcPr>
          <w:p>
            <w:pPr>
              <w:ind w:left="520"/>
              <w:spacing w:after="0"/>
              <w:rPr>
                <w:sz w:val="20"/>
                <w:szCs w:val="20"/>
                <w:color w:val="auto"/>
              </w:rPr>
            </w:pPr>
            <w:r>
              <w:rPr>
                <w:rFonts w:ascii="Arial" w:cs="Arial" w:eastAsia="Arial" w:hAnsi="Arial"/>
                <w:sz w:val="22"/>
                <w:szCs w:val="22"/>
                <w:color w:val="auto"/>
              </w:rPr>
              <w:t>HANSEN NATURAL CORPORATION</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8"/>
        </w:trPr>
        <w:tc>
          <w:tcPr>
            <w:tcW w:w="5460" w:type="dxa"/>
            <w:vAlign w:val="bottom"/>
            <w:gridSpan w:val="2"/>
          </w:tcPr>
          <w:p>
            <w:pPr>
              <w:spacing w:after="0"/>
              <w:rPr>
                <w:sz w:val="20"/>
                <w:szCs w:val="20"/>
                <w:color w:val="auto"/>
              </w:rPr>
            </w:pPr>
            <w:r>
              <w:rPr>
                <w:rFonts w:ascii="Arial" w:cs="Arial" w:eastAsia="Arial" w:hAnsi="Arial"/>
                <w:sz w:val="22"/>
                <w:szCs w:val="22"/>
                <w:color w:val="auto"/>
              </w:rPr>
              <w:t>/s/ Mark J. Hall</w:t>
            </w:r>
          </w:p>
        </w:tc>
        <w:tc>
          <w:tcPr>
            <w:tcW w:w="5960" w:type="dxa"/>
            <w:vAlign w:val="bottom"/>
            <w:gridSpan w:val="2"/>
          </w:tcPr>
          <w:p>
            <w:pPr>
              <w:ind w:left="520"/>
              <w:spacing w:after="0"/>
              <w:rPr>
                <w:sz w:val="20"/>
                <w:szCs w:val="20"/>
                <w:color w:val="auto"/>
              </w:rPr>
            </w:pPr>
            <w:r>
              <w:rPr>
                <w:rFonts w:ascii="Arial" w:cs="Arial" w:eastAsia="Arial" w:hAnsi="Arial"/>
                <w:sz w:val="22"/>
                <w:szCs w:val="22"/>
                <w:color w:val="auto"/>
              </w:rPr>
              <w:t>By:  /s/ Rodney C. Sacks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000" w:type="dxa"/>
            <w:vAlign w:val="bottom"/>
            <w:vMerge w:val="restart"/>
          </w:tcPr>
          <w:p>
            <w:pPr>
              <w:ind w:left="520"/>
              <w:spacing w:after="0"/>
              <w:rPr>
                <w:sz w:val="20"/>
                <w:szCs w:val="20"/>
                <w:color w:val="auto"/>
              </w:rPr>
            </w:pPr>
            <w:r>
              <w:rPr>
                <w:rFonts w:ascii="Arial" w:cs="Arial" w:eastAsia="Arial" w:hAnsi="Arial"/>
                <w:sz w:val="22"/>
                <w:szCs w:val="22"/>
                <w:color w:val="auto"/>
                <w:w w:val="70"/>
              </w:rPr>
              <w:t>Name:</w:t>
            </w:r>
          </w:p>
        </w:tc>
        <w:tc>
          <w:tcPr>
            <w:tcW w:w="4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40" w:type="dxa"/>
            <w:vAlign w:val="bottom"/>
          </w:tcPr>
          <w:p>
            <w:pPr>
              <w:spacing w:after="0" w:line="216" w:lineRule="exact"/>
              <w:rPr>
                <w:sz w:val="20"/>
                <w:szCs w:val="20"/>
                <w:color w:val="auto"/>
              </w:rPr>
            </w:pPr>
            <w:r>
              <w:rPr>
                <w:rFonts w:ascii="Arial" w:cs="Arial" w:eastAsia="Arial" w:hAnsi="Arial"/>
                <w:sz w:val="22"/>
                <w:szCs w:val="22"/>
                <w:color w:val="auto"/>
              </w:rPr>
              <w:t>Mark J. Hall</w:t>
            </w:r>
          </w:p>
        </w:tc>
        <w:tc>
          <w:tcPr>
            <w:tcW w:w="1000" w:type="dxa"/>
            <w:vAlign w:val="bottom"/>
            <w:vMerge w:val="continue"/>
          </w:tcPr>
          <w:p>
            <w:pPr>
              <w:spacing w:after="0"/>
              <w:rPr>
                <w:sz w:val="18"/>
                <w:szCs w:val="18"/>
                <w:color w:val="auto"/>
              </w:rPr>
            </w:pPr>
          </w:p>
        </w:tc>
        <w:tc>
          <w:tcPr>
            <w:tcW w:w="4960" w:type="dxa"/>
            <w:vAlign w:val="bottom"/>
          </w:tcPr>
          <w:p>
            <w:pPr>
              <w:ind w:left="140"/>
              <w:spacing w:after="0" w:line="216" w:lineRule="exact"/>
              <w:rPr>
                <w:sz w:val="20"/>
                <w:szCs w:val="20"/>
                <w:color w:val="auto"/>
              </w:rPr>
            </w:pPr>
            <w:r>
              <w:rPr>
                <w:rFonts w:ascii="Arial" w:cs="Arial" w:eastAsia="Arial" w:hAnsi="Arial"/>
                <w:sz w:val="22"/>
                <w:szCs w:val="22"/>
                <w:color w:val="auto"/>
              </w:rPr>
              <w:t>Rodney C. Sacks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960" w:type="dxa"/>
            <w:vAlign w:val="bottom"/>
            <w:gridSpan w:val="2"/>
          </w:tcPr>
          <w:p>
            <w:pPr>
              <w:ind w:left="520"/>
              <w:spacing w:after="0"/>
              <w:rPr>
                <w:sz w:val="20"/>
                <w:szCs w:val="20"/>
                <w:color w:val="auto"/>
              </w:rPr>
            </w:pPr>
            <w:r>
              <w:rPr>
                <w:rFonts w:ascii="Arial" w:cs="Arial" w:eastAsia="Arial" w:hAnsi="Arial"/>
                <w:sz w:val="22"/>
                <w:szCs w:val="22"/>
                <w:color w:val="auto"/>
              </w:rPr>
              <w:t>Title: Chairman and CEO</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010101"/>
            </w:tcBorders>
          </w:tcPr>
          <w:p>
            <w:pPr>
              <w:spacing w:after="0"/>
              <w:rPr>
                <w:sz w:val="24"/>
                <w:szCs w:val="24"/>
                <w:color w:val="auto"/>
              </w:rPr>
            </w:pPr>
          </w:p>
        </w:tc>
        <w:tc>
          <w:tcPr>
            <w:tcW w:w="544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78" w:name="page79"/>
    <w:bookmarkEnd w:id="78"/>
    <w:p>
      <w:pPr>
        <w:spacing w:after="0" w:line="11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10.55</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ectPr>
          <w:pgSz w:w="11900" w:h="16949" w:orient="portrait"/>
          <w:cols w:equalWidth="0" w:num="1">
            <w:col w:w="11420"/>
          </w:cols>
          <w:pgMar w:left="240" w:top="111" w:right="239" w:bottom="0" w:gutter="0" w:footer="0" w:header="0"/>
        </w:sectPr>
      </w:pPr>
    </w:p>
    <w:p>
      <w:pPr>
        <w:spacing w:after="0" w:line="158" w:lineRule="exact"/>
        <w:rPr>
          <w:sz w:val="20"/>
          <w:szCs w:val="20"/>
          <w:color w:val="auto"/>
        </w:rPr>
      </w:pPr>
    </w:p>
    <w:p>
      <w:pPr>
        <w:ind w:firstLine="648"/>
        <w:spacing w:after="0" w:line="417" w:lineRule="auto"/>
        <w:rPr>
          <w:sz w:val="20"/>
          <w:szCs w:val="20"/>
          <w:color w:val="auto"/>
        </w:rPr>
      </w:pPr>
      <w:r>
        <w:rPr>
          <w:rFonts w:ascii="Arial" w:cs="Arial" w:eastAsia="Arial" w:hAnsi="Arial"/>
          <w:sz w:val="19"/>
          <w:szCs w:val="19"/>
          <w:color w:val="auto"/>
        </w:rPr>
        <w:t>This Restricted Stock Unit Agreement (“Agreement”), is made as of Natural Corporation, a Delaware corporation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-133350</wp:posOffset>
            </wp:positionV>
            <wp:extent cx="5486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320" w:firstLine="487"/>
        <w:spacing w:after="0" w:line="327" w:lineRule="auto"/>
        <w:rPr>
          <w:sz w:val="20"/>
          <w:szCs w:val="20"/>
          <w:color w:val="auto"/>
        </w:rPr>
      </w:pPr>
      <w:r>
        <w:rPr>
          <w:rFonts w:ascii="Arial" w:cs="Arial" w:eastAsia="Arial" w:hAnsi="Arial"/>
          <w:sz w:val="22"/>
          <w:szCs w:val="22"/>
          <w:color w:val="auto"/>
        </w:rPr>
        <w:t>(the “Grant Date”), by and between Hansen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-294640</wp:posOffset>
            </wp:positionV>
            <wp:extent cx="4114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69" w:lineRule="exact"/>
        <w:rPr>
          <w:sz w:val="20"/>
          <w:szCs w:val="20"/>
          <w:color w:val="auto"/>
        </w:rPr>
      </w:pPr>
    </w:p>
    <w:p>
      <w:pPr>
        <w:sectPr>
          <w:pgSz w:w="11900" w:h="16949" w:orient="portrait"/>
          <w:cols w:equalWidth="0" w:num="2">
            <w:col w:w="6560" w:space="280"/>
            <w:col w:w="4580"/>
          </w:cols>
          <w:pgMar w:left="240" w:top="111" w:right="239" w:bottom="0" w:gutter="0" w:footer="0" w:header="0"/>
          <w:type w:val="continuous"/>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152" w:lineRule="exact"/>
        <w:rPr>
          <w:sz w:val="20"/>
          <w:szCs w:val="20"/>
          <w:color w:val="auto"/>
        </w:rPr>
      </w:pPr>
    </w:p>
    <w:p>
      <w:pPr>
        <w:ind w:right="180" w:firstLine="656"/>
        <w:spacing w:after="0" w:line="356" w:lineRule="auto"/>
        <w:tabs>
          <w:tab w:leader="none" w:pos="1290" w:val="left"/>
        </w:tabs>
        <w:numPr>
          <w:ilvl w:val="1"/>
          <w:numId w:val="83"/>
        </w:numPr>
        <w:rPr>
          <w:rFonts w:ascii="Arial" w:cs="Arial" w:eastAsia="Arial" w:hAnsi="Arial"/>
          <w:sz w:val="19"/>
          <w:szCs w:val="19"/>
          <w:color w:val="auto"/>
        </w:rPr>
      </w:pPr>
      <w:r>
        <w:rPr>
          <w:rFonts w:ascii="Arial" w:cs="Arial" w:eastAsia="Arial" w:hAnsi="Arial"/>
          <w:sz w:val="19"/>
          <w:szCs w:val="19"/>
          <w:color w:val="auto"/>
        </w:rPr>
        <w:t>Holder is a member of the Board of Directors of the Company (the “Board”) who: (i) is not an employee of the Company or its subsidiaries or its Affiliates; (ii) does not serve as a consultant of the Company or its subsidiaries or Affiliates and</w:t>
      </w:r>
    </w:p>
    <w:p>
      <w:pPr>
        <w:ind w:left="380" w:hanging="372"/>
        <w:spacing w:after="0"/>
        <w:tabs>
          <w:tab w:leader="none" w:pos="3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Company is not contractually obligated to nominate as a Director.</w:t>
      </w:r>
    </w:p>
    <w:p>
      <w:pPr>
        <w:spacing w:after="0" w:line="71" w:lineRule="exact"/>
        <w:rPr>
          <w:rFonts w:ascii="Arial" w:cs="Arial" w:eastAsia="Arial" w:hAnsi="Arial"/>
          <w:sz w:val="22"/>
          <w:szCs w:val="22"/>
          <w:color w:val="auto"/>
        </w:rPr>
      </w:pPr>
    </w:p>
    <w:p>
      <w:pPr>
        <w:jc w:val="both"/>
        <w:ind w:right="260" w:firstLine="656"/>
        <w:spacing w:after="0" w:line="307" w:lineRule="auto"/>
        <w:tabs>
          <w:tab w:leader="none" w:pos="1333" w:val="left"/>
        </w:tabs>
        <w:numPr>
          <w:ilvl w:val="1"/>
          <w:numId w:val="84"/>
        </w:numPr>
        <w:rPr>
          <w:rFonts w:ascii="Arial" w:cs="Arial" w:eastAsia="Arial" w:hAnsi="Arial"/>
          <w:sz w:val="22"/>
          <w:szCs w:val="22"/>
          <w:color w:val="auto"/>
        </w:rPr>
      </w:pPr>
      <w:r>
        <w:rPr>
          <w:rFonts w:ascii="Arial" w:cs="Arial" w:eastAsia="Arial" w:hAnsi="Arial"/>
          <w:sz w:val="22"/>
          <w:szCs w:val="22"/>
          <w:color w:val="auto"/>
        </w:rPr>
        <w:t>Pursuant to the 2009 Hansen Natural Corporation Stock Incentive Plan for Non-Employee Directors (the “Plan”), the Company desires to grant Holder Restricted Stock Units subject to the terms and conditions of the Plan and subject further to the terms and conditions set forth below.</w:t>
      </w:r>
    </w:p>
    <w:p>
      <w:pPr>
        <w:spacing w:after="0" w:line="1" w:lineRule="exact"/>
        <w:rPr>
          <w:rFonts w:ascii="Arial" w:cs="Arial" w:eastAsia="Arial" w:hAnsi="Arial"/>
          <w:sz w:val="22"/>
          <w:szCs w:val="22"/>
          <w:color w:val="auto"/>
        </w:rPr>
      </w:pPr>
    </w:p>
    <w:p>
      <w:pPr>
        <w:ind w:left="1280" w:hanging="624"/>
        <w:spacing w:after="0"/>
        <w:tabs>
          <w:tab w:leader="none" w:pos="1280" w:val="left"/>
        </w:tabs>
        <w:numPr>
          <w:ilvl w:val="1"/>
          <w:numId w:val="84"/>
        </w:numPr>
        <w:rPr>
          <w:rFonts w:ascii="Arial" w:cs="Arial" w:eastAsia="Arial" w:hAnsi="Arial"/>
          <w:sz w:val="21"/>
          <w:szCs w:val="21"/>
          <w:color w:val="auto"/>
        </w:rPr>
      </w:pPr>
      <w:r>
        <w:rPr>
          <w:rFonts w:ascii="Arial" w:cs="Arial" w:eastAsia="Arial" w:hAnsi="Arial"/>
          <w:sz w:val="21"/>
          <w:szCs w:val="21"/>
          <w:color w:val="auto"/>
        </w:rPr>
        <w:t>Capitalized terms not otherwise defined in this Agreement shall have the meaning given to them in the Plan.</w:t>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and Holder agree as follows:</w:t>
      </w:r>
    </w:p>
    <w:p>
      <w:pPr>
        <w:spacing w:after="0" w:line="200" w:lineRule="exact"/>
        <w:rPr>
          <w:sz w:val="20"/>
          <w:szCs w:val="20"/>
          <w:color w:val="auto"/>
        </w:rPr>
      </w:pPr>
    </w:p>
    <w:p>
      <w:pPr>
        <w:spacing w:after="0" w:line="317"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The Company hereby grants to the Holder, subject to the terms and conditions set</w:t>
      </w:r>
    </w:p>
    <w:p>
      <w:pPr>
        <w:spacing w:after="0" w:line="106" w:lineRule="exact"/>
        <w:rPr>
          <w:sz w:val="20"/>
          <w:szCs w:val="20"/>
          <w:color w:val="auto"/>
        </w:rPr>
      </w:pPr>
    </w:p>
    <w:p>
      <w:pPr>
        <w:spacing w:after="0"/>
        <w:tabs>
          <w:tab w:leader="none" w:pos="3480" w:val="left"/>
        </w:tabs>
        <w:rPr>
          <w:sz w:val="20"/>
          <w:szCs w:val="20"/>
          <w:color w:val="auto"/>
        </w:rPr>
      </w:pPr>
      <w:r>
        <w:rPr>
          <w:rFonts w:ascii="Arial" w:cs="Arial" w:eastAsia="Arial" w:hAnsi="Arial"/>
          <w:sz w:val="22"/>
          <w:szCs w:val="22"/>
          <w:color w:val="auto"/>
        </w:rPr>
        <w:t>forth herein and in the Plan,</w:t>
      </w:r>
      <w:r>
        <w:rPr>
          <w:sz w:val="20"/>
          <w:szCs w:val="20"/>
          <w:color w:val="auto"/>
        </w:rPr>
        <w:tab/>
      </w:r>
      <w:r>
        <w:rPr>
          <w:rFonts w:ascii="Arial" w:cs="Arial" w:eastAsia="Arial" w:hAnsi="Arial"/>
          <w:sz w:val="19"/>
          <w:szCs w:val="19"/>
          <w:color w:val="auto"/>
        </w:rPr>
        <w:t>Restricted Stock Units, each of which shall be deemed to be the equivalent of one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-17780</wp:posOffset>
            </wp:positionV>
            <wp:extent cx="6172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60" w:firstLine="656"/>
        <w:spacing w:after="0" w:line="371" w:lineRule="auto"/>
        <w:tabs>
          <w:tab w:leader="none" w:pos="1297"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The Restricted Stock Units shall vest with respect to 100% of such Restricted Stock Units, in the calendar year following the calendar year in which the Grant Date occurs, on the last business day prior to the date of the Company’s annual shareholder meeting in such calendar year, provided that the Holder is an Eligible Director on such date. Notwithstanding the foregoing, the Restricted Stock Units shall immediately vest with respect to 100% of such Restricted Stock Units upon a Change of Control, provided that the Holder is an Eligible Director upon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firstLine="648"/>
        <w:spacing w:after="0" w:line="386" w:lineRule="auto"/>
        <w:rPr>
          <w:sz w:val="20"/>
          <w:szCs w:val="20"/>
          <w:color w:val="auto"/>
        </w:rPr>
      </w:pPr>
      <w:r>
        <w:rPr>
          <w:rFonts w:ascii="Arial" w:cs="Arial" w:eastAsia="Arial" w:hAnsi="Arial"/>
          <w:sz w:val="19"/>
          <w:szCs w:val="19"/>
          <w:color w:val="auto"/>
        </w:rPr>
        <w:t xml:space="preserve">3. </w:t>
      </w:r>
      <w:r>
        <w:rPr>
          <w:rFonts w:ascii="Arial" w:cs="Arial" w:eastAsia="Arial" w:hAnsi="Arial"/>
          <w:sz w:val="19"/>
          <w:szCs w:val="19"/>
          <w:u w:val="single" w:color="auto"/>
          <w:color w:val="auto"/>
        </w:rPr>
        <w:t>Payment of Restricted Stock Units.</w:t>
      </w:r>
      <w:r>
        <w:rPr>
          <w:rFonts w:ascii="Arial" w:cs="Arial" w:eastAsia="Arial" w:hAnsi="Arial"/>
          <w:sz w:val="19"/>
          <w:szCs w:val="19"/>
          <w:color w:val="auto"/>
        </w:rPr>
        <w:t xml:space="preserve"> The Company shall make a payment to the Holder of the Restricted Stock Units on the earliest practicable date (but no later than thirty (30) days after the vesting date) in the form of Shares equal to the number of vested Restricted Stock Units or the cash equivalent of such shares as of the vesting date, as determined by the Board.</w:t>
      </w:r>
    </w:p>
    <w:p>
      <w:pPr>
        <w:spacing w:after="0" w:line="200" w:lineRule="exact"/>
        <w:rPr>
          <w:sz w:val="20"/>
          <w:szCs w:val="20"/>
          <w:color w:val="auto"/>
        </w:rPr>
      </w:pPr>
    </w:p>
    <w:p>
      <w:pPr>
        <w:spacing w:after="0" w:line="204" w:lineRule="exact"/>
        <w:rPr>
          <w:sz w:val="20"/>
          <w:szCs w:val="20"/>
          <w:color w:val="auto"/>
        </w:rPr>
      </w:pPr>
    </w:p>
    <w:p>
      <w:pPr>
        <w:ind w:right="200" w:firstLine="656"/>
        <w:spacing w:after="0" w:line="327" w:lineRule="auto"/>
        <w:tabs>
          <w:tab w:leader="none" w:pos="1297"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Unless otherwise determined by the Board, the Restricted Stock Units shall not be transferable other than by will or by the laws of descent and distribution.</w:t>
      </w: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jc w:val="both"/>
        <w:ind w:firstLine="656"/>
        <w:spacing w:after="0" w:line="364" w:lineRule="auto"/>
        <w:tabs>
          <w:tab w:leader="none" w:pos="141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any change in the outstanding Shares after the Grant Date by reason of any Share dividend or split, reorganization, recapitalization, merger, consolidation, spin-off, combination, combination or transaction or exchange of Shares or other corporate exchange, or any distribution to shareholders of Shares other than regular cash dividends or any transaction similar to the foregoing, the Board in its sole discretion and without liability to any person shall make such substitution or adjustment, if any, as it deems to be equitable, as to the number and/or kinds of shares or other securities subject to the Restricted Stock Units, if any. Any adjustment under this clause 5 shall be made by the Board, whose determination as to what adjustmen ts shall be made, if any, and the extent thereof, will be final, binding and conclusive. No fractional Restricted Stock Units will be issued under this Agreement resulting from any such adjustment.</w:t>
      </w: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jc w:val="both"/>
        <w:ind w:firstLine="656"/>
        <w:spacing w:after="0" w:line="376" w:lineRule="auto"/>
        <w:tabs>
          <w:tab w:leader="none" w:pos="1432"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Holder shall have no rights as a stockholder with respect to the Restricted Stock Units. The Holder’s right to receive payment under this Agreement shall be an unfunded entitlement and shall be an unsecured claim against the general assets of the Company. The Holder has only the status of a general unsecured creditor hereunder, and this Agreement constitutes only a promise by the Company to pay the value of the Restricted Stock Units on the payment date. In the</w:t>
      </w:r>
    </w:p>
    <w:p>
      <w:pPr>
        <w:sectPr>
          <w:pgSz w:w="11900" w:h="16949" w:orient="portrait"/>
          <w:cols w:equalWidth="0" w:num="1">
            <w:col w:w="11420"/>
          </w:cols>
          <w:pgMar w:left="240" w:top="111" w:right="239" w:bottom="0" w:gutter="0" w:footer="0" w:header="0"/>
          <w:type w:val="continuous"/>
        </w:sectPr>
      </w:pPr>
    </w:p>
    <w:bookmarkStart w:id="79" w:name="page80"/>
    <w:bookmarkEnd w:id="79"/>
    <w:p>
      <w:pPr>
        <w:spacing w:after="0" w:line="354" w:lineRule="auto"/>
        <w:rPr>
          <w:sz w:val="20"/>
          <w:szCs w:val="20"/>
          <w:color w:val="auto"/>
        </w:rPr>
      </w:pPr>
      <w:r>
        <w:rPr>
          <w:rFonts w:ascii="Arial" w:cs="Arial" w:eastAsia="Arial" w:hAnsi="Arial"/>
          <w:sz w:val="21"/>
          <w:szCs w:val="21"/>
          <w:color w:val="auto"/>
        </w:rPr>
        <w:t>event that shares are paid to the Holder in respect of the Restricted Stock Units, Holder shall not have any rights as a shareholder with respect to such shares prior to the date of issuance to him of a certificate or certificates for such shares.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656"/>
        <w:spacing w:after="0" w:line="317" w:lineRule="auto"/>
        <w:tabs>
          <w:tab w:leader="none" w:pos="1297"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 Right to Continue Membership on Board</w:t>
      </w:r>
      <w:r>
        <w:rPr>
          <w:rFonts w:ascii="Arial" w:cs="Arial" w:eastAsia="Arial" w:hAnsi="Arial"/>
          <w:sz w:val="22"/>
          <w:szCs w:val="22"/>
          <w:color w:val="auto"/>
        </w:rPr>
        <w:t>. This Agreement shall not confer upon Holder any right with respect to continuance on the Board nor shall it interfere in any way with the rights of Holder to terminate his membership on the Board at any time.</w:t>
      </w:r>
    </w:p>
    <w:p>
      <w:pPr>
        <w:spacing w:after="0" w:line="200" w:lineRule="exact"/>
        <w:rPr>
          <w:rFonts w:ascii="Arial" w:cs="Arial" w:eastAsia="Arial" w:hAnsi="Arial"/>
          <w:sz w:val="22"/>
          <w:szCs w:val="22"/>
          <w:color w:val="auto"/>
        </w:rPr>
      </w:pPr>
    </w:p>
    <w:p>
      <w:pPr>
        <w:spacing w:after="0" w:line="256" w:lineRule="exact"/>
        <w:rPr>
          <w:rFonts w:ascii="Arial" w:cs="Arial" w:eastAsia="Arial" w:hAnsi="Arial"/>
          <w:sz w:val="22"/>
          <w:szCs w:val="22"/>
          <w:color w:val="auto"/>
        </w:rPr>
      </w:pPr>
    </w:p>
    <w:p>
      <w:pPr>
        <w:ind w:firstLine="656"/>
        <w:spacing w:after="0" w:line="317" w:lineRule="auto"/>
        <w:tabs>
          <w:tab w:leader="none" w:pos="1297"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Compliance With Law and Regulation</w:t>
      </w:r>
      <w:r>
        <w:rPr>
          <w:rFonts w:ascii="Arial" w:cs="Arial" w:eastAsia="Arial" w:hAnsi="Arial"/>
          <w:sz w:val="22"/>
          <w:szCs w:val="22"/>
          <w:color w:val="auto"/>
        </w:rPr>
        <w:t>. This Agreement and the obligation of the Company to deliver Shares hereunder shall be subject to all applicable federal and state laws, rules and regulations and to such approvals by any government or regulatory agency as may be required.</w:t>
      </w:r>
    </w:p>
    <w:p>
      <w:pPr>
        <w:spacing w:after="0" w:line="200" w:lineRule="exact"/>
        <w:rPr>
          <w:rFonts w:ascii="Arial" w:cs="Arial" w:eastAsia="Arial" w:hAnsi="Arial"/>
          <w:sz w:val="22"/>
          <w:szCs w:val="22"/>
          <w:color w:val="auto"/>
        </w:rPr>
      </w:pPr>
    </w:p>
    <w:p>
      <w:pPr>
        <w:spacing w:after="0" w:line="256" w:lineRule="exact"/>
        <w:rPr>
          <w:rFonts w:ascii="Arial" w:cs="Arial" w:eastAsia="Arial" w:hAnsi="Arial"/>
          <w:sz w:val="22"/>
          <w:szCs w:val="22"/>
          <w:color w:val="auto"/>
        </w:rPr>
      </w:pPr>
    </w:p>
    <w:p>
      <w:pPr>
        <w:ind w:left="1320" w:hanging="664"/>
        <w:spacing w:after="0"/>
        <w:tabs>
          <w:tab w:leader="none" w:pos="132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hereunder to the Company shall be addressed to it at its office at 550 Monica Circle, Suite 201,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60" w:type="dxa"/>
            <w:vAlign w:val="bottom"/>
            <w:gridSpan w:val="3"/>
          </w:tcPr>
          <w:p>
            <w:pPr>
              <w:spacing w:after="0"/>
              <w:rPr>
                <w:sz w:val="20"/>
                <w:szCs w:val="20"/>
                <w:color w:val="auto"/>
              </w:rPr>
            </w:pPr>
            <w:r>
              <w:rPr>
                <w:rFonts w:ascii="Arial" w:cs="Arial" w:eastAsia="Arial" w:hAnsi="Arial"/>
                <w:sz w:val="22"/>
                <w:szCs w:val="22"/>
                <w:color w:val="auto"/>
                <w:w w:val="92"/>
              </w:rPr>
              <w:t>Corona, California 92880, Attention:</w:t>
            </w:r>
          </w:p>
        </w:tc>
        <w:tc>
          <w:tcPr>
            <w:tcW w:w="860" w:type="dxa"/>
            <w:vAlign w:val="bottom"/>
            <w:tcBorders>
              <w:bottom w:val="single" w:sz="8" w:color="auto"/>
            </w:tcBorders>
          </w:tcPr>
          <w:p>
            <w:pPr>
              <w:spacing w:after="0"/>
              <w:rPr>
                <w:sz w:val="21"/>
                <w:szCs w:val="21"/>
                <w:color w:val="auto"/>
              </w:rPr>
            </w:pPr>
          </w:p>
        </w:tc>
        <w:tc>
          <w:tcPr>
            <w:tcW w:w="1340" w:type="dxa"/>
            <w:vAlign w:val="bottom"/>
          </w:tcPr>
          <w:p>
            <w:pPr>
              <w:ind w:left="60"/>
              <w:spacing w:after="0"/>
              <w:rPr>
                <w:sz w:val="20"/>
                <w:szCs w:val="20"/>
                <w:color w:val="auto"/>
              </w:rPr>
            </w:pPr>
            <w:r>
              <w:rPr>
                <w:rFonts w:ascii="Arial" w:cs="Arial" w:eastAsia="Arial" w:hAnsi="Arial"/>
                <w:sz w:val="22"/>
                <w:szCs w:val="22"/>
                <w:color w:val="auto"/>
                <w:w w:val="93"/>
              </w:rPr>
              <w:t>with a copy to</w:t>
            </w:r>
          </w:p>
        </w:tc>
        <w:tc>
          <w:tcPr>
            <w:tcW w:w="940" w:type="dxa"/>
            <w:vAlign w:val="bottom"/>
            <w:tcBorders>
              <w:bottom w:val="single" w:sz="8" w:color="auto"/>
            </w:tcBorders>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22"/>
                <w:szCs w:val="22"/>
                <w:color w:val="auto"/>
                <w:w w:val="87"/>
              </w:rPr>
              <w:t>, and any notice hereunder to Holder shall be addressed to</w:t>
            </w:r>
          </w:p>
        </w:tc>
      </w:tr>
      <w:tr>
        <w:trPr>
          <w:trHeight w:val="304"/>
        </w:trPr>
        <w:tc>
          <w:tcPr>
            <w:tcW w:w="600" w:type="dxa"/>
            <w:vAlign w:val="bottom"/>
          </w:tcPr>
          <w:p>
            <w:pPr>
              <w:spacing w:after="0"/>
              <w:rPr>
                <w:sz w:val="20"/>
                <w:szCs w:val="20"/>
                <w:color w:val="auto"/>
              </w:rPr>
            </w:pPr>
            <w:r>
              <w:rPr>
                <w:rFonts w:ascii="Arial" w:cs="Arial" w:eastAsia="Arial" w:hAnsi="Arial"/>
                <w:sz w:val="22"/>
                <w:szCs w:val="22"/>
                <w:color w:val="auto"/>
                <w:w w:val="96"/>
              </w:rPr>
              <w:t>him at</w:t>
            </w:r>
          </w:p>
        </w:tc>
        <w:tc>
          <w:tcPr>
            <w:tcW w:w="920" w:type="dxa"/>
            <w:vAlign w:val="bottom"/>
            <w:tcBorders>
              <w:bottom w:val="single" w:sz="8" w:color="auto"/>
            </w:tcBorders>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22"/>
                <w:szCs w:val="22"/>
                <w:color w:val="auto"/>
              </w:rPr>
              <w:t>, subject to the right of either party to designate at any time hereafter in writing some other address.</w:t>
            </w:r>
          </w:p>
        </w:tc>
      </w:tr>
    </w:tbl>
    <w:p>
      <w:pPr>
        <w:spacing w:after="0" w:line="200" w:lineRule="exact"/>
        <w:rPr>
          <w:sz w:val="20"/>
          <w:szCs w:val="20"/>
          <w:color w:val="auto"/>
        </w:rPr>
      </w:pPr>
    </w:p>
    <w:p>
      <w:pPr>
        <w:spacing w:after="0" w:line="373" w:lineRule="exact"/>
        <w:rPr>
          <w:sz w:val="20"/>
          <w:szCs w:val="20"/>
          <w:color w:val="auto"/>
        </w:rPr>
      </w:pPr>
    </w:p>
    <w:p>
      <w:pPr>
        <w:ind w:firstLine="656"/>
        <w:spacing w:after="0" w:line="327" w:lineRule="auto"/>
        <w:tabs>
          <w:tab w:leader="none" w:pos="1351"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modification, amendment or waiver of any of the provisions of this Agreement shall be effective unless in writing specifically referring hereto, and signed by both parties.</w:t>
      </w: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jc w:val="both"/>
        <w:ind w:firstLine="656"/>
        <w:spacing w:after="0" w:line="317" w:lineRule="auto"/>
        <w:tabs>
          <w:tab w:leader="none" w:pos="153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200" w:lineRule="exact"/>
        <w:rPr>
          <w:rFonts w:ascii="Arial" w:cs="Arial" w:eastAsia="Arial" w:hAnsi="Arial"/>
          <w:sz w:val="22"/>
          <w:szCs w:val="22"/>
          <w:color w:val="auto"/>
        </w:rPr>
      </w:pPr>
    </w:p>
    <w:p>
      <w:pPr>
        <w:spacing w:after="0" w:line="256" w:lineRule="exact"/>
        <w:rPr>
          <w:rFonts w:ascii="Arial" w:cs="Arial" w:eastAsia="Arial" w:hAnsi="Arial"/>
          <w:sz w:val="22"/>
          <w:szCs w:val="22"/>
          <w:color w:val="auto"/>
        </w:rPr>
      </w:pPr>
    </w:p>
    <w:p>
      <w:pPr>
        <w:ind w:firstLine="656"/>
        <w:spacing w:after="0" w:line="327" w:lineRule="auto"/>
        <w:tabs>
          <w:tab w:leader="none" w:pos="131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constitute one and the same instrument.</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327" w:lineRule="auto"/>
        <w:rPr>
          <w:sz w:val="20"/>
          <w:szCs w:val="20"/>
          <w:color w:val="auto"/>
        </w:rPr>
      </w:pPr>
      <w:r>
        <w:rPr>
          <w:rFonts w:ascii="Arial" w:cs="Arial" w:eastAsia="Arial" w:hAnsi="Arial"/>
          <w:sz w:val="22"/>
          <w:szCs w:val="22"/>
          <w:color w:val="auto"/>
        </w:rPr>
        <w:t>IN WITNESS WHEREOF, Hansen Natural Corporation has caused this Agreement to be executed by a duly authorized officer and Holder has executed this Agreement both as of the day and year first above written.</w:t>
      </w:r>
    </w:p>
    <w:p>
      <w:pPr>
        <w:spacing w:after="0" w:line="4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HANSEN NATURAL CORPORATION</w:t>
      </w:r>
    </w:p>
    <w:p>
      <w:pPr>
        <w:spacing w:after="0" w:line="11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7620</wp:posOffset>
            </wp:positionV>
            <wp:extent cx="33274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9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070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5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21</w:t>
      </w: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SUBSIDIARIES</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OF</w:t>
      </w:r>
    </w:p>
    <w:p>
      <w:pPr>
        <w:jc w:val="center"/>
        <w:ind w:right="1180"/>
        <w:spacing w:after="0"/>
        <w:rPr>
          <w:sz w:val="20"/>
          <w:szCs w:val="20"/>
          <w:color w:val="auto"/>
        </w:rPr>
      </w:pPr>
      <w:r>
        <w:rPr>
          <w:rFonts w:ascii="Arial" w:cs="Arial" w:eastAsia="Arial" w:hAnsi="Arial"/>
          <w:sz w:val="20"/>
          <w:szCs w:val="20"/>
          <w:b w:val="1"/>
          <w:bCs w:val="1"/>
          <w:color w:val="auto"/>
        </w:rPr>
        <w:t>HANSEN NATURAL CORPORATION</w:t>
      </w:r>
    </w:p>
    <w:p>
      <w:pPr>
        <w:spacing w:after="0" w:line="200" w:lineRule="exact"/>
        <w:rPr>
          <w:sz w:val="20"/>
          <w:szCs w:val="20"/>
          <w:color w:val="auto"/>
        </w:rPr>
      </w:pPr>
    </w:p>
    <w:p>
      <w:pPr>
        <w:spacing w:after="0" w:line="24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Hansen Beverage Company</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LDA Company</w:t>
      </w:r>
    </w:p>
    <w:p>
      <w:pPr>
        <w:jc w:val="center"/>
        <w:ind w:right="1180"/>
        <w:spacing w:after="0"/>
        <w:rPr>
          <w:sz w:val="20"/>
          <w:szCs w:val="20"/>
          <w:color w:val="auto"/>
        </w:rPr>
      </w:pPr>
      <w:r>
        <w:rPr>
          <w:rFonts w:ascii="Arial" w:cs="Arial" w:eastAsia="Arial" w:hAnsi="Arial"/>
          <w:sz w:val="20"/>
          <w:szCs w:val="20"/>
          <w:color w:val="auto"/>
        </w:rPr>
        <w:t>Hansen Junior Juice Company</w:t>
      </w:r>
    </w:p>
    <w:p>
      <w:pPr>
        <w:jc w:val="center"/>
        <w:ind w:right="1180"/>
        <w:spacing w:after="0"/>
        <w:rPr>
          <w:sz w:val="20"/>
          <w:szCs w:val="20"/>
          <w:color w:val="auto"/>
        </w:rPr>
      </w:pPr>
      <w:r>
        <w:rPr>
          <w:rFonts w:ascii="Arial" w:cs="Arial" w:eastAsia="Arial" w:hAnsi="Arial"/>
          <w:sz w:val="20"/>
          <w:szCs w:val="20"/>
          <w:color w:val="auto"/>
        </w:rPr>
        <w:t>Blue Sky Natural Beverage Co.</w:t>
      </w:r>
    </w:p>
    <w:p>
      <w:pPr>
        <w:jc w:val="center"/>
        <w:ind w:right="1180"/>
        <w:spacing w:after="0"/>
        <w:rPr>
          <w:sz w:val="20"/>
          <w:szCs w:val="20"/>
          <w:color w:val="auto"/>
        </w:rPr>
      </w:pPr>
      <w:r>
        <w:rPr>
          <w:rFonts w:ascii="Arial" w:cs="Arial" w:eastAsia="Arial" w:hAnsi="Arial"/>
          <w:sz w:val="20"/>
          <w:szCs w:val="20"/>
          <w:color w:val="auto"/>
        </w:rPr>
        <w:t>Monster Energy Europe Limited</w:t>
      </w:r>
    </w:p>
    <w:p>
      <w:pPr>
        <w:jc w:val="center"/>
        <w:ind w:right="1180"/>
        <w:spacing w:after="0"/>
        <w:rPr>
          <w:sz w:val="20"/>
          <w:szCs w:val="20"/>
          <w:color w:val="auto"/>
        </w:rPr>
      </w:pPr>
      <w:r>
        <w:rPr>
          <w:rFonts w:ascii="Arial" w:cs="Arial" w:eastAsia="Arial" w:hAnsi="Arial"/>
          <w:sz w:val="20"/>
          <w:szCs w:val="20"/>
          <w:color w:val="auto"/>
        </w:rPr>
        <w:t>Monster Energy Limited</w:t>
      </w:r>
    </w:p>
    <w:p>
      <w:pPr>
        <w:jc w:val="center"/>
        <w:ind w:right="1180"/>
        <w:spacing w:after="0"/>
        <w:rPr>
          <w:sz w:val="20"/>
          <w:szCs w:val="20"/>
          <w:color w:val="auto"/>
        </w:rPr>
      </w:pPr>
      <w:r>
        <w:rPr>
          <w:rFonts w:ascii="Arial" w:cs="Arial" w:eastAsia="Arial" w:hAnsi="Arial"/>
          <w:sz w:val="20"/>
          <w:szCs w:val="20"/>
          <w:color w:val="auto"/>
        </w:rPr>
        <w:t>Monster Energy AU Pty Ltd.</w:t>
      </w:r>
    </w:p>
    <w:p>
      <w:pPr>
        <w:jc w:val="center"/>
        <w:ind w:right="1180"/>
        <w:spacing w:after="0"/>
        <w:rPr>
          <w:sz w:val="20"/>
          <w:szCs w:val="20"/>
          <w:color w:val="auto"/>
        </w:rPr>
      </w:pPr>
      <w:r>
        <w:rPr>
          <w:rFonts w:ascii="Arial" w:cs="Arial" w:eastAsia="Arial" w:hAnsi="Arial"/>
          <w:sz w:val="20"/>
          <w:szCs w:val="20"/>
          <w:color w:val="auto"/>
        </w:rPr>
        <w:t>Fastest, LLC</w:t>
      </w:r>
    </w:p>
    <w:p>
      <w:pPr>
        <w:jc w:val="center"/>
        <w:ind w:right="1180"/>
        <w:spacing w:after="0"/>
        <w:rPr>
          <w:sz w:val="20"/>
          <w:szCs w:val="20"/>
          <w:color w:val="auto"/>
        </w:rPr>
      </w:pPr>
      <w:r>
        <w:rPr>
          <w:rFonts w:ascii="Arial" w:cs="Arial" w:eastAsia="Arial" w:hAnsi="Arial"/>
          <w:sz w:val="20"/>
          <w:szCs w:val="20"/>
          <w:color w:val="auto"/>
        </w:rPr>
        <w:t>Monster Energy Canada Ltd.</w:t>
      </w:r>
    </w:p>
    <w:p>
      <w:pPr>
        <w:jc w:val="center"/>
        <w:ind w:right="1180"/>
        <w:spacing w:after="0"/>
        <w:rPr>
          <w:sz w:val="20"/>
          <w:szCs w:val="20"/>
          <w:color w:val="auto"/>
        </w:rPr>
      </w:pPr>
      <w:r>
        <w:rPr>
          <w:rFonts w:ascii="Arial" w:cs="Arial" w:eastAsia="Arial" w:hAnsi="Arial"/>
          <w:sz w:val="20"/>
          <w:szCs w:val="20"/>
          <w:color w:val="auto"/>
        </w:rPr>
        <w:t>Monster Racing, Inc.</w:t>
      </w:r>
    </w:p>
    <w:p>
      <w:pPr>
        <w:jc w:val="center"/>
        <w:ind w:right="1180"/>
        <w:spacing w:after="0"/>
        <w:rPr>
          <w:sz w:val="20"/>
          <w:szCs w:val="20"/>
          <w:color w:val="auto"/>
        </w:rPr>
      </w:pPr>
      <w:r>
        <w:rPr>
          <w:rFonts w:ascii="Arial" w:cs="Arial" w:eastAsia="Arial" w:hAnsi="Arial"/>
          <w:sz w:val="20"/>
          <w:szCs w:val="20"/>
          <w:color w:val="auto"/>
        </w:rPr>
        <w:t>Monster Energy Brasil Comércio de Bebidas Ltda</w:t>
      </w:r>
    </w:p>
    <w:p>
      <w:pPr>
        <w:jc w:val="center"/>
        <w:ind w:right="1180"/>
        <w:spacing w:after="0"/>
        <w:rPr>
          <w:sz w:val="20"/>
          <w:szCs w:val="20"/>
          <w:color w:val="auto"/>
        </w:rPr>
      </w:pPr>
      <w:r>
        <w:rPr>
          <w:rFonts w:ascii="Arial" w:cs="Arial" w:eastAsia="Arial" w:hAnsi="Arial"/>
          <w:sz w:val="20"/>
          <w:szCs w:val="20"/>
          <w:color w:val="auto"/>
        </w:rPr>
        <w:t>Monster Energy Mexico, S. de R.L. de C.V.</w:t>
      </w:r>
    </w:p>
    <w:p>
      <w:pPr>
        <w:jc w:val="center"/>
        <w:ind w:right="1180"/>
        <w:spacing w:after="0"/>
        <w:rPr>
          <w:sz w:val="20"/>
          <w:szCs w:val="20"/>
          <w:color w:val="auto"/>
        </w:rPr>
      </w:pPr>
      <w:r>
        <w:rPr>
          <w:rFonts w:ascii="Arial" w:cs="Arial" w:eastAsia="Arial" w:hAnsi="Arial"/>
          <w:sz w:val="20"/>
          <w:szCs w:val="20"/>
          <w:color w:val="auto"/>
        </w:rPr>
        <w:t>ME Management Services, S. de R.L. de C. V.</w:t>
      </w:r>
    </w:p>
    <w:p>
      <w:pPr>
        <w:jc w:val="center"/>
        <w:ind w:right="1180"/>
        <w:spacing w:after="0"/>
        <w:rPr>
          <w:sz w:val="20"/>
          <w:szCs w:val="20"/>
          <w:color w:val="auto"/>
        </w:rPr>
      </w:pPr>
      <w:r>
        <w:rPr>
          <w:rFonts w:ascii="Arial" w:cs="Arial" w:eastAsia="Arial" w:hAnsi="Arial"/>
          <w:sz w:val="20"/>
          <w:szCs w:val="20"/>
          <w:color w:val="auto"/>
        </w:rPr>
        <w:t>Monster Energy France SAS</w:t>
      </w:r>
    </w:p>
    <w:p>
      <w:pPr>
        <w:jc w:val="center"/>
        <w:ind w:right="1180"/>
        <w:spacing w:after="0"/>
        <w:rPr>
          <w:sz w:val="20"/>
          <w:szCs w:val="20"/>
          <w:color w:val="auto"/>
        </w:rPr>
      </w:pPr>
      <w:r>
        <w:rPr>
          <w:rFonts w:ascii="Arial" w:cs="Arial" w:eastAsia="Arial" w:hAnsi="Arial"/>
          <w:sz w:val="20"/>
          <w:szCs w:val="20"/>
          <w:color w:val="auto"/>
        </w:rPr>
        <w:t>Monster Energy Austria GmbH</w:t>
      </w:r>
    </w:p>
    <w:p>
      <w:pPr>
        <w:jc w:val="center"/>
        <w:ind w:right="1180"/>
        <w:spacing w:after="0"/>
        <w:rPr>
          <w:sz w:val="20"/>
          <w:szCs w:val="20"/>
          <w:color w:val="auto"/>
        </w:rPr>
      </w:pPr>
      <w:r>
        <w:rPr>
          <w:rFonts w:ascii="Arial" w:cs="Arial" w:eastAsia="Arial" w:hAnsi="Arial"/>
          <w:sz w:val="20"/>
          <w:szCs w:val="20"/>
          <w:color w:val="auto"/>
        </w:rPr>
        <w:t>Monster Energy Hong Kong Limited</w:t>
      </w:r>
    </w:p>
    <w:p>
      <w:pPr>
        <w:jc w:val="center"/>
        <w:ind w:right="1180"/>
        <w:spacing w:after="0"/>
        <w:rPr>
          <w:sz w:val="20"/>
          <w:szCs w:val="20"/>
          <w:color w:val="auto"/>
        </w:rPr>
      </w:pPr>
      <w:r>
        <w:rPr>
          <w:rFonts w:ascii="Arial" w:cs="Arial" w:eastAsia="Arial" w:hAnsi="Arial"/>
          <w:sz w:val="18"/>
          <w:szCs w:val="18"/>
          <w:color w:val="auto"/>
        </w:rPr>
        <w:t>Monster Energy Beverage Company of South Africa (Proprietary) Limited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Energy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color w:val="auto"/>
        </w:rPr>
        <w:t>EXHIBIT 23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consent to the incorporation by reference in Registration Statement No. 333-41333, No. 333-89123, No. 333-112482, No. 333-131467, No. 033-92526, and No. 333-170713 on Form S-8 of our reports dated March 1, 2011, relating to the consolidated financial statements and financial statement schedule of Hansen Natural Corporation and subsidiaries (the “Company”) and the effectiveness of the Company’s internal control over financial reporting, appearing in this Annual Report on Form 10-K of Hansen Natural Corporation and subsidiaries for the year ended December 31, 2010.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Costa Mesa</w:t>
      </w:r>
      <w:r>
        <w:rPr>
          <w:rFonts w:ascii="Arial" w:cs="Arial" w:eastAsia="Arial" w:hAnsi="Arial"/>
          <w:sz w:val="22"/>
          <w:szCs w:val="22"/>
          <w:i w:val="1"/>
          <w:iCs w:val="1"/>
          <w:color w:val="auto"/>
        </w:rPr>
        <w:t>,</w:t>
      </w:r>
      <w:r>
        <w:rPr>
          <w:rFonts w:ascii="Arial" w:cs="Arial" w:eastAsia="Arial" w:hAnsi="Arial"/>
          <w:sz w:val="22"/>
          <w:szCs w:val="22"/>
          <w:color w:val="auto"/>
        </w:rPr>
        <w:t xml:space="preserv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00" w:hanging="292"/>
        <w:spacing w:after="0"/>
        <w:tabs>
          <w:tab w:leader="none" w:pos="3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Hansen Natural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53" w:val="left"/>
        </w:tabs>
        <w:numPr>
          <w:ilvl w:val="0"/>
          <w:numId w:val="9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3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3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0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691"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1739" w:val="left"/>
        </w:tabs>
        <w:numPr>
          <w:ilvl w:val="1"/>
          <w:numId w:val="9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7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392"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624" w:val="left"/>
        </w:tabs>
        <w:numPr>
          <w:ilvl w:val="1"/>
          <w:numId w:val="9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689" w:val="left"/>
        </w:tabs>
        <w:numPr>
          <w:ilvl w:val="1"/>
          <w:numId w:val="9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5140" w:type="dxa"/>
            <w:vAlign w:val="bottom"/>
          </w:tcPr>
          <w:p>
            <w:pPr>
              <w:ind w:left="400"/>
              <w:spacing w:after="0"/>
              <w:rPr>
                <w:sz w:val="20"/>
                <w:szCs w:val="20"/>
                <w:color w:val="auto"/>
              </w:rPr>
            </w:pPr>
            <w:r>
              <w:rPr>
                <w:rFonts w:ascii="Arial" w:cs="Arial" w:eastAsia="Arial" w:hAnsi="Arial"/>
                <w:sz w:val="20"/>
                <w:szCs w:val="20"/>
                <w:color w:val="auto"/>
              </w:rPr>
              <w:t>March 1, 2011</w:t>
            </w:r>
          </w:p>
        </w:tc>
        <w:tc>
          <w:tcPr>
            <w:tcW w:w="5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542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60" w:type="dxa"/>
            <w:vAlign w:val="bottom"/>
            <w:tcBorders>
              <w:bottom w:val="single" w:sz="8" w:color="010101"/>
            </w:tcBorders>
          </w:tcPr>
          <w:p>
            <w:pPr>
              <w:spacing w:after="0"/>
              <w:rPr>
                <w:sz w:val="24"/>
                <w:szCs w:val="24"/>
                <w:color w:val="auto"/>
              </w:rPr>
            </w:pPr>
          </w:p>
        </w:tc>
        <w:tc>
          <w:tcPr>
            <w:tcW w:w="5140" w:type="dxa"/>
            <w:vAlign w:val="bottom"/>
            <w:tcBorders>
              <w:bottom w:val="single" w:sz="8" w:color="010101"/>
            </w:tcBorders>
          </w:tcPr>
          <w:p>
            <w:pPr>
              <w:spacing w:after="0"/>
              <w:rPr>
                <w:sz w:val="24"/>
                <w:szCs w:val="24"/>
                <w:color w:val="auto"/>
              </w:rPr>
            </w:pPr>
          </w:p>
        </w:tc>
        <w:tc>
          <w:tcPr>
            <w:tcW w:w="5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83" w:name="page84"/>
    <w:bookmarkEnd w:id="83"/>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Hansen Natural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53" w:val="left"/>
        </w:tabs>
        <w:numPr>
          <w:ilvl w:val="0"/>
          <w:numId w:val="9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3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3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691"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1739" w:val="left"/>
        </w:tabs>
        <w:numPr>
          <w:ilvl w:val="1"/>
          <w:numId w:val="9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7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392"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624" w:val="left"/>
        </w:tabs>
        <w:numPr>
          <w:ilvl w:val="1"/>
          <w:numId w:val="9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689" w:val="left"/>
        </w:tabs>
        <w:numPr>
          <w:ilvl w:val="1"/>
          <w:numId w:val="9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5120" w:type="dxa"/>
            <w:vAlign w:val="bottom"/>
          </w:tcPr>
          <w:p>
            <w:pPr>
              <w:ind w:left="420"/>
              <w:spacing w:after="0"/>
              <w:rPr>
                <w:sz w:val="20"/>
                <w:szCs w:val="20"/>
                <w:color w:val="auto"/>
              </w:rPr>
            </w:pPr>
            <w:r>
              <w:rPr>
                <w:rFonts w:ascii="Arial" w:cs="Arial" w:eastAsia="Arial" w:hAnsi="Arial"/>
                <w:sz w:val="20"/>
                <w:szCs w:val="20"/>
                <w:color w:val="auto"/>
              </w:rPr>
              <w:t>March 1, 2011</w:t>
            </w:r>
          </w:p>
        </w:tc>
        <w:tc>
          <w:tcPr>
            <w:tcW w:w="5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544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5440" w:type="dxa"/>
            <w:vAlign w:val="bottom"/>
          </w:tcPr>
          <w:p>
            <w:pPr>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60" w:type="dxa"/>
            <w:vAlign w:val="bottom"/>
            <w:tcBorders>
              <w:bottom w:val="single" w:sz="8" w:color="010101"/>
            </w:tcBorders>
          </w:tcPr>
          <w:p>
            <w:pPr>
              <w:spacing w:after="0"/>
              <w:rPr>
                <w:sz w:val="24"/>
                <w:szCs w:val="24"/>
                <w:color w:val="auto"/>
              </w:rPr>
            </w:pPr>
          </w:p>
        </w:tc>
        <w:tc>
          <w:tcPr>
            <w:tcW w:w="5120" w:type="dxa"/>
            <w:vAlign w:val="bottom"/>
            <w:tcBorders>
              <w:bottom w:val="single" w:sz="8" w:color="010101"/>
            </w:tcBorders>
          </w:tcPr>
          <w:p>
            <w:pPr>
              <w:spacing w:after="0"/>
              <w:rPr>
                <w:sz w:val="24"/>
                <w:szCs w:val="24"/>
                <w:color w:val="auto"/>
              </w:rPr>
            </w:pPr>
          </w:p>
        </w:tc>
        <w:tc>
          <w:tcPr>
            <w:tcW w:w="54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84" w:name="page85"/>
    <w:bookmarkEnd w:id="84"/>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Hansen Natural Corporation (the “Company”) on Form 10-K for the year ended December 31, 2010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5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4980" w:type="dxa"/>
            <w:vAlign w:val="bottom"/>
          </w:tcPr>
          <w:p>
            <w:pPr>
              <w:ind w:left="420"/>
              <w:spacing w:after="0"/>
              <w:rPr>
                <w:sz w:val="20"/>
                <w:szCs w:val="20"/>
                <w:color w:val="auto"/>
              </w:rPr>
            </w:pPr>
            <w:r>
              <w:rPr>
                <w:rFonts w:ascii="Arial" w:cs="Arial" w:eastAsia="Arial" w:hAnsi="Arial"/>
                <w:sz w:val="20"/>
                <w:szCs w:val="20"/>
                <w:color w:val="auto"/>
              </w:rPr>
              <w:t>March 1, 2011</w:t>
            </w:r>
          </w:p>
        </w:tc>
        <w:tc>
          <w:tcPr>
            <w:tcW w:w="5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560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4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85" w:name="page86"/>
    <w:bookmarkEnd w:id="85"/>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00"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Hansen Natural Corporation (the “Company”) on Form 10-K for the year ended December 31, 2010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80" w:hanging="324"/>
        <w:spacing w:after="0"/>
        <w:tabs>
          <w:tab w:leader="none" w:pos="9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40" w:hanging="324"/>
        <w:spacing w:after="0" w:line="260" w:lineRule="auto"/>
        <w:tabs>
          <w:tab w:leader="none" w:pos="9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4980" w:type="dxa"/>
            <w:vAlign w:val="bottom"/>
          </w:tcPr>
          <w:p>
            <w:pPr>
              <w:ind w:left="420"/>
              <w:spacing w:after="0"/>
              <w:rPr>
                <w:sz w:val="20"/>
                <w:szCs w:val="20"/>
                <w:color w:val="auto"/>
              </w:rPr>
            </w:pPr>
            <w:r>
              <w:rPr>
                <w:rFonts w:ascii="Arial" w:cs="Arial" w:eastAsia="Arial" w:hAnsi="Arial"/>
                <w:sz w:val="20"/>
                <w:szCs w:val="20"/>
                <w:color w:val="auto"/>
              </w:rPr>
              <w:t>March 1, 2011</w:t>
            </w:r>
          </w:p>
        </w:tc>
        <w:tc>
          <w:tcPr>
            <w:tcW w:w="5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560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84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5"/>
    </w:lvl>
  </w:abstractNum>
  <w:abstractNum w:abstractNumId="3">
    <w:nsid w:val="32FFF902"/>
    <w:multiLevelType w:val="hybridMultilevel"/>
    <w:lvl w:ilvl="0">
      <w:lvlJc w:val="left"/>
      <w:lvlText w:val="%1."/>
      <w:numFmt w:val="decimal"/>
      <w:start w:val="9"/>
    </w:lvl>
  </w:abstractNum>
  <w:abstractNum w:abstractNumId="4">
    <w:nsid w:val="684A481A"/>
    <w:multiLevelType w:val="hybridMultilevel"/>
    <w:lvl w:ilvl="0">
      <w:lvlJc w:val="left"/>
      <w:lvlText w:val="%1."/>
      <w:numFmt w:val="decimal"/>
      <w:start w:val="12"/>
    </w:lvl>
  </w:abstractNum>
  <w:abstractNum w:abstractNumId="5">
    <w:nsid w:val="579478FE"/>
    <w:multiLevelType w:val="hybridMultilevel"/>
    <w:lvl w:ilvl="0">
      <w:lvlJc w:val="left"/>
      <w:lvlText w:val="%1."/>
      <w:numFmt w:val="decimal"/>
      <w:start w:val="13"/>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1)"/>
      <w:numFmt w:val="lowerLetter"/>
      <w:start w:val="1"/>
    </w:lvl>
  </w:abstractNum>
  <w:abstractNum w:abstractNumId="10">
    <w:nsid w:val="75C6C33A"/>
    <w:multiLevelType w:val="hybridMultilevel"/>
    <w:lvl w:ilvl="0">
      <w:lvlJc w:val="left"/>
      <w:lvlText w:val="(%1)"/>
      <w:numFmt w:val="lowerLetter"/>
      <w:start w:val="4"/>
    </w:lvl>
  </w:abstractNum>
  <w:abstractNum w:abstractNumId="11">
    <w:nsid w:val="12E685FB"/>
    <w:multiLevelType w:val="hybridMultilevel"/>
    <w:lvl w:ilvl="0">
      <w:lvlJc w:val="left"/>
      <w:lvlText w:val="(%1)"/>
      <w:numFmt w:val="lowerLetter"/>
      <w:start w:val="9"/>
    </w:lvl>
  </w:abstractNum>
  <w:abstractNum w:abstractNumId="12">
    <w:nsid w:val="70C6A529"/>
    <w:multiLevelType w:val="hybridMultilevel"/>
    <w:lvl w:ilvl="0">
      <w:lvlJc w:val="left"/>
      <w:lvlText w:val="(%1)"/>
      <w:numFmt w:val="lowerLetter"/>
      <w:start w:val="1"/>
    </w:lvl>
  </w:abstractNum>
  <w:abstractNum w:abstractNumId="13">
    <w:nsid w:val="520EEDD1"/>
    <w:multiLevelType w:val="hybridMultilevel"/>
    <w:lvl w:ilvl="0">
      <w:lvlJc w:val="left"/>
      <w:lvlText w:val="(%1)"/>
      <w:numFmt w:val="lowerLetter"/>
      <w:start w:val="3"/>
    </w:lvl>
  </w:abstractNum>
  <w:abstractNum w:abstractNumId="14">
    <w:nsid w:val="374A3FE6"/>
    <w:multiLevelType w:val="hybridMultilevel"/>
    <w:lvl w:ilvl="0">
      <w:lvlJc w:val="left"/>
      <w:lvlText w:val="(%1)"/>
      <w:numFmt w:val="lowerLetter"/>
      <w:start w:val="5"/>
    </w:lvl>
  </w:abstractNum>
  <w:abstractNum w:abstractNumId="15">
    <w:nsid w:val="4F4EF005"/>
    <w:multiLevelType w:val="hybridMultilevel"/>
    <w:lvl w:ilvl="0">
      <w:lvlJc w:val="left"/>
      <w:lvlText w:val="(%1)"/>
      <w:numFmt w:val="lowerLetter"/>
      <w:start w:val="10"/>
    </w:lvl>
  </w:abstractNum>
  <w:abstractNum w:abstractNumId="16">
    <w:nsid w:val="23F9C13C"/>
    <w:multiLevelType w:val="hybridMultilevel"/>
    <w:lvl w:ilvl="0">
      <w:lvlJc w:val="left"/>
      <w:lvlText w:val="%1"/>
      <w:numFmt w:val="decimal"/>
      <w:start w:val="1"/>
    </w:lvl>
    <w:lvl w:ilvl="1">
      <w:lvlJc w:val="left"/>
      <w:lvlText w:val="(%2)"/>
      <w:numFmt w:val="decimal"/>
      <w:start w:val="951"/>
    </w:lvl>
  </w:abstractNum>
  <w:abstractNum w:abstractNumId="17">
    <w:nsid w:val="649BB77C"/>
    <w:multiLevelType w:val="hybridMultilevel"/>
    <w:lvl w:ilvl="0">
      <w:lvlJc w:val="left"/>
      <w:lvlText w:val="(%1)"/>
      <w:numFmt w:val="decimal"/>
      <w:start w:val="800"/>
    </w:lvl>
    <w:lvl w:ilvl="1">
      <w:lvlJc w:val="left"/>
      <w:lvlText w:val="(%2)"/>
      <w:numFmt w:val="decimal"/>
      <w:start w:val="800"/>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1"/>
      <w:numFmt w:val="decimal"/>
      <w:start w:val="1"/>
    </w:lvl>
    <w:lvl w:ilvl="1">
      <w:lvlJc w:val="left"/>
      <w:lvlText w:val="(%2)"/>
      <w:numFmt w:val="decimal"/>
      <w:start w:val="951"/>
    </w:lvl>
  </w:abstractNum>
  <w:abstractNum w:abstractNumId="32">
    <w:nsid w:val="77AE35EB"/>
    <w:multiLevelType w:val="hybridMultilevel"/>
    <w:lvl w:ilvl="0">
      <w:lvlJc w:val="left"/>
      <w:lvlText w:val="(%1)"/>
      <w:numFmt w:val="decimal"/>
      <w:start w:val="800"/>
    </w:lvl>
    <w:lvl w:ilvl="1">
      <w:lvlJc w:val="left"/>
      <w:lvlText w:val="(%2)"/>
      <w:numFmt w:val="decimal"/>
      <w:start w:val="800"/>
    </w:lvl>
  </w:abstractNum>
  <w:abstractNum w:abstractNumId="33">
    <w:nsid w:val="579BE4F1"/>
    <w:multiLevelType w:val="hybridMultilevel"/>
    <w:lvl w:ilvl="0">
      <w:lvlJc w:val="left"/>
      <w:lvlText w:val="(%1)"/>
      <w:numFmt w:val="lowerLetter"/>
      <w:start w:val="3"/>
    </w:lvl>
  </w:abstractNum>
  <w:abstractNum w:abstractNumId="34">
    <w:nsid w:val="310C50B3"/>
    <w:multiLevelType w:val="hybridMultilevel"/>
    <w:lvl w:ilvl="0">
      <w:lvlJc w:val="left"/>
      <w:lvlText w:val="(%1)"/>
      <w:numFmt w:val="lowerLetter"/>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decimal"/>
      <w:start w:val="2"/>
    </w:lvl>
  </w:abstractNum>
  <w:abstractNum w:abstractNumId="39">
    <w:nsid w:val="4AD084E9"/>
    <w:multiLevelType w:val="hybridMultilevel"/>
    <w:lvl w:ilvl="0">
      <w:lvlJc w:val="left"/>
      <w:lvlText w:val="%1."/>
      <w:numFmt w:val="decimal"/>
      <w:start w:val="3"/>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4"/>
    </w:lvl>
  </w:abstractNum>
  <w:abstractNum w:abstractNumId="42">
    <w:nsid w:val="5DB70AE5"/>
    <w:multiLevelType w:val="hybridMultilevel"/>
    <w:lvl w:ilvl="0">
      <w:lvlJc w:val="left"/>
      <w:lvlText w:val="%1."/>
      <w:numFmt w:val="decimal"/>
      <w:start w:val="5"/>
    </w:lvl>
  </w:abstractNum>
  <w:abstractNum w:abstractNumId="43">
    <w:nsid w:val="100F8FCA"/>
    <w:multiLevelType w:val="hybridMultilevel"/>
    <w:lvl w:ilvl="0">
      <w:lvlJc w:val="left"/>
      <w:lvlText w:val="%1."/>
      <w:numFmt w:val="decimal"/>
      <w:start w:val="6"/>
    </w:lvl>
  </w:abstractNum>
  <w:abstractNum w:abstractNumId="44">
    <w:nsid w:val="6590700B"/>
    <w:multiLevelType w:val="hybridMultilevel"/>
    <w:lvl w:ilvl="0">
      <w:lvlJc w:val="left"/>
      <w:lvlText w:val="%1."/>
      <w:numFmt w:val="decimal"/>
      <w:start w:val="7"/>
    </w:lvl>
  </w:abstractNum>
  <w:abstractNum w:abstractNumId="45">
    <w:nsid w:val="15014ACB"/>
    <w:multiLevelType w:val="hybridMultilevel"/>
    <w:lvl w:ilvl="0">
      <w:lvlJc w:val="left"/>
      <w:lvlText w:val="%1."/>
      <w:numFmt w:val="decimal"/>
      <w:start w:val="8"/>
    </w:lvl>
  </w:abstractNum>
  <w:abstractNum w:abstractNumId="46">
    <w:nsid w:val="5F5E7FD0"/>
    <w:multiLevelType w:val="hybridMultilevel"/>
    <w:lvl w:ilvl="0">
      <w:lvlJc w:val="left"/>
      <w:lvlText w:val="%1."/>
      <w:numFmt w:val="decimal"/>
      <w:start w:val="9"/>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1."/>
      <w:numFmt w:val="decimal"/>
      <w:start w:val="10"/>
    </w:lvl>
  </w:abstractNum>
  <w:abstractNum w:abstractNumId="49">
    <w:nsid w:val="6B94764"/>
    <w:multiLevelType w:val="hybridMultilevel"/>
    <w:lvl w:ilvl="0">
      <w:lvlJc w:val="left"/>
      <w:lvlText w:val="%1."/>
      <w:numFmt w:val="decimal"/>
      <w:start w:val="12"/>
    </w:lvl>
  </w:abstractNum>
  <w:abstractNum w:abstractNumId="50">
    <w:nsid w:val="42C296BD"/>
    <w:multiLevelType w:val="hybridMultilevel"/>
    <w:lvl w:ilvl="0">
      <w:lvlJc w:val="left"/>
      <w:lvlText w:val="%1."/>
      <w:numFmt w:val="decimal"/>
      <w:start w:val="13"/>
    </w:lvl>
  </w:abstractNum>
  <w:abstractNum w:abstractNumId="51">
    <w:nsid w:val="168E121F"/>
    <w:multiLevelType w:val="hybridMultilevel"/>
    <w:lvl w:ilvl="0">
      <w:lvlJc w:val="left"/>
      <w:lvlText w:val="%1."/>
      <w:numFmt w:val="decimal"/>
      <w:start w:val="14"/>
    </w:lvl>
  </w:abstractNum>
  <w:abstractNum w:abstractNumId="52">
    <w:nsid w:val="1EBA5D23"/>
    <w:multiLevelType w:val="hybridMultilevel"/>
    <w:lvl w:ilvl="0">
      <w:lvlJc w:val="left"/>
      <w:lvlText w:val="%1."/>
      <w:numFmt w:val="decimal"/>
      <w:start w:val="15"/>
    </w:lvl>
  </w:abstractNum>
  <w:abstractNum w:abstractNumId="53">
    <w:nsid w:val="661E3F1E"/>
    <w:multiLevelType w:val="hybridMultilevel"/>
    <w:lvl w:ilvl="0">
      <w:lvlJc w:val="left"/>
      <w:lvlText w:val="%1."/>
      <w:numFmt w:val="decimal"/>
      <w:start w:val="16"/>
    </w:lvl>
  </w:abstractNum>
  <w:abstractNum w:abstractNumId="54">
    <w:nsid w:val="5DC79EA8"/>
    <w:multiLevelType w:val="hybridMultilevel"/>
    <w:lvl w:ilvl="0">
      <w:lvlJc w:val="left"/>
      <w:lvlText w:val="%1."/>
      <w:numFmt w:val="decimal"/>
      <w:start w:val="17"/>
    </w:lvl>
  </w:abstractNum>
  <w:abstractNum w:abstractNumId="55">
    <w:nsid w:val="540A471C"/>
    <w:multiLevelType w:val="hybridMultilevel"/>
    <w:lvl w:ilvl="0">
      <w:lvlJc w:val="left"/>
      <w:lvlText w:val="%1."/>
      <w:numFmt w:val="decimal"/>
      <w:start w:val="18"/>
    </w:lvl>
  </w:abstractNum>
  <w:abstractNum w:abstractNumId="56">
    <w:nsid w:val="7BD3EE7B"/>
    <w:multiLevelType w:val="hybridMultilevel"/>
    <w:lvl w:ilvl="0">
      <w:lvlJc w:val="left"/>
      <w:lvlText w:val="%1."/>
      <w:numFmt w:val="upperLetter"/>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3"/>
    </w:lvl>
    <w:lvl w:ilvl="1">
      <w:lvlJc w:val="left"/>
      <w:lvlText w:val="(%2)"/>
      <w:numFmt w:val="lowerLetter"/>
      <w:start w:val="1"/>
    </w:lvl>
  </w:abstractNum>
  <w:abstractNum w:abstractNumId="59">
    <w:nsid w:val="BF72B14"/>
    <w:multiLevelType w:val="hybridMultilevel"/>
    <w:lvl w:ilvl="0">
      <w:lvlJc w:val="left"/>
      <w:lvlText w:val="(%1)"/>
      <w:numFmt w:val="lowerLetter"/>
      <w:start w:val="2"/>
    </w:lvl>
  </w:abstractNum>
  <w:abstractNum w:abstractNumId="60">
    <w:nsid w:val="11447B73"/>
    <w:multiLevelType w:val="hybridMultilevel"/>
    <w:lvl w:ilvl="0">
      <w:lvlJc w:val="left"/>
      <w:lvlText w:val="(%1)"/>
      <w:numFmt w:val="lowerLetter"/>
      <w:start w:val="3"/>
    </w:lvl>
  </w:abstractNum>
  <w:abstractNum w:abstractNumId="61">
    <w:nsid w:val="42963E5A"/>
    <w:multiLevelType w:val="hybridMultilevel"/>
    <w:lvl w:ilvl="0">
      <w:lvlJc w:val="left"/>
      <w:lvlText w:val="%1"/>
      <w:numFmt w:val="decimal"/>
      <w:start w:val="1"/>
    </w:lvl>
    <w:lvl w:ilvl="1">
      <w:lvlJc w:val="left"/>
      <w:lvlText w:val="(%2)"/>
      <w:numFmt w:val="lowerLetter"/>
      <w:start w:val="4"/>
    </w:lvl>
  </w:abstractNum>
  <w:abstractNum w:abstractNumId="62">
    <w:nsid w:val="A0382C5"/>
    <w:multiLevelType w:val="hybridMultilevel"/>
    <w:lvl w:ilvl="0">
      <w:lvlJc w:val="left"/>
      <w:lvlText w:val="%1."/>
      <w:numFmt w:val="decimal"/>
      <w:start w:val="4"/>
    </w:lvl>
    <w:lvl w:ilvl="1">
      <w:lvlJc w:val="left"/>
      <w:lvlText w:val="(%2)"/>
      <w:numFmt w:val="lowerLetter"/>
      <w:start w:val="1"/>
    </w:lvl>
  </w:abstractNum>
  <w:abstractNum w:abstractNumId="63">
    <w:nsid w:val="8F2B15E"/>
    <w:multiLevelType w:val="hybridMultilevel"/>
    <w:lvl w:ilvl="0">
      <w:lvlJc w:val="left"/>
      <w:lvlText w:val="%1."/>
      <w:numFmt w:val="decimal"/>
      <w:start w:val="6"/>
    </w:lvl>
    <w:lvl w:ilvl="1">
      <w:lvlJc w:val="left"/>
      <w:lvlText w:val="(%2)"/>
      <w:numFmt w:val="lowerLetter"/>
      <w:start w:val="1"/>
    </w:lvl>
  </w:abstractNum>
  <w:abstractNum w:abstractNumId="64">
    <w:nsid w:val="1A32234B"/>
    <w:multiLevelType w:val="hybridMultilevel"/>
    <w:lvl w:ilvl="0">
      <w:lvlJc w:val="left"/>
      <w:lvlText w:val="(%1)"/>
      <w:numFmt w:val="decimal"/>
      <w:start w:val="3"/>
    </w:lvl>
  </w:abstractNum>
  <w:abstractNum w:abstractNumId="65">
    <w:nsid w:val="3B0FD37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6">
    <w:nsid w:val="68EB2F63"/>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67">
    <w:nsid w:val="4962813B"/>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68">
    <w:nsid w:val="60B6DF70"/>
    <w:multiLevelType w:val="hybridMultilevel"/>
    <w:lvl w:ilvl="0">
      <w:lvlJc w:val="left"/>
      <w:lvlText w:val="%1."/>
      <w:numFmt w:val="decimal"/>
      <w:start w:val="14"/>
    </w:lvl>
  </w:abstractNum>
  <w:abstractNum w:abstractNumId="69">
    <w:nsid w:val="6A5EE64"/>
    <w:multiLevelType w:val="hybridMultilevel"/>
    <w:lvl w:ilvl="0">
      <w:lvlJc w:val="left"/>
      <w:lvlText w:val="%1."/>
      <w:numFmt w:val="upperLetter"/>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decimal"/>
      <w:start w:val="3"/>
    </w:lvl>
    <w:lvl w:ilvl="1">
      <w:lvlJc w:val="left"/>
      <w:lvlText w:val="(%2)"/>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3"/>
    </w:lvl>
  </w:abstractNum>
  <w:abstractNum w:abstractNumId="74">
    <w:nsid w:val="100F59DC"/>
    <w:multiLevelType w:val="hybridMultilevel"/>
    <w:lvl w:ilvl="0">
      <w:lvlJc w:val="left"/>
      <w:lvlText w:val="%1"/>
      <w:numFmt w:val="decimal"/>
      <w:start w:val="1"/>
    </w:lvl>
    <w:lvl w:ilvl="1">
      <w:lvlJc w:val="left"/>
      <w:lvlText w:val="(%2)"/>
      <w:numFmt w:val="lowerLetter"/>
      <w:start w:val="4"/>
    </w:lvl>
  </w:abstractNum>
  <w:abstractNum w:abstractNumId="75">
    <w:nsid w:val="7FB7E0AA"/>
    <w:multiLevelType w:val="hybridMultilevel"/>
    <w:lvl w:ilvl="0">
      <w:lvlJc w:val="left"/>
      <w:lvlText w:val="%1."/>
      <w:numFmt w:val="decimal"/>
      <w:start w:val="4"/>
    </w:lvl>
    <w:lvl w:ilvl="1">
      <w:lvlJc w:val="left"/>
      <w:lvlText w:val="(%2)"/>
      <w:numFmt w:val="lowerLetter"/>
      <w:start w:val="1"/>
    </w:lvl>
  </w:abstractNum>
  <w:abstractNum w:abstractNumId="76">
    <w:nsid w:val="6EB5BD4"/>
    <w:multiLevelType w:val="hybridMultilevel"/>
    <w:lvl w:ilvl="0">
      <w:lvlJc w:val="left"/>
      <w:lvlText w:val="%1."/>
      <w:numFmt w:val="decimal"/>
      <w:start w:val="6"/>
    </w:lvl>
    <w:lvl w:ilvl="1">
      <w:lvlJc w:val="left"/>
      <w:lvlText w:val="(%2)"/>
      <w:numFmt w:val="lowerLetter"/>
      <w:start w:val="1"/>
    </w:lvl>
  </w:abstractNum>
  <w:abstractNum w:abstractNumId="77">
    <w:nsid w:val="6F6DD9AC"/>
    <w:multiLevelType w:val="hybridMultilevel"/>
    <w:lvl w:ilvl="0">
      <w:lvlJc w:val="left"/>
      <w:lvlText w:val="(%1)"/>
      <w:numFmt w:val="decimal"/>
      <w:start w:val="3"/>
    </w:lvl>
  </w:abstractNum>
  <w:abstractNum w:abstractNumId="78">
    <w:nsid w:val="94211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9">
    <w:nsid w:val="885E1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0">
    <w:nsid w:val="76272110"/>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81">
    <w:nsid w:val="4C04A8AF"/>
    <w:multiLevelType w:val="hybridMultilevel"/>
    <w:lvl w:ilvl="0">
      <w:lvlJc w:val="left"/>
      <w:lvlText w:val="%1."/>
      <w:numFmt w:val="decimal"/>
      <w:start w:val="14"/>
    </w:lvl>
  </w:abstractNum>
  <w:abstractNum w:abstractNumId="82">
    <w:nsid w:val="1716703B"/>
    <w:multiLevelType w:val="hybridMultilevel"/>
    <w:lvl w:ilvl="0">
      <w:lvlJc w:val="left"/>
      <w:lvlText w:val="%1"/>
      <w:numFmt w:val="lowerRoman"/>
      <w:start w:val="1"/>
    </w:lvl>
    <w:lvl w:ilvl="1">
      <w:lvlJc w:val="left"/>
      <w:lvlText w:val="%2."/>
      <w:numFmt w:val="upperLetter"/>
      <w:start w:val="1"/>
    </w:lvl>
  </w:abstractNum>
  <w:abstractNum w:abstractNumId="83">
    <w:nsid w:val="14E17E33"/>
    <w:multiLevelType w:val="hybridMultilevel"/>
    <w:lvl w:ilvl="0">
      <w:lvlJc w:val="left"/>
      <w:lvlText w:val="(%1)"/>
      <w:numFmt w:val="lowerRoman"/>
      <w:start w:val="3"/>
    </w:lvl>
    <w:lvl w:ilvl="1">
      <w:lvlJc w:val="left"/>
      <w:lvlText w:val="%2."/>
      <w:numFmt w:val="upperLetter"/>
      <w:start w:val="2"/>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2"/>
    </w:lvl>
  </w:abstractNum>
  <w:abstractNum w:abstractNumId="86">
    <w:nsid w:val="68EBC550"/>
    <w:multiLevelType w:val="hybridMultilevel"/>
    <w:lvl w:ilvl="0">
      <w:lvlJc w:val="left"/>
      <w:lvlText w:val="%1."/>
      <w:numFmt w:val="decimal"/>
      <w:start w:val="4"/>
    </w:lvl>
  </w:abstractNum>
  <w:abstractNum w:abstractNumId="87">
    <w:nsid w:val="2DF6D648"/>
    <w:multiLevelType w:val="hybridMultilevel"/>
    <w:lvl w:ilvl="0">
      <w:lvlJc w:val="left"/>
      <w:lvlText w:val="%1."/>
      <w:numFmt w:val="decimal"/>
      <w:start w:val="7"/>
    </w:lvl>
  </w:abstractNum>
  <w:abstractNum w:abstractNumId="88">
    <w:nsid w:val="46B7D447"/>
    <w:multiLevelType w:val="hybridMultilevel"/>
    <w:lvl w:ilvl="0">
      <w:lvlJc w:val="left"/>
      <w:lvlText w:val="%1."/>
      <w:numFmt w:val="decimal"/>
      <w:start w:val="10"/>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2019-12-10T10:10:37Z</dcterms:created>
  <dcterms:modified xsi:type="dcterms:W3CDTF">2019-12-10T10:10:37Z</dcterms:modified>
</cp:coreProperties>
</file>